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91BFF" w14:textId="2CD58396" w:rsidR="0044373A" w:rsidRPr="0044373A" w:rsidRDefault="0044373A" w:rsidP="0044373A">
      <w:pPr>
        <w:pStyle w:val="ListParagraph"/>
        <w:tabs>
          <w:tab w:val="left" w:pos="6795"/>
        </w:tabs>
        <w:spacing w:after="60" w:line="240" w:lineRule="auto"/>
        <w:ind w:left="284"/>
        <w:rPr>
          <w:rFonts w:ascii="Arial" w:hAnsi="Arial"/>
          <w:bCs/>
          <w:color w:val="0000FF"/>
          <w:szCs w:val="20"/>
        </w:rPr>
      </w:pPr>
      <w:bookmarkStart w:id="0" w:name="_Hlk112737073"/>
      <w:bookmarkStart w:id="1" w:name="_Hlk115104856"/>
      <w:r>
        <w:rPr>
          <w:rFonts w:ascii="Arial" w:hAnsi="Arial"/>
          <w:bCs/>
          <w:color w:val="0000FF"/>
          <w:szCs w:val="20"/>
        </w:rPr>
        <w:t>.</w:t>
      </w:r>
    </w:p>
    <w:p w14:paraId="25669F75" w14:textId="77777777" w:rsidR="00D95056" w:rsidRDefault="00D95056" w:rsidP="00C6286A">
      <w:pPr>
        <w:tabs>
          <w:tab w:val="left" w:pos="6795"/>
        </w:tabs>
        <w:spacing w:after="60" w:line="240" w:lineRule="auto"/>
        <w:jc w:val="center"/>
        <w:rPr>
          <w:rFonts w:ascii="Arial" w:hAnsi="Arial"/>
          <w:b/>
          <w:color w:val="000000" w:themeColor="text1"/>
          <w:sz w:val="40"/>
          <w:szCs w:val="32"/>
        </w:rPr>
      </w:pPr>
    </w:p>
    <w:p w14:paraId="47435B70" w14:textId="77777777" w:rsidR="009E0632" w:rsidRDefault="009E0632" w:rsidP="00C6286A">
      <w:pPr>
        <w:tabs>
          <w:tab w:val="left" w:pos="6795"/>
        </w:tabs>
        <w:spacing w:after="60" w:line="240" w:lineRule="auto"/>
        <w:jc w:val="center"/>
        <w:rPr>
          <w:rFonts w:ascii="Arial" w:hAnsi="Arial"/>
          <w:b/>
          <w:color w:val="000000" w:themeColor="text1"/>
          <w:sz w:val="40"/>
          <w:szCs w:val="32"/>
        </w:rPr>
      </w:pPr>
    </w:p>
    <w:p w14:paraId="6FBA25ED" w14:textId="77777777" w:rsidR="009E0632" w:rsidRDefault="009E0632" w:rsidP="00C6286A">
      <w:pPr>
        <w:tabs>
          <w:tab w:val="left" w:pos="6795"/>
        </w:tabs>
        <w:spacing w:after="60" w:line="240" w:lineRule="auto"/>
        <w:jc w:val="center"/>
        <w:rPr>
          <w:rFonts w:ascii="Arial" w:hAnsi="Arial"/>
          <w:b/>
          <w:color w:val="000000" w:themeColor="text1"/>
          <w:sz w:val="40"/>
          <w:szCs w:val="32"/>
        </w:rPr>
      </w:pPr>
    </w:p>
    <w:p w14:paraId="2447CFD8" w14:textId="77777777" w:rsidR="00D337AB" w:rsidRDefault="00D337AB" w:rsidP="00C6286A">
      <w:pPr>
        <w:tabs>
          <w:tab w:val="left" w:pos="6795"/>
        </w:tabs>
        <w:spacing w:after="60" w:line="240" w:lineRule="auto"/>
        <w:jc w:val="center"/>
        <w:rPr>
          <w:rFonts w:ascii="Arial" w:hAnsi="Arial"/>
          <w:b/>
          <w:color w:val="000000" w:themeColor="text1"/>
          <w:sz w:val="40"/>
          <w:szCs w:val="32"/>
        </w:rPr>
      </w:pPr>
    </w:p>
    <w:p w14:paraId="229E58BD" w14:textId="77777777" w:rsidR="0070076E" w:rsidRDefault="0070076E" w:rsidP="00C6286A">
      <w:pPr>
        <w:tabs>
          <w:tab w:val="left" w:pos="6795"/>
        </w:tabs>
        <w:spacing w:after="60" w:line="240" w:lineRule="auto"/>
        <w:jc w:val="center"/>
        <w:rPr>
          <w:rFonts w:ascii="Arial" w:hAnsi="Arial"/>
          <w:b/>
          <w:color w:val="000000" w:themeColor="text1"/>
          <w:sz w:val="40"/>
          <w:szCs w:val="32"/>
        </w:rPr>
      </w:pPr>
    </w:p>
    <w:p w14:paraId="64A2CC4C" w14:textId="77777777" w:rsidR="0056631A" w:rsidRDefault="0056631A" w:rsidP="00C6286A">
      <w:pPr>
        <w:tabs>
          <w:tab w:val="left" w:pos="6795"/>
        </w:tabs>
        <w:spacing w:after="60" w:line="240" w:lineRule="auto"/>
        <w:jc w:val="center"/>
        <w:rPr>
          <w:rFonts w:ascii="Arial" w:hAnsi="Arial"/>
          <w:b/>
          <w:color w:val="000000" w:themeColor="text1"/>
          <w:sz w:val="40"/>
          <w:szCs w:val="32"/>
        </w:rPr>
      </w:pPr>
    </w:p>
    <w:p w14:paraId="1D44DE56" w14:textId="77777777" w:rsidR="00D337AB" w:rsidRDefault="00D337AB" w:rsidP="00C6286A">
      <w:pPr>
        <w:tabs>
          <w:tab w:val="left" w:pos="6795"/>
        </w:tabs>
        <w:spacing w:after="60" w:line="240" w:lineRule="auto"/>
        <w:jc w:val="center"/>
        <w:rPr>
          <w:rFonts w:ascii="Arial" w:hAnsi="Arial"/>
          <w:b/>
          <w:color w:val="000000" w:themeColor="text1"/>
          <w:sz w:val="40"/>
          <w:szCs w:val="32"/>
        </w:rPr>
      </w:pPr>
    </w:p>
    <w:p w14:paraId="42181A17" w14:textId="7B74A067" w:rsidR="00C6286A" w:rsidRPr="008756DA" w:rsidRDefault="009764C6" w:rsidP="00C6286A">
      <w:pPr>
        <w:tabs>
          <w:tab w:val="left" w:pos="6795"/>
        </w:tabs>
        <w:spacing w:after="60" w:line="240" w:lineRule="auto"/>
        <w:jc w:val="center"/>
        <w:rPr>
          <w:rFonts w:ascii="Arial" w:hAnsi="Arial"/>
          <w:b/>
          <w:color w:val="FF0000"/>
          <w:sz w:val="40"/>
          <w:szCs w:val="32"/>
        </w:rPr>
      </w:pPr>
      <w:r w:rsidRPr="00B955DA">
        <w:rPr>
          <w:rFonts w:ascii="Arial" w:hAnsi="Arial"/>
          <w:b/>
          <w:color w:val="000000" w:themeColor="text1"/>
          <w:sz w:val="40"/>
          <w:szCs w:val="32"/>
        </w:rPr>
        <w:t>C</w:t>
      </w:r>
      <w:r w:rsidR="00C6286A" w:rsidRPr="00B955DA">
        <w:rPr>
          <w:rFonts w:ascii="Arial" w:hAnsi="Arial"/>
          <w:b/>
          <w:color w:val="000000" w:themeColor="text1"/>
          <w:sz w:val="40"/>
          <w:szCs w:val="32"/>
        </w:rPr>
        <w:t>hild Poverty in New Zealand:</w:t>
      </w:r>
      <w:r w:rsidR="00B545CD">
        <w:rPr>
          <w:rFonts w:ascii="Arial" w:hAnsi="Arial"/>
          <w:b/>
          <w:color w:val="000000" w:themeColor="text1"/>
          <w:sz w:val="40"/>
          <w:szCs w:val="32"/>
        </w:rPr>
        <w:t xml:space="preserve"> </w:t>
      </w:r>
    </w:p>
    <w:p w14:paraId="31ADB7FA" w14:textId="2AE566AE" w:rsidR="00C6286A" w:rsidRPr="00B955DA" w:rsidRDefault="00C6286A" w:rsidP="00C6286A">
      <w:pPr>
        <w:tabs>
          <w:tab w:val="left" w:pos="6795"/>
        </w:tabs>
        <w:spacing w:after="0" w:line="240" w:lineRule="auto"/>
        <w:jc w:val="center"/>
        <w:rPr>
          <w:rFonts w:ascii="Arial" w:hAnsi="Arial"/>
          <w:b/>
          <w:color w:val="000000" w:themeColor="text1"/>
          <w:sz w:val="24"/>
          <w:szCs w:val="20"/>
        </w:rPr>
      </w:pPr>
      <w:r w:rsidRPr="00B955DA">
        <w:rPr>
          <w:rFonts w:ascii="Arial" w:hAnsi="Arial"/>
          <w:b/>
          <w:color w:val="000000" w:themeColor="text1"/>
          <w:sz w:val="24"/>
          <w:szCs w:val="24"/>
        </w:rPr>
        <w:t>The demographics of child poverty, s</w:t>
      </w:r>
      <w:r w:rsidRPr="00B955DA">
        <w:rPr>
          <w:rFonts w:ascii="Arial" w:hAnsi="Arial"/>
          <w:b/>
          <w:color w:val="000000" w:themeColor="text1"/>
          <w:sz w:val="24"/>
          <w:szCs w:val="20"/>
        </w:rPr>
        <w:t xml:space="preserve">urvey-based descriptions of life ‘below the line’ including the use of child-specific indicators, trends in material hardship and income poverty rates for children, and </w:t>
      </w:r>
      <w:r w:rsidRPr="00B955DA">
        <w:rPr>
          <w:rFonts w:ascii="Arial" w:hAnsi="Arial"/>
          <w:b/>
          <w:color w:val="000000" w:themeColor="text1"/>
          <w:sz w:val="24"/>
          <w:szCs w:val="24"/>
        </w:rPr>
        <w:t>international</w:t>
      </w:r>
      <w:r w:rsidRPr="00B955DA">
        <w:rPr>
          <w:rFonts w:ascii="Arial" w:hAnsi="Arial"/>
          <w:b/>
          <w:color w:val="000000" w:themeColor="text1"/>
          <w:sz w:val="24"/>
          <w:szCs w:val="20"/>
        </w:rPr>
        <w:t xml:space="preserve"> comparisons </w:t>
      </w:r>
      <w:r w:rsidR="00BF3A39" w:rsidRPr="00B955DA">
        <w:rPr>
          <w:rFonts w:ascii="Arial" w:hAnsi="Arial"/>
          <w:b/>
          <w:bCs/>
          <w:color w:val="000000" w:themeColor="text1"/>
          <w:sz w:val="24"/>
          <w:szCs w:val="24"/>
        </w:rPr>
        <w:t>–</w:t>
      </w:r>
      <w:r w:rsidRPr="00B955DA">
        <w:rPr>
          <w:rFonts w:ascii="Arial" w:hAnsi="Arial"/>
          <w:b/>
          <w:color w:val="000000" w:themeColor="text1"/>
          <w:sz w:val="24"/>
          <w:szCs w:val="20"/>
        </w:rPr>
        <w:t xml:space="preserve"> with discussion of some of the challenges in measuring child poverty and interpreting child poverty statistics</w:t>
      </w:r>
    </w:p>
    <w:p w14:paraId="7077C091" w14:textId="77777777" w:rsidR="00C6286A" w:rsidRPr="00B955DA" w:rsidRDefault="00C6286A" w:rsidP="00C6286A">
      <w:pPr>
        <w:tabs>
          <w:tab w:val="left" w:pos="6795"/>
        </w:tabs>
        <w:spacing w:after="0" w:line="240" w:lineRule="auto"/>
        <w:jc w:val="center"/>
        <w:rPr>
          <w:rFonts w:ascii="Arial" w:hAnsi="Arial"/>
          <w:b/>
          <w:color w:val="000000" w:themeColor="text1"/>
          <w:sz w:val="22"/>
          <w:szCs w:val="18"/>
        </w:rPr>
      </w:pPr>
    </w:p>
    <w:p w14:paraId="1BB46360" w14:textId="77777777" w:rsidR="004E5CA6" w:rsidRDefault="004E5CA6" w:rsidP="00C6286A">
      <w:pPr>
        <w:spacing w:line="264" w:lineRule="auto"/>
        <w:jc w:val="center"/>
        <w:rPr>
          <w:rFonts w:ascii="Arial Mäori" w:hAnsi="Arial Mäori"/>
          <w:b/>
          <w:bCs/>
          <w:color w:val="FF0000"/>
          <w:sz w:val="22"/>
        </w:rPr>
      </w:pPr>
    </w:p>
    <w:p w14:paraId="7FD29FA1" w14:textId="2F34E7FB" w:rsidR="00C6286A" w:rsidRPr="00B955DA" w:rsidRDefault="00C6286A" w:rsidP="00C6286A">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Prepared by Bryan Perry</w:t>
      </w:r>
    </w:p>
    <w:p w14:paraId="7237B7B1" w14:textId="77777777" w:rsidR="00565969" w:rsidRDefault="00565969" w:rsidP="00C6286A">
      <w:pPr>
        <w:spacing w:line="264" w:lineRule="auto"/>
        <w:jc w:val="center"/>
        <w:rPr>
          <w:rFonts w:ascii="Arial Mäori" w:hAnsi="Arial Mäori"/>
          <w:b/>
          <w:bCs/>
          <w:color w:val="000000" w:themeColor="text1"/>
          <w:sz w:val="24"/>
          <w:szCs w:val="24"/>
        </w:rPr>
      </w:pPr>
    </w:p>
    <w:p w14:paraId="5D11B37F" w14:textId="59963337" w:rsidR="00C6286A" w:rsidRPr="00B955DA" w:rsidRDefault="00C6286A" w:rsidP="00C6286A">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Ministry of Social Development</w:t>
      </w:r>
    </w:p>
    <w:p w14:paraId="0B20005B" w14:textId="77777777" w:rsidR="00C6286A" w:rsidRPr="00B955DA" w:rsidRDefault="00C6286A" w:rsidP="00C6286A">
      <w:pPr>
        <w:spacing w:line="264" w:lineRule="auto"/>
        <w:jc w:val="center"/>
        <w:rPr>
          <w:rFonts w:ascii="Arial Mäori" w:hAnsi="Arial Mäori"/>
          <w:b/>
          <w:bCs/>
          <w:color w:val="000000" w:themeColor="text1"/>
          <w:sz w:val="24"/>
          <w:szCs w:val="24"/>
        </w:rPr>
      </w:pPr>
      <w:r w:rsidRPr="00B955DA">
        <w:rPr>
          <w:rFonts w:ascii="Arial Mäori" w:hAnsi="Arial Mäori"/>
          <w:b/>
          <w:bCs/>
          <w:color w:val="000000" w:themeColor="text1"/>
          <w:sz w:val="24"/>
          <w:szCs w:val="24"/>
        </w:rPr>
        <w:t>Wellington</w:t>
      </w:r>
    </w:p>
    <w:p w14:paraId="65BA6824" w14:textId="77777777" w:rsidR="00C6286A" w:rsidRPr="00B955DA" w:rsidRDefault="00C6286A" w:rsidP="00C6286A">
      <w:pPr>
        <w:spacing w:line="264" w:lineRule="auto"/>
        <w:jc w:val="center"/>
        <w:rPr>
          <w:rFonts w:ascii="Arial Mäori" w:hAnsi="Arial Mäori"/>
          <w:b/>
          <w:bCs/>
          <w:color w:val="000000" w:themeColor="text1"/>
          <w:sz w:val="24"/>
          <w:szCs w:val="24"/>
        </w:rPr>
      </w:pPr>
    </w:p>
    <w:p w14:paraId="3B3A190D" w14:textId="3D611A8E" w:rsidR="00C6286A" w:rsidRPr="001B5C1C" w:rsidRDefault="004D6E98" w:rsidP="00C6286A">
      <w:pPr>
        <w:spacing w:line="264" w:lineRule="auto"/>
        <w:jc w:val="center"/>
        <w:rPr>
          <w:rFonts w:ascii="Arial Mäori" w:hAnsi="Arial Mäori"/>
          <w:b/>
          <w:bCs/>
          <w:color w:val="0D0D0D" w:themeColor="text1" w:themeTint="F2"/>
          <w:sz w:val="24"/>
          <w:szCs w:val="24"/>
        </w:rPr>
      </w:pPr>
      <w:r w:rsidRPr="001B5C1C">
        <w:rPr>
          <w:rFonts w:ascii="Arial Mäori" w:hAnsi="Arial Mäori"/>
          <w:b/>
          <w:bCs/>
          <w:color w:val="0D0D0D" w:themeColor="text1" w:themeTint="F2"/>
          <w:sz w:val="24"/>
          <w:szCs w:val="24"/>
        </w:rPr>
        <w:t>Ju</w:t>
      </w:r>
      <w:r w:rsidR="006C60CC" w:rsidRPr="001B5C1C">
        <w:rPr>
          <w:rFonts w:ascii="Arial Mäori" w:hAnsi="Arial Mäori"/>
          <w:b/>
          <w:bCs/>
          <w:color w:val="0D0D0D" w:themeColor="text1" w:themeTint="F2"/>
          <w:sz w:val="24"/>
          <w:szCs w:val="24"/>
        </w:rPr>
        <w:t>ly</w:t>
      </w:r>
      <w:r w:rsidR="00F70B8E" w:rsidRPr="001B5C1C">
        <w:rPr>
          <w:rFonts w:ascii="Arial Mäori" w:hAnsi="Arial Mäori"/>
          <w:b/>
          <w:bCs/>
          <w:color w:val="0D0D0D" w:themeColor="text1" w:themeTint="F2"/>
          <w:sz w:val="24"/>
          <w:szCs w:val="24"/>
        </w:rPr>
        <w:t xml:space="preserve"> 2026</w:t>
      </w:r>
    </w:p>
    <w:p w14:paraId="4FD14A93" w14:textId="1B4CFCEE" w:rsidR="00C6286A" w:rsidRPr="00FB29F6" w:rsidRDefault="00C6286A" w:rsidP="00C6286A">
      <w:pPr>
        <w:spacing w:after="0" w:line="240" w:lineRule="auto"/>
        <w:ind w:left="2694"/>
        <w:rPr>
          <w:rFonts w:ascii="Arial" w:eastAsia="Times New Roman" w:hAnsi="Arial"/>
          <w:bCs/>
          <w:color w:val="0000FF"/>
          <w:sz w:val="18"/>
          <w:szCs w:val="18"/>
          <w:lang w:val="en-GB"/>
        </w:rPr>
      </w:pPr>
    </w:p>
    <w:p w14:paraId="230D2DEB" w14:textId="77777777" w:rsidR="004526DB" w:rsidRDefault="004526DB" w:rsidP="004526DB">
      <w:pPr>
        <w:spacing w:after="0" w:line="240" w:lineRule="auto"/>
        <w:ind w:left="1974" w:firstLine="720"/>
        <w:rPr>
          <w:rFonts w:ascii="Arial" w:eastAsia="Times New Roman" w:hAnsi="Arial"/>
          <w:bCs/>
          <w:color w:val="000000" w:themeColor="text1"/>
          <w:sz w:val="18"/>
          <w:szCs w:val="18"/>
          <w:lang w:val="en-GB"/>
        </w:rPr>
      </w:pPr>
    </w:p>
    <w:p w14:paraId="2B26BB13" w14:textId="1332E879" w:rsidR="00C6286A" w:rsidRPr="004526DB" w:rsidRDefault="00C6286A" w:rsidP="004526DB">
      <w:pPr>
        <w:spacing w:after="0" w:line="240" w:lineRule="auto"/>
        <w:ind w:left="1974" w:firstLine="720"/>
        <w:rPr>
          <w:rFonts w:ascii="Arial" w:eastAsia="Times New Roman" w:hAnsi="Arial"/>
          <w:bCs/>
          <w:color w:val="000000" w:themeColor="text1"/>
          <w:sz w:val="18"/>
          <w:szCs w:val="18"/>
          <w:lang w:val="en-GB"/>
        </w:rPr>
      </w:pPr>
      <w:r w:rsidRPr="004526DB">
        <w:rPr>
          <w:rFonts w:ascii="Arial" w:eastAsia="Times New Roman" w:hAnsi="Arial"/>
          <w:bCs/>
          <w:color w:val="000000" w:themeColor="text1"/>
          <w:sz w:val="18"/>
          <w:szCs w:val="18"/>
          <w:lang w:val="en-GB"/>
        </w:rPr>
        <w:t xml:space="preserve">ISBN        </w:t>
      </w:r>
      <w:r w:rsidR="004526DB" w:rsidRPr="004526DB">
        <w:rPr>
          <w:rFonts w:ascii="Arial" w:eastAsia="Times New Roman" w:hAnsi="Arial"/>
          <w:bCs/>
          <w:color w:val="000000" w:themeColor="text1"/>
          <w:sz w:val="18"/>
          <w:szCs w:val="18"/>
        </w:rPr>
        <w:t>978-1-991389-14-5</w:t>
      </w:r>
      <w:r w:rsidR="004526DB">
        <w:rPr>
          <w:rFonts w:ascii="Arial" w:eastAsia="Times New Roman" w:hAnsi="Arial"/>
          <w:bCs/>
          <w:color w:val="000000" w:themeColor="text1"/>
          <w:sz w:val="18"/>
          <w:szCs w:val="18"/>
        </w:rPr>
        <w:t xml:space="preserve"> </w:t>
      </w:r>
      <w:r w:rsidRPr="004526DB">
        <w:rPr>
          <w:rFonts w:ascii="Arial" w:eastAsia="Times New Roman" w:hAnsi="Arial"/>
          <w:bCs/>
          <w:color w:val="000000" w:themeColor="text1"/>
          <w:sz w:val="18"/>
          <w:szCs w:val="18"/>
          <w:lang w:val="en-GB" w:eastAsia="en-NZ"/>
        </w:rPr>
        <w:t>(Print)</w:t>
      </w:r>
      <w:r w:rsidR="00F63D18" w:rsidRPr="004526DB">
        <w:rPr>
          <w:rFonts w:ascii="Arial" w:eastAsia="Times New Roman" w:hAnsi="Arial"/>
          <w:bCs/>
          <w:color w:val="000000" w:themeColor="text1"/>
          <w:sz w:val="18"/>
          <w:szCs w:val="18"/>
          <w:lang w:val="en-GB" w:eastAsia="en-NZ"/>
        </w:rPr>
        <w:t xml:space="preserve"> </w:t>
      </w:r>
    </w:p>
    <w:p w14:paraId="07E3A14C" w14:textId="77777777" w:rsidR="00C6286A" w:rsidRPr="004526DB" w:rsidRDefault="00C6286A" w:rsidP="00C6286A">
      <w:pPr>
        <w:spacing w:after="0" w:line="240" w:lineRule="auto"/>
        <w:ind w:left="1974" w:firstLine="720"/>
        <w:rPr>
          <w:rFonts w:ascii="Arial" w:eastAsia="Times New Roman" w:hAnsi="Arial"/>
          <w:bCs/>
          <w:strike/>
          <w:color w:val="000000" w:themeColor="text1"/>
          <w:sz w:val="18"/>
          <w:szCs w:val="18"/>
          <w:lang w:val="en-GB"/>
        </w:rPr>
      </w:pPr>
    </w:p>
    <w:p w14:paraId="42AF8879" w14:textId="70859689" w:rsidR="00C6286A" w:rsidRPr="004526DB" w:rsidRDefault="00C6286A" w:rsidP="0088389E">
      <w:pPr>
        <w:spacing w:after="0" w:line="240" w:lineRule="auto"/>
        <w:ind w:left="1974" w:firstLine="720"/>
        <w:rPr>
          <w:rFonts w:ascii="Arial" w:hAnsi="Arial"/>
          <w:bCs/>
          <w:color w:val="000000" w:themeColor="text1"/>
          <w:sz w:val="18"/>
          <w:szCs w:val="18"/>
          <w:lang w:val="en-GB"/>
        </w:rPr>
      </w:pPr>
      <w:r w:rsidRPr="004526DB">
        <w:rPr>
          <w:rFonts w:ascii="Arial" w:eastAsia="Times New Roman" w:hAnsi="Arial"/>
          <w:bCs/>
          <w:color w:val="000000" w:themeColor="text1"/>
          <w:sz w:val="18"/>
          <w:szCs w:val="18"/>
          <w:lang w:val="en-GB"/>
        </w:rPr>
        <w:t xml:space="preserve">ISBN        </w:t>
      </w:r>
      <w:r w:rsidR="004526DB" w:rsidRPr="004526DB">
        <w:rPr>
          <w:rFonts w:ascii="Arial" w:eastAsia="Times New Roman" w:hAnsi="Arial"/>
          <w:bCs/>
          <w:color w:val="000000" w:themeColor="text1"/>
          <w:sz w:val="18"/>
          <w:szCs w:val="18"/>
        </w:rPr>
        <w:t>978-1-991389-15-2</w:t>
      </w:r>
      <w:r w:rsidR="004526DB" w:rsidRPr="004526DB">
        <w:rPr>
          <w:rFonts w:ascii="Arial" w:eastAsia="Times New Roman" w:hAnsi="Arial"/>
          <w:bCs/>
          <w:color w:val="000000" w:themeColor="text1"/>
          <w:sz w:val="18"/>
          <w:szCs w:val="18"/>
          <w:lang w:val="en-GB" w:eastAsia="en-NZ"/>
        </w:rPr>
        <w:t xml:space="preserve"> </w:t>
      </w:r>
      <w:r w:rsidRPr="004526DB">
        <w:rPr>
          <w:rFonts w:ascii="Arial" w:eastAsia="Times New Roman" w:hAnsi="Arial"/>
          <w:bCs/>
          <w:color w:val="000000" w:themeColor="text1"/>
          <w:sz w:val="18"/>
          <w:szCs w:val="18"/>
          <w:lang w:val="en-GB" w:eastAsia="en-NZ"/>
        </w:rPr>
        <w:t>(Online)</w:t>
      </w:r>
    </w:p>
    <w:bookmarkEnd w:id="0"/>
    <w:p w14:paraId="3728E3BB" w14:textId="77777777" w:rsidR="00D95056" w:rsidRDefault="00D95056">
      <w:pPr>
        <w:spacing w:after="0" w:line="240" w:lineRule="auto"/>
        <w:rPr>
          <w:rFonts w:ascii="Arial" w:hAnsi="Arial"/>
          <w:b/>
          <w:color w:val="FF0000"/>
          <w:szCs w:val="20"/>
          <w:highlight w:val="cyan"/>
        </w:rPr>
      </w:pPr>
      <w:r>
        <w:rPr>
          <w:rFonts w:ascii="Arial" w:hAnsi="Arial"/>
          <w:b/>
          <w:color w:val="FF0000"/>
          <w:szCs w:val="20"/>
          <w:highlight w:val="cyan"/>
        </w:rPr>
        <w:br w:type="page"/>
      </w:r>
    </w:p>
    <w:p w14:paraId="32C74F6D" w14:textId="2A089024" w:rsidR="00980ECF" w:rsidRPr="007110B7" w:rsidRDefault="00980ECF" w:rsidP="007110B7">
      <w:pPr>
        <w:spacing w:line="240" w:lineRule="auto"/>
        <w:rPr>
          <w:rFonts w:ascii="Arial" w:eastAsia="Times New Roman" w:hAnsi="Arial"/>
          <w:b/>
          <w:color w:val="0D0D0D" w:themeColor="text1" w:themeTint="F2"/>
          <w:sz w:val="22"/>
          <w:szCs w:val="24"/>
          <w:lang w:val="en-GB"/>
        </w:rPr>
      </w:pPr>
      <w:r w:rsidRPr="007110B7">
        <w:rPr>
          <w:rFonts w:ascii="Arial" w:eastAsia="Times New Roman" w:hAnsi="Arial"/>
          <w:b/>
          <w:color w:val="0D0D0D" w:themeColor="text1" w:themeTint="F2"/>
          <w:sz w:val="22"/>
          <w:szCs w:val="24"/>
          <w:lang w:val="en-GB"/>
        </w:rPr>
        <w:lastRenderedPageBreak/>
        <w:t>Changes since last report</w:t>
      </w:r>
    </w:p>
    <w:p w14:paraId="1477FF93" w14:textId="4EAEE32C" w:rsidR="004D4B63" w:rsidRPr="007110B7" w:rsidRDefault="004D4B63" w:rsidP="007110B7">
      <w:pPr>
        <w:pStyle w:val="ListParagraph"/>
        <w:numPr>
          <w:ilvl w:val="0"/>
          <w:numId w:val="29"/>
        </w:numPr>
        <w:spacing w:after="60" w:line="240" w:lineRule="auto"/>
        <w:ind w:left="714" w:hanging="357"/>
        <w:contextualSpacing w:val="0"/>
        <w:jc w:val="both"/>
        <w:rPr>
          <w:rFonts w:ascii="Arial" w:eastAsia="Times New Roman" w:hAnsi="Arial"/>
          <w:color w:val="0D0D0D" w:themeColor="text1" w:themeTint="F2"/>
          <w:szCs w:val="20"/>
          <w:lang w:val="en-GB"/>
        </w:rPr>
      </w:pPr>
      <w:r w:rsidRPr="007110B7">
        <w:rPr>
          <w:rFonts w:ascii="Arial" w:eastAsia="Times New Roman" w:hAnsi="Arial"/>
          <w:color w:val="0D0D0D" w:themeColor="text1" w:themeTint="F2"/>
          <w:szCs w:val="20"/>
          <w:lang w:val="en-GB"/>
        </w:rPr>
        <w:t xml:space="preserve">Updated with analysis </w:t>
      </w:r>
      <w:r w:rsidR="007110B7" w:rsidRPr="007110B7">
        <w:rPr>
          <w:rFonts w:ascii="Arial" w:eastAsia="Times New Roman" w:hAnsi="Arial"/>
          <w:color w:val="0D0D0D" w:themeColor="text1" w:themeTint="F2"/>
          <w:szCs w:val="20"/>
          <w:lang w:val="en-GB"/>
        </w:rPr>
        <w:t>based on</w:t>
      </w:r>
      <w:r w:rsidRPr="007110B7">
        <w:rPr>
          <w:rFonts w:ascii="Arial" w:eastAsia="Times New Roman" w:hAnsi="Arial"/>
          <w:color w:val="0D0D0D" w:themeColor="text1" w:themeTint="F2"/>
          <w:szCs w:val="20"/>
          <w:lang w:val="en-GB"/>
        </w:rPr>
        <w:t xml:space="preserve"> </w:t>
      </w:r>
      <w:r w:rsidR="00844BCB" w:rsidRPr="007110B7">
        <w:rPr>
          <w:rFonts w:ascii="Arial" w:eastAsia="Times New Roman" w:hAnsi="Arial"/>
          <w:color w:val="0D0D0D" w:themeColor="text1" w:themeTint="F2"/>
          <w:szCs w:val="20"/>
          <w:lang w:val="en-GB"/>
        </w:rPr>
        <w:t>2024-25 HILS</w:t>
      </w:r>
      <w:r w:rsidRPr="007110B7">
        <w:rPr>
          <w:rFonts w:ascii="Arial" w:eastAsia="Times New Roman" w:hAnsi="Arial"/>
          <w:color w:val="0D0D0D" w:themeColor="text1" w:themeTint="F2"/>
          <w:szCs w:val="20"/>
          <w:lang w:val="en-GB"/>
        </w:rPr>
        <w:t xml:space="preserve"> data.</w:t>
      </w:r>
    </w:p>
    <w:p w14:paraId="791212B8" w14:textId="5F97752A" w:rsidR="0086700E" w:rsidRPr="007110B7" w:rsidRDefault="007110B7" w:rsidP="007110B7">
      <w:pPr>
        <w:pStyle w:val="ListParagraph"/>
        <w:numPr>
          <w:ilvl w:val="0"/>
          <w:numId w:val="29"/>
        </w:numPr>
        <w:spacing w:after="60" w:line="240" w:lineRule="auto"/>
        <w:ind w:left="714" w:hanging="357"/>
        <w:contextualSpacing w:val="0"/>
        <w:jc w:val="both"/>
        <w:rPr>
          <w:rFonts w:ascii="Arial" w:eastAsia="Times New Roman" w:hAnsi="Arial"/>
          <w:color w:val="0D0D0D" w:themeColor="text1" w:themeTint="F2"/>
          <w:szCs w:val="20"/>
          <w:lang w:val="en-GB"/>
        </w:rPr>
      </w:pPr>
      <w:r w:rsidRPr="007110B7">
        <w:rPr>
          <w:rFonts w:ascii="Arial" w:eastAsia="Times New Roman" w:hAnsi="Arial"/>
          <w:color w:val="0D0D0D" w:themeColor="text1" w:themeTint="F2"/>
          <w:szCs w:val="20"/>
          <w:lang w:val="en-GB"/>
        </w:rPr>
        <w:t>More detail on “what life’s like for children in households in material hardship compared with the vast majority”.</w:t>
      </w:r>
    </w:p>
    <w:p w14:paraId="6E2ADFD8" w14:textId="345481A9" w:rsidR="007110B7" w:rsidRPr="007110B7" w:rsidRDefault="007110B7" w:rsidP="007110B7">
      <w:pPr>
        <w:pStyle w:val="ListParagraph"/>
        <w:numPr>
          <w:ilvl w:val="0"/>
          <w:numId w:val="29"/>
        </w:numPr>
        <w:spacing w:after="60" w:line="240" w:lineRule="auto"/>
        <w:ind w:left="714" w:hanging="357"/>
        <w:contextualSpacing w:val="0"/>
        <w:jc w:val="both"/>
        <w:rPr>
          <w:rFonts w:ascii="Arial" w:eastAsia="Times New Roman" w:hAnsi="Arial"/>
          <w:color w:val="0D0D0D" w:themeColor="text1" w:themeTint="F2"/>
          <w:szCs w:val="20"/>
          <w:lang w:val="en-GB"/>
        </w:rPr>
      </w:pPr>
      <w:r w:rsidRPr="007110B7">
        <w:rPr>
          <w:rFonts w:ascii="Arial" w:eastAsia="Times New Roman" w:hAnsi="Arial"/>
          <w:color w:val="0D0D0D" w:themeColor="text1" w:themeTint="F2"/>
          <w:szCs w:val="20"/>
          <w:lang w:val="en-GB"/>
        </w:rPr>
        <w:t xml:space="preserve">Trends in real </w:t>
      </w:r>
      <w:r>
        <w:rPr>
          <w:rFonts w:ascii="Arial" w:eastAsia="Times New Roman" w:hAnsi="Arial"/>
          <w:color w:val="0D0D0D" w:themeColor="text1" w:themeTint="F2"/>
          <w:szCs w:val="20"/>
          <w:lang w:val="en-GB"/>
        </w:rPr>
        <w:t xml:space="preserve">CPI-adjusted </w:t>
      </w:r>
      <w:r w:rsidRPr="007110B7">
        <w:rPr>
          <w:rFonts w:ascii="Arial" w:eastAsia="Times New Roman" w:hAnsi="Arial"/>
          <w:color w:val="0D0D0D" w:themeColor="text1" w:themeTint="F2"/>
          <w:szCs w:val="20"/>
          <w:lang w:val="en-GB"/>
        </w:rPr>
        <w:t xml:space="preserve">household incomes compared with </w:t>
      </w:r>
      <w:r>
        <w:rPr>
          <w:rFonts w:ascii="Arial" w:eastAsia="Times New Roman" w:hAnsi="Arial"/>
          <w:color w:val="0D0D0D" w:themeColor="text1" w:themeTint="F2"/>
          <w:szCs w:val="20"/>
          <w:lang w:val="en-GB"/>
        </w:rPr>
        <w:t xml:space="preserve">those for </w:t>
      </w:r>
      <w:r w:rsidRPr="007110B7">
        <w:rPr>
          <w:rFonts w:ascii="Arial" w:eastAsia="Times New Roman" w:hAnsi="Arial"/>
          <w:color w:val="0D0D0D" w:themeColor="text1" w:themeTint="F2"/>
          <w:szCs w:val="20"/>
          <w:lang w:val="en-GB"/>
        </w:rPr>
        <w:t>nominal</w:t>
      </w:r>
      <w:r>
        <w:rPr>
          <w:rFonts w:ascii="Arial" w:eastAsia="Times New Roman" w:hAnsi="Arial"/>
          <w:color w:val="0D0D0D" w:themeColor="text1" w:themeTint="F2"/>
          <w:szCs w:val="20"/>
          <w:lang w:val="en-GB"/>
        </w:rPr>
        <w:t xml:space="preserve"> incomes</w:t>
      </w:r>
    </w:p>
    <w:p w14:paraId="736A17C4" w14:textId="513EB822" w:rsidR="007110B7" w:rsidRPr="007110B7" w:rsidRDefault="007110B7" w:rsidP="007110B7">
      <w:pPr>
        <w:pStyle w:val="ListParagraph"/>
        <w:numPr>
          <w:ilvl w:val="0"/>
          <w:numId w:val="29"/>
        </w:numPr>
        <w:spacing w:after="60" w:line="240" w:lineRule="auto"/>
        <w:ind w:left="714" w:hanging="357"/>
        <w:contextualSpacing w:val="0"/>
        <w:jc w:val="both"/>
        <w:rPr>
          <w:rFonts w:ascii="Arial" w:eastAsia="Times New Roman" w:hAnsi="Arial"/>
          <w:color w:val="0D0D0D" w:themeColor="text1" w:themeTint="F2"/>
          <w:szCs w:val="20"/>
          <w:lang w:val="en-GB"/>
        </w:rPr>
      </w:pPr>
      <w:r w:rsidRPr="007110B7">
        <w:rPr>
          <w:rFonts w:ascii="Arial" w:eastAsia="Times New Roman" w:hAnsi="Arial"/>
          <w:color w:val="0D0D0D" w:themeColor="text1" w:themeTint="F2"/>
          <w:szCs w:val="20"/>
          <w:lang w:val="en-GB"/>
        </w:rPr>
        <w:t>Reporting on the impact of the level of liquid assets and stock of consumer durables on material wellbeing for households with similar incomes.</w:t>
      </w:r>
    </w:p>
    <w:p w14:paraId="50944413" w14:textId="77777777" w:rsidR="0086700E" w:rsidRPr="007110B7" w:rsidRDefault="0086700E" w:rsidP="00980ECF">
      <w:pPr>
        <w:spacing w:after="0" w:line="240" w:lineRule="auto"/>
        <w:jc w:val="both"/>
        <w:rPr>
          <w:rFonts w:ascii="Arial" w:eastAsia="Times New Roman" w:hAnsi="Arial"/>
          <w:color w:val="0D0D0D" w:themeColor="text1" w:themeTint="F2"/>
          <w:szCs w:val="20"/>
          <w:lang w:val="en-GB"/>
        </w:rPr>
      </w:pPr>
    </w:p>
    <w:p w14:paraId="1DFB483A" w14:textId="77777777" w:rsidR="007110B7" w:rsidRPr="0086700E" w:rsidRDefault="007110B7" w:rsidP="00980ECF">
      <w:pPr>
        <w:spacing w:after="0" w:line="240" w:lineRule="auto"/>
        <w:jc w:val="both"/>
        <w:rPr>
          <w:rFonts w:ascii="Arial" w:eastAsia="Times New Roman" w:hAnsi="Arial"/>
          <w:color w:val="0000FF"/>
          <w:szCs w:val="20"/>
          <w:lang w:val="en-GB"/>
        </w:rPr>
      </w:pPr>
    </w:p>
    <w:p w14:paraId="3C1CFE03" w14:textId="77777777" w:rsidR="00980ECF" w:rsidRPr="00980ECF" w:rsidRDefault="00980ECF" w:rsidP="00980ECF">
      <w:pPr>
        <w:spacing w:after="0" w:line="240" w:lineRule="auto"/>
        <w:rPr>
          <w:rFonts w:ascii="Arial" w:eastAsia="Times New Roman" w:hAnsi="Arial"/>
          <w:sz w:val="18"/>
          <w:szCs w:val="32"/>
          <w:lang w:val="en-GB"/>
        </w:rPr>
      </w:pPr>
    </w:p>
    <w:p w14:paraId="3F498584" w14:textId="79B9B3C9" w:rsidR="00980ECF" w:rsidRPr="00DA7D5C" w:rsidRDefault="00980ECF" w:rsidP="00980ECF">
      <w:pPr>
        <w:spacing w:after="0" w:line="240" w:lineRule="auto"/>
        <w:jc w:val="both"/>
        <w:rPr>
          <w:rFonts w:ascii="Arial" w:eastAsia="Times New Roman" w:hAnsi="Arial"/>
          <w:b/>
          <w:color w:val="000000" w:themeColor="text1"/>
          <w:sz w:val="22"/>
          <w:szCs w:val="24"/>
          <w:lang w:val="en-GB"/>
        </w:rPr>
      </w:pPr>
      <w:r w:rsidRPr="00DA7D5C">
        <w:rPr>
          <w:rFonts w:ascii="Arial" w:eastAsia="Times New Roman" w:hAnsi="Arial"/>
          <w:b/>
          <w:color w:val="000000" w:themeColor="text1"/>
          <w:sz w:val="22"/>
          <w:szCs w:val="24"/>
          <w:lang w:val="en-GB"/>
        </w:rPr>
        <w:t>Next report</w:t>
      </w:r>
    </w:p>
    <w:p w14:paraId="0293FD49" w14:textId="77777777" w:rsidR="00980ECF" w:rsidRPr="00DA7D5C" w:rsidRDefault="00980ECF" w:rsidP="00980ECF">
      <w:pPr>
        <w:spacing w:after="0" w:line="240" w:lineRule="auto"/>
        <w:jc w:val="both"/>
        <w:rPr>
          <w:rFonts w:ascii="Arial" w:eastAsia="Times New Roman" w:hAnsi="Arial"/>
          <w:color w:val="000000" w:themeColor="text1"/>
          <w:lang w:val="en-GB"/>
        </w:rPr>
      </w:pPr>
    </w:p>
    <w:p w14:paraId="02689551" w14:textId="4FC1950C" w:rsidR="00980ECF" w:rsidRPr="008805B3" w:rsidRDefault="00980ECF">
      <w:pPr>
        <w:numPr>
          <w:ilvl w:val="0"/>
          <w:numId w:val="21"/>
        </w:numPr>
        <w:tabs>
          <w:tab w:val="num" w:pos="450"/>
        </w:tabs>
        <w:spacing w:after="0" w:line="240" w:lineRule="auto"/>
        <w:ind w:left="450" w:hanging="270"/>
        <w:jc w:val="both"/>
        <w:rPr>
          <w:rFonts w:ascii="Arial" w:eastAsia="Times New Roman" w:hAnsi="Arial"/>
          <w:color w:val="000000" w:themeColor="text1"/>
          <w:lang w:val="en-GB"/>
        </w:rPr>
      </w:pPr>
      <w:r w:rsidRPr="008805B3">
        <w:rPr>
          <w:rFonts w:ascii="Arial" w:eastAsia="Times New Roman" w:hAnsi="Arial"/>
          <w:color w:val="000000" w:themeColor="text1"/>
          <w:lang w:val="en-GB"/>
        </w:rPr>
        <w:t xml:space="preserve">The next report is scheduled for </w:t>
      </w:r>
      <w:r w:rsidR="00D60474" w:rsidRPr="008805B3">
        <w:rPr>
          <w:rFonts w:ascii="Arial" w:eastAsia="Times New Roman" w:hAnsi="Arial"/>
          <w:color w:val="000000" w:themeColor="text1"/>
          <w:lang w:val="en-GB"/>
        </w:rPr>
        <w:t xml:space="preserve">the </w:t>
      </w:r>
      <w:r w:rsidR="000C2694" w:rsidRPr="008805B3">
        <w:rPr>
          <w:rFonts w:ascii="Arial" w:eastAsia="Times New Roman" w:hAnsi="Arial"/>
          <w:color w:val="000000" w:themeColor="text1"/>
          <w:lang w:val="en-GB"/>
        </w:rPr>
        <w:t>second</w:t>
      </w:r>
      <w:r w:rsidR="00D60474" w:rsidRPr="008805B3">
        <w:rPr>
          <w:rFonts w:ascii="Arial" w:eastAsia="Times New Roman" w:hAnsi="Arial"/>
          <w:color w:val="000000" w:themeColor="text1"/>
          <w:lang w:val="en-GB"/>
        </w:rPr>
        <w:t xml:space="preserve"> quarter of</w:t>
      </w:r>
      <w:r w:rsidR="00A40996" w:rsidRPr="008805B3">
        <w:rPr>
          <w:rFonts w:ascii="Arial" w:eastAsia="Times New Roman" w:hAnsi="Arial"/>
          <w:color w:val="000000" w:themeColor="text1"/>
          <w:lang w:val="en-GB"/>
        </w:rPr>
        <w:t xml:space="preserve"> </w:t>
      </w:r>
      <w:r w:rsidRPr="008805B3">
        <w:rPr>
          <w:rFonts w:ascii="Arial" w:eastAsia="Times New Roman" w:hAnsi="Arial"/>
          <w:color w:val="000000" w:themeColor="text1"/>
          <w:lang w:val="en-GB"/>
        </w:rPr>
        <w:t>202</w:t>
      </w:r>
      <w:r w:rsidR="00844BCB" w:rsidRPr="008805B3">
        <w:rPr>
          <w:rFonts w:ascii="Arial" w:eastAsia="Times New Roman" w:hAnsi="Arial"/>
          <w:color w:val="000000" w:themeColor="text1"/>
          <w:lang w:val="en-GB"/>
        </w:rPr>
        <w:t>7</w:t>
      </w:r>
      <w:r w:rsidRPr="008805B3">
        <w:rPr>
          <w:rFonts w:ascii="Arial" w:eastAsia="Times New Roman" w:hAnsi="Arial"/>
          <w:color w:val="000000" w:themeColor="text1"/>
          <w:lang w:val="en-GB"/>
        </w:rPr>
        <w:t xml:space="preserve">. The timing is dependent on when Stats NZ publish their Child Poverty Statistics </w:t>
      </w:r>
      <w:r w:rsidR="003D21E0" w:rsidRPr="008805B3">
        <w:rPr>
          <w:rFonts w:ascii="Arial" w:eastAsia="Times New Roman" w:hAnsi="Arial"/>
          <w:color w:val="000000" w:themeColor="text1"/>
          <w:lang w:val="en-GB"/>
        </w:rPr>
        <w:t>(likely to be February 202</w:t>
      </w:r>
      <w:r w:rsidR="00844BCB" w:rsidRPr="008805B3">
        <w:rPr>
          <w:rFonts w:ascii="Arial" w:eastAsia="Times New Roman" w:hAnsi="Arial"/>
          <w:color w:val="000000" w:themeColor="text1"/>
          <w:lang w:val="en-GB"/>
        </w:rPr>
        <w:t>7</w:t>
      </w:r>
      <w:r w:rsidR="003D21E0" w:rsidRPr="008805B3">
        <w:rPr>
          <w:rFonts w:ascii="Arial" w:eastAsia="Times New Roman" w:hAnsi="Arial"/>
          <w:color w:val="000000" w:themeColor="text1"/>
          <w:lang w:val="en-GB"/>
        </w:rPr>
        <w:t xml:space="preserve">), </w:t>
      </w:r>
      <w:r w:rsidRPr="008805B3">
        <w:rPr>
          <w:rFonts w:ascii="Arial" w:eastAsia="Times New Roman" w:hAnsi="Arial"/>
          <w:color w:val="000000" w:themeColor="text1"/>
          <w:lang w:val="en-GB"/>
        </w:rPr>
        <w:t>and on the timing of the availability of the H</w:t>
      </w:r>
      <w:r w:rsidR="00EA50B1" w:rsidRPr="008805B3">
        <w:rPr>
          <w:rFonts w:ascii="Arial" w:eastAsia="Times New Roman" w:hAnsi="Arial"/>
          <w:color w:val="000000" w:themeColor="text1"/>
          <w:lang w:val="en-GB"/>
        </w:rPr>
        <w:t>ILS</w:t>
      </w:r>
      <w:r w:rsidR="00DA7D5C" w:rsidRPr="008805B3">
        <w:rPr>
          <w:rFonts w:ascii="Arial" w:eastAsia="Times New Roman" w:hAnsi="Arial"/>
          <w:color w:val="000000" w:themeColor="text1"/>
          <w:lang w:val="en-GB"/>
        </w:rPr>
        <w:t xml:space="preserve"> 202</w:t>
      </w:r>
      <w:r w:rsidR="00844BCB" w:rsidRPr="008805B3">
        <w:rPr>
          <w:rFonts w:ascii="Arial" w:eastAsia="Times New Roman" w:hAnsi="Arial"/>
          <w:color w:val="000000" w:themeColor="text1"/>
          <w:lang w:val="en-GB"/>
        </w:rPr>
        <w:t>5</w:t>
      </w:r>
      <w:r w:rsidR="00DA7D5C" w:rsidRPr="008805B3">
        <w:rPr>
          <w:rFonts w:ascii="Arial" w:eastAsia="Times New Roman" w:hAnsi="Arial"/>
          <w:color w:val="000000" w:themeColor="text1"/>
          <w:lang w:val="en-GB"/>
        </w:rPr>
        <w:t>-2</w:t>
      </w:r>
      <w:r w:rsidR="00844BCB" w:rsidRPr="008805B3">
        <w:rPr>
          <w:rFonts w:ascii="Arial" w:eastAsia="Times New Roman" w:hAnsi="Arial"/>
          <w:color w:val="000000" w:themeColor="text1"/>
          <w:lang w:val="en-GB"/>
        </w:rPr>
        <w:t>6</w:t>
      </w:r>
      <w:r w:rsidRPr="008805B3">
        <w:rPr>
          <w:rFonts w:ascii="Arial" w:eastAsia="Times New Roman" w:hAnsi="Arial"/>
          <w:color w:val="000000" w:themeColor="text1"/>
          <w:lang w:val="en-GB"/>
        </w:rPr>
        <w:t xml:space="preserve"> data for MSD use.</w:t>
      </w:r>
    </w:p>
    <w:p w14:paraId="0134F5F6" w14:textId="77777777" w:rsidR="00980ECF" w:rsidRDefault="00980ECF" w:rsidP="00980ECF">
      <w:pPr>
        <w:spacing w:after="0" w:line="240" w:lineRule="auto"/>
        <w:jc w:val="both"/>
        <w:rPr>
          <w:rFonts w:ascii="Arial" w:eastAsia="Times New Roman" w:hAnsi="Arial"/>
          <w:lang w:val="en-GB"/>
        </w:rPr>
      </w:pPr>
    </w:p>
    <w:p w14:paraId="5FFCE8D2" w14:textId="77777777" w:rsidR="006E285B" w:rsidRPr="00980ECF" w:rsidRDefault="006E285B" w:rsidP="00980ECF">
      <w:pPr>
        <w:spacing w:after="0" w:line="240" w:lineRule="auto"/>
        <w:jc w:val="both"/>
        <w:rPr>
          <w:rFonts w:ascii="Arial" w:eastAsia="Times New Roman" w:hAnsi="Arial"/>
          <w:lang w:val="en-GB"/>
        </w:rPr>
      </w:pPr>
    </w:p>
    <w:p w14:paraId="67CC84F3" w14:textId="77777777" w:rsidR="00980ECF" w:rsidRPr="00DA7D5C" w:rsidRDefault="00980ECF" w:rsidP="00980ECF">
      <w:pPr>
        <w:spacing w:after="0" w:line="240" w:lineRule="auto"/>
        <w:jc w:val="center"/>
        <w:rPr>
          <w:rFonts w:ascii="Arial" w:eastAsia="Times New Roman" w:hAnsi="Arial" w:cs="Times New Roman"/>
          <w:color w:val="000000" w:themeColor="text1"/>
          <w:szCs w:val="20"/>
        </w:rPr>
      </w:pPr>
    </w:p>
    <w:p w14:paraId="2C154565" w14:textId="77777777" w:rsidR="00980ECF" w:rsidRPr="00DA7D5C" w:rsidRDefault="00980ECF" w:rsidP="00980ECF">
      <w:pPr>
        <w:spacing w:after="0" w:line="240" w:lineRule="auto"/>
        <w:jc w:val="both"/>
        <w:rPr>
          <w:rFonts w:ascii="Arial" w:eastAsia="Times New Roman" w:hAnsi="Arial"/>
          <w:b/>
          <w:color w:val="000000" w:themeColor="text1"/>
          <w:sz w:val="22"/>
          <w:szCs w:val="24"/>
          <w:lang w:val="en-GB"/>
        </w:rPr>
      </w:pPr>
      <w:r w:rsidRPr="00DA7D5C">
        <w:rPr>
          <w:rFonts w:ascii="Arial" w:eastAsia="Times New Roman" w:hAnsi="Arial"/>
          <w:b/>
          <w:color w:val="000000" w:themeColor="text1"/>
          <w:sz w:val="22"/>
          <w:szCs w:val="24"/>
          <w:lang w:val="en-GB"/>
        </w:rPr>
        <w:t>Availability on MSD website</w:t>
      </w:r>
    </w:p>
    <w:p w14:paraId="47140729" w14:textId="77777777" w:rsidR="00980ECF" w:rsidRPr="00DA7D5C" w:rsidRDefault="00980ECF" w:rsidP="00980ECF">
      <w:pPr>
        <w:spacing w:after="0" w:line="240" w:lineRule="auto"/>
        <w:jc w:val="center"/>
        <w:rPr>
          <w:rFonts w:ascii="Arial" w:eastAsia="Times New Roman" w:hAnsi="Arial" w:cs="Times New Roman"/>
          <w:color w:val="000000" w:themeColor="text1"/>
          <w:szCs w:val="20"/>
        </w:rPr>
      </w:pPr>
    </w:p>
    <w:p w14:paraId="20C79C4D" w14:textId="77777777" w:rsidR="00160BF5" w:rsidRPr="006E168D" w:rsidRDefault="00160BF5" w:rsidP="00160BF5">
      <w:pPr>
        <w:numPr>
          <w:ilvl w:val="0"/>
          <w:numId w:val="21"/>
        </w:numPr>
        <w:tabs>
          <w:tab w:val="num" w:pos="450"/>
        </w:tabs>
        <w:spacing w:after="60" w:line="240" w:lineRule="auto"/>
        <w:ind w:left="453" w:hanging="272"/>
        <w:jc w:val="both"/>
        <w:rPr>
          <w:rFonts w:ascii="Arial" w:eastAsia="Times New Roman" w:hAnsi="Arial"/>
          <w:color w:val="000000" w:themeColor="text1"/>
          <w:lang w:val="en-GB"/>
        </w:rPr>
      </w:pPr>
      <w:r w:rsidRPr="006E168D">
        <w:rPr>
          <w:rFonts w:ascii="Arial" w:eastAsia="Times New Roman" w:hAnsi="Arial"/>
          <w:color w:val="000000" w:themeColor="text1"/>
          <w:lang w:val="en-GB"/>
        </w:rPr>
        <w:t>This report is available on the MSD website:</w:t>
      </w:r>
    </w:p>
    <w:p w14:paraId="24C3EC99" w14:textId="77777777" w:rsidR="00160BF5" w:rsidRPr="006B687D" w:rsidRDefault="00160BF5" w:rsidP="00160BF5">
      <w:pPr>
        <w:spacing w:after="0" w:line="240" w:lineRule="auto"/>
        <w:ind w:left="453"/>
        <w:jc w:val="both"/>
        <w:rPr>
          <w:rFonts w:ascii="Arial" w:eastAsia="Times New Roman" w:hAnsi="Arial"/>
          <w:bCs/>
          <w:szCs w:val="20"/>
          <w:lang w:val="en-GB"/>
        </w:rPr>
      </w:pPr>
      <w:hyperlink r:id="rId8" w:history="1">
        <w:r w:rsidRPr="007732C6">
          <w:rPr>
            <w:rStyle w:val="Hyperlink"/>
            <w:rFonts w:ascii="Arial" w:eastAsia="Times New Roman" w:hAnsi="Arial"/>
            <w:bCs/>
            <w:szCs w:val="20"/>
            <w:lang w:val="en-GB"/>
          </w:rPr>
          <w:t>https://www.msd.govt.nz/about-msd-and-our-work/publications-resources/research/child-poverty-in-nz/index.html</w:t>
        </w:r>
      </w:hyperlink>
      <w:r w:rsidRPr="006B687D">
        <w:rPr>
          <w:rFonts w:ascii="Arial" w:eastAsia="Times New Roman" w:hAnsi="Arial"/>
          <w:bCs/>
          <w:szCs w:val="20"/>
          <w:lang w:val="en-GB"/>
        </w:rPr>
        <w:t xml:space="preserve"> </w:t>
      </w:r>
    </w:p>
    <w:p w14:paraId="72E0A0D1" w14:textId="77777777" w:rsidR="00D16F82" w:rsidRDefault="00D16F82" w:rsidP="00980ECF">
      <w:pPr>
        <w:spacing w:after="0" w:line="240" w:lineRule="auto"/>
        <w:jc w:val="both"/>
        <w:rPr>
          <w:rFonts w:ascii="Arial" w:eastAsia="Times New Roman" w:hAnsi="Arial"/>
          <w:b/>
          <w:sz w:val="22"/>
          <w:szCs w:val="24"/>
          <w:lang w:val="en-GB"/>
        </w:rPr>
      </w:pPr>
    </w:p>
    <w:p w14:paraId="3B207670" w14:textId="77777777" w:rsidR="006E285B" w:rsidRDefault="006E285B" w:rsidP="00980ECF">
      <w:pPr>
        <w:spacing w:after="0" w:line="240" w:lineRule="auto"/>
        <w:jc w:val="both"/>
        <w:rPr>
          <w:rFonts w:ascii="Arial" w:eastAsia="Times New Roman" w:hAnsi="Arial"/>
          <w:b/>
          <w:sz w:val="22"/>
          <w:szCs w:val="24"/>
          <w:lang w:val="en-GB"/>
        </w:rPr>
      </w:pPr>
    </w:p>
    <w:p w14:paraId="155824DE" w14:textId="403701F0" w:rsidR="00980ECF" w:rsidRPr="006C3B46" w:rsidRDefault="00980ECF" w:rsidP="00980ECF">
      <w:pPr>
        <w:spacing w:after="0" w:line="240" w:lineRule="auto"/>
        <w:jc w:val="both"/>
        <w:rPr>
          <w:rFonts w:ascii="Arial" w:eastAsia="Times New Roman" w:hAnsi="Arial"/>
          <w:b/>
          <w:color w:val="000000" w:themeColor="text1"/>
          <w:sz w:val="22"/>
          <w:szCs w:val="24"/>
          <w:lang w:val="en-GB"/>
        </w:rPr>
      </w:pPr>
      <w:r w:rsidRPr="00980ECF">
        <w:rPr>
          <w:rFonts w:ascii="Arial" w:eastAsia="Times New Roman" w:hAnsi="Arial"/>
          <w:b/>
          <w:sz w:val="22"/>
          <w:szCs w:val="24"/>
          <w:lang w:val="en-GB"/>
        </w:rPr>
        <w:t xml:space="preserve">Updates since </w:t>
      </w:r>
      <w:r w:rsidRPr="006C3B46">
        <w:rPr>
          <w:rFonts w:ascii="Arial" w:eastAsia="Times New Roman" w:hAnsi="Arial"/>
          <w:b/>
          <w:color w:val="000000" w:themeColor="text1"/>
          <w:sz w:val="22"/>
          <w:szCs w:val="24"/>
          <w:lang w:val="en-GB"/>
        </w:rPr>
        <w:t xml:space="preserve">publication on </w:t>
      </w:r>
      <w:r w:rsidR="006C3B46" w:rsidRPr="006C3B46">
        <w:rPr>
          <w:rFonts w:ascii="Arial" w:eastAsia="Times New Roman" w:hAnsi="Arial"/>
          <w:b/>
          <w:color w:val="000000" w:themeColor="text1"/>
          <w:sz w:val="22"/>
          <w:szCs w:val="24"/>
          <w:lang w:val="en-GB"/>
        </w:rPr>
        <w:t xml:space="preserve">23 </w:t>
      </w:r>
      <w:r w:rsidR="009A3F93" w:rsidRPr="006C3B46">
        <w:rPr>
          <w:rFonts w:ascii="Arial" w:eastAsia="Times New Roman" w:hAnsi="Arial"/>
          <w:b/>
          <w:color w:val="000000" w:themeColor="text1"/>
          <w:sz w:val="22"/>
          <w:szCs w:val="24"/>
          <w:lang w:val="en-GB"/>
        </w:rPr>
        <w:t>July</w:t>
      </w:r>
      <w:r w:rsidR="00844BCB" w:rsidRPr="006C3B46">
        <w:rPr>
          <w:rFonts w:ascii="Arial" w:eastAsia="Times New Roman" w:hAnsi="Arial"/>
          <w:b/>
          <w:color w:val="000000" w:themeColor="text1"/>
          <w:sz w:val="22"/>
          <w:szCs w:val="24"/>
          <w:lang w:val="en-GB"/>
        </w:rPr>
        <w:t xml:space="preserve"> 2026</w:t>
      </w:r>
    </w:p>
    <w:p w14:paraId="718B0D65" w14:textId="77777777" w:rsidR="00980ECF" w:rsidRPr="00980ECF" w:rsidRDefault="00980ECF" w:rsidP="00980ECF">
      <w:pPr>
        <w:spacing w:after="0" w:line="240" w:lineRule="auto"/>
        <w:ind w:left="900" w:hanging="450"/>
        <w:jc w:val="both"/>
        <w:rPr>
          <w:rFonts w:ascii="Arial" w:eastAsia="Times New Roman" w:hAnsi="Arial" w:cs="Times New Roman"/>
          <w:sz w:val="16"/>
          <w:szCs w:val="18"/>
        </w:rPr>
      </w:pPr>
    </w:p>
    <w:p w14:paraId="03AFB6C1" w14:textId="778F9C0D" w:rsidR="00B01250" w:rsidRPr="006C3B46" w:rsidRDefault="00C37597">
      <w:pPr>
        <w:pStyle w:val="ListParagraph"/>
        <w:numPr>
          <w:ilvl w:val="0"/>
          <w:numId w:val="24"/>
        </w:numPr>
        <w:spacing w:after="0" w:line="240" w:lineRule="auto"/>
        <w:jc w:val="both"/>
        <w:rPr>
          <w:rFonts w:ascii="Arial" w:eastAsia="Times New Roman" w:hAnsi="Arial" w:cs="Times New Roman"/>
          <w:color w:val="000000" w:themeColor="text1"/>
          <w:szCs w:val="20"/>
        </w:rPr>
      </w:pPr>
      <w:r w:rsidRPr="006C3B46">
        <w:rPr>
          <w:rFonts w:ascii="Arial" w:eastAsia="Times New Roman" w:hAnsi="Arial" w:cs="Times New Roman"/>
          <w:color w:val="000000" w:themeColor="text1"/>
          <w:szCs w:val="20"/>
        </w:rPr>
        <w:t>Nil</w:t>
      </w:r>
    </w:p>
    <w:p w14:paraId="5AA1D925" w14:textId="0E14442D" w:rsidR="008B1286" w:rsidRDefault="008B1286" w:rsidP="00980ECF">
      <w:pPr>
        <w:spacing w:after="0" w:line="240" w:lineRule="auto"/>
        <w:jc w:val="both"/>
        <w:rPr>
          <w:rFonts w:ascii="Arial" w:eastAsia="Times New Roman" w:hAnsi="Arial" w:cs="Times New Roman"/>
          <w:szCs w:val="20"/>
        </w:rPr>
      </w:pPr>
    </w:p>
    <w:p w14:paraId="5BC32D49" w14:textId="69AD2BD3" w:rsidR="008B1286" w:rsidRPr="008B1286" w:rsidRDefault="008B1286" w:rsidP="00980ECF">
      <w:pPr>
        <w:spacing w:after="0" w:line="240" w:lineRule="auto"/>
        <w:jc w:val="both"/>
        <w:rPr>
          <w:rFonts w:ascii="Arial" w:eastAsia="Times New Roman" w:hAnsi="Arial" w:cs="Times New Roman"/>
          <w:szCs w:val="20"/>
          <w:highlight w:val="yellow"/>
        </w:rPr>
      </w:pPr>
    </w:p>
    <w:p w14:paraId="7EE041D6" w14:textId="7C4AA1C1" w:rsidR="008B1286" w:rsidRPr="008B1286" w:rsidRDefault="008B1286" w:rsidP="00980ECF">
      <w:pPr>
        <w:spacing w:after="0" w:line="240" w:lineRule="auto"/>
        <w:jc w:val="both"/>
        <w:rPr>
          <w:rFonts w:ascii="Arial" w:eastAsia="Times New Roman" w:hAnsi="Arial" w:cs="Times New Roman"/>
          <w:szCs w:val="20"/>
          <w:highlight w:val="yellow"/>
        </w:rPr>
      </w:pPr>
    </w:p>
    <w:p w14:paraId="19F22422" w14:textId="0BE83544" w:rsidR="007D2A70" w:rsidRDefault="007D2A70" w:rsidP="00980ECF">
      <w:pPr>
        <w:spacing w:after="0" w:line="240" w:lineRule="auto"/>
        <w:jc w:val="both"/>
        <w:rPr>
          <w:rFonts w:ascii="Arial" w:eastAsia="Times New Roman" w:hAnsi="Arial"/>
          <w:szCs w:val="20"/>
        </w:rPr>
      </w:pPr>
    </w:p>
    <w:p w14:paraId="665036EF" w14:textId="2E5868BC" w:rsidR="00D94475" w:rsidRDefault="00D94475" w:rsidP="00980ECF">
      <w:pPr>
        <w:spacing w:after="0" w:line="240" w:lineRule="auto"/>
        <w:jc w:val="both"/>
        <w:rPr>
          <w:rFonts w:ascii="Arial" w:eastAsia="Times New Roman" w:hAnsi="Arial"/>
          <w:szCs w:val="20"/>
        </w:rPr>
      </w:pPr>
    </w:p>
    <w:p w14:paraId="10B6BC15" w14:textId="4D5A258E" w:rsidR="00D94475" w:rsidRDefault="00D94475" w:rsidP="00980ECF">
      <w:pPr>
        <w:spacing w:after="0" w:line="240" w:lineRule="auto"/>
        <w:jc w:val="both"/>
        <w:rPr>
          <w:rFonts w:ascii="Arial" w:eastAsia="Times New Roman" w:hAnsi="Arial"/>
          <w:szCs w:val="20"/>
        </w:rPr>
      </w:pPr>
    </w:p>
    <w:p w14:paraId="165F8DB5" w14:textId="6ACC196A" w:rsidR="00D94475" w:rsidRDefault="00D94475" w:rsidP="00980ECF">
      <w:pPr>
        <w:spacing w:after="0" w:line="240" w:lineRule="auto"/>
        <w:jc w:val="both"/>
        <w:rPr>
          <w:rFonts w:ascii="Arial" w:eastAsia="Times New Roman" w:hAnsi="Arial"/>
          <w:szCs w:val="20"/>
        </w:rPr>
      </w:pPr>
    </w:p>
    <w:p w14:paraId="32F7EE58" w14:textId="6C7F831A" w:rsidR="00D94475" w:rsidRDefault="00D94475" w:rsidP="00980ECF">
      <w:pPr>
        <w:spacing w:after="0" w:line="240" w:lineRule="auto"/>
        <w:jc w:val="both"/>
        <w:rPr>
          <w:rFonts w:ascii="Arial" w:eastAsia="Times New Roman" w:hAnsi="Arial"/>
          <w:szCs w:val="20"/>
        </w:rPr>
      </w:pPr>
    </w:p>
    <w:p w14:paraId="72D5742E" w14:textId="01D6ECBF" w:rsidR="00D94475" w:rsidRDefault="00D94475" w:rsidP="00980ECF">
      <w:pPr>
        <w:spacing w:after="0" w:line="240" w:lineRule="auto"/>
        <w:jc w:val="both"/>
        <w:rPr>
          <w:rFonts w:ascii="Arial" w:eastAsia="Times New Roman" w:hAnsi="Arial"/>
          <w:szCs w:val="20"/>
        </w:rPr>
      </w:pPr>
    </w:p>
    <w:p w14:paraId="2D44FB62" w14:textId="4A6CA795" w:rsidR="00D94475" w:rsidRDefault="00D94475" w:rsidP="00980ECF">
      <w:pPr>
        <w:spacing w:after="0" w:line="240" w:lineRule="auto"/>
        <w:jc w:val="both"/>
        <w:rPr>
          <w:rFonts w:ascii="Arial" w:eastAsia="Times New Roman" w:hAnsi="Arial"/>
          <w:szCs w:val="20"/>
        </w:rPr>
      </w:pPr>
    </w:p>
    <w:p w14:paraId="40415F0C" w14:textId="26E82621" w:rsidR="003D21E0" w:rsidRDefault="003D21E0" w:rsidP="00980ECF">
      <w:pPr>
        <w:spacing w:after="0" w:line="240" w:lineRule="auto"/>
        <w:jc w:val="both"/>
        <w:rPr>
          <w:rFonts w:ascii="Arial" w:eastAsia="Times New Roman" w:hAnsi="Arial" w:cs="Times New Roman"/>
          <w:b/>
          <w:bCs/>
          <w:sz w:val="22"/>
          <w:szCs w:val="20"/>
          <w:lang w:val="en-GB"/>
        </w:rPr>
      </w:pPr>
    </w:p>
    <w:p w14:paraId="0A23BD33" w14:textId="77777777" w:rsidR="006970F7" w:rsidRDefault="006970F7" w:rsidP="00980ECF">
      <w:pPr>
        <w:spacing w:after="0" w:line="240" w:lineRule="auto"/>
        <w:jc w:val="both"/>
        <w:rPr>
          <w:rFonts w:ascii="Arial" w:eastAsia="Times New Roman" w:hAnsi="Arial" w:cs="Times New Roman"/>
          <w:b/>
          <w:bCs/>
          <w:sz w:val="22"/>
          <w:szCs w:val="20"/>
          <w:lang w:val="en-GB"/>
        </w:rPr>
      </w:pPr>
    </w:p>
    <w:p w14:paraId="1C086596" w14:textId="77777777" w:rsidR="006970F7" w:rsidRDefault="006970F7" w:rsidP="00980ECF">
      <w:pPr>
        <w:spacing w:after="0" w:line="240" w:lineRule="auto"/>
        <w:jc w:val="both"/>
        <w:rPr>
          <w:rFonts w:ascii="Arial" w:eastAsia="Times New Roman" w:hAnsi="Arial" w:cs="Times New Roman"/>
          <w:b/>
          <w:bCs/>
          <w:sz w:val="22"/>
          <w:szCs w:val="20"/>
          <w:lang w:val="en-GB"/>
        </w:rPr>
      </w:pPr>
    </w:p>
    <w:p w14:paraId="69032ABD" w14:textId="77777777" w:rsidR="006970F7" w:rsidRDefault="006970F7" w:rsidP="00980ECF">
      <w:pPr>
        <w:spacing w:after="0" w:line="240" w:lineRule="auto"/>
        <w:jc w:val="both"/>
        <w:rPr>
          <w:rFonts w:ascii="Arial" w:eastAsia="Times New Roman" w:hAnsi="Arial" w:cs="Times New Roman"/>
          <w:b/>
          <w:bCs/>
          <w:sz w:val="22"/>
          <w:szCs w:val="20"/>
          <w:lang w:val="en-GB"/>
        </w:rPr>
      </w:pPr>
    </w:p>
    <w:p w14:paraId="3F183E69" w14:textId="77777777" w:rsidR="00227FDA" w:rsidRDefault="00227FDA" w:rsidP="00980ECF">
      <w:pPr>
        <w:spacing w:after="0" w:line="240" w:lineRule="auto"/>
        <w:jc w:val="both"/>
        <w:rPr>
          <w:rFonts w:ascii="Arial" w:eastAsia="Times New Roman" w:hAnsi="Arial" w:cs="Times New Roman"/>
          <w:b/>
          <w:bCs/>
          <w:color w:val="000000" w:themeColor="text1"/>
          <w:sz w:val="22"/>
          <w:szCs w:val="20"/>
          <w:lang w:val="en-GB"/>
        </w:rPr>
      </w:pPr>
      <w:bookmarkStart w:id="2" w:name="_Hlk108776333"/>
    </w:p>
    <w:p w14:paraId="0B89A2A9" w14:textId="77777777" w:rsidR="00160BF5" w:rsidRDefault="00160BF5" w:rsidP="00980ECF">
      <w:pPr>
        <w:spacing w:after="0" w:line="240" w:lineRule="auto"/>
        <w:jc w:val="both"/>
        <w:rPr>
          <w:rFonts w:ascii="Arial" w:eastAsia="Times New Roman" w:hAnsi="Arial" w:cs="Times New Roman"/>
          <w:b/>
          <w:bCs/>
          <w:color w:val="000000" w:themeColor="text1"/>
          <w:sz w:val="22"/>
          <w:szCs w:val="20"/>
          <w:lang w:val="en-GB"/>
        </w:rPr>
      </w:pPr>
    </w:p>
    <w:p w14:paraId="3F1132D7" w14:textId="77777777" w:rsidR="00160BF5" w:rsidRDefault="00160BF5" w:rsidP="00980ECF">
      <w:pPr>
        <w:spacing w:after="0" w:line="240" w:lineRule="auto"/>
        <w:jc w:val="both"/>
        <w:rPr>
          <w:rFonts w:ascii="Arial" w:eastAsia="Times New Roman" w:hAnsi="Arial" w:cs="Times New Roman"/>
          <w:b/>
          <w:bCs/>
          <w:color w:val="000000" w:themeColor="text1"/>
          <w:sz w:val="22"/>
          <w:szCs w:val="20"/>
          <w:lang w:val="en-GB"/>
        </w:rPr>
      </w:pPr>
    </w:p>
    <w:p w14:paraId="67A9323B" w14:textId="77777777" w:rsidR="00EF534B" w:rsidRDefault="00EF534B" w:rsidP="00980ECF">
      <w:pPr>
        <w:spacing w:after="0" w:line="240" w:lineRule="auto"/>
        <w:jc w:val="both"/>
        <w:rPr>
          <w:rFonts w:ascii="Arial" w:eastAsia="Times New Roman" w:hAnsi="Arial" w:cs="Times New Roman"/>
          <w:b/>
          <w:bCs/>
          <w:color w:val="000000" w:themeColor="text1"/>
          <w:sz w:val="22"/>
          <w:szCs w:val="20"/>
          <w:lang w:val="en-GB"/>
        </w:rPr>
      </w:pPr>
    </w:p>
    <w:p w14:paraId="47654E11" w14:textId="77777777" w:rsidR="00EF534B" w:rsidRDefault="00EF534B" w:rsidP="00980ECF">
      <w:pPr>
        <w:spacing w:after="0" w:line="240" w:lineRule="auto"/>
        <w:jc w:val="both"/>
        <w:rPr>
          <w:rFonts w:ascii="Arial" w:eastAsia="Times New Roman" w:hAnsi="Arial" w:cs="Times New Roman"/>
          <w:b/>
          <w:bCs/>
          <w:color w:val="000000" w:themeColor="text1"/>
          <w:sz w:val="22"/>
          <w:szCs w:val="20"/>
          <w:lang w:val="en-GB"/>
        </w:rPr>
      </w:pPr>
    </w:p>
    <w:p w14:paraId="7C031FC9" w14:textId="507FD403" w:rsidR="00980ECF" w:rsidRPr="008805B3" w:rsidRDefault="00C57826" w:rsidP="00980ECF">
      <w:pPr>
        <w:spacing w:after="0" w:line="240" w:lineRule="auto"/>
        <w:jc w:val="both"/>
        <w:rPr>
          <w:rFonts w:ascii="Arial" w:eastAsia="Times New Roman" w:hAnsi="Arial" w:cs="Times New Roman"/>
          <w:b/>
          <w:bCs/>
          <w:color w:val="0D0D0D" w:themeColor="text1" w:themeTint="F2"/>
          <w:sz w:val="22"/>
          <w:szCs w:val="20"/>
        </w:rPr>
      </w:pPr>
      <w:r w:rsidRPr="008805B3">
        <w:rPr>
          <w:rFonts w:ascii="Arial" w:eastAsia="Times New Roman" w:hAnsi="Arial" w:cs="Times New Roman"/>
          <w:b/>
          <w:bCs/>
          <w:color w:val="0D0D0D" w:themeColor="text1" w:themeTint="F2"/>
          <w:sz w:val="22"/>
          <w:szCs w:val="20"/>
          <w:lang w:val="en-GB"/>
        </w:rPr>
        <w:t>Ac</w:t>
      </w:r>
      <w:r w:rsidR="00980ECF" w:rsidRPr="008805B3">
        <w:rPr>
          <w:rFonts w:ascii="Arial" w:eastAsia="Times New Roman" w:hAnsi="Arial" w:cs="Times New Roman"/>
          <w:b/>
          <w:bCs/>
          <w:color w:val="0D0D0D" w:themeColor="text1" w:themeTint="F2"/>
          <w:sz w:val="22"/>
          <w:szCs w:val="20"/>
          <w:lang w:val="en-GB"/>
        </w:rPr>
        <w:t>knowledgements</w:t>
      </w:r>
    </w:p>
    <w:p w14:paraId="1EE74CA5" w14:textId="77777777" w:rsidR="00980ECF" w:rsidRPr="00964C8C" w:rsidRDefault="00980ECF" w:rsidP="00980ECF">
      <w:pPr>
        <w:spacing w:after="0" w:line="240" w:lineRule="auto"/>
        <w:jc w:val="both"/>
        <w:rPr>
          <w:rFonts w:ascii="Arial" w:eastAsia="Times New Roman" w:hAnsi="Arial" w:cs="Times New Roman"/>
          <w:color w:val="0000FF"/>
          <w:szCs w:val="20"/>
          <w:lang w:val="en-GB"/>
        </w:rPr>
      </w:pPr>
    </w:p>
    <w:p w14:paraId="11D835E1" w14:textId="5EFD5CB2" w:rsidR="00160BF5" w:rsidRPr="00E915AC" w:rsidRDefault="00160BF5" w:rsidP="00160BF5">
      <w:pPr>
        <w:spacing w:after="0" w:line="240" w:lineRule="auto"/>
        <w:rPr>
          <w:rFonts w:ascii="Arial" w:hAnsi="Arial"/>
          <w:color w:val="000000" w:themeColor="text1"/>
          <w:szCs w:val="20"/>
        </w:rPr>
      </w:pPr>
      <w:bookmarkStart w:id="3" w:name="_Hlk58944312"/>
      <w:bookmarkEnd w:id="2"/>
      <w:r w:rsidRPr="00E915AC">
        <w:rPr>
          <w:rFonts w:ascii="Arial" w:hAnsi="Arial"/>
          <w:color w:val="000000" w:themeColor="text1"/>
          <w:szCs w:val="20"/>
          <w:lang w:val="en-GB"/>
        </w:rPr>
        <w:t>My thanks to all those who provided comments on earlier drafts, including MSD colleagues, staff from Stat</w:t>
      </w:r>
      <w:r>
        <w:rPr>
          <w:rFonts w:ascii="Arial" w:hAnsi="Arial"/>
          <w:color w:val="000000" w:themeColor="text1"/>
          <w:szCs w:val="20"/>
          <w:lang w:val="en-GB"/>
        </w:rPr>
        <w:t>i</w:t>
      </w:r>
      <w:r w:rsidRPr="00E915AC">
        <w:rPr>
          <w:rFonts w:ascii="Arial" w:hAnsi="Arial"/>
          <w:color w:val="000000" w:themeColor="text1"/>
          <w:szCs w:val="20"/>
          <w:lang w:val="en-GB"/>
        </w:rPr>
        <w:t>s</w:t>
      </w:r>
      <w:r>
        <w:rPr>
          <w:rFonts w:ascii="Arial" w:hAnsi="Arial"/>
          <w:color w:val="000000" w:themeColor="text1"/>
          <w:szCs w:val="20"/>
          <w:lang w:val="en-GB"/>
        </w:rPr>
        <w:t>tics</w:t>
      </w:r>
      <w:r w:rsidRPr="00E915AC">
        <w:rPr>
          <w:rFonts w:ascii="Arial" w:hAnsi="Arial"/>
          <w:color w:val="000000" w:themeColor="text1"/>
          <w:szCs w:val="20"/>
          <w:lang w:val="en-GB"/>
        </w:rPr>
        <w:t xml:space="preserve"> NZ, and others from NGOs. Their advice, questions, challenges and smoothing out of rough patches have added considerably to the report’s robustness, readability and relevance. My thanks especially to Caroline Hodge whose expert SAS coding, preparation of publication-ready tables, ability to succinctly synthesise results from complex investigations of the data, careful review of the full text and unwavering commitment to excellence have been crucial in the production of this report. Responsibility for all the analysis and interpretation in the report (including any errors or omissions) remains mine alone. </w:t>
      </w:r>
    </w:p>
    <w:p w14:paraId="0FD158D0" w14:textId="5CDC6E79" w:rsidR="002C3EA2" w:rsidRPr="00B14DAE" w:rsidRDefault="00227FDA" w:rsidP="00227FDA">
      <w:pPr>
        <w:spacing w:after="0" w:line="240" w:lineRule="auto"/>
        <w:rPr>
          <w:rFonts w:ascii="Arial" w:hAnsi="Arial"/>
          <w:b/>
          <w:bCs/>
          <w:color w:val="000000" w:themeColor="text1"/>
          <w:sz w:val="28"/>
          <w:szCs w:val="28"/>
        </w:rPr>
      </w:pPr>
      <w:r w:rsidRPr="00B14DAE">
        <w:rPr>
          <w:rFonts w:ascii="Arial" w:hAnsi="Arial"/>
          <w:b/>
          <w:bCs/>
          <w:color w:val="000000" w:themeColor="text1"/>
          <w:sz w:val="28"/>
          <w:szCs w:val="28"/>
        </w:rPr>
        <w:lastRenderedPageBreak/>
        <w:t>About this report</w:t>
      </w:r>
    </w:p>
    <w:p w14:paraId="1D80001F" w14:textId="77777777" w:rsidR="003836E2" w:rsidRPr="00B14DAE" w:rsidRDefault="003836E2" w:rsidP="002C3EA2">
      <w:pPr>
        <w:spacing w:after="0" w:line="240" w:lineRule="auto"/>
        <w:rPr>
          <w:rFonts w:ascii="Arial" w:hAnsi="Arial"/>
          <w:color w:val="000000" w:themeColor="text1"/>
          <w:szCs w:val="20"/>
        </w:rPr>
      </w:pPr>
    </w:p>
    <w:p w14:paraId="7E14C05B" w14:textId="497F5993" w:rsidR="002C3EA2" w:rsidRPr="00B14DAE" w:rsidRDefault="002C3EA2" w:rsidP="002C3EA2">
      <w:pPr>
        <w:spacing w:after="0" w:line="240" w:lineRule="auto"/>
        <w:rPr>
          <w:rFonts w:ascii="Arial" w:hAnsi="Arial"/>
          <w:color w:val="000000" w:themeColor="text1"/>
        </w:rPr>
      </w:pPr>
      <w:r w:rsidRPr="00B14DAE">
        <w:rPr>
          <w:rFonts w:ascii="Arial" w:hAnsi="Arial"/>
          <w:color w:val="000000" w:themeColor="text1"/>
          <w:szCs w:val="20"/>
        </w:rPr>
        <w:t xml:space="preserve">MSD’s Child Poverty </w:t>
      </w:r>
      <w:r w:rsidR="003C7779" w:rsidRPr="00B14DAE">
        <w:rPr>
          <w:rFonts w:ascii="Arial" w:hAnsi="Arial"/>
          <w:color w:val="000000" w:themeColor="text1"/>
          <w:szCs w:val="20"/>
        </w:rPr>
        <w:t>R</w:t>
      </w:r>
      <w:r w:rsidRPr="00B14DAE">
        <w:rPr>
          <w:rFonts w:ascii="Arial" w:hAnsi="Arial"/>
          <w:color w:val="000000" w:themeColor="text1"/>
          <w:szCs w:val="20"/>
        </w:rPr>
        <w:t xml:space="preserve">eport is </w:t>
      </w:r>
      <w:r w:rsidR="00C57826" w:rsidRPr="00B14DAE">
        <w:rPr>
          <w:rFonts w:ascii="Arial" w:hAnsi="Arial"/>
          <w:color w:val="000000" w:themeColor="text1"/>
          <w:szCs w:val="20"/>
        </w:rPr>
        <w:t xml:space="preserve">a </w:t>
      </w:r>
      <w:r w:rsidR="00330C95" w:rsidRPr="00B14DAE">
        <w:rPr>
          <w:rFonts w:ascii="Arial" w:hAnsi="Arial"/>
          <w:color w:val="000000" w:themeColor="text1"/>
          <w:szCs w:val="20"/>
        </w:rPr>
        <w:t>wide-ranging</w:t>
      </w:r>
      <w:r w:rsidR="00C57826" w:rsidRPr="00B14DAE">
        <w:rPr>
          <w:rFonts w:ascii="Arial" w:hAnsi="Arial"/>
          <w:color w:val="000000" w:themeColor="text1"/>
          <w:szCs w:val="20"/>
        </w:rPr>
        <w:t xml:space="preserve"> resource </w:t>
      </w:r>
      <w:r w:rsidRPr="00B14DAE">
        <w:rPr>
          <w:rFonts w:ascii="Arial" w:hAnsi="Arial"/>
          <w:color w:val="000000" w:themeColor="text1"/>
        </w:rPr>
        <w:t xml:space="preserve">designed to inform policy development, research and public discussion </w:t>
      </w:r>
      <w:r w:rsidR="00ED50DC" w:rsidRPr="00B14DAE">
        <w:rPr>
          <w:rFonts w:ascii="Arial" w:hAnsi="Arial"/>
          <w:color w:val="000000" w:themeColor="text1"/>
        </w:rPr>
        <w:t>on</w:t>
      </w:r>
      <w:r w:rsidRPr="00B14DAE">
        <w:rPr>
          <w:rFonts w:ascii="Arial" w:hAnsi="Arial"/>
          <w:color w:val="000000" w:themeColor="text1"/>
        </w:rPr>
        <w:t xml:space="preserve"> the </w:t>
      </w:r>
      <w:r w:rsidR="003836E2" w:rsidRPr="00B14DAE">
        <w:rPr>
          <w:rFonts w:ascii="Arial" w:hAnsi="Arial"/>
          <w:color w:val="000000" w:themeColor="text1"/>
        </w:rPr>
        <w:t xml:space="preserve">financial and </w:t>
      </w:r>
      <w:r w:rsidRPr="00B14DAE">
        <w:rPr>
          <w:rFonts w:ascii="Arial" w:hAnsi="Arial"/>
          <w:color w:val="000000" w:themeColor="text1"/>
        </w:rPr>
        <w:t>material wellbeing of children and the households in which they live. Most of what is reported is about material hardship, low incomes and financial stress as these are matters of ongoing public policy interest, but it also reports on how well the vast majority of children and their households are doing in terms of their material wellbeing. Children are those aged under 18 years</w:t>
      </w:r>
      <w:r w:rsidR="003116FA" w:rsidRPr="00B14DAE">
        <w:rPr>
          <w:rFonts w:ascii="Arial" w:hAnsi="Arial"/>
          <w:color w:val="000000" w:themeColor="text1"/>
        </w:rPr>
        <w:t xml:space="preserve"> (1.1</w:t>
      </w:r>
      <w:r w:rsidR="001F4C93" w:rsidRPr="00B14DAE">
        <w:rPr>
          <w:rFonts w:ascii="Arial" w:hAnsi="Arial"/>
          <w:color w:val="000000" w:themeColor="text1"/>
        </w:rPr>
        <w:t>8</w:t>
      </w:r>
      <w:r w:rsidR="00133A82">
        <w:rPr>
          <w:rFonts w:ascii="Arial" w:hAnsi="Arial"/>
          <w:color w:val="000000" w:themeColor="text1"/>
        </w:rPr>
        <w:t xml:space="preserve"> </w:t>
      </w:r>
      <w:r w:rsidR="003116FA" w:rsidRPr="00B14DAE">
        <w:rPr>
          <w:rFonts w:ascii="Arial" w:hAnsi="Arial"/>
          <w:color w:val="000000" w:themeColor="text1"/>
        </w:rPr>
        <w:t>m</w:t>
      </w:r>
      <w:r w:rsidR="00133A82">
        <w:rPr>
          <w:rFonts w:ascii="Arial" w:hAnsi="Arial"/>
          <w:color w:val="000000" w:themeColor="text1"/>
        </w:rPr>
        <w:t>illion</w:t>
      </w:r>
      <w:r w:rsidR="003116FA" w:rsidRPr="00B14DAE">
        <w:rPr>
          <w:rFonts w:ascii="Arial" w:hAnsi="Arial"/>
          <w:color w:val="000000" w:themeColor="text1"/>
        </w:rPr>
        <w:t xml:space="preserve"> in 202</w:t>
      </w:r>
      <w:r w:rsidR="00964C8C" w:rsidRPr="00B14DAE">
        <w:rPr>
          <w:rFonts w:ascii="Arial" w:hAnsi="Arial"/>
          <w:color w:val="000000" w:themeColor="text1"/>
        </w:rPr>
        <w:t>4</w:t>
      </w:r>
      <w:r w:rsidR="003116FA" w:rsidRPr="00B14DAE">
        <w:rPr>
          <w:rFonts w:ascii="Arial" w:hAnsi="Arial"/>
          <w:color w:val="000000" w:themeColor="text1"/>
        </w:rPr>
        <w:t>-2</w:t>
      </w:r>
      <w:r w:rsidR="00964C8C" w:rsidRPr="00B14DAE">
        <w:rPr>
          <w:rFonts w:ascii="Arial" w:hAnsi="Arial"/>
          <w:color w:val="000000" w:themeColor="text1"/>
        </w:rPr>
        <w:t>5</w:t>
      </w:r>
      <w:r w:rsidR="003116FA" w:rsidRPr="00B14DAE">
        <w:rPr>
          <w:rFonts w:ascii="Arial" w:hAnsi="Arial"/>
          <w:color w:val="000000" w:themeColor="text1"/>
        </w:rPr>
        <w:t>)</w:t>
      </w:r>
      <w:r w:rsidR="00687CB3" w:rsidRPr="00B14DAE">
        <w:rPr>
          <w:rFonts w:ascii="Arial" w:hAnsi="Arial"/>
          <w:color w:val="000000" w:themeColor="text1"/>
        </w:rPr>
        <w:t>.</w:t>
      </w:r>
      <w:r w:rsidR="001B2ADA" w:rsidRPr="00B14DAE">
        <w:rPr>
          <w:rFonts w:ascii="Arial" w:hAnsi="Arial"/>
          <w:color w:val="000000" w:themeColor="text1"/>
        </w:rPr>
        <w:t xml:space="preserve"> </w:t>
      </w:r>
    </w:p>
    <w:p w14:paraId="7D2455D8" w14:textId="77777777" w:rsidR="002C3EA2" w:rsidRPr="00B14DAE" w:rsidRDefault="002C3EA2" w:rsidP="002C3EA2">
      <w:pPr>
        <w:spacing w:after="0" w:line="240" w:lineRule="auto"/>
        <w:rPr>
          <w:rFonts w:ascii="Arial" w:hAnsi="Arial"/>
          <w:color w:val="000000" w:themeColor="text1"/>
          <w:szCs w:val="20"/>
        </w:rPr>
      </w:pPr>
    </w:p>
    <w:p w14:paraId="7FEBDA4F" w14:textId="3571B07A" w:rsidR="003C7779" w:rsidRPr="00B14DAE" w:rsidRDefault="002C3EA2" w:rsidP="00672A30">
      <w:pPr>
        <w:spacing w:after="0" w:line="240" w:lineRule="auto"/>
        <w:rPr>
          <w:rFonts w:ascii="Arial" w:hAnsi="Arial"/>
          <w:color w:val="000000" w:themeColor="text1"/>
          <w:szCs w:val="20"/>
        </w:rPr>
      </w:pPr>
      <w:r w:rsidRPr="00B14DAE">
        <w:rPr>
          <w:rFonts w:ascii="Arial" w:hAnsi="Arial"/>
          <w:color w:val="000000" w:themeColor="text1"/>
        </w:rPr>
        <w:t>There is naturally some overlap with Stats NZ’s Child Poverty Statistics report</w:t>
      </w:r>
      <w:r w:rsidR="004F1EA4" w:rsidRPr="00B14DAE">
        <w:rPr>
          <w:rFonts w:ascii="Arial" w:hAnsi="Arial"/>
          <w:color w:val="000000" w:themeColor="text1"/>
        </w:rPr>
        <w:t>s</w:t>
      </w:r>
      <w:r w:rsidR="003836E2" w:rsidRPr="00B14DAE">
        <w:rPr>
          <w:rFonts w:ascii="Arial" w:hAnsi="Arial"/>
          <w:color w:val="000000" w:themeColor="text1"/>
        </w:rPr>
        <w:t xml:space="preserve"> –</w:t>
      </w:r>
      <w:r w:rsidR="005C0260" w:rsidRPr="00B14DAE">
        <w:rPr>
          <w:rFonts w:ascii="Arial" w:hAnsi="Arial"/>
          <w:color w:val="000000" w:themeColor="text1"/>
        </w:rPr>
        <w:t xml:space="preserve"> </w:t>
      </w:r>
      <w:r w:rsidR="004A4E9C" w:rsidRPr="00B14DAE">
        <w:rPr>
          <w:rFonts w:ascii="Arial" w:hAnsi="Arial"/>
          <w:color w:val="000000" w:themeColor="text1"/>
        </w:rPr>
        <w:t xml:space="preserve">the same </w:t>
      </w:r>
      <w:r w:rsidR="004F1EA4" w:rsidRPr="00B14DAE">
        <w:rPr>
          <w:rFonts w:ascii="Arial" w:hAnsi="Arial"/>
          <w:color w:val="000000" w:themeColor="text1"/>
        </w:rPr>
        <w:t xml:space="preserve">multi-measure approach </w:t>
      </w:r>
      <w:r w:rsidR="003836E2" w:rsidRPr="00B14DAE">
        <w:rPr>
          <w:rFonts w:ascii="Arial" w:hAnsi="Arial"/>
          <w:color w:val="000000" w:themeColor="text1"/>
        </w:rPr>
        <w:t>is adopted recognising</w:t>
      </w:r>
      <w:r w:rsidR="004F1EA4" w:rsidRPr="00B14DAE">
        <w:rPr>
          <w:rFonts w:ascii="Arial" w:hAnsi="Arial"/>
          <w:color w:val="000000" w:themeColor="text1"/>
        </w:rPr>
        <w:t xml:space="preserve"> that no single measure can adequately capture the different dimensions of poverty as understood in the more economically developed nations</w:t>
      </w:r>
      <w:r w:rsidR="003836E2" w:rsidRPr="00B14DAE">
        <w:rPr>
          <w:rFonts w:ascii="Arial" w:hAnsi="Arial"/>
          <w:color w:val="000000" w:themeColor="text1"/>
        </w:rPr>
        <w:t>, and</w:t>
      </w:r>
      <w:r w:rsidR="004F1EA4" w:rsidRPr="00B14DAE">
        <w:rPr>
          <w:rFonts w:ascii="Arial" w:hAnsi="Arial"/>
          <w:color w:val="000000" w:themeColor="text1"/>
        </w:rPr>
        <w:t xml:space="preserve"> the same Household Economic Survey</w:t>
      </w:r>
      <w:r w:rsidR="00E50BA9" w:rsidRPr="00B14DAE">
        <w:rPr>
          <w:rFonts w:ascii="Arial" w:hAnsi="Arial"/>
          <w:color w:val="000000" w:themeColor="text1"/>
        </w:rPr>
        <w:t xml:space="preserve"> (HES) and Household Income and Living Survey (HILS)</w:t>
      </w:r>
      <w:r w:rsidR="004F1EA4" w:rsidRPr="00B14DAE">
        <w:rPr>
          <w:rFonts w:ascii="Arial" w:hAnsi="Arial"/>
          <w:color w:val="000000" w:themeColor="text1"/>
        </w:rPr>
        <w:t xml:space="preserve"> datasets are used to produce the findings </w:t>
      </w:r>
      <w:r w:rsidRPr="00B14DAE">
        <w:rPr>
          <w:rFonts w:ascii="Arial" w:hAnsi="Arial"/>
          <w:color w:val="000000" w:themeColor="text1"/>
        </w:rPr>
        <w:t xml:space="preserve">– but the reports are essentially complementary, each with its own </w:t>
      </w:r>
      <w:r w:rsidRPr="00B14DAE">
        <w:rPr>
          <w:rFonts w:ascii="Arial" w:hAnsi="Arial"/>
          <w:color w:val="000000" w:themeColor="text1"/>
          <w:szCs w:val="20"/>
        </w:rPr>
        <w:t xml:space="preserve">focus, purpose and selection of material. </w:t>
      </w:r>
    </w:p>
    <w:p w14:paraId="58BD5BCD" w14:textId="77777777" w:rsidR="003C7779" w:rsidRPr="00B14DAE" w:rsidRDefault="003C7779" w:rsidP="00672A30">
      <w:pPr>
        <w:spacing w:after="0" w:line="240" w:lineRule="auto"/>
        <w:rPr>
          <w:rFonts w:ascii="Arial" w:hAnsi="Arial"/>
          <w:color w:val="000000" w:themeColor="text1"/>
          <w:szCs w:val="20"/>
        </w:rPr>
      </w:pPr>
    </w:p>
    <w:p w14:paraId="54923EA8" w14:textId="43947DD2" w:rsidR="003C7779" w:rsidRPr="00B14DAE" w:rsidRDefault="002C3EA2" w:rsidP="00672A30">
      <w:pPr>
        <w:spacing w:after="0" w:line="240" w:lineRule="auto"/>
        <w:rPr>
          <w:rFonts w:ascii="Arial" w:hAnsi="Arial"/>
          <w:color w:val="000000" w:themeColor="text1"/>
          <w:szCs w:val="20"/>
        </w:rPr>
      </w:pPr>
      <w:r w:rsidRPr="00B14DAE">
        <w:rPr>
          <w:rFonts w:ascii="Arial" w:hAnsi="Arial"/>
          <w:color w:val="000000" w:themeColor="text1"/>
          <w:szCs w:val="20"/>
        </w:rPr>
        <w:t>The Stats NZ report</w:t>
      </w:r>
      <w:r w:rsidR="003C7779" w:rsidRPr="00B14DAE">
        <w:rPr>
          <w:rFonts w:ascii="Arial" w:hAnsi="Arial"/>
          <w:color w:val="000000" w:themeColor="text1"/>
          <w:szCs w:val="20"/>
        </w:rPr>
        <w:t>s</w:t>
      </w:r>
      <w:r w:rsidRPr="00B14DAE">
        <w:rPr>
          <w:rFonts w:ascii="Arial" w:hAnsi="Arial"/>
          <w:color w:val="000000" w:themeColor="text1"/>
          <w:szCs w:val="20"/>
        </w:rPr>
        <w:t xml:space="preserve"> </w:t>
      </w:r>
      <w:r w:rsidR="003C7779" w:rsidRPr="00B14DAE">
        <w:rPr>
          <w:rFonts w:ascii="Arial" w:hAnsi="Arial"/>
          <w:color w:val="000000" w:themeColor="text1"/>
          <w:szCs w:val="20"/>
        </w:rPr>
        <w:t>are</w:t>
      </w:r>
      <w:r w:rsidRPr="00B14DAE">
        <w:rPr>
          <w:rFonts w:ascii="Arial" w:hAnsi="Arial"/>
          <w:color w:val="000000" w:themeColor="text1"/>
          <w:szCs w:val="20"/>
        </w:rPr>
        <w:t xml:space="preserve"> mainly focussed on fulfilling the requirements of the C</w:t>
      </w:r>
      <w:r w:rsidR="004F1EA4" w:rsidRPr="00B14DAE">
        <w:rPr>
          <w:rFonts w:ascii="Arial" w:hAnsi="Arial"/>
          <w:color w:val="000000" w:themeColor="text1"/>
          <w:szCs w:val="20"/>
        </w:rPr>
        <w:t xml:space="preserve">hild </w:t>
      </w:r>
      <w:r w:rsidRPr="00B14DAE">
        <w:rPr>
          <w:rFonts w:ascii="Arial" w:hAnsi="Arial"/>
          <w:color w:val="000000" w:themeColor="text1"/>
          <w:szCs w:val="20"/>
        </w:rPr>
        <w:t>P</w:t>
      </w:r>
      <w:r w:rsidR="004F1EA4" w:rsidRPr="00B14DAE">
        <w:rPr>
          <w:rFonts w:ascii="Arial" w:hAnsi="Arial"/>
          <w:color w:val="000000" w:themeColor="text1"/>
          <w:szCs w:val="20"/>
        </w:rPr>
        <w:t xml:space="preserve">overty </w:t>
      </w:r>
      <w:r w:rsidRPr="00B14DAE">
        <w:rPr>
          <w:rFonts w:ascii="Arial" w:hAnsi="Arial"/>
          <w:color w:val="000000" w:themeColor="text1"/>
          <w:szCs w:val="20"/>
        </w:rPr>
        <w:t>R</w:t>
      </w:r>
      <w:r w:rsidR="004F1EA4" w:rsidRPr="00B14DAE">
        <w:rPr>
          <w:rFonts w:ascii="Arial" w:hAnsi="Arial"/>
          <w:color w:val="000000" w:themeColor="text1"/>
          <w:szCs w:val="20"/>
        </w:rPr>
        <w:t xml:space="preserve">eduction </w:t>
      </w:r>
      <w:r w:rsidR="00C57826" w:rsidRPr="00B14DAE">
        <w:rPr>
          <w:rFonts w:ascii="Arial" w:hAnsi="Arial"/>
          <w:color w:val="000000" w:themeColor="text1"/>
          <w:szCs w:val="20"/>
        </w:rPr>
        <w:t>A</w:t>
      </w:r>
      <w:r w:rsidR="004F1EA4" w:rsidRPr="00B14DAE">
        <w:rPr>
          <w:rFonts w:ascii="Arial" w:hAnsi="Arial"/>
          <w:color w:val="000000" w:themeColor="text1"/>
          <w:szCs w:val="20"/>
        </w:rPr>
        <w:t>ct</w:t>
      </w:r>
      <w:r w:rsidR="003836E2" w:rsidRPr="00B14DAE">
        <w:rPr>
          <w:rFonts w:ascii="Arial" w:hAnsi="Arial"/>
          <w:color w:val="000000" w:themeColor="text1"/>
          <w:szCs w:val="20"/>
        </w:rPr>
        <w:t xml:space="preserve"> (2018)</w:t>
      </w:r>
      <w:r w:rsidR="00C558CB" w:rsidRPr="00B14DAE">
        <w:rPr>
          <w:rFonts w:ascii="Arial" w:hAnsi="Arial"/>
          <w:color w:val="000000" w:themeColor="text1"/>
          <w:szCs w:val="20"/>
        </w:rPr>
        <w:t xml:space="preserve">, reporting on the nine available measures as specified in the Act and enabling an assessment of progress towards the officially gazetted targets. </w:t>
      </w:r>
      <w:r w:rsidR="00C558CB" w:rsidRPr="00B14DAE">
        <w:rPr>
          <w:rFonts w:ascii="Arial" w:hAnsi="Arial"/>
          <w:color w:val="000000" w:themeColor="text1"/>
        </w:rPr>
        <w:t xml:space="preserve">Their focus is on year-on-year changes and changes from the baseline year (2017-18) </w:t>
      </w:r>
      <w:r w:rsidR="00C558CB" w:rsidRPr="00B14DAE">
        <w:rPr>
          <w:rFonts w:ascii="Arial" w:hAnsi="Arial"/>
          <w:color w:val="000000" w:themeColor="text1"/>
          <w:szCs w:val="20"/>
        </w:rPr>
        <w:t xml:space="preserve">for all children, and where possible for selected sub-groups (regional council areas, ethnic groups, disability status), </w:t>
      </w:r>
      <w:r w:rsidR="00C558CB" w:rsidRPr="00B14DAE">
        <w:rPr>
          <w:rFonts w:ascii="Arial" w:hAnsi="Arial"/>
          <w:color w:val="000000" w:themeColor="text1"/>
        </w:rPr>
        <w:t>in line with the requirements of the Act.</w:t>
      </w:r>
    </w:p>
    <w:p w14:paraId="40F91077" w14:textId="77777777" w:rsidR="003C7779" w:rsidRPr="00B14DAE" w:rsidRDefault="003C7779" w:rsidP="00672A30">
      <w:pPr>
        <w:spacing w:after="0" w:line="240" w:lineRule="auto"/>
        <w:rPr>
          <w:rFonts w:ascii="Arial" w:hAnsi="Arial"/>
          <w:color w:val="000000" w:themeColor="text1"/>
          <w:szCs w:val="20"/>
        </w:rPr>
      </w:pPr>
    </w:p>
    <w:p w14:paraId="4034A939" w14:textId="2DBBB589" w:rsidR="004C0B5E" w:rsidRPr="00B14DAE" w:rsidRDefault="002C3EA2" w:rsidP="00672A30">
      <w:pPr>
        <w:spacing w:after="0" w:line="240" w:lineRule="auto"/>
        <w:rPr>
          <w:rFonts w:ascii="Arial" w:hAnsi="Arial"/>
          <w:color w:val="000000" w:themeColor="text1"/>
          <w:szCs w:val="20"/>
        </w:rPr>
      </w:pPr>
      <w:r w:rsidRPr="00B14DAE">
        <w:rPr>
          <w:rFonts w:ascii="Arial" w:hAnsi="Arial"/>
          <w:color w:val="000000" w:themeColor="text1"/>
          <w:szCs w:val="20"/>
        </w:rPr>
        <w:t xml:space="preserve">MSD’s </w:t>
      </w:r>
      <w:r w:rsidR="004A4E9C" w:rsidRPr="00B14DAE">
        <w:rPr>
          <w:rFonts w:ascii="Arial" w:hAnsi="Arial"/>
          <w:color w:val="000000" w:themeColor="text1"/>
          <w:szCs w:val="20"/>
        </w:rPr>
        <w:t>r</w:t>
      </w:r>
      <w:r w:rsidRPr="00B14DAE">
        <w:rPr>
          <w:rFonts w:ascii="Arial" w:hAnsi="Arial"/>
          <w:color w:val="000000" w:themeColor="text1"/>
          <w:szCs w:val="20"/>
        </w:rPr>
        <w:t>eport</w:t>
      </w:r>
      <w:r w:rsidR="003C7779" w:rsidRPr="00B14DAE">
        <w:rPr>
          <w:rFonts w:ascii="Arial" w:hAnsi="Arial"/>
          <w:color w:val="000000" w:themeColor="text1"/>
          <w:szCs w:val="20"/>
        </w:rPr>
        <w:t>s</w:t>
      </w:r>
      <w:r w:rsidR="004C0B5E" w:rsidRPr="00B14DAE">
        <w:rPr>
          <w:rFonts w:ascii="Arial" w:hAnsi="Arial"/>
          <w:color w:val="000000" w:themeColor="text1"/>
          <w:szCs w:val="20"/>
        </w:rPr>
        <w:t>:</w:t>
      </w:r>
    </w:p>
    <w:p w14:paraId="42B3B2D8" w14:textId="33A5E9AE" w:rsidR="004C0B5E" w:rsidRPr="00B14DAE" w:rsidRDefault="004C0B5E">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cover a longer time period than the Stats NZ reports (from 2007 for material hardship (rather than 2013) and from the early 1980s for income (rather than 2007))</w:t>
      </w:r>
    </w:p>
    <w:p w14:paraId="6CA0789B" w14:textId="320DC5C3" w:rsidR="004C0B5E" w:rsidRPr="00B14DAE" w:rsidRDefault="004C0B5E">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generally</w:t>
      </w:r>
      <w:r w:rsidR="00C05E09" w:rsidRPr="00B14DAE">
        <w:rPr>
          <w:rFonts w:ascii="Arial" w:hAnsi="Arial"/>
          <w:color w:val="000000" w:themeColor="text1"/>
          <w:szCs w:val="20"/>
        </w:rPr>
        <w:t xml:space="preserve"> </w:t>
      </w:r>
      <w:r w:rsidRPr="00B14DAE">
        <w:rPr>
          <w:rFonts w:ascii="Arial" w:hAnsi="Arial"/>
          <w:color w:val="000000" w:themeColor="text1"/>
          <w:szCs w:val="20"/>
        </w:rPr>
        <w:t>focus on overall trends rather than year-on-year and shorter-term changes (except where there are clear real-world factors driving a short-term change)</w:t>
      </w:r>
      <w:r w:rsidR="004B77C3" w:rsidRPr="00B14DAE">
        <w:rPr>
          <w:rFonts w:ascii="Arial" w:hAnsi="Arial"/>
          <w:color w:val="000000" w:themeColor="text1"/>
          <w:szCs w:val="20"/>
        </w:rPr>
        <w:t>, mainly using smoothed rolling two-year averages to more clearly show the overall trends</w:t>
      </w:r>
    </w:p>
    <w:p w14:paraId="5CB7CACB" w14:textId="4ACDB566" w:rsidR="004E39F3" w:rsidRPr="00B14DAE" w:rsidRDefault="002C3EA2">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use a much wider range of breakdowns</w:t>
      </w:r>
      <w:r w:rsidR="00406290" w:rsidRPr="00B14DAE">
        <w:rPr>
          <w:rFonts w:ascii="Arial" w:hAnsi="Arial"/>
          <w:color w:val="000000" w:themeColor="text1"/>
          <w:szCs w:val="20"/>
        </w:rPr>
        <w:t xml:space="preserve"> (including analysis by tenure, household type</w:t>
      </w:r>
      <w:r w:rsidR="00C05E09" w:rsidRPr="00B14DAE">
        <w:rPr>
          <w:rFonts w:ascii="Arial" w:hAnsi="Arial"/>
          <w:color w:val="000000" w:themeColor="text1"/>
          <w:szCs w:val="20"/>
        </w:rPr>
        <w:t xml:space="preserve"> and </w:t>
      </w:r>
      <w:r w:rsidR="00406290" w:rsidRPr="00B14DAE">
        <w:rPr>
          <w:rFonts w:ascii="Arial" w:hAnsi="Arial"/>
          <w:color w:val="000000" w:themeColor="text1"/>
          <w:szCs w:val="20"/>
        </w:rPr>
        <w:t>main source of income (market or government))</w:t>
      </w:r>
      <w:r w:rsidR="003C7779" w:rsidRPr="00B14DAE">
        <w:rPr>
          <w:rFonts w:ascii="Arial" w:hAnsi="Arial"/>
          <w:color w:val="000000" w:themeColor="text1"/>
          <w:szCs w:val="20"/>
        </w:rPr>
        <w:t xml:space="preserve"> </w:t>
      </w:r>
    </w:p>
    <w:p w14:paraId="09925A0D" w14:textId="3DECECC2" w:rsidR="00FA2090" w:rsidRPr="00B14DAE" w:rsidRDefault="00FA2090">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 xml:space="preserve">provide international comparisons  </w:t>
      </w:r>
    </w:p>
    <w:p w14:paraId="2AAA4273" w14:textId="74819ED0" w:rsidR="00FA2090" w:rsidRPr="00B14DAE" w:rsidRDefault="00FA2090">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compare the material and financial wellbeing of children in their households with that of others in households without children</w:t>
      </w:r>
    </w:p>
    <w:p w14:paraId="1A2404AC" w14:textId="0CC63349" w:rsidR="004E39F3" w:rsidRPr="00B14DAE" w:rsidRDefault="003C7779">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 xml:space="preserve">have </w:t>
      </w:r>
      <w:bookmarkStart w:id="4" w:name="_Hlk175312908"/>
      <w:r w:rsidRPr="00B14DAE">
        <w:rPr>
          <w:rFonts w:ascii="Arial" w:hAnsi="Arial"/>
          <w:color w:val="000000" w:themeColor="text1"/>
          <w:szCs w:val="20"/>
        </w:rPr>
        <w:t xml:space="preserve">a major focus on what </w:t>
      </w:r>
      <w:r w:rsidR="006F13C6" w:rsidRPr="00B14DAE">
        <w:rPr>
          <w:rFonts w:ascii="Arial" w:hAnsi="Arial"/>
          <w:color w:val="000000" w:themeColor="text1"/>
          <w:szCs w:val="20"/>
        </w:rPr>
        <w:t xml:space="preserve">day-to-day </w:t>
      </w:r>
      <w:r w:rsidR="006E186C" w:rsidRPr="00B14DAE">
        <w:rPr>
          <w:rFonts w:ascii="Arial" w:hAnsi="Arial"/>
          <w:color w:val="000000" w:themeColor="text1"/>
          <w:szCs w:val="20"/>
        </w:rPr>
        <w:t xml:space="preserve">life is like </w:t>
      </w:r>
      <w:r w:rsidR="006F13C6" w:rsidRPr="00B14DAE">
        <w:rPr>
          <w:rFonts w:ascii="Arial" w:hAnsi="Arial"/>
          <w:color w:val="000000" w:themeColor="text1"/>
          <w:szCs w:val="20"/>
        </w:rPr>
        <w:t>for children identified as ‘poor’</w:t>
      </w:r>
      <w:r w:rsidR="00C558CB" w:rsidRPr="00B14DAE">
        <w:rPr>
          <w:rFonts w:ascii="Arial" w:hAnsi="Arial"/>
          <w:color w:val="000000" w:themeColor="text1"/>
          <w:szCs w:val="20"/>
        </w:rPr>
        <w:t xml:space="preserve"> </w:t>
      </w:r>
      <w:r w:rsidR="006E186C" w:rsidRPr="00B14DAE">
        <w:rPr>
          <w:rFonts w:ascii="Arial" w:hAnsi="Arial"/>
          <w:color w:val="000000" w:themeColor="text1"/>
          <w:szCs w:val="20"/>
        </w:rPr>
        <w:t>compared with other children</w:t>
      </w:r>
    </w:p>
    <w:bookmarkEnd w:id="4"/>
    <w:p w14:paraId="4AF77E86" w14:textId="040004BD" w:rsidR="004E39F3" w:rsidRPr="00B14DAE" w:rsidRDefault="00337580">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give</w:t>
      </w:r>
      <w:r w:rsidR="005C0260" w:rsidRPr="00B14DAE">
        <w:rPr>
          <w:rFonts w:ascii="Arial" w:hAnsi="Arial"/>
          <w:color w:val="000000" w:themeColor="text1"/>
          <w:szCs w:val="20"/>
        </w:rPr>
        <w:t xml:space="preserve"> an integrated account of the </w:t>
      </w:r>
      <w:r w:rsidR="00081A32" w:rsidRPr="00B14DAE">
        <w:rPr>
          <w:rFonts w:ascii="Arial" w:hAnsi="Arial"/>
          <w:color w:val="000000" w:themeColor="text1"/>
          <w:szCs w:val="20"/>
        </w:rPr>
        <w:t xml:space="preserve">different </w:t>
      </w:r>
      <w:r w:rsidR="003613DC" w:rsidRPr="00B14DAE">
        <w:rPr>
          <w:rFonts w:ascii="Arial" w:hAnsi="Arial"/>
          <w:color w:val="000000" w:themeColor="text1"/>
          <w:szCs w:val="20"/>
        </w:rPr>
        <w:t>aspect</w:t>
      </w:r>
      <w:r w:rsidR="00081A32" w:rsidRPr="00B14DAE">
        <w:rPr>
          <w:rFonts w:ascii="Arial" w:hAnsi="Arial"/>
          <w:color w:val="000000" w:themeColor="text1"/>
          <w:szCs w:val="20"/>
        </w:rPr>
        <w:t>s</w:t>
      </w:r>
      <w:r w:rsidR="005C0260" w:rsidRPr="00B14DAE">
        <w:rPr>
          <w:rFonts w:ascii="Arial" w:hAnsi="Arial"/>
          <w:color w:val="000000" w:themeColor="text1"/>
          <w:szCs w:val="20"/>
        </w:rPr>
        <w:t xml:space="preserve"> of ‘poverty’ </w:t>
      </w:r>
      <w:r w:rsidR="003571DE" w:rsidRPr="00B14DAE">
        <w:rPr>
          <w:rFonts w:ascii="Arial" w:hAnsi="Arial"/>
          <w:color w:val="000000" w:themeColor="text1"/>
          <w:szCs w:val="20"/>
        </w:rPr>
        <w:t xml:space="preserve">that </w:t>
      </w:r>
      <w:r w:rsidR="00081A32" w:rsidRPr="00B14DAE">
        <w:rPr>
          <w:rFonts w:ascii="Arial" w:hAnsi="Arial"/>
          <w:color w:val="000000" w:themeColor="text1"/>
          <w:szCs w:val="20"/>
        </w:rPr>
        <w:t>are</w:t>
      </w:r>
      <w:r w:rsidR="003571DE" w:rsidRPr="00B14DAE">
        <w:rPr>
          <w:rFonts w:ascii="Arial" w:hAnsi="Arial"/>
          <w:color w:val="000000" w:themeColor="text1"/>
          <w:szCs w:val="20"/>
        </w:rPr>
        <w:t xml:space="preserve"> reflected in </w:t>
      </w:r>
      <w:r w:rsidR="00406290" w:rsidRPr="00B14DAE">
        <w:rPr>
          <w:rFonts w:ascii="Arial" w:hAnsi="Arial"/>
          <w:color w:val="000000" w:themeColor="text1"/>
          <w:szCs w:val="20"/>
        </w:rPr>
        <w:t xml:space="preserve">each of </w:t>
      </w:r>
      <w:r w:rsidR="005C0260" w:rsidRPr="00B14DAE">
        <w:rPr>
          <w:rFonts w:ascii="Arial" w:hAnsi="Arial"/>
          <w:color w:val="000000" w:themeColor="text1"/>
          <w:szCs w:val="20"/>
        </w:rPr>
        <w:t>the measures</w:t>
      </w:r>
      <w:r w:rsidR="003571DE" w:rsidRPr="00B14DAE">
        <w:rPr>
          <w:rFonts w:ascii="Arial" w:hAnsi="Arial"/>
          <w:color w:val="000000" w:themeColor="text1"/>
          <w:szCs w:val="20"/>
        </w:rPr>
        <w:t>,</w:t>
      </w:r>
      <w:r w:rsidR="005C0260" w:rsidRPr="00B14DAE">
        <w:rPr>
          <w:rFonts w:ascii="Arial" w:hAnsi="Arial"/>
          <w:color w:val="000000" w:themeColor="text1"/>
          <w:szCs w:val="20"/>
        </w:rPr>
        <w:t xml:space="preserve"> and provide interpretations of the reported trends and numbers</w:t>
      </w:r>
      <w:r w:rsidR="00406290" w:rsidRPr="00B14DAE">
        <w:rPr>
          <w:rFonts w:ascii="Arial" w:hAnsi="Arial"/>
          <w:color w:val="000000" w:themeColor="text1"/>
          <w:szCs w:val="20"/>
        </w:rPr>
        <w:t xml:space="preserve"> using the standard </w:t>
      </w:r>
      <w:r w:rsidR="00924885" w:rsidRPr="00B14DAE">
        <w:rPr>
          <w:rFonts w:ascii="Arial" w:hAnsi="Arial"/>
          <w:color w:val="000000" w:themeColor="text1"/>
          <w:szCs w:val="20"/>
        </w:rPr>
        <w:t>income-</w:t>
      </w:r>
      <w:r w:rsidR="009B1EF7" w:rsidRPr="00B14DAE">
        <w:rPr>
          <w:rFonts w:ascii="Arial" w:hAnsi="Arial"/>
          <w:color w:val="000000" w:themeColor="text1"/>
          <w:szCs w:val="20"/>
        </w:rPr>
        <w:t>wealth</w:t>
      </w:r>
      <w:r w:rsidR="00924885" w:rsidRPr="00B14DAE">
        <w:rPr>
          <w:rFonts w:ascii="Arial" w:hAnsi="Arial"/>
          <w:color w:val="000000" w:themeColor="text1"/>
          <w:szCs w:val="20"/>
        </w:rPr>
        <w:t xml:space="preserve">-consumption </w:t>
      </w:r>
      <w:r w:rsidR="00406290" w:rsidRPr="00B14DAE">
        <w:rPr>
          <w:rFonts w:ascii="Arial" w:hAnsi="Arial"/>
          <w:color w:val="000000" w:themeColor="text1"/>
          <w:szCs w:val="20"/>
        </w:rPr>
        <w:t xml:space="preserve">framework used in all MSD’s income and material wellbeing reports </w:t>
      </w:r>
    </w:p>
    <w:p w14:paraId="36BFD99F" w14:textId="5F46BD1F" w:rsidR="004B77C3" w:rsidRPr="00B14DAE" w:rsidRDefault="002C3EA2">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ha</w:t>
      </w:r>
      <w:r w:rsidR="0065708B" w:rsidRPr="00B14DAE">
        <w:rPr>
          <w:rFonts w:ascii="Arial" w:hAnsi="Arial"/>
          <w:color w:val="000000" w:themeColor="text1"/>
          <w:szCs w:val="20"/>
        </w:rPr>
        <w:t>ve a</w:t>
      </w:r>
      <w:r w:rsidRPr="00B14DAE">
        <w:rPr>
          <w:rFonts w:ascii="Arial" w:hAnsi="Arial"/>
          <w:color w:val="000000" w:themeColor="text1"/>
          <w:szCs w:val="20"/>
        </w:rPr>
        <w:t xml:space="preserve"> strong research </w:t>
      </w:r>
      <w:r w:rsidR="002410A7" w:rsidRPr="00B14DAE">
        <w:rPr>
          <w:rFonts w:ascii="Arial" w:hAnsi="Arial"/>
          <w:color w:val="000000" w:themeColor="text1"/>
          <w:szCs w:val="20"/>
        </w:rPr>
        <w:t>flavour</w:t>
      </w:r>
      <w:r w:rsidR="004B77C3" w:rsidRPr="00B14DAE">
        <w:rPr>
          <w:rFonts w:ascii="Arial" w:hAnsi="Arial"/>
          <w:color w:val="000000" w:themeColor="text1"/>
          <w:szCs w:val="20"/>
        </w:rPr>
        <w:t xml:space="preserve"> with </w:t>
      </w:r>
      <w:r w:rsidR="004B77C3" w:rsidRPr="001603F3">
        <w:rPr>
          <w:rFonts w:ascii="Arial" w:hAnsi="Arial"/>
          <w:color w:val="000000" w:themeColor="text1"/>
          <w:szCs w:val="20"/>
        </w:rPr>
        <w:t>in-depth</w:t>
      </w:r>
      <w:r w:rsidR="004B77C3" w:rsidRPr="00B14DAE">
        <w:rPr>
          <w:rFonts w:ascii="Arial" w:hAnsi="Arial"/>
          <w:color w:val="000000" w:themeColor="text1"/>
          <w:szCs w:val="20"/>
        </w:rPr>
        <w:t xml:space="preserve"> coverage of selected </w:t>
      </w:r>
      <w:r w:rsidR="00813EF8" w:rsidRPr="00B14DAE">
        <w:rPr>
          <w:rFonts w:ascii="Arial" w:hAnsi="Arial"/>
          <w:color w:val="000000" w:themeColor="text1"/>
          <w:szCs w:val="20"/>
        </w:rPr>
        <w:t xml:space="preserve">conceptual and </w:t>
      </w:r>
      <w:r w:rsidR="004B77C3" w:rsidRPr="00B14DAE">
        <w:rPr>
          <w:rFonts w:ascii="Arial" w:hAnsi="Arial"/>
          <w:color w:val="000000" w:themeColor="text1"/>
          <w:szCs w:val="20"/>
        </w:rPr>
        <w:t>technical issues</w:t>
      </w:r>
    </w:p>
    <w:p w14:paraId="79A70D31" w14:textId="43BDCC3E" w:rsidR="004A48E4" w:rsidRPr="00B14DAE" w:rsidRDefault="002410A7">
      <w:pPr>
        <w:pStyle w:val="ListParagraph"/>
        <w:numPr>
          <w:ilvl w:val="0"/>
          <w:numId w:val="24"/>
        </w:numPr>
        <w:spacing w:before="60" w:after="0" w:line="240" w:lineRule="auto"/>
        <w:ind w:left="714" w:hanging="357"/>
        <w:contextualSpacing w:val="0"/>
        <w:rPr>
          <w:rFonts w:ascii="Arial" w:hAnsi="Arial"/>
          <w:color w:val="000000" w:themeColor="text1"/>
          <w:szCs w:val="20"/>
        </w:rPr>
      </w:pPr>
      <w:r w:rsidRPr="00B14DAE">
        <w:rPr>
          <w:rFonts w:ascii="Arial" w:hAnsi="Arial"/>
          <w:color w:val="000000" w:themeColor="text1"/>
          <w:szCs w:val="20"/>
        </w:rPr>
        <w:t>identify</w:t>
      </w:r>
      <w:r w:rsidR="005C0260" w:rsidRPr="00B14DAE">
        <w:rPr>
          <w:rFonts w:ascii="Arial" w:hAnsi="Arial"/>
          <w:color w:val="000000" w:themeColor="text1"/>
          <w:szCs w:val="20"/>
        </w:rPr>
        <w:t xml:space="preserve"> </w:t>
      </w:r>
      <w:r w:rsidR="002C3EA2" w:rsidRPr="00B14DAE">
        <w:rPr>
          <w:rFonts w:ascii="Arial" w:hAnsi="Arial"/>
          <w:color w:val="000000" w:themeColor="text1"/>
          <w:szCs w:val="20"/>
        </w:rPr>
        <w:t>policy</w:t>
      </w:r>
      <w:r w:rsidRPr="00B14DAE">
        <w:rPr>
          <w:rFonts w:ascii="Arial" w:hAnsi="Arial"/>
          <w:color w:val="000000" w:themeColor="text1"/>
          <w:szCs w:val="20"/>
        </w:rPr>
        <w:t>-relevant</w:t>
      </w:r>
      <w:r w:rsidR="002C3EA2" w:rsidRPr="00B14DAE">
        <w:rPr>
          <w:rFonts w:ascii="Arial" w:hAnsi="Arial"/>
          <w:color w:val="000000" w:themeColor="text1"/>
          <w:szCs w:val="20"/>
        </w:rPr>
        <w:t xml:space="preserve"> themes throughout</w:t>
      </w:r>
      <w:r w:rsidR="00572087">
        <w:rPr>
          <w:rFonts w:ascii="Arial" w:hAnsi="Arial"/>
          <w:color w:val="000000" w:themeColor="text1"/>
          <w:szCs w:val="20"/>
        </w:rPr>
        <w:t>.</w:t>
      </w:r>
    </w:p>
    <w:p w14:paraId="6FB57784" w14:textId="77777777" w:rsidR="00EA50B1" w:rsidRPr="00B14DAE" w:rsidRDefault="00EA50B1" w:rsidP="00EA50B1">
      <w:pPr>
        <w:spacing w:before="60" w:after="0" w:line="240" w:lineRule="auto"/>
        <w:rPr>
          <w:rFonts w:ascii="Arial" w:hAnsi="Arial"/>
          <w:color w:val="000000" w:themeColor="text1"/>
          <w:szCs w:val="20"/>
        </w:rPr>
      </w:pPr>
    </w:p>
    <w:p w14:paraId="1F52C7C8" w14:textId="4D727DF7" w:rsidR="00EA50B1" w:rsidRPr="00B14DAE" w:rsidRDefault="00EA50B1" w:rsidP="00EA50B1">
      <w:pPr>
        <w:spacing w:before="60" w:after="0" w:line="240" w:lineRule="auto"/>
        <w:rPr>
          <w:rFonts w:ascii="Arial" w:hAnsi="Arial"/>
          <w:color w:val="000000" w:themeColor="text1"/>
          <w:szCs w:val="20"/>
        </w:rPr>
      </w:pPr>
      <w:r w:rsidRPr="00B14DAE">
        <w:rPr>
          <w:rFonts w:ascii="Arial" w:hAnsi="Arial"/>
          <w:color w:val="000000" w:themeColor="text1"/>
          <w:szCs w:val="20"/>
        </w:rPr>
        <w:t xml:space="preserve">A detailed Table of Contents assists with navigation to areas of interest. </w:t>
      </w:r>
    </w:p>
    <w:p w14:paraId="32E645BA" w14:textId="77777777" w:rsidR="00F6771F" w:rsidRPr="00B14DAE" w:rsidRDefault="00F6771F" w:rsidP="00F6771F">
      <w:pPr>
        <w:spacing w:after="0" w:line="240" w:lineRule="auto"/>
        <w:rPr>
          <w:rFonts w:ascii="Arial" w:hAnsi="Arial"/>
          <w:b/>
          <w:bCs/>
          <w:color w:val="000000" w:themeColor="text1"/>
          <w:sz w:val="22"/>
        </w:rPr>
      </w:pPr>
    </w:p>
    <w:p w14:paraId="6ADE53DD" w14:textId="47F5FEF3" w:rsidR="00422736" w:rsidRPr="00B14DAE" w:rsidRDefault="00422736">
      <w:pPr>
        <w:spacing w:after="0" w:line="240" w:lineRule="auto"/>
        <w:rPr>
          <w:rFonts w:ascii="Arial" w:hAnsi="Arial"/>
          <w:b/>
          <w:bCs/>
          <w:color w:val="000000" w:themeColor="text1"/>
          <w:szCs w:val="20"/>
        </w:rPr>
      </w:pPr>
    </w:p>
    <w:p w14:paraId="684AA6F6" w14:textId="426BAC11" w:rsidR="00422736" w:rsidRPr="00B14DAE" w:rsidRDefault="00422736" w:rsidP="008A6758">
      <w:pPr>
        <w:spacing w:after="0" w:line="240" w:lineRule="auto"/>
        <w:rPr>
          <w:rFonts w:ascii="Arial" w:hAnsi="Arial"/>
          <w:b/>
          <w:bCs/>
          <w:color w:val="000000" w:themeColor="text1"/>
          <w:szCs w:val="20"/>
        </w:rPr>
      </w:pPr>
    </w:p>
    <w:p w14:paraId="3A5B272E" w14:textId="37B4CEA6" w:rsidR="00422736" w:rsidRPr="00B14DAE" w:rsidRDefault="00813EF8" w:rsidP="008A6758">
      <w:pPr>
        <w:spacing w:after="0" w:line="240" w:lineRule="auto"/>
        <w:rPr>
          <w:rFonts w:ascii="Arial" w:hAnsi="Arial"/>
          <w:b/>
          <w:bCs/>
          <w:color w:val="000000" w:themeColor="text1"/>
          <w:szCs w:val="20"/>
        </w:rPr>
      </w:pPr>
      <w:r w:rsidRPr="00B14DAE">
        <w:rPr>
          <w:rFonts w:ascii="Arial" w:hAnsi="Arial"/>
          <w:noProof/>
          <w:color w:val="000000" w:themeColor="text1"/>
          <w:szCs w:val="20"/>
        </w:rPr>
        <mc:AlternateContent>
          <mc:Choice Requires="wps">
            <w:drawing>
              <wp:anchor distT="0" distB="0" distL="114300" distR="114300" simplePos="0" relativeHeight="252946432" behindDoc="0" locked="0" layoutInCell="1" allowOverlap="1" wp14:anchorId="5AF5B6FF" wp14:editId="7CEAEB19">
                <wp:simplePos x="0" y="0"/>
                <wp:positionH relativeFrom="margin">
                  <wp:posOffset>422031</wp:posOffset>
                </wp:positionH>
                <wp:positionV relativeFrom="paragraph">
                  <wp:posOffset>11724</wp:posOffset>
                </wp:positionV>
                <wp:extent cx="5124450" cy="1012874"/>
                <wp:effectExtent l="0" t="0" r="19050" b="15875"/>
                <wp:wrapNone/>
                <wp:docPr id="246" name="Text Box 246"/>
                <wp:cNvGraphicFramePr/>
                <a:graphic xmlns:a="http://schemas.openxmlformats.org/drawingml/2006/main">
                  <a:graphicData uri="http://schemas.microsoft.com/office/word/2010/wordprocessingShape">
                    <wps:wsp>
                      <wps:cNvSpPr txBox="1"/>
                      <wps:spPr>
                        <a:xfrm>
                          <a:off x="0" y="0"/>
                          <a:ext cx="5124450" cy="1012874"/>
                        </a:xfrm>
                        <a:prstGeom prst="rect">
                          <a:avLst/>
                        </a:prstGeom>
                        <a:solidFill>
                          <a:schemeClr val="lt1"/>
                        </a:solidFill>
                        <a:ln w="6350">
                          <a:solidFill>
                            <a:prstClr val="black"/>
                          </a:solidFill>
                        </a:ln>
                      </wps:spPr>
                      <wps:txbx>
                        <w:txbxContent>
                          <w:p w14:paraId="6426F927" w14:textId="00995EB6" w:rsidR="00A12967" w:rsidRPr="00B14DAE" w:rsidRDefault="00422736" w:rsidP="00A12967">
                            <w:pPr>
                              <w:spacing w:before="60" w:after="0" w:line="264" w:lineRule="auto"/>
                              <w:rPr>
                                <w:color w:val="000000" w:themeColor="text1"/>
                              </w:rPr>
                            </w:pPr>
                            <w:r w:rsidRPr="00B14DAE">
                              <w:rPr>
                                <w:rFonts w:ascii="Arial" w:hAnsi="Arial"/>
                                <w:color w:val="000000" w:themeColor="text1"/>
                                <w:sz w:val="18"/>
                                <w:szCs w:val="18"/>
                              </w:rPr>
                              <w:t xml:space="preserve">The latest figures in both Stats NZ’s and MSD’s 2026 reports are based on the same 2024-25 HILS data. </w:t>
                            </w:r>
                            <w:r w:rsidR="00A12967" w:rsidRPr="00B14DAE">
                              <w:rPr>
                                <w:rFonts w:ascii="Arial" w:hAnsi="Arial"/>
                                <w:color w:val="000000" w:themeColor="text1"/>
                                <w:sz w:val="18"/>
                                <w:szCs w:val="18"/>
                              </w:rPr>
                              <w:t>(HILS</w:t>
                            </w:r>
                            <w:r w:rsidR="00A12967">
                              <w:rPr>
                                <w:rFonts w:ascii="Arial" w:hAnsi="Arial"/>
                                <w:color w:val="000000" w:themeColor="text1"/>
                                <w:sz w:val="18"/>
                                <w:szCs w:val="18"/>
                              </w:rPr>
                              <w:t xml:space="preserve"> (the Household Income and Living Survey) </w:t>
                            </w:r>
                            <w:r w:rsidR="00A12967" w:rsidRPr="00B14DAE">
                              <w:rPr>
                                <w:rFonts w:ascii="Arial" w:hAnsi="Arial"/>
                                <w:color w:val="000000" w:themeColor="text1"/>
                                <w:sz w:val="18"/>
                                <w:szCs w:val="18"/>
                              </w:rPr>
                              <w:t>is the new</w:t>
                            </w:r>
                            <w:r w:rsidR="00826C05">
                              <w:rPr>
                                <w:rFonts w:ascii="Arial" w:hAnsi="Arial"/>
                                <w:color w:val="000000" w:themeColor="text1"/>
                                <w:sz w:val="18"/>
                                <w:szCs w:val="18"/>
                              </w:rPr>
                              <w:t xml:space="preserve"> version of </w:t>
                            </w:r>
                            <w:r w:rsidR="00A12967" w:rsidRPr="00B14DAE">
                              <w:rPr>
                                <w:rFonts w:ascii="Arial" w:hAnsi="Arial"/>
                                <w:color w:val="000000" w:themeColor="text1"/>
                                <w:sz w:val="18"/>
                                <w:szCs w:val="18"/>
                              </w:rPr>
                              <w:t>HES</w:t>
                            </w:r>
                            <w:r w:rsidR="00826C05">
                              <w:rPr>
                                <w:rFonts w:ascii="Arial" w:hAnsi="Arial"/>
                                <w:color w:val="000000" w:themeColor="text1"/>
                                <w:sz w:val="18"/>
                                <w:szCs w:val="18"/>
                              </w:rPr>
                              <w:t xml:space="preserve"> (the Household Economic Survey</w:t>
                            </w:r>
                            <w:r w:rsidR="00A12967" w:rsidRPr="00B14DAE">
                              <w:rPr>
                                <w:rFonts w:ascii="Arial" w:hAnsi="Arial"/>
                                <w:color w:val="000000" w:themeColor="text1"/>
                                <w:sz w:val="18"/>
                                <w:szCs w:val="18"/>
                              </w:rPr>
                              <w:t>).</w:t>
                            </w:r>
                          </w:p>
                          <w:p w14:paraId="6E4446D5" w14:textId="0DCE4857" w:rsidR="00422736" w:rsidRPr="00B14DAE" w:rsidRDefault="00422736" w:rsidP="002053A7">
                            <w:pPr>
                              <w:spacing w:before="60" w:after="0" w:line="264" w:lineRule="auto"/>
                              <w:rPr>
                                <w:color w:val="000000" w:themeColor="text1"/>
                              </w:rPr>
                            </w:pPr>
                            <w:r w:rsidRPr="00B14DAE">
                              <w:rPr>
                                <w:rFonts w:ascii="Arial" w:hAnsi="Arial"/>
                                <w:b/>
                                <w:bCs/>
                                <w:color w:val="000000" w:themeColor="text1"/>
                                <w:sz w:val="18"/>
                                <w:szCs w:val="18"/>
                              </w:rPr>
                              <w:t>The headline CPRA figures in this report are the same as those in the 2026 Stats NZ report.</w:t>
                            </w:r>
                            <w:r w:rsidRPr="00B14DAE">
                              <w:rPr>
                                <w:rFonts w:ascii="Arial" w:hAnsi="Arial"/>
                                <w:color w:val="000000" w:themeColor="text1"/>
                                <w:sz w:val="18"/>
                                <w:szCs w:val="18"/>
                              </w:rPr>
                              <w:t xml:space="preserve"> The next Stats NZ report is scheduled for February 2027, with updates using HILS 2025-26.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5B6FF" id="_x0000_t202" coordsize="21600,21600" o:spt="202" path="m,l,21600r21600,l21600,xe">
                <v:stroke joinstyle="miter"/>
                <v:path gradientshapeok="t" o:connecttype="rect"/>
              </v:shapetype>
              <v:shape id="Text Box 246" o:spid="_x0000_s1026" type="#_x0000_t202" style="position:absolute;margin-left:33.25pt;margin-top:.9pt;width:403.5pt;height:79.75pt;z-index:25294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" fillcolor="white [3201]" strokeweight=".5pt">
                <v:textbox>
                  <w:txbxContent>
                    <w:p w14:paraId="6426F927" w14:textId="00995EB6" w:rsidR="00A12967" w:rsidRPr="00B14DAE" w:rsidRDefault="00422736" w:rsidP="00A12967">
                      <w:pPr>
                        <w:spacing w:before="60" w:after="0" w:line="264" w:lineRule="auto"/>
                        <w:rPr>
                          <w:color w:val="000000" w:themeColor="text1"/>
                        </w:rPr>
                      </w:pPr>
                      <w:r w:rsidRPr="00B14DAE">
                        <w:rPr>
                          <w:rFonts w:ascii="Arial" w:hAnsi="Arial"/>
                          <w:color w:val="000000" w:themeColor="text1"/>
                          <w:sz w:val="18"/>
                          <w:szCs w:val="18"/>
                        </w:rPr>
                        <w:t xml:space="preserve">The latest figures in both Stats NZ’s and MSD’s 2026 reports are based on the same 2024-25 HILS data. </w:t>
                      </w:r>
                      <w:r w:rsidR="00A12967" w:rsidRPr="00B14DAE">
                        <w:rPr>
                          <w:rFonts w:ascii="Arial" w:hAnsi="Arial"/>
                          <w:color w:val="000000" w:themeColor="text1"/>
                          <w:sz w:val="18"/>
                          <w:szCs w:val="18"/>
                        </w:rPr>
                        <w:t>(HILS</w:t>
                      </w:r>
                      <w:r w:rsidR="00A12967">
                        <w:rPr>
                          <w:rFonts w:ascii="Arial" w:hAnsi="Arial"/>
                          <w:color w:val="000000" w:themeColor="text1"/>
                          <w:sz w:val="18"/>
                          <w:szCs w:val="18"/>
                        </w:rPr>
                        <w:t xml:space="preserve"> (the Household Income and Living Survey) </w:t>
                      </w:r>
                      <w:r w:rsidR="00A12967" w:rsidRPr="00B14DAE">
                        <w:rPr>
                          <w:rFonts w:ascii="Arial" w:hAnsi="Arial"/>
                          <w:color w:val="000000" w:themeColor="text1"/>
                          <w:sz w:val="18"/>
                          <w:szCs w:val="18"/>
                        </w:rPr>
                        <w:t>is the new</w:t>
                      </w:r>
                      <w:r w:rsidR="00826C05">
                        <w:rPr>
                          <w:rFonts w:ascii="Arial" w:hAnsi="Arial"/>
                          <w:color w:val="000000" w:themeColor="text1"/>
                          <w:sz w:val="18"/>
                          <w:szCs w:val="18"/>
                        </w:rPr>
                        <w:t xml:space="preserve"> version of </w:t>
                      </w:r>
                      <w:r w:rsidR="00A12967" w:rsidRPr="00B14DAE">
                        <w:rPr>
                          <w:rFonts w:ascii="Arial" w:hAnsi="Arial"/>
                          <w:color w:val="000000" w:themeColor="text1"/>
                          <w:sz w:val="18"/>
                          <w:szCs w:val="18"/>
                        </w:rPr>
                        <w:t>HES</w:t>
                      </w:r>
                      <w:r w:rsidR="00826C05">
                        <w:rPr>
                          <w:rFonts w:ascii="Arial" w:hAnsi="Arial"/>
                          <w:color w:val="000000" w:themeColor="text1"/>
                          <w:sz w:val="18"/>
                          <w:szCs w:val="18"/>
                        </w:rPr>
                        <w:t xml:space="preserve"> (the Household Economic Survey</w:t>
                      </w:r>
                      <w:r w:rsidR="00A12967" w:rsidRPr="00B14DAE">
                        <w:rPr>
                          <w:rFonts w:ascii="Arial" w:hAnsi="Arial"/>
                          <w:color w:val="000000" w:themeColor="text1"/>
                          <w:sz w:val="18"/>
                          <w:szCs w:val="18"/>
                        </w:rPr>
                        <w:t>).</w:t>
                      </w:r>
                    </w:p>
                    <w:p w14:paraId="6E4446D5" w14:textId="0DCE4857" w:rsidR="00422736" w:rsidRPr="00B14DAE" w:rsidRDefault="00422736" w:rsidP="002053A7">
                      <w:pPr>
                        <w:spacing w:before="60" w:after="0" w:line="264" w:lineRule="auto"/>
                        <w:rPr>
                          <w:color w:val="000000" w:themeColor="text1"/>
                        </w:rPr>
                      </w:pPr>
                      <w:r w:rsidRPr="00B14DAE">
                        <w:rPr>
                          <w:rFonts w:ascii="Arial" w:hAnsi="Arial"/>
                          <w:b/>
                          <w:bCs/>
                          <w:color w:val="000000" w:themeColor="text1"/>
                          <w:sz w:val="18"/>
                          <w:szCs w:val="18"/>
                        </w:rPr>
                        <w:t>The headline CPRA figures in this report are the same as those in the 2026 Stats NZ report.</w:t>
                      </w:r>
                      <w:r w:rsidRPr="00B14DAE">
                        <w:rPr>
                          <w:rFonts w:ascii="Arial" w:hAnsi="Arial"/>
                          <w:color w:val="000000" w:themeColor="text1"/>
                          <w:sz w:val="18"/>
                          <w:szCs w:val="18"/>
                        </w:rPr>
                        <w:t xml:space="preserve"> The next Stats NZ report is scheduled for February 2027, with updates using HILS 2025-26. </w:t>
                      </w:r>
                    </w:p>
                  </w:txbxContent>
                </v:textbox>
                <w10:wrap anchorx="margin"/>
              </v:shape>
            </w:pict>
          </mc:Fallback>
        </mc:AlternateContent>
      </w:r>
    </w:p>
    <w:p w14:paraId="14D623CC" w14:textId="77777777" w:rsidR="00422736" w:rsidRPr="00B14DAE" w:rsidRDefault="00422736" w:rsidP="008A6758">
      <w:pPr>
        <w:spacing w:after="0" w:line="240" w:lineRule="auto"/>
        <w:rPr>
          <w:rFonts w:ascii="Arial" w:hAnsi="Arial"/>
          <w:b/>
          <w:bCs/>
          <w:color w:val="000000" w:themeColor="text1"/>
          <w:szCs w:val="20"/>
        </w:rPr>
      </w:pPr>
    </w:p>
    <w:p w14:paraId="765420B2" w14:textId="77777777" w:rsidR="00422736" w:rsidRPr="00B14DAE" w:rsidRDefault="00422736" w:rsidP="008A6758">
      <w:pPr>
        <w:spacing w:after="0" w:line="240" w:lineRule="auto"/>
        <w:rPr>
          <w:rFonts w:ascii="Arial" w:hAnsi="Arial"/>
          <w:b/>
          <w:bCs/>
          <w:color w:val="000000" w:themeColor="text1"/>
          <w:szCs w:val="20"/>
        </w:rPr>
      </w:pPr>
    </w:p>
    <w:p w14:paraId="403FAD39" w14:textId="77777777" w:rsidR="00422736" w:rsidRPr="00B14DAE" w:rsidRDefault="00422736" w:rsidP="008A6758">
      <w:pPr>
        <w:spacing w:after="0" w:line="240" w:lineRule="auto"/>
        <w:rPr>
          <w:rFonts w:ascii="Arial" w:hAnsi="Arial"/>
          <w:b/>
          <w:bCs/>
          <w:color w:val="000000" w:themeColor="text1"/>
          <w:szCs w:val="20"/>
        </w:rPr>
      </w:pPr>
    </w:p>
    <w:p w14:paraId="25BC1DF0" w14:textId="77777777" w:rsidR="00422736" w:rsidRPr="00B14DAE" w:rsidRDefault="00422736" w:rsidP="008A6758">
      <w:pPr>
        <w:spacing w:after="0" w:line="240" w:lineRule="auto"/>
        <w:rPr>
          <w:rFonts w:ascii="Arial" w:hAnsi="Arial"/>
          <w:b/>
          <w:bCs/>
          <w:color w:val="000000" w:themeColor="text1"/>
          <w:szCs w:val="20"/>
        </w:rPr>
      </w:pPr>
    </w:p>
    <w:p w14:paraId="3CC35C9E" w14:textId="77777777" w:rsidR="00572087" w:rsidRDefault="00572087">
      <w:pPr>
        <w:spacing w:after="0" w:line="240" w:lineRule="auto"/>
        <w:rPr>
          <w:rFonts w:ascii="Arial" w:hAnsi="Arial"/>
          <w:b/>
          <w:bCs/>
          <w:color w:val="000000" w:themeColor="text1"/>
          <w:szCs w:val="20"/>
        </w:rPr>
      </w:pPr>
    </w:p>
    <w:p w14:paraId="7A73AF26" w14:textId="3FABF19B" w:rsidR="00131099" w:rsidRPr="00B14DAE" w:rsidRDefault="00131099">
      <w:pPr>
        <w:spacing w:after="0" w:line="240" w:lineRule="auto"/>
        <w:rPr>
          <w:rFonts w:ascii="Arial" w:hAnsi="Arial"/>
          <w:b/>
          <w:bCs/>
          <w:color w:val="000000" w:themeColor="text1"/>
          <w:szCs w:val="20"/>
        </w:rPr>
      </w:pPr>
      <w:r w:rsidRPr="00B14DAE">
        <w:rPr>
          <w:rFonts w:ascii="Arial" w:hAnsi="Arial"/>
          <w:b/>
          <w:bCs/>
          <w:color w:val="000000" w:themeColor="text1"/>
          <w:szCs w:val="20"/>
        </w:rPr>
        <w:br w:type="page"/>
      </w:r>
    </w:p>
    <w:p w14:paraId="11FCD72D" w14:textId="47EA16A6" w:rsidR="008A6758" w:rsidRPr="00735717" w:rsidRDefault="00F323C5" w:rsidP="008A6758">
      <w:pPr>
        <w:spacing w:after="0" w:line="240" w:lineRule="auto"/>
        <w:rPr>
          <w:rFonts w:ascii="Arial" w:hAnsi="Arial"/>
          <w:b/>
          <w:bCs/>
          <w:color w:val="000000" w:themeColor="text1"/>
          <w:szCs w:val="20"/>
        </w:rPr>
      </w:pPr>
      <w:r w:rsidRPr="00735717">
        <w:rPr>
          <w:rFonts w:ascii="Arial" w:hAnsi="Arial"/>
          <w:b/>
          <w:bCs/>
          <w:color w:val="000000" w:themeColor="text1"/>
          <w:szCs w:val="20"/>
        </w:rPr>
        <w:lastRenderedPageBreak/>
        <w:t xml:space="preserve">Four </w:t>
      </w:r>
      <w:r w:rsidR="00486A08" w:rsidRPr="00735717">
        <w:rPr>
          <w:rFonts w:ascii="Arial" w:hAnsi="Arial"/>
          <w:b/>
          <w:bCs/>
          <w:color w:val="000000" w:themeColor="text1"/>
          <w:szCs w:val="20"/>
        </w:rPr>
        <w:t>changes of note</w:t>
      </w:r>
      <w:r w:rsidRPr="00735717">
        <w:rPr>
          <w:rFonts w:ascii="Arial" w:hAnsi="Arial"/>
          <w:b/>
          <w:bCs/>
          <w:color w:val="000000" w:themeColor="text1"/>
          <w:szCs w:val="20"/>
        </w:rPr>
        <w:t xml:space="preserve"> since </w:t>
      </w:r>
      <w:r w:rsidR="00131099" w:rsidRPr="00735717">
        <w:rPr>
          <w:rFonts w:ascii="Arial" w:hAnsi="Arial"/>
          <w:b/>
          <w:bCs/>
          <w:color w:val="000000" w:themeColor="text1"/>
          <w:szCs w:val="20"/>
        </w:rPr>
        <w:t xml:space="preserve">the </w:t>
      </w:r>
      <w:r w:rsidRPr="00735717">
        <w:rPr>
          <w:rFonts w:ascii="Arial" w:hAnsi="Arial"/>
          <w:b/>
          <w:bCs/>
          <w:color w:val="000000" w:themeColor="text1"/>
          <w:szCs w:val="20"/>
        </w:rPr>
        <w:t>last report in 2024</w:t>
      </w:r>
    </w:p>
    <w:p w14:paraId="171AD480" w14:textId="77777777" w:rsidR="008A6758" w:rsidRPr="00735717" w:rsidRDefault="008A6758" w:rsidP="008A6758">
      <w:pPr>
        <w:spacing w:after="0" w:line="240" w:lineRule="auto"/>
        <w:rPr>
          <w:rFonts w:ascii="Arial" w:hAnsi="Arial"/>
          <w:color w:val="000000" w:themeColor="text1"/>
          <w:szCs w:val="20"/>
        </w:rPr>
      </w:pPr>
    </w:p>
    <w:p w14:paraId="38A983AF" w14:textId="75886EF7" w:rsidR="00486A08" w:rsidRPr="00735717" w:rsidRDefault="00FA2090" w:rsidP="008A6758">
      <w:pPr>
        <w:spacing w:after="0" w:line="240" w:lineRule="auto"/>
        <w:rPr>
          <w:rFonts w:ascii="Arial" w:hAnsi="Arial"/>
          <w:color w:val="000000" w:themeColor="text1"/>
          <w:szCs w:val="20"/>
        </w:rPr>
      </w:pPr>
      <w:r w:rsidRPr="00735717">
        <w:rPr>
          <w:rFonts w:ascii="Arial" w:hAnsi="Arial"/>
          <w:color w:val="000000" w:themeColor="text1"/>
          <w:szCs w:val="20"/>
        </w:rPr>
        <w:t xml:space="preserve">The 2026 report updates the </w:t>
      </w:r>
      <w:r w:rsidR="00813EF8" w:rsidRPr="00735717">
        <w:rPr>
          <w:rFonts w:ascii="Arial" w:hAnsi="Arial"/>
          <w:color w:val="000000" w:themeColor="text1"/>
          <w:szCs w:val="20"/>
        </w:rPr>
        <w:t xml:space="preserve">2024 edition </w:t>
      </w:r>
      <w:r w:rsidR="00131099" w:rsidRPr="00735717">
        <w:rPr>
          <w:rFonts w:ascii="Arial" w:hAnsi="Arial"/>
          <w:color w:val="000000" w:themeColor="text1"/>
          <w:szCs w:val="20"/>
        </w:rPr>
        <w:t>with</w:t>
      </w:r>
      <w:r w:rsidR="00813EF8" w:rsidRPr="00735717">
        <w:rPr>
          <w:rFonts w:ascii="Arial" w:hAnsi="Arial"/>
          <w:color w:val="000000" w:themeColor="text1"/>
          <w:szCs w:val="20"/>
        </w:rPr>
        <w:t xml:space="preserve"> analysis from</w:t>
      </w:r>
      <w:r w:rsidR="00131099" w:rsidRPr="00735717">
        <w:rPr>
          <w:rFonts w:ascii="Arial" w:hAnsi="Arial"/>
          <w:color w:val="000000" w:themeColor="text1"/>
          <w:szCs w:val="20"/>
        </w:rPr>
        <w:t xml:space="preserve"> </w:t>
      </w:r>
      <w:r w:rsidR="00486A08" w:rsidRPr="00735717">
        <w:rPr>
          <w:rFonts w:ascii="Arial" w:hAnsi="Arial"/>
          <w:color w:val="000000" w:themeColor="text1"/>
          <w:szCs w:val="20"/>
        </w:rPr>
        <w:t xml:space="preserve">HES </w:t>
      </w:r>
      <w:r w:rsidRPr="00735717">
        <w:rPr>
          <w:rFonts w:ascii="Arial" w:hAnsi="Arial"/>
          <w:color w:val="000000" w:themeColor="text1"/>
          <w:szCs w:val="20"/>
        </w:rPr>
        <w:t>20</w:t>
      </w:r>
      <w:r w:rsidR="00486A08" w:rsidRPr="00735717">
        <w:rPr>
          <w:rFonts w:ascii="Arial" w:hAnsi="Arial"/>
          <w:color w:val="000000" w:themeColor="text1"/>
          <w:szCs w:val="20"/>
        </w:rPr>
        <w:t>23</w:t>
      </w:r>
      <w:r w:rsidRPr="00735717">
        <w:rPr>
          <w:rFonts w:ascii="Arial" w:hAnsi="Arial"/>
          <w:color w:val="000000" w:themeColor="text1"/>
          <w:szCs w:val="20"/>
        </w:rPr>
        <w:t>-</w:t>
      </w:r>
      <w:r w:rsidR="00486A08" w:rsidRPr="00735717">
        <w:rPr>
          <w:rFonts w:ascii="Arial" w:hAnsi="Arial"/>
          <w:color w:val="000000" w:themeColor="text1"/>
          <w:szCs w:val="20"/>
        </w:rPr>
        <w:t xml:space="preserve">24 and HILS </w:t>
      </w:r>
      <w:r w:rsidR="00813EF8" w:rsidRPr="00735717">
        <w:rPr>
          <w:rFonts w:ascii="Arial" w:hAnsi="Arial"/>
          <w:color w:val="000000" w:themeColor="text1"/>
          <w:szCs w:val="20"/>
        </w:rPr>
        <w:t>20</w:t>
      </w:r>
      <w:r w:rsidR="00486A08" w:rsidRPr="00735717">
        <w:rPr>
          <w:rFonts w:ascii="Arial" w:hAnsi="Arial"/>
          <w:color w:val="000000" w:themeColor="text1"/>
          <w:szCs w:val="20"/>
        </w:rPr>
        <w:t>24</w:t>
      </w:r>
      <w:r w:rsidRPr="00735717">
        <w:rPr>
          <w:rFonts w:ascii="Arial" w:hAnsi="Arial"/>
          <w:color w:val="000000" w:themeColor="text1"/>
          <w:szCs w:val="20"/>
        </w:rPr>
        <w:t>-</w:t>
      </w:r>
      <w:r w:rsidR="00486A08" w:rsidRPr="00735717">
        <w:rPr>
          <w:rFonts w:ascii="Arial" w:hAnsi="Arial"/>
          <w:color w:val="000000" w:themeColor="text1"/>
          <w:szCs w:val="20"/>
        </w:rPr>
        <w:t>25</w:t>
      </w:r>
      <w:r w:rsidR="00B85D2D" w:rsidRPr="00735717">
        <w:rPr>
          <w:rFonts w:ascii="Arial" w:hAnsi="Arial"/>
          <w:color w:val="000000" w:themeColor="text1"/>
          <w:szCs w:val="20"/>
        </w:rPr>
        <w:t>. It</w:t>
      </w:r>
      <w:r w:rsidR="00131099" w:rsidRPr="00735717">
        <w:rPr>
          <w:rFonts w:ascii="Arial" w:hAnsi="Arial"/>
          <w:color w:val="000000" w:themeColor="text1"/>
          <w:szCs w:val="20"/>
        </w:rPr>
        <w:t xml:space="preserve"> also </w:t>
      </w:r>
      <w:r w:rsidR="00813EF8" w:rsidRPr="00735717">
        <w:rPr>
          <w:rFonts w:ascii="Arial" w:hAnsi="Arial"/>
          <w:color w:val="000000" w:themeColor="text1"/>
          <w:szCs w:val="20"/>
        </w:rPr>
        <w:t xml:space="preserve">includes updates of some of the charts and tables </w:t>
      </w:r>
      <w:r w:rsidR="00B85D2D" w:rsidRPr="00735717">
        <w:rPr>
          <w:rFonts w:ascii="Arial" w:hAnsi="Arial"/>
          <w:color w:val="000000" w:themeColor="text1"/>
          <w:szCs w:val="20"/>
        </w:rPr>
        <w:t xml:space="preserve">from the 2022 edition </w:t>
      </w:r>
      <w:r w:rsidR="00813EF8" w:rsidRPr="00735717">
        <w:rPr>
          <w:rFonts w:ascii="Arial" w:hAnsi="Arial"/>
          <w:color w:val="000000" w:themeColor="text1"/>
          <w:szCs w:val="20"/>
        </w:rPr>
        <w:t>that were not included in the</w:t>
      </w:r>
      <w:r w:rsidR="007A09E5">
        <w:rPr>
          <w:rFonts w:ascii="Arial" w:hAnsi="Arial"/>
          <w:color w:val="000000" w:themeColor="text1"/>
          <w:szCs w:val="20"/>
        </w:rPr>
        <w:t xml:space="preserve"> shorter</w:t>
      </w:r>
      <w:r w:rsidR="00813EF8" w:rsidRPr="00735717">
        <w:rPr>
          <w:rFonts w:ascii="Arial" w:hAnsi="Arial"/>
          <w:color w:val="000000" w:themeColor="text1"/>
          <w:szCs w:val="20"/>
        </w:rPr>
        <w:t xml:space="preserve"> 2024 edition. </w:t>
      </w:r>
      <w:r w:rsidR="00486A08" w:rsidRPr="00735717">
        <w:rPr>
          <w:rFonts w:ascii="Arial" w:hAnsi="Arial"/>
          <w:color w:val="000000" w:themeColor="text1"/>
          <w:szCs w:val="20"/>
        </w:rPr>
        <w:t xml:space="preserve">There are however four changes that are </w:t>
      </w:r>
      <w:r w:rsidR="00131099" w:rsidRPr="00735717">
        <w:rPr>
          <w:rFonts w:ascii="Arial" w:hAnsi="Arial"/>
          <w:color w:val="000000" w:themeColor="text1"/>
          <w:szCs w:val="20"/>
        </w:rPr>
        <w:t xml:space="preserve">not simply updates but are more substantial and </w:t>
      </w:r>
      <w:r w:rsidR="00486A08" w:rsidRPr="00735717">
        <w:rPr>
          <w:rFonts w:ascii="Arial" w:hAnsi="Arial"/>
          <w:color w:val="000000" w:themeColor="text1"/>
          <w:szCs w:val="20"/>
        </w:rPr>
        <w:t>worth noting up front.</w:t>
      </w:r>
    </w:p>
    <w:p w14:paraId="2E23A3C1" w14:textId="77777777" w:rsidR="008A6758" w:rsidRPr="00735717" w:rsidRDefault="008A6758" w:rsidP="008A6758">
      <w:pPr>
        <w:spacing w:after="0" w:line="240" w:lineRule="auto"/>
        <w:rPr>
          <w:rFonts w:ascii="Arial" w:hAnsi="Arial"/>
          <w:color w:val="000000" w:themeColor="text1"/>
          <w:szCs w:val="20"/>
        </w:rPr>
      </w:pPr>
    </w:p>
    <w:p w14:paraId="52EDEE50" w14:textId="750EAB4A" w:rsidR="008A6758" w:rsidRPr="004C4471" w:rsidRDefault="00422736">
      <w:pPr>
        <w:pStyle w:val="ListParagraph"/>
        <w:numPr>
          <w:ilvl w:val="0"/>
          <w:numId w:val="100"/>
        </w:numPr>
        <w:spacing w:after="0" w:line="240" w:lineRule="auto"/>
        <w:ind w:left="284" w:hanging="284"/>
        <w:rPr>
          <w:rFonts w:ascii="Arial" w:hAnsi="Arial"/>
          <w:color w:val="000000" w:themeColor="text1"/>
          <w:szCs w:val="20"/>
          <w:u w:val="single"/>
        </w:rPr>
      </w:pPr>
      <w:r w:rsidRPr="004C4471">
        <w:rPr>
          <w:rFonts w:ascii="Arial" w:hAnsi="Arial"/>
          <w:color w:val="000000" w:themeColor="text1"/>
          <w:szCs w:val="20"/>
          <w:u w:val="single"/>
        </w:rPr>
        <w:t>Moving from HES to HILS</w:t>
      </w:r>
      <w:r w:rsidR="00FF5039" w:rsidRPr="004C4471">
        <w:rPr>
          <w:rFonts w:ascii="Arial" w:hAnsi="Arial"/>
          <w:color w:val="000000" w:themeColor="text1"/>
          <w:szCs w:val="20"/>
          <w:u w:val="single"/>
        </w:rPr>
        <w:t xml:space="preserve"> requires the use of revised material hardship measures to ensure continuity of the time series</w:t>
      </w:r>
    </w:p>
    <w:p w14:paraId="1F07CBE4" w14:textId="77777777" w:rsidR="00422736" w:rsidRDefault="00422736" w:rsidP="00422736">
      <w:pPr>
        <w:spacing w:after="0" w:line="240" w:lineRule="auto"/>
        <w:rPr>
          <w:rFonts w:ascii="Arial" w:hAnsi="Arial"/>
          <w:color w:val="000000" w:themeColor="text1"/>
          <w:szCs w:val="20"/>
        </w:rPr>
      </w:pPr>
    </w:p>
    <w:p w14:paraId="01A7E60A" w14:textId="77777777" w:rsidR="0001010D" w:rsidRDefault="00422736" w:rsidP="0001010D">
      <w:pPr>
        <w:spacing w:after="0" w:line="240" w:lineRule="auto"/>
        <w:rPr>
          <w:rFonts w:ascii="Arial" w:hAnsi="Arial"/>
          <w:color w:val="000000" w:themeColor="text1"/>
          <w:szCs w:val="20"/>
        </w:rPr>
      </w:pPr>
      <w:r>
        <w:rPr>
          <w:rFonts w:ascii="Arial" w:hAnsi="Arial"/>
          <w:color w:val="000000" w:themeColor="text1"/>
          <w:szCs w:val="20"/>
        </w:rPr>
        <w:t xml:space="preserve">The main change in terms of impact on the CPRA measures was </w:t>
      </w:r>
      <w:r w:rsidR="00826C05">
        <w:rPr>
          <w:rFonts w:ascii="Arial" w:hAnsi="Arial"/>
          <w:color w:val="000000" w:themeColor="text1"/>
          <w:szCs w:val="20"/>
        </w:rPr>
        <w:t xml:space="preserve">the inclusion of </w:t>
      </w:r>
      <w:r>
        <w:rPr>
          <w:rFonts w:ascii="Arial" w:hAnsi="Arial"/>
          <w:color w:val="000000" w:themeColor="text1"/>
          <w:szCs w:val="20"/>
        </w:rPr>
        <w:t xml:space="preserve">a revised set of </w:t>
      </w:r>
      <w:r w:rsidR="003F3C7B">
        <w:rPr>
          <w:rFonts w:ascii="Arial" w:hAnsi="Arial"/>
          <w:color w:val="000000" w:themeColor="text1"/>
          <w:szCs w:val="20"/>
        </w:rPr>
        <w:t>material wellbeing questions (</w:t>
      </w:r>
      <w:r>
        <w:rPr>
          <w:rFonts w:ascii="Arial" w:hAnsi="Arial"/>
          <w:color w:val="000000" w:themeColor="text1"/>
          <w:szCs w:val="20"/>
        </w:rPr>
        <w:t>MWQs</w:t>
      </w:r>
      <w:r w:rsidR="003F3C7B">
        <w:rPr>
          <w:rFonts w:ascii="Arial" w:hAnsi="Arial"/>
          <w:color w:val="000000" w:themeColor="text1"/>
          <w:szCs w:val="20"/>
        </w:rPr>
        <w:t>)</w:t>
      </w:r>
      <w:r>
        <w:rPr>
          <w:rFonts w:ascii="Arial" w:hAnsi="Arial"/>
          <w:color w:val="000000" w:themeColor="text1"/>
          <w:szCs w:val="20"/>
        </w:rPr>
        <w:t xml:space="preserve">. A subset of these items in the HES </w:t>
      </w:r>
      <w:r w:rsidR="003F3C7B">
        <w:rPr>
          <w:rFonts w:ascii="Arial" w:hAnsi="Arial"/>
          <w:color w:val="000000" w:themeColor="text1"/>
          <w:szCs w:val="20"/>
        </w:rPr>
        <w:t>is used</w:t>
      </w:r>
      <w:r>
        <w:rPr>
          <w:rFonts w:ascii="Arial" w:hAnsi="Arial"/>
          <w:color w:val="000000" w:themeColor="text1"/>
          <w:szCs w:val="20"/>
        </w:rPr>
        <w:t xml:space="preserve"> </w:t>
      </w:r>
      <w:r w:rsidR="008F1EB0">
        <w:rPr>
          <w:rFonts w:ascii="Arial" w:hAnsi="Arial"/>
          <w:color w:val="000000" w:themeColor="text1"/>
          <w:szCs w:val="20"/>
        </w:rPr>
        <w:t xml:space="preserve">for </w:t>
      </w:r>
      <w:r>
        <w:rPr>
          <w:rFonts w:ascii="Arial" w:hAnsi="Arial"/>
          <w:color w:val="000000" w:themeColor="text1"/>
          <w:szCs w:val="20"/>
        </w:rPr>
        <w:t xml:space="preserve">the DEP-17 </w:t>
      </w:r>
      <w:r w:rsidR="003F3C7B">
        <w:rPr>
          <w:rFonts w:ascii="Arial" w:hAnsi="Arial"/>
          <w:color w:val="000000" w:themeColor="text1"/>
          <w:szCs w:val="20"/>
        </w:rPr>
        <w:t>material hardship (MH)</w:t>
      </w:r>
      <w:r>
        <w:rPr>
          <w:rFonts w:ascii="Arial" w:hAnsi="Arial"/>
          <w:color w:val="000000" w:themeColor="text1"/>
          <w:szCs w:val="20"/>
        </w:rPr>
        <w:t xml:space="preserve"> index. When the DEP-17 (6+/17) methodology was applied to the revised MWQs</w:t>
      </w:r>
      <w:r w:rsidR="003F3C7B">
        <w:rPr>
          <w:rFonts w:ascii="Arial" w:hAnsi="Arial"/>
          <w:color w:val="000000" w:themeColor="text1"/>
          <w:szCs w:val="20"/>
        </w:rPr>
        <w:t xml:space="preserve"> </w:t>
      </w:r>
      <w:r>
        <w:rPr>
          <w:rFonts w:ascii="Arial" w:hAnsi="Arial"/>
          <w:color w:val="000000" w:themeColor="text1"/>
          <w:szCs w:val="20"/>
        </w:rPr>
        <w:t xml:space="preserve">the resulting MH rates were considerably higher than the corresponding ones using the HES data </w:t>
      </w:r>
      <w:r w:rsidR="00403F1B">
        <w:rPr>
          <w:rFonts w:ascii="Arial" w:hAnsi="Arial"/>
          <w:color w:val="000000" w:themeColor="text1"/>
          <w:szCs w:val="20"/>
        </w:rPr>
        <w:t>for</w:t>
      </w:r>
      <w:r>
        <w:rPr>
          <w:rFonts w:ascii="Arial" w:hAnsi="Arial"/>
          <w:color w:val="000000" w:themeColor="text1"/>
          <w:szCs w:val="20"/>
        </w:rPr>
        <w:t xml:space="preserve"> the same time period. The revised MWQs had in effect made it easier to score 6+/17, so the same level of MH was not being measured</w:t>
      </w:r>
      <w:r w:rsidR="003F3C7B">
        <w:rPr>
          <w:rFonts w:ascii="Arial" w:hAnsi="Arial"/>
          <w:color w:val="000000" w:themeColor="text1"/>
          <w:szCs w:val="20"/>
        </w:rPr>
        <w:t xml:space="preserve"> which meant that the </w:t>
      </w:r>
      <w:r w:rsidR="007A09E5">
        <w:rPr>
          <w:rFonts w:ascii="Arial" w:hAnsi="Arial"/>
          <w:color w:val="000000" w:themeColor="text1"/>
          <w:szCs w:val="20"/>
        </w:rPr>
        <w:t xml:space="preserve">MH </w:t>
      </w:r>
      <w:r w:rsidR="003F3C7B">
        <w:rPr>
          <w:rFonts w:ascii="Arial" w:hAnsi="Arial"/>
          <w:color w:val="000000" w:themeColor="text1"/>
          <w:szCs w:val="20"/>
        </w:rPr>
        <w:t xml:space="preserve">time series </w:t>
      </w:r>
      <w:r w:rsidR="0001010D">
        <w:rPr>
          <w:rFonts w:ascii="Arial" w:hAnsi="Arial"/>
          <w:color w:val="000000" w:themeColor="text1"/>
          <w:szCs w:val="20"/>
        </w:rPr>
        <w:t xml:space="preserve">would have been broken if that methodology was applied to HILS. </w:t>
      </w:r>
    </w:p>
    <w:p w14:paraId="06BF6098" w14:textId="77777777" w:rsidR="00422736" w:rsidRDefault="00422736" w:rsidP="00422736">
      <w:pPr>
        <w:spacing w:after="0" w:line="240" w:lineRule="auto"/>
        <w:rPr>
          <w:rFonts w:ascii="Arial" w:hAnsi="Arial"/>
          <w:color w:val="000000" w:themeColor="text1"/>
          <w:szCs w:val="20"/>
        </w:rPr>
      </w:pPr>
    </w:p>
    <w:p w14:paraId="76E95140" w14:textId="45D58482" w:rsidR="00422736" w:rsidRDefault="00422736" w:rsidP="00422736">
      <w:pPr>
        <w:spacing w:after="0" w:line="240" w:lineRule="auto"/>
        <w:rPr>
          <w:rFonts w:ascii="Arial" w:hAnsi="Arial"/>
          <w:color w:val="000000" w:themeColor="text1"/>
          <w:szCs w:val="20"/>
        </w:rPr>
      </w:pPr>
      <w:r>
        <w:rPr>
          <w:rFonts w:ascii="Arial" w:hAnsi="Arial"/>
          <w:color w:val="000000" w:themeColor="text1"/>
          <w:szCs w:val="20"/>
        </w:rPr>
        <w:t xml:space="preserve">To </w:t>
      </w:r>
      <w:r w:rsidR="00C00714">
        <w:rPr>
          <w:rFonts w:ascii="Arial" w:hAnsi="Arial"/>
          <w:color w:val="000000" w:themeColor="text1"/>
          <w:szCs w:val="20"/>
        </w:rPr>
        <w:t>ensure</w:t>
      </w:r>
      <w:r>
        <w:rPr>
          <w:rFonts w:ascii="Arial" w:hAnsi="Arial"/>
          <w:color w:val="000000" w:themeColor="text1"/>
          <w:szCs w:val="20"/>
        </w:rPr>
        <w:t xml:space="preserve"> continuity in the time series a revised MH measure was required</w:t>
      </w:r>
      <w:r w:rsidR="00C00714">
        <w:rPr>
          <w:rFonts w:ascii="Arial" w:hAnsi="Arial"/>
          <w:color w:val="000000" w:themeColor="text1"/>
          <w:szCs w:val="20"/>
        </w:rPr>
        <w:t>.</w:t>
      </w:r>
      <w:r>
        <w:rPr>
          <w:rFonts w:ascii="Arial" w:hAnsi="Arial"/>
          <w:color w:val="000000" w:themeColor="text1"/>
          <w:szCs w:val="20"/>
        </w:rPr>
        <w:t xml:space="preserve"> Stats</w:t>
      </w:r>
      <w:r w:rsidR="00403F1B">
        <w:rPr>
          <w:rFonts w:ascii="Arial" w:hAnsi="Arial"/>
          <w:color w:val="000000" w:themeColor="text1"/>
          <w:szCs w:val="20"/>
        </w:rPr>
        <w:t xml:space="preserve"> NZ</w:t>
      </w:r>
      <w:r>
        <w:rPr>
          <w:rFonts w:ascii="Arial" w:hAnsi="Arial"/>
          <w:color w:val="000000" w:themeColor="text1"/>
          <w:szCs w:val="20"/>
        </w:rPr>
        <w:t xml:space="preserve"> developed a work programme to deliver this</w:t>
      </w:r>
      <w:r w:rsidR="00C00714">
        <w:rPr>
          <w:rFonts w:ascii="Arial" w:hAnsi="Arial"/>
          <w:color w:val="000000" w:themeColor="text1"/>
          <w:szCs w:val="20"/>
        </w:rPr>
        <w:t xml:space="preserve"> and in December 2025 the</w:t>
      </w:r>
      <w:r w:rsidR="00F641A2">
        <w:rPr>
          <w:rFonts w:ascii="Arial" w:hAnsi="Arial"/>
          <w:color w:val="000000" w:themeColor="text1"/>
          <w:szCs w:val="20"/>
        </w:rPr>
        <w:t xml:space="preserve"> Government Statistician approved </w:t>
      </w:r>
      <w:r>
        <w:rPr>
          <w:rFonts w:ascii="Arial" w:hAnsi="Arial"/>
          <w:color w:val="000000" w:themeColor="text1"/>
          <w:szCs w:val="20"/>
        </w:rPr>
        <w:t>a</w:t>
      </w:r>
      <w:r w:rsidR="00F641A2">
        <w:rPr>
          <w:rFonts w:ascii="Arial" w:hAnsi="Arial"/>
          <w:color w:val="000000" w:themeColor="text1"/>
          <w:szCs w:val="20"/>
        </w:rPr>
        <w:t xml:space="preserve"> HILS-based </w:t>
      </w:r>
      <w:r>
        <w:rPr>
          <w:rFonts w:ascii="Arial" w:hAnsi="Arial"/>
          <w:color w:val="000000" w:themeColor="text1"/>
          <w:szCs w:val="20"/>
        </w:rPr>
        <w:t xml:space="preserve">18-item index (MH-18) with a </w:t>
      </w:r>
      <w:r w:rsidR="003F3C7B">
        <w:rPr>
          <w:rFonts w:ascii="Arial" w:hAnsi="Arial"/>
          <w:color w:val="000000" w:themeColor="text1"/>
          <w:szCs w:val="20"/>
        </w:rPr>
        <w:t>7</w:t>
      </w:r>
      <w:r>
        <w:rPr>
          <w:rFonts w:ascii="Arial" w:hAnsi="Arial"/>
          <w:color w:val="000000" w:themeColor="text1"/>
          <w:szCs w:val="20"/>
        </w:rPr>
        <w:t>+/18 threshold</w:t>
      </w:r>
      <w:r w:rsidR="003F3C7B">
        <w:rPr>
          <w:rFonts w:ascii="Arial" w:hAnsi="Arial"/>
          <w:color w:val="000000" w:themeColor="text1"/>
          <w:szCs w:val="20"/>
        </w:rPr>
        <w:t xml:space="preserve"> </w:t>
      </w:r>
      <w:r w:rsidR="00C00714">
        <w:rPr>
          <w:rFonts w:ascii="Arial" w:hAnsi="Arial"/>
          <w:color w:val="000000" w:themeColor="text1"/>
          <w:szCs w:val="20"/>
        </w:rPr>
        <w:t>which achieves this.</w:t>
      </w:r>
      <w:r w:rsidR="003F3C7B">
        <w:rPr>
          <w:rFonts w:ascii="Arial" w:hAnsi="Arial"/>
          <w:color w:val="000000" w:themeColor="text1"/>
          <w:szCs w:val="20"/>
        </w:rPr>
        <w:t xml:space="preserve"> </w:t>
      </w:r>
      <w:r w:rsidR="00991EFD">
        <w:rPr>
          <w:rFonts w:ascii="Arial" w:hAnsi="Arial"/>
          <w:color w:val="000000" w:themeColor="text1"/>
          <w:szCs w:val="20"/>
        </w:rPr>
        <w:t>The HES to HILS transition and especially the change from DEP-17 (6+) to HILS-18 (7+) is discussed and reported on in detail in technical papers from Stats NZ</w:t>
      </w:r>
      <w:r w:rsidR="002850AE">
        <w:rPr>
          <w:rStyle w:val="FootnoteReference"/>
          <w:rFonts w:ascii="Arial" w:hAnsi="Arial"/>
          <w:color w:val="000000" w:themeColor="text1"/>
          <w:szCs w:val="20"/>
        </w:rPr>
        <w:footnoteReference w:id="1"/>
      </w:r>
      <w:r w:rsidR="00991EFD">
        <w:rPr>
          <w:rFonts w:ascii="Arial" w:hAnsi="Arial"/>
          <w:color w:val="000000" w:themeColor="text1"/>
          <w:szCs w:val="20"/>
        </w:rPr>
        <w:t xml:space="preserve"> and from MSD. </w:t>
      </w:r>
      <w:r w:rsidR="007A09E5">
        <w:rPr>
          <w:rFonts w:ascii="Arial" w:hAnsi="Arial"/>
          <w:color w:val="000000" w:themeColor="text1"/>
          <w:szCs w:val="20"/>
        </w:rPr>
        <w:t>MSD’s HES-based MWI-24 index also required revision to ensure continuity of the MH time series when using it as the MH measure. The HES-based MWI-24 (12-) was replaced by MWI-26 (11-).</w:t>
      </w:r>
      <w:r w:rsidR="007A09E5">
        <w:rPr>
          <w:rStyle w:val="FootnoteReference"/>
          <w:rFonts w:ascii="Arial" w:hAnsi="Arial"/>
          <w:color w:val="000000" w:themeColor="text1"/>
          <w:szCs w:val="20"/>
        </w:rPr>
        <w:footnoteReference w:id="2"/>
      </w:r>
      <w:r w:rsidR="007A09E5">
        <w:rPr>
          <w:rFonts w:ascii="Arial" w:hAnsi="Arial"/>
          <w:color w:val="000000" w:themeColor="text1"/>
          <w:szCs w:val="20"/>
        </w:rPr>
        <w:t xml:space="preserve"> </w:t>
      </w:r>
      <w:r w:rsidR="00FC5363">
        <w:rPr>
          <w:rFonts w:ascii="Arial" w:hAnsi="Arial"/>
          <w:color w:val="000000" w:themeColor="text1"/>
          <w:szCs w:val="20"/>
        </w:rPr>
        <w:t xml:space="preserve"> Item lists comparing the HES-based and HILS-based indices are provided in this report </w:t>
      </w:r>
      <w:r w:rsidR="00FC5363" w:rsidRPr="008805B3">
        <w:rPr>
          <w:rFonts w:ascii="Arial" w:hAnsi="Arial"/>
          <w:color w:val="000000" w:themeColor="text1"/>
          <w:szCs w:val="20"/>
        </w:rPr>
        <w:t xml:space="preserve">in </w:t>
      </w:r>
      <w:r w:rsidR="00FC5363" w:rsidRPr="008805B3">
        <w:rPr>
          <w:rFonts w:ascii="Arial" w:hAnsi="Arial"/>
          <w:b/>
          <w:bCs/>
          <w:color w:val="000000" w:themeColor="text1"/>
          <w:szCs w:val="20"/>
        </w:rPr>
        <w:t xml:space="preserve">Appendix </w:t>
      </w:r>
      <w:r w:rsidR="0028330F" w:rsidRPr="008805B3">
        <w:rPr>
          <w:rFonts w:ascii="Arial" w:hAnsi="Arial"/>
          <w:b/>
          <w:bCs/>
          <w:color w:val="000000" w:themeColor="text1"/>
          <w:szCs w:val="20"/>
        </w:rPr>
        <w:t>20</w:t>
      </w:r>
      <w:r w:rsidR="00190CF1" w:rsidRPr="008805B3">
        <w:rPr>
          <w:rFonts w:ascii="Arial" w:hAnsi="Arial"/>
          <w:b/>
          <w:bCs/>
          <w:color w:val="000000" w:themeColor="text1"/>
          <w:szCs w:val="20"/>
        </w:rPr>
        <w:t>.</w:t>
      </w:r>
    </w:p>
    <w:p w14:paraId="261AE863" w14:textId="3390F8E9" w:rsidR="000D4CFA" w:rsidRDefault="000D4CFA" w:rsidP="00422736">
      <w:pPr>
        <w:spacing w:after="0" w:line="240" w:lineRule="auto"/>
        <w:rPr>
          <w:rFonts w:ascii="Arial" w:hAnsi="Arial"/>
          <w:color w:val="000000" w:themeColor="text1"/>
          <w:szCs w:val="20"/>
        </w:rPr>
      </w:pPr>
    </w:p>
    <w:p w14:paraId="1502A8C0" w14:textId="1620F969" w:rsidR="000D4CFA" w:rsidRDefault="00B70D7D" w:rsidP="00422736">
      <w:pPr>
        <w:spacing w:after="0" w:line="240" w:lineRule="auto"/>
        <w:rPr>
          <w:rFonts w:ascii="Arial" w:hAnsi="Arial"/>
          <w:color w:val="000000" w:themeColor="text1"/>
          <w:szCs w:val="20"/>
        </w:rPr>
      </w:pPr>
      <w:r w:rsidRPr="00B551FC">
        <w:rPr>
          <w:noProof/>
        </w:rPr>
        <w:drawing>
          <wp:anchor distT="0" distB="0" distL="114300" distR="114300" simplePos="0" relativeHeight="253050880" behindDoc="0" locked="0" layoutInCell="1" allowOverlap="1" wp14:anchorId="493A0418" wp14:editId="534E1C75">
            <wp:simplePos x="0" y="0"/>
            <wp:positionH relativeFrom="margin">
              <wp:align>right</wp:align>
            </wp:positionH>
            <wp:positionV relativeFrom="paragraph">
              <wp:posOffset>6350</wp:posOffset>
            </wp:positionV>
            <wp:extent cx="2626360" cy="1617980"/>
            <wp:effectExtent l="0" t="0" r="2540" b="1270"/>
            <wp:wrapSquare wrapText="bothSides"/>
            <wp:docPr id="101850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0704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360" cy="1617980"/>
                    </a:xfrm>
                    <a:prstGeom prst="rect">
                      <a:avLst/>
                    </a:prstGeom>
                  </pic:spPr>
                </pic:pic>
              </a:graphicData>
            </a:graphic>
            <wp14:sizeRelH relativeFrom="page">
              <wp14:pctWidth>0</wp14:pctWidth>
            </wp14:sizeRelH>
            <wp14:sizeRelV relativeFrom="page">
              <wp14:pctHeight>0</wp14:pctHeight>
            </wp14:sizeRelV>
          </wp:anchor>
        </w:drawing>
      </w:r>
      <w:r w:rsidR="000D4CFA">
        <w:rPr>
          <w:rFonts w:ascii="Arial" w:hAnsi="Arial"/>
          <w:color w:val="000000" w:themeColor="text1"/>
          <w:szCs w:val="20"/>
        </w:rPr>
        <w:t>For international comparisons of MH levels and trends the report has used the EU-13 measure. This is not used for HILS 2024-25 MH reporting as we have not yet developed a satisfactory replication using the revised MWQs.</w:t>
      </w:r>
    </w:p>
    <w:p w14:paraId="6E515EB4" w14:textId="3C1F4182" w:rsidR="000D4CFA" w:rsidRDefault="000D4CFA" w:rsidP="00422736">
      <w:pPr>
        <w:spacing w:after="0" w:line="240" w:lineRule="auto"/>
        <w:rPr>
          <w:rFonts w:ascii="Arial" w:hAnsi="Arial"/>
          <w:color w:val="000000" w:themeColor="text1"/>
          <w:szCs w:val="20"/>
        </w:rPr>
      </w:pPr>
    </w:p>
    <w:p w14:paraId="0EC1750A" w14:textId="7559AE30" w:rsidR="000D4CFA" w:rsidRPr="002850AE" w:rsidRDefault="000D4CFA" w:rsidP="000D4CFA">
      <w:pPr>
        <w:spacing w:after="0" w:line="240" w:lineRule="auto"/>
        <w:rPr>
          <w:rFonts w:ascii="Arial" w:hAnsi="Arial"/>
          <w:color w:val="FF0000"/>
          <w:szCs w:val="20"/>
        </w:rPr>
      </w:pPr>
      <w:r w:rsidRPr="000D4CFA">
        <w:rPr>
          <w:rFonts w:ascii="Arial" w:hAnsi="Arial"/>
          <w:color w:val="000000" w:themeColor="text1"/>
          <w:szCs w:val="20"/>
        </w:rPr>
        <w:t xml:space="preserve">The chart </w:t>
      </w:r>
      <w:r>
        <w:rPr>
          <w:rFonts w:ascii="Arial" w:hAnsi="Arial"/>
          <w:color w:val="000000" w:themeColor="text1"/>
          <w:szCs w:val="20"/>
        </w:rPr>
        <w:t xml:space="preserve">on the right </w:t>
      </w:r>
      <w:r w:rsidRPr="006275CE">
        <w:rPr>
          <w:rFonts w:ascii="Arial" w:hAnsi="Arial"/>
          <w:color w:val="000000" w:themeColor="text1"/>
          <w:szCs w:val="20"/>
        </w:rPr>
        <w:t xml:space="preserve">(from </w:t>
      </w:r>
      <w:r w:rsidRPr="006275CE">
        <w:rPr>
          <w:rFonts w:ascii="Arial" w:hAnsi="Arial"/>
          <w:b/>
          <w:bCs/>
          <w:color w:val="000000" w:themeColor="text1"/>
          <w:szCs w:val="20"/>
        </w:rPr>
        <w:t xml:space="preserve">Appendix </w:t>
      </w:r>
      <w:r w:rsidR="006275CE" w:rsidRPr="006275CE">
        <w:rPr>
          <w:rFonts w:ascii="Arial" w:hAnsi="Arial"/>
          <w:b/>
          <w:bCs/>
          <w:color w:val="000000" w:themeColor="text1"/>
          <w:szCs w:val="20"/>
        </w:rPr>
        <w:t>4</w:t>
      </w:r>
      <w:r w:rsidRPr="006275CE">
        <w:rPr>
          <w:rFonts w:ascii="Arial" w:hAnsi="Arial"/>
          <w:color w:val="000000" w:themeColor="text1"/>
          <w:szCs w:val="20"/>
        </w:rPr>
        <w:t>) shows</w:t>
      </w:r>
      <w:r w:rsidRPr="000D4CFA">
        <w:rPr>
          <w:rFonts w:ascii="Arial" w:hAnsi="Arial"/>
          <w:color w:val="000000" w:themeColor="text1"/>
          <w:szCs w:val="20"/>
        </w:rPr>
        <w:t xml:space="preserve"> the</w:t>
      </w:r>
      <w:r>
        <w:rPr>
          <w:rFonts w:ascii="Arial" w:hAnsi="Arial"/>
          <w:color w:val="000000" w:themeColor="text1"/>
          <w:szCs w:val="20"/>
        </w:rPr>
        <w:t xml:space="preserve"> </w:t>
      </w:r>
      <w:r w:rsidR="004E0F5D">
        <w:rPr>
          <w:rFonts w:ascii="Arial" w:hAnsi="Arial"/>
          <w:color w:val="000000" w:themeColor="text1"/>
          <w:szCs w:val="20"/>
        </w:rPr>
        <w:t xml:space="preserve">very </w:t>
      </w:r>
      <w:r w:rsidRPr="000D4CFA">
        <w:rPr>
          <w:rFonts w:ascii="Arial" w:hAnsi="Arial"/>
          <w:szCs w:val="20"/>
        </w:rPr>
        <w:t xml:space="preserve">close similarity of material hardship </w:t>
      </w:r>
      <w:r w:rsidR="004E0F5D">
        <w:rPr>
          <w:rFonts w:ascii="Arial" w:hAnsi="Arial"/>
          <w:szCs w:val="20"/>
        </w:rPr>
        <w:t>levels and trends</w:t>
      </w:r>
      <w:r w:rsidRPr="000D4CFA">
        <w:rPr>
          <w:rFonts w:ascii="Arial" w:hAnsi="Arial"/>
          <w:szCs w:val="20"/>
        </w:rPr>
        <w:t xml:space="preserve"> for children using </w:t>
      </w:r>
      <w:r>
        <w:rPr>
          <w:rFonts w:ascii="Arial" w:hAnsi="Arial"/>
          <w:szCs w:val="20"/>
        </w:rPr>
        <w:t>the various indices</w:t>
      </w:r>
      <w:r w:rsidRPr="000D4CFA">
        <w:rPr>
          <w:rFonts w:ascii="Arial" w:hAnsi="Arial"/>
          <w:szCs w:val="20"/>
        </w:rPr>
        <w:t xml:space="preserve"> (DEP-17</w:t>
      </w:r>
      <w:r>
        <w:rPr>
          <w:rFonts w:ascii="Arial" w:hAnsi="Arial"/>
          <w:szCs w:val="20"/>
        </w:rPr>
        <w:t xml:space="preserve"> </w:t>
      </w:r>
      <w:r w:rsidR="004E0F5D">
        <w:rPr>
          <w:rFonts w:ascii="Arial" w:hAnsi="Arial"/>
          <w:szCs w:val="20"/>
        </w:rPr>
        <w:t xml:space="preserve">/ </w:t>
      </w:r>
      <w:r>
        <w:rPr>
          <w:rFonts w:ascii="Arial" w:hAnsi="Arial"/>
          <w:szCs w:val="20"/>
        </w:rPr>
        <w:t>MH-18,</w:t>
      </w:r>
      <w:r w:rsidRPr="000D4CFA">
        <w:rPr>
          <w:rFonts w:ascii="Arial" w:hAnsi="Arial"/>
          <w:szCs w:val="20"/>
        </w:rPr>
        <w:t xml:space="preserve"> MWI</w:t>
      </w:r>
      <w:r>
        <w:rPr>
          <w:rFonts w:ascii="Arial" w:hAnsi="Arial"/>
          <w:szCs w:val="20"/>
        </w:rPr>
        <w:t>-24 / MWI-26 and EU-13 (to 2023-24</w:t>
      </w:r>
      <w:r w:rsidRPr="000D4CFA">
        <w:rPr>
          <w:rFonts w:ascii="Arial" w:hAnsi="Arial"/>
          <w:szCs w:val="20"/>
        </w:rPr>
        <w:t>)</w:t>
      </w:r>
      <w:r w:rsidR="004E0F5D">
        <w:rPr>
          <w:rFonts w:ascii="Arial" w:hAnsi="Arial"/>
          <w:szCs w:val="20"/>
        </w:rPr>
        <w:t>)</w:t>
      </w:r>
      <w:r>
        <w:rPr>
          <w:rFonts w:ascii="Arial" w:hAnsi="Arial"/>
          <w:szCs w:val="20"/>
        </w:rPr>
        <w:t>.</w:t>
      </w:r>
      <w:r w:rsidR="004E0F5D">
        <w:rPr>
          <w:rFonts w:ascii="Arial" w:hAnsi="Arial"/>
          <w:szCs w:val="20"/>
        </w:rPr>
        <w:t xml:space="preserve"> </w:t>
      </w:r>
    </w:p>
    <w:p w14:paraId="669DDCFA" w14:textId="77777777" w:rsidR="00A94269" w:rsidRDefault="00A94269" w:rsidP="000D4CFA">
      <w:pPr>
        <w:spacing w:after="0" w:line="240" w:lineRule="auto"/>
        <w:rPr>
          <w:rFonts w:ascii="Arial" w:hAnsi="Arial"/>
          <w:szCs w:val="20"/>
        </w:rPr>
      </w:pPr>
    </w:p>
    <w:p w14:paraId="100516E1" w14:textId="77777777" w:rsidR="004C4471" w:rsidRPr="00EB5B39" w:rsidRDefault="004C4471" w:rsidP="004C4471">
      <w:pPr>
        <w:spacing w:after="0" w:line="240" w:lineRule="auto"/>
        <w:rPr>
          <w:rFonts w:ascii="Arial" w:hAnsi="Arial"/>
          <w:szCs w:val="20"/>
        </w:rPr>
      </w:pPr>
      <w:r w:rsidRPr="00EB5B39">
        <w:rPr>
          <w:rFonts w:ascii="Arial" w:hAnsi="Arial"/>
          <w:szCs w:val="20"/>
        </w:rPr>
        <w:t xml:space="preserve">There are a few other areas that impact comparability between HES and HILS due to changes in the survey design. For the child-specific MWQs the data is available in HILS for </w:t>
      </w:r>
      <w:r w:rsidRPr="00953562">
        <w:rPr>
          <w:rFonts w:ascii="Arial" w:hAnsi="Arial"/>
          <w:szCs w:val="20"/>
        </w:rPr>
        <w:t>1-14 year olds not for 1-17 year olds as it was</w:t>
      </w:r>
      <w:r w:rsidRPr="00EB5B39">
        <w:rPr>
          <w:rFonts w:ascii="Arial" w:hAnsi="Arial"/>
          <w:szCs w:val="20"/>
        </w:rPr>
        <w:t xml:space="preserve"> in the HES. </w:t>
      </w:r>
    </w:p>
    <w:p w14:paraId="1F356777" w14:textId="77777777" w:rsidR="004C4471" w:rsidRPr="00EB5B39" w:rsidRDefault="004C4471" w:rsidP="004C4471">
      <w:pPr>
        <w:spacing w:after="0" w:line="240" w:lineRule="auto"/>
        <w:rPr>
          <w:rFonts w:ascii="Arial" w:hAnsi="Arial"/>
          <w:szCs w:val="20"/>
        </w:rPr>
      </w:pPr>
      <w:r w:rsidRPr="00EB5B39">
        <w:rPr>
          <w:rFonts w:ascii="Arial" w:hAnsi="Arial"/>
          <w:szCs w:val="20"/>
        </w:rPr>
        <w:t>HILS also introduced a ‘proxy’ questionnaire module that contained only a limited set of questions, meaning that there is missing information for some variables for individuals that were proxied for; in HES, proxy responses involved someone responding on another’s behalf to the entire questionnaire (but there was no information on quality). The consequence for this report is that for several tables or charts the latest information in this report is for 2023-24 from the HES, particularly where complete information on number of jobs or total hours in employment was required for comparison over time.</w:t>
      </w:r>
    </w:p>
    <w:p w14:paraId="5ECEF4E7" w14:textId="77777777" w:rsidR="004C4471" w:rsidRPr="00EB5B39" w:rsidRDefault="004C4471" w:rsidP="004C4471">
      <w:pPr>
        <w:spacing w:after="0" w:line="240" w:lineRule="auto"/>
        <w:rPr>
          <w:rFonts w:ascii="Arial" w:hAnsi="Arial"/>
          <w:szCs w:val="20"/>
        </w:rPr>
      </w:pPr>
    </w:p>
    <w:p w14:paraId="1A9B6B8B" w14:textId="3A0AF3AA" w:rsidR="00F94DF8" w:rsidRDefault="000D4CFA" w:rsidP="007E0A49">
      <w:pPr>
        <w:spacing w:after="0" w:line="240" w:lineRule="auto"/>
        <w:rPr>
          <w:rFonts w:ascii="Arial" w:hAnsi="Arial"/>
          <w:color w:val="000000" w:themeColor="text1"/>
          <w:szCs w:val="20"/>
          <w:u w:val="single"/>
        </w:rPr>
      </w:pPr>
      <w:r>
        <w:rPr>
          <w:rFonts w:ascii="Arial" w:hAnsi="Arial"/>
          <w:color w:val="000000" w:themeColor="text1"/>
          <w:szCs w:val="20"/>
        </w:rPr>
        <w:t xml:space="preserve"> </w:t>
      </w:r>
    </w:p>
    <w:p w14:paraId="3721E9B9" w14:textId="698AF8D9" w:rsidR="00223930" w:rsidRPr="004C4471" w:rsidRDefault="001603F3">
      <w:pPr>
        <w:pStyle w:val="ListParagraph"/>
        <w:numPr>
          <w:ilvl w:val="0"/>
          <w:numId w:val="100"/>
        </w:numPr>
        <w:spacing w:after="0" w:line="240" w:lineRule="auto"/>
        <w:ind w:left="284" w:hanging="284"/>
        <w:rPr>
          <w:rFonts w:ascii="Arial" w:hAnsi="Arial"/>
          <w:color w:val="000000" w:themeColor="text1"/>
          <w:szCs w:val="20"/>
          <w:u w:val="single"/>
        </w:rPr>
      </w:pPr>
      <w:r w:rsidRPr="004C4471">
        <w:rPr>
          <w:rFonts w:ascii="Arial" w:hAnsi="Arial"/>
          <w:color w:val="000000" w:themeColor="text1"/>
          <w:szCs w:val="20"/>
          <w:u w:val="single"/>
        </w:rPr>
        <w:t>A cautious approach to r</w:t>
      </w:r>
      <w:r w:rsidR="00223930" w:rsidRPr="004C4471">
        <w:rPr>
          <w:rFonts w:ascii="Arial" w:hAnsi="Arial"/>
          <w:color w:val="000000" w:themeColor="text1"/>
          <w:szCs w:val="20"/>
          <w:u w:val="single"/>
        </w:rPr>
        <w:t>eporting material hardship</w:t>
      </w:r>
      <w:r w:rsidR="00616130" w:rsidRPr="004C4471">
        <w:rPr>
          <w:rFonts w:ascii="Arial" w:hAnsi="Arial"/>
          <w:color w:val="000000" w:themeColor="text1"/>
          <w:szCs w:val="20"/>
          <w:u w:val="single"/>
        </w:rPr>
        <w:t xml:space="preserve"> (MH)</w:t>
      </w:r>
      <w:r w:rsidR="00223930" w:rsidRPr="004C4471">
        <w:rPr>
          <w:rFonts w:ascii="Arial" w:hAnsi="Arial"/>
          <w:color w:val="000000" w:themeColor="text1"/>
          <w:szCs w:val="20"/>
          <w:u w:val="single"/>
        </w:rPr>
        <w:t xml:space="preserve"> rates</w:t>
      </w:r>
      <w:r w:rsidR="00616130" w:rsidRPr="004C4471">
        <w:rPr>
          <w:rFonts w:ascii="Arial" w:hAnsi="Arial"/>
          <w:color w:val="000000" w:themeColor="text1"/>
          <w:szCs w:val="20"/>
          <w:u w:val="single"/>
        </w:rPr>
        <w:t xml:space="preserve"> in time series</w:t>
      </w:r>
      <w:r w:rsidR="00223930" w:rsidRPr="004C4471">
        <w:rPr>
          <w:rFonts w:ascii="Arial" w:hAnsi="Arial"/>
          <w:color w:val="000000" w:themeColor="text1"/>
          <w:szCs w:val="20"/>
          <w:u w:val="single"/>
        </w:rPr>
        <w:t xml:space="preserve"> </w:t>
      </w:r>
      <w:r w:rsidR="00E85217" w:rsidRPr="004C4471">
        <w:rPr>
          <w:rFonts w:ascii="Arial" w:hAnsi="Arial"/>
          <w:color w:val="000000" w:themeColor="text1"/>
          <w:szCs w:val="20"/>
          <w:u w:val="single"/>
        </w:rPr>
        <w:t>that include</w:t>
      </w:r>
      <w:r w:rsidR="00223930" w:rsidRPr="004C4471">
        <w:rPr>
          <w:rFonts w:ascii="Arial" w:hAnsi="Arial"/>
          <w:color w:val="000000" w:themeColor="text1"/>
          <w:szCs w:val="20"/>
          <w:u w:val="single"/>
        </w:rPr>
        <w:t xml:space="preserve"> the COVID years</w:t>
      </w:r>
      <w:r w:rsidRPr="004C4471">
        <w:rPr>
          <w:rFonts w:ascii="Arial" w:hAnsi="Arial"/>
          <w:color w:val="000000" w:themeColor="text1"/>
          <w:szCs w:val="20"/>
          <w:u w:val="single"/>
        </w:rPr>
        <w:t xml:space="preserve"> (2020-21 and 2021-22)</w:t>
      </w:r>
    </w:p>
    <w:p w14:paraId="0D12C238" w14:textId="77777777" w:rsidR="00223930" w:rsidRDefault="00223930" w:rsidP="00FF5039">
      <w:pPr>
        <w:spacing w:after="0" w:line="240" w:lineRule="auto"/>
        <w:rPr>
          <w:rFonts w:ascii="Arial" w:hAnsi="Arial"/>
          <w:color w:val="000000" w:themeColor="text1"/>
          <w:szCs w:val="20"/>
          <w:u w:val="single"/>
        </w:rPr>
      </w:pPr>
    </w:p>
    <w:p w14:paraId="351972ED" w14:textId="50131F73" w:rsidR="00403A31" w:rsidRDefault="00FF5039" w:rsidP="00FF5039">
      <w:pPr>
        <w:spacing w:after="0" w:line="240" w:lineRule="auto"/>
        <w:rPr>
          <w:rFonts w:ascii="Arial" w:hAnsi="Arial"/>
          <w:color w:val="000000" w:themeColor="text1"/>
          <w:szCs w:val="20"/>
        </w:rPr>
      </w:pPr>
      <w:r w:rsidRPr="00223930">
        <w:rPr>
          <w:rFonts w:ascii="Arial" w:hAnsi="Arial"/>
          <w:color w:val="000000" w:themeColor="text1"/>
          <w:szCs w:val="20"/>
        </w:rPr>
        <w:t xml:space="preserve">The </w:t>
      </w:r>
      <w:r w:rsidR="00223930">
        <w:rPr>
          <w:rFonts w:ascii="Arial" w:hAnsi="Arial"/>
          <w:color w:val="000000" w:themeColor="text1"/>
          <w:szCs w:val="20"/>
        </w:rPr>
        <w:t xml:space="preserve">2024 Child Poverty Report </w:t>
      </w:r>
      <w:r w:rsidR="004D2E34">
        <w:rPr>
          <w:rFonts w:ascii="Arial" w:hAnsi="Arial"/>
          <w:color w:val="000000" w:themeColor="text1"/>
          <w:szCs w:val="20"/>
        </w:rPr>
        <w:t xml:space="preserve">(p19) </w:t>
      </w:r>
      <w:r w:rsidR="00223930">
        <w:rPr>
          <w:rFonts w:ascii="Arial" w:hAnsi="Arial"/>
          <w:color w:val="000000" w:themeColor="text1"/>
          <w:szCs w:val="20"/>
        </w:rPr>
        <w:t xml:space="preserve">noted the challenges in interpreting </w:t>
      </w:r>
      <w:r w:rsidR="00616130">
        <w:rPr>
          <w:rFonts w:ascii="Arial" w:hAnsi="Arial"/>
          <w:color w:val="000000" w:themeColor="text1"/>
          <w:szCs w:val="20"/>
        </w:rPr>
        <w:t>what was behind the relatively large ‘uptick’ in reported 2022-23 MH rates compared with those in 2021-22 (a 2.0 ppt rise from 10.5% to 12.5%).</w:t>
      </w:r>
      <w:r w:rsidR="005F5ADF">
        <w:rPr>
          <w:rStyle w:val="FootnoteReference"/>
          <w:rFonts w:ascii="Arial" w:hAnsi="Arial"/>
          <w:color w:val="000000" w:themeColor="text1"/>
          <w:szCs w:val="20"/>
        </w:rPr>
        <w:footnoteReference w:id="3"/>
      </w:r>
      <w:r w:rsidR="00616130">
        <w:rPr>
          <w:rFonts w:ascii="Arial" w:hAnsi="Arial"/>
          <w:color w:val="000000" w:themeColor="text1"/>
          <w:szCs w:val="20"/>
        </w:rPr>
        <w:t xml:space="preserve"> It recognised that the reported rise was ‘no doubt at least in part a reflection of </w:t>
      </w:r>
      <w:r w:rsidR="00616130">
        <w:rPr>
          <w:rFonts w:ascii="Arial" w:hAnsi="Arial"/>
          <w:color w:val="000000" w:themeColor="text1"/>
          <w:szCs w:val="20"/>
        </w:rPr>
        <w:lastRenderedPageBreak/>
        <w:t xml:space="preserve">the impact of the cost-of-living crisis’ but suggested caution </w:t>
      </w:r>
      <w:r w:rsidR="004D2E34">
        <w:rPr>
          <w:rFonts w:ascii="Arial" w:hAnsi="Arial"/>
          <w:color w:val="000000" w:themeColor="text1"/>
          <w:szCs w:val="20"/>
        </w:rPr>
        <w:t>in the narrative as ‘the lock-downs and other COVID-related factors</w:t>
      </w:r>
      <w:r w:rsidR="00403A31">
        <w:rPr>
          <w:rFonts w:ascii="Arial" w:hAnsi="Arial"/>
          <w:color w:val="000000" w:themeColor="text1"/>
          <w:szCs w:val="20"/>
        </w:rPr>
        <w:t xml:space="preserve"> changed the spending and living patterns of households and it is not clear what impact this had on reported material hardship rates’.</w:t>
      </w:r>
    </w:p>
    <w:p w14:paraId="2E79391B" w14:textId="77777777" w:rsidR="00403A31" w:rsidRDefault="00403A31" w:rsidP="00FF5039">
      <w:pPr>
        <w:spacing w:after="0" w:line="240" w:lineRule="auto"/>
        <w:rPr>
          <w:rFonts w:ascii="Arial" w:hAnsi="Arial"/>
          <w:color w:val="000000" w:themeColor="text1"/>
          <w:szCs w:val="20"/>
        </w:rPr>
      </w:pPr>
    </w:p>
    <w:p w14:paraId="2CA344E3" w14:textId="6A9CA322" w:rsidR="00616130" w:rsidRDefault="00403A31" w:rsidP="00FF5039">
      <w:pPr>
        <w:spacing w:after="0" w:line="240" w:lineRule="auto"/>
        <w:rPr>
          <w:rFonts w:ascii="Arial" w:hAnsi="Arial"/>
          <w:color w:val="000000" w:themeColor="text1"/>
          <w:szCs w:val="20"/>
        </w:rPr>
      </w:pPr>
      <w:r>
        <w:rPr>
          <w:rFonts w:ascii="Arial" w:hAnsi="Arial"/>
          <w:color w:val="000000" w:themeColor="text1"/>
          <w:szCs w:val="20"/>
        </w:rPr>
        <w:t xml:space="preserve">This </w:t>
      </w:r>
      <w:r w:rsidR="00E86EE8">
        <w:rPr>
          <w:rFonts w:ascii="Arial" w:hAnsi="Arial"/>
          <w:color w:val="000000" w:themeColor="text1"/>
          <w:szCs w:val="20"/>
        </w:rPr>
        <w:t xml:space="preserve">2026 </w:t>
      </w:r>
      <w:r>
        <w:rPr>
          <w:rFonts w:ascii="Arial" w:hAnsi="Arial"/>
          <w:color w:val="000000" w:themeColor="text1"/>
          <w:szCs w:val="20"/>
        </w:rPr>
        <w:t xml:space="preserve">report </w:t>
      </w:r>
      <w:r w:rsidR="00AB5F90">
        <w:rPr>
          <w:rFonts w:ascii="Arial" w:hAnsi="Arial"/>
          <w:color w:val="000000" w:themeColor="text1"/>
          <w:szCs w:val="20"/>
        </w:rPr>
        <w:t>further develops the rationale for a</w:t>
      </w:r>
      <w:r>
        <w:rPr>
          <w:rFonts w:ascii="Arial" w:hAnsi="Arial"/>
          <w:color w:val="000000" w:themeColor="text1"/>
          <w:szCs w:val="20"/>
        </w:rPr>
        <w:t xml:space="preserve"> cautious approach to </w:t>
      </w:r>
      <w:r w:rsidR="00CF52A8">
        <w:rPr>
          <w:rFonts w:ascii="Arial" w:hAnsi="Arial"/>
          <w:color w:val="000000" w:themeColor="text1"/>
          <w:szCs w:val="20"/>
        </w:rPr>
        <w:t xml:space="preserve">MH </w:t>
      </w:r>
      <w:r w:rsidR="00AB5F90">
        <w:rPr>
          <w:rFonts w:ascii="Arial" w:hAnsi="Arial"/>
          <w:color w:val="000000" w:themeColor="text1"/>
          <w:szCs w:val="20"/>
        </w:rPr>
        <w:t xml:space="preserve">time series </w:t>
      </w:r>
      <w:r>
        <w:rPr>
          <w:rFonts w:ascii="Arial" w:hAnsi="Arial"/>
          <w:color w:val="000000" w:themeColor="text1"/>
          <w:szCs w:val="20"/>
        </w:rPr>
        <w:t>reporting</w:t>
      </w:r>
      <w:r w:rsidR="005F5ADF">
        <w:rPr>
          <w:rFonts w:ascii="Arial" w:hAnsi="Arial"/>
          <w:color w:val="000000" w:themeColor="text1"/>
          <w:szCs w:val="20"/>
        </w:rPr>
        <w:t xml:space="preserve"> that covers the COVI</w:t>
      </w:r>
      <w:r w:rsidR="00274738">
        <w:rPr>
          <w:rFonts w:ascii="Arial" w:hAnsi="Arial"/>
          <w:color w:val="000000" w:themeColor="text1"/>
          <w:szCs w:val="20"/>
        </w:rPr>
        <w:t>D</w:t>
      </w:r>
      <w:r w:rsidR="005F5ADF">
        <w:rPr>
          <w:rFonts w:ascii="Arial" w:hAnsi="Arial"/>
          <w:color w:val="000000" w:themeColor="text1"/>
          <w:szCs w:val="20"/>
        </w:rPr>
        <w:t xml:space="preserve"> years</w:t>
      </w:r>
      <w:r w:rsidR="00AB5F90">
        <w:rPr>
          <w:rFonts w:ascii="Arial" w:hAnsi="Arial"/>
          <w:color w:val="000000" w:themeColor="text1"/>
          <w:szCs w:val="20"/>
        </w:rPr>
        <w:t xml:space="preserve">, extending it to both the COVID-impacted years (2020-21 and 2021-22), </w:t>
      </w:r>
      <w:r w:rsidR="00E86EE8">
        <w:rPr>
          <w:rFonts w:ascii="Arial" w:hAnsi="Arial"/>
          <w:color w:val="000000" w:themeColor="text1"/>
          <w:szCs w:val="20"/>
        </w:rPr>
        <w:t>and noting the challenges in producing a definitive narrative given the</w:t>
      </w:r>
      <w:r w:rsidR="00CF52A8">
        <w:rPr>
          <w:rFonts w:ascii="Arial" w:hAnsi="Arial"/>
          <w:color w:val="000000" w:themeColor="text1"/>
          <w:szCs w:val="20"/>
        </w:rPr>
        <w:t xml:space="preserve"> range of factors at play: the impacts of </w:t>
      </w:r>
      <w:r w:rsidR="00E86EE8">
        <w:rPr>
          <w:rFonts w:ascii="Arial" w:hAnsi="Arial"/>
          <w:color w:val="000000" w:themeColor="text1"/>
          <w:szCs w:val="20"/>
        </w:rPr>
        <w:t>ongoing implementation of increased government support from earlier Budget initiatives for households with children</w:t>
      </w:r>
      <w:r w:rsidR="00CF52A8">
        <w:rPr>
          <w:rFonts w:ascii="Arial" w:hAnsi="Arial"/>
          <w:color w:val="000000" w:themeColor="text1"/>
          <w:szCs w:val="20"/>
        </w:rPr>
        <w:t xml:space="preserve"> (including the Families Package);</w:t>
      </w:r>
      <w:r w:rsidR="00E86EE8">
        <w:rPr>
          <w:rFonts w:ascii="Arial" w:hAnsi="Arial"/>
          <w:color w:val="000000" w:themeColor="text1"/>
          <w:szCs w:val="20"/>
        </w:rPr>
        <w:t xml:space="preserve"> the changed consumption behaviour induced by the lockdowns</w:t>
      </w:r>
      <w:r w:rsidR="00CF52A8">
        <w:rPr>
          <w:rFonts w:ascii="Arial" w:hAnsi="Arial"/>
          <w:color w:val="000000" w:themeColor="text1"/>
          <w:szCs w:val="20"/>
        </w:rPr>
        <w:t>;</w:t>
      </w:r>
      <w:r w:rsidR="00E86EE8">
        <w:rPr>
          <w:rFonts w:ascii="Arial" w:hAnsi="Arial"/>
          <w:color w:val="000000" w:themeColor="text1"/>
          <w:szCs w:val="20"/>
        </w:rPr>
        <w:t xml:space="preserve"> </w:t>
      </w:r>
      <w:r w:rsidR="00CF52A8">
        <w:rPr>
          <w:rFonts w:ascii="Arial" w:hAnsi="Arial"/>
          <w:color w:val="000000" w:themeColor="text1"/>
          <w:szCs w:val="20"/>
        </w:rPr>
        <w:t xml:space="preserve">the </w:t>
      </w:r>
      <w:r w:rsidR="00E86EE8">
        <w:rPr>
          <w:rFonts w:ascii="Arial" w:hAnsi="Arial"/>
          <w:color w:val="000000" w:themeColor="text1"/>
          <w:szCs w:val="20"/>
        </w:rPr>
        <w:t>special extra support in the COVID years</w:t>
      </w:r>
      <w:r w:rsidR="00CF52A8">
        <w:rPr>
          <w:rFonts w:ascii="Arial" w:hAnsi="Arial"/>
          <w:color w:val="000000" w:themeColor="text1"/>
          <w:szCs w:val="20"/>
        </w:rPr>
        <w:t xml:space="preserve">. Much of the MH time series analysis in this report is about sub-groups of children, and Stats NZ advise caution when reporting on sub-groups in 2021-22. </w:t>
      </w:r>
    </w:p>
    <w:p w14:paraId="466FC7DB" w14:textId="77777777" w:rsidR="00616130" w:rsidRDefault="00616130" w:rsidP="00FF5039">
      <w:pPr>
        <w:spacing w:after="0" w:line="240" w:lineRule="auto"/>
        <w:rPr>
          <w:rFonts w:ascii="Arial" w:hAnsi="Arial"/>
          <w:color w:val="000000" w:themeColor="text1"/>
          <w:szCs w:val="20"/>
        </w:rPr>
      </w:pPr>
    </w:p>
    <w:p w14:paraId="025E3208" w14:textId="3B1F5AFC" w:rsidR="00403A31" w:rsidRDefault="00403A31" w:rsidP="00403A31">
      <w:pPr>
        <w:spacing w:after="0" w:line="240" w:lineRule="auto"/>
        <w:rPr>
          <w:rFonts w:ascii="Arial" w:hAnsi="Arial"/>
        </w:rPr>
      </w:pPr>
      <w:r w:rsidRPr="002C1F7C">
        <w:rPr>
          <w:noProof/>
        </w:rPr>
        <w:drawing>
          <wp:anchor distT="0" distB="0" distL="114300" distR="114300" simplePos="0" relativeHeight="253046784" behindDoc="0" locked="0" layoutInCell="1" allowOverlap="1" wp14:anchorId="72B209EF" wp14:editId="33341C66">
            <wp:simplePos x="0" y="0"/>
            <wp:positionH relativeFrom="column">
              <wp:posOffset>2971800</wp:posOffset>
            </wp:positionH>
            <wp:positionV relativeFrom="paragraph">
              <wp:posOffset>5715</wp:posOffset>
            </wp:positionV>
            <wp:extent cx="2688590" cy="1754505"/>
            <wp:effectExtent l="0" t="0" r="0" b="0"/>
            <wp:wrapSquare wrapText="bothSides"/>
            <wp:docPr id="1547970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5245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8590" cy="17545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olor w:val="000000" w:themeColor="text1"/>
          <w:szCs w:val="20"/>
        </w:rPr>
        <w:t>Taking all this into account, the approach used in this report</w:t>
      </w:r>
      <w:r w:rsidRPr="003D0A5D">
        <w:rPr>
          <w:rFonts w:ascii="Arial" w:hAnsi="Arial"/>
          <w:color w:val="000000" w:themeColor="text1"/>
          <w:szCs w:val="20"/>
        </w:rPr>
        <w:t xml:space="preserve"> is illustrated in the short-run chart on </w:t>
      </w:r>
      <w:r>
        <w:rPr>
          <w:rFonts w:ascii="Arial" w:hAnsi="Arial"/>
          <w:color w:val="000000" w:themeColor="text1"/>
          <w:szCs w:val="20"/>
        </w:rPr>
        <w:t>the right.</w:t>
      </w:r>
      <w:r w:rsidRPr="003D0A5D">
        <w:rPr>
          <w:rFonts w:ascii="Arial" w:hAnsi="Arial"/>
          <w:color w:val="000000" w:themeColor="text1"/>
          <w:szCs w:val="20"/>
        </w:rPr>
        <w:t xml:space="preserve"> To remind the reader of the unusual context and the extra uncertainties, the findings for the COVID-</w:t>
      </w:r>
      <w:r w:rsidRPr="00B71F97">
        <w:rPr>
          <w:rFonts w:ascii="Arial" w:hAnsi="Arial"/>
          <w:color w:val="000000" w:themeColor="text1"/>
          <w:szCs w:val="20"/>
        </w:rPr>
        <w:t>impacted years are included but the dots are not joined.</w:t>
      </w:r>
      <w:r w:rsidRPr="00B71F97">
        <w:rPr>
          <w:rFonts w:ascii="Arial" w:hAnsi="Arial"/>
        </w:rPr>
        <w:t xml:space="preserve"> </w:t>
      </w:r>
      <w:r>
        <w:rPr>
          <w:rFonts w:ascii="Arial" w:hAnsi="Arial"/>
        </w:rPr>
        <w:t>Neither the policy-induced reduction in the material hardship rate for children nor t</w:t>
      </w:r>
      <w:r w:rsidRPr="00B71F97">
        <w:rPr>
          <w:rFonts w:ascii="Arial" w:hAnsi="Arial"/>
        </w:rPr>
        <w:t>he</w:t>
      </w:r>
      <w:r>
        <w:rPr>
          <w:rFonts w:ascii="Arial" w:hAnsi="Arial"/>
        </w:rPr>
        <w:t xml:space="preserve"> recent rise are edited out by this decision. It simply reminds the reader of the uncertainties</w:t>
      </w:r>
      <w:r w:rsidR="00DA0641">
        <w:rPr>
          <w:rFonts w:ascii="Arial" w:hAnsi="Arial"/>
        </w:rPr>
        <w:t xml:space="preserve"> around giving a definitive narrative</w:t>
      </w:r>
      <w:r>
        <w:rPr>
          <w:rFonts w:ascii="Arial" w:hAnsi="Arial"/>
        </w:rPr>
        <w:t xml:space="preserve">. The rise from 2023 to 2025 is statistically significant and starts from a solid base year. </w:t>
      </w:r>
    </w:p>
    <w:p w14:paraId="47D06489" w14:textId="223F5E19" w:rsidR="00FF5039" w:rsidRDefault="00616130">
      <w:pPr>
        <w:spacing w:after="0" w:line="240" w:lineRule="auto"/>
        <w:rPr>
          <w:rFonts w:ascii="Arial" w:hAnsi="Arial"/>
          <w:color w:val="000000" w:themeColor="text1"/>
          <w:szCs w:val="20"/>
          <w:u w:val="single"/>
        </w:rPr>
      </w:pPr>
      <w:r>
        <w:rPr>
          <w:rFonts w:ascii="Arial" w:hAnsi="Arial"/>
          <w:color w:val="000000" w:themeColor="text1"/>
          <w:szCs w:val="20"/>
        </w:rPr>
        <w:t xml:space="preserve"> </w:t>
      </w:r>
    </w:p>
    <w:p w14:paraId="1DAD7508" w14:textId="5AB018F4" w:rsidR="00FF5039" w:rsidRPr="009E0ED4" w:rsidRDefault="00FF5039" w:rsidP="00FF5039">
      <w:pPr>
        <w:spacing w:after="0" w:line="240" w:lineRule="auto"/>
        <w:rPr>
          <w:rFonts w:ascii="Arial" w:hAnsi="Arial"/>
          <w:color w:val="000000" w:themeColor="text1"/>
          <w:szCs w:val="20"/>
        </w:rPr>
      </w:pPr>
      <w:r>
        <w:rPr>
          <w:rFonts w:ascii="Arial" w:hAnsi="Arial"/>
          <w:color w:val="000000" w:themeColor="text1"/>
          <w:szCs w:val="20"/>
        </w:rPr>
        <w:t xml:space="preserve">More detail on the rationale for this approach is </w:t>
      </w:r>
      <w:r w:rsidRPr="009E0ED4">
        <w:rPr>
          <w:rFonts w:ascii="Arial" w:hAnsi="Arial"/>
          <w:color w:val="000000" w:themeColor="text1"/>
          <w:szCs w:val="20"/>
        </w:rPr>
        <w:t xml:space="preserve">given in </w:t>
      </w:r>
      <w:r w:rsidR="00CF52A8" w:rsidRPr="009E0ED4">
        <w:rPr>
          <w:rFonts w:ascii="Arial" w:hAnsi="Arial"/>
          <w:b/>
          <w:bCs/>
          <w:color w:val="000000" w:themeColor="text1"/>
          <w:szCs w:val="20"/>
        </w:rPr>
        <w:t>Section F</w:t>
      </w:r>
      <w:r w:rsidR="008661F5" w:rsidRPr="009E0ED4">
        <w:rPr>
          <w:rFonts w:ascii="Arial" w:hAnsi="Arial"/>
          <w:b/>
          <w:bCs/>
          <w:color w:val="000000" w:themeColor="text1"/>
          <w:szCs w:val="20"/>
        </w:rPr>
        <w:t xml:space="preserve"> </w:t>
      </w:r>
      <w:r w:rsidR="009E0ED4" w:rsidRPr="009E0ED4">
        <w:rPr>
          <w:rFonts w:ascii="Arial" w:hAnsi="Arial"/>
          <w:color w:val="000000" w:themeColor="text1"/>
          <w:szCs w:val="20"/>
        </w:rPr>
        <w:t>(pp5</w:t>
      </w:r>
      <w:r w:rsidR="006C79ED">
        <w:rPr>
          <w:rFonts w:ascii="Arial" w:hAnsi="Arial"/>
          <w:color w:val="000000" w:themeColor="text1"/>
          <w:szCs w:val="20"/>
        </w:rPr>
        <w:t>7</w:t>
      </w:r>
      <w:r w:rsidR="009E0ED4" w:rsidRPr="009E0ED4">
        <w:rPr>
          <w:rFonts w:ascii="Arial" w:hAnsi="Arial"/>
          <w:color w:val="000000" w:themeColor="text1"/>
          <w:szCs w:val="20"/>
        </w:rPr>
        <w:t>ff).</w:t>
      </w:r>
    </w:p>
    <w:p w14:paraId="76CA0065" w14:textId="77777777" w:rsidR="00024A32" w:rsidRDefault="00024A32" w:rsidP="00FF5039">
      <w:pPr>
        <w:spacing w:after="0" w:line="240" w:lineRule="auto"/>
        <w:rPr>
          <w:rFonts w:ascii="Arial" w:hAnsi="Arial"/>
          <w:color w:val="000000" w:themeColor="text1"/>
          <w:szCs w:val="20"/>
        </w:rPr>
      </w:pPr>
    </w:p>
    <w:p w14:paraId="49231EA9" w14:textId="77777777" w:rsidR="007E0A49" w:rsidRDefault="007E0A49" w:rsidP="007E0A49">
      <w:pPr>
        <w:spacing w:after="0" w:line="240" w:lineRule="auto"/>
        <w:rPr>
          <w:rFonts w:ascii="Arial" w:hAnsi="Arial"/>
          <w:b/>
          <w:bCs/>
        </w:rPr>
      </w:pPr>
    </w:p>
    <w:p w14:paraId="532C24A2" w14:textId="789FCFB3" w:rsidR="003A724B" w:rsidRPr="004C4471" w:rsidRDefault="003A724B" w:rsidP="002B52A2">
      <w:pPr>
        <w:pStyle w:val="ListParagraph"/>
        <w:numPr>
          <w:ilvl w:val="0"/>
          <w:numId w:val="100"/>
        </w:numPr>
        <w:spacing w:after="0" w:line="240" w:lineRule="auto"/>
        <w:ind w:left="284" w:hanging="284"/>
        <w:rPr>
          <w:rFonts w:ascii="Arial" w:hAnsi="Arial"/>
          <w:color w:val="000000" w:themeColor="text1"/>
          <w:szCs w:val="20"/>
          <w:u w:val="single"/>
        </w:rPr>
      </w:pPr>
      <w:r w:rsidRPr="004C4471">
        <w:rPr>
          <w:rFonts w:ascii="Arial" w:hAnsi="Arial"/>
          <w:color w:val="000000" w:themeColor="text1"/>
          <w:szCs w:val="20"/>
          <w:u w:val="single"/>
        </w:rPr>
        <w:t>More use of information on assets</w:t>
      </w:r>
    </w:p>
    <w:p w14:paraId="5F864506" w14:textId="77777777" w:rsidR="003A724B" w:rsidRDefault="003A724B" w:rsidP="003A724B">
      <w:pPr>
        <w:spacing w:after="0" w:line="240" w:lineRule="auto"/>
        <w:rPr>
          <w:rFonts w:ascii="Arial" w:hAnsi="Arial"/>
          <w:color w:val="000000" w:themeColor="text1"/>
          <w:szCs w:val="20"/>
        </w:rPr>
      </w:pPr>
    </w:p>
    <w:p w14:paraId="3D12DFC8" w14:textId="19643818" w:rsidR="003A724B" w:rsidRDefault="003A724B" w:rsidP="003A724B">
      <w:pPr>
        <w:spacing w:after="0" w:line="240" w:lineRule="auto"/>
        <w:rPr>
          <w:rFonts w:ascii="Arial" w:hAnsi="Arial"/>
          <w:color w:val="000000" w:themeColor="text1"/>
        </w:rPr>
      </w:pPr>
      <w:r>
        <w:rPr>
          <w:rFonts w:ascii="Arial" w:eastAsia="Times New Roman" w:hAnsi="Arial"/>
          <w:color w:val="000000" w:themeColor="text1"/>
          <w:szCs w:val="20"/>
          <w:lang w:val="en-GB"/>
        </w:rPr>
        <w:t>In this report, as in the CPRA and in poverty analysis in OECD and EU countries, p</w:t>
      </w:r>
      <w:r w:rsidRPr="00773157">
        <w:rPr>
          <w:rFonts w:ascii="Arial" w:eastAsia="Times New Roman" w:hAnsi="Arial"/>
          <w:color w:val="000000" w:themeColor="text1"/>
          <w:szCs w:val="20"/>
          <w:lang w:val="en-GB"/>
        </w:rPr>
        <w:t xml:space="preserve">overty is understood </w:t>
      </w:r>
      <w:r>
        <w:rPr>
          <w:rFonts w:ascii="Arial" w:eastAsia="Times New Roman" w:hAnsi="Arial"/>
          <w:color w:val="000000" w:themeColor="text1"/>
          <w:szCs w:val="20"/>
          <w:lang w:val="en-GB"/>
        </w:rPr>
        <w:t xml:space="preserve">at a high level as </w:t>
      </w:r>
      <w:r w:rsidRPr="00773157">
        <w:rPr>
          <w:rFonts w:ascii="Arial" w:hAnsi="Arial"/>
          <w:color w:val="000000" w:themeColor="text1"/>
        </w:rPr>
        <w:t>‘</w:t>
      </w:r>
      <w:r w:rsidRPr="00773157">
        <w:rPr>
          <w:rFonts w:ascii="Arial" w:hAnsi="Arial"/>
          <w:i/>
          <w:iCs/>
          <w:color w:val="000000" w:themeColor="text1"/>
        </w:rPr>
        <w:t>exclusion from the minimum acceptable way of life (standard of living) in one’s own society because of inadequate resources’</w:t>
      </w:r>
      <w:r w:rsidRPr="00773157">
        <w:rPr>
          <w:rFonts w:ascii="Arial" w:hAnsi="Arial"/>
          <w:color w:val="000000" w:themeColor="text1"/>
        </w:rPr>
        <w:t>.</w:t>
      </w:r>
      <w:r>
        <w:rPr>
          <w:rFonts w:ascii="Arial" w:hAnsi="Arial"/>
          <w:color w:val="000000" w:themeColor="text1"/>
        </w:rPr>
        <w:t xml:space="preserve"> Traditionally household income has been used as the measure of ‘resources’. This approach clearly has limitations, one of which is that households with similar incomes can have quite different ‘liquid assets’ (cash savings</w:t>
      </w:r>
      <w:r w:rsidR="00DA0641">
        <w:rPr>
          <w:rFonts w:ascii="Arial" w:hAnsi="Arial"/>
          <w:color w:val="000000" w:themeColor="text1"/>
        </w:rPr>
        <w:t xml:space="preserve"> and readily accessible investments</w:t>
      </w:r>
      <w:r>
        <w:rPr>
          <w:rFonts w:ascii="Arial" w:hAnsi="Arial"/>
          <w:color w:val="000000" w:themeColor="text1"/>
        </w:rPr>
        <w:t>) and quite different stocks of consumer durables in both quality and quantity.</w:t>
      </w:r>
      <w:r w:rsidR="00B372F6">
        <w:rPr>
          <w:rStyle w:val="FootnoteReference"/>
          <w:rFonts w:ascii="Arial" w:hAnsi="Arial"/>
          <w:color w:val="000000" w:themeColor="text1"/>
        </w:rPr>
        <w:footnoteReference w:id="4"/>
      </w:r>
      <w:r w:rsidR="00316004">
        <w:rPr>
          <w:rFonts w:ascii="Arial" w:hAnsi="Arial"/>
          <w:color w:val="000000" w:themeColor="text1"/>
        </w:rPr>
        <w:t xml:space="preserve"> These differences </w:t>
      </w:r>
      <w:r w:rsidR="00920F87">
        <w:rPr>
          <w:rFonts w:ascii="Arial" w:hAnsi="Arial"/>
          <w:color w:val="000000" w:themeColor="text1"/>
        </w:rPr>
        <w:t>go a long way to explaining the obser</w:t>
      </w:r>
      <w:r w:rsidR="00EA43C3">
        <w:rPr>
          <w:rFonts w:ascii="Arial" w:hAnsi="Arial"/>
          <w:color w:val="000000" w:themeColor="text1"/>
        </w:rPr>
        <w:t>v</w:t>
      </w:r>
      <w:r w:rsidR="00920F87">
        <w:rPr>
          <w:rFonts w:ascii="Arial" w:hAnsi="Arial"/>
          <w:color w:val="000000" w:themeColor="text1"/>
        </w:rPr>
        <w:t>ed mismatch between income- and non-in</w:t>
      </w:r>
      <w:r w:rsidR="00EA43C3">
        <w:rPr>
          <w:rFonts w:ascii="Arial" w:hAnsi="Arial"/>
          <w:color w:val="000000" w:themeColor="text1"/>
        </w:rPr>
        <w:t>c</w:t>
      </w:r>
      <w:r w:rsidR="00920F87">
        <w:rPr>
          <w:rFonts w:ascii="Arial" w:hAnsi="Arial"/>
          <w:color w:val="000000" w:themeColor="text1"/>
        </w:rPr>
        <w:t>ome based measures of poverty</w:t>
      </w:r>
      <w:r w:rsidR="00EA43C3">
        <w:rPr>
          <w:rFonts w:ascii="Arial" w:hAnsi="Arial"/>
          <w:color w:val="000000" w:themeColor="text1"/>
        </w:rPr>
        <w:t>.</w:t>
      </w:r>
      <w:r w:rsidR="00EA43C3">
        <w:rPr>
          <w:rStyle w:val="FootnoteReference"/>
          <w:rFonts w:ascii="Arial" w:hAnsi="Arial"/>
          <w:color w:val="000000" w:themeColor="text1"/>
        </w:rPr>
        <w:footnoteReference w:id="5"/>
      </w:r>
    </w:p>
    <w:p w14:paraId="181FC504" w14:textId="77777777" w:rsidR="003A724B" w:rsidRDefault="003A724B" w:rsidP="003A724B">
      <w:pPr>
        <w:spacing w:after="0" w:line="240" w:lineRule="auto"/>
        <w:rPr>
          <w:rFonts w:ascii="Arial" w:hAnsi="Arial"/>
          <w:color w:val="000000" w:themeColor="text1"/>
        </w:rPr>
      </w:pPr>
    </w:p>
    <w:p w14:paraId="15D5D743" w14:textId="30F464CD" w:rsidR="003A724B" w:rsidRDefault="003A724B" w:rsidP="003A724B">
      <w:pPr>
        <w:spacing w:after="0" w:line="240" w:lineRule="auto"/>
        <w:rPr>
          <w:rFonts w:ascii="Arial" w:hAnsi="Arial"/>
          <w:color w:val="000000" w:themeColor="text1"/>
          <w:szCs w:val="20"/>
        </w:rPr>
      </w:pPr>
      <w:r>
        <w:rPr>
          <w:rFonts w:ascii="Arial" w:hAnsi="Arial"/>
          <w:color w:val="000000" w:themeColor="text1"/>
        </w:rPr>
        <w:t xml:space="preserve">Previous MSD Child Poverty reports have included some analysis using data on liquid assets together with income data, and this is expanded in the 2026 report through the availability of good quality wealth data from the 2023-24 Net Worth survey. </w:t>
      </w:r>
      <w:r w:rsidRPr="00842755">
        <w:rPr>
          <w:rFonts w:ascii="Arial" w:hAnsi="Arial"/>
          <w:color w:val="000000" w:themeColor="text1"/>
        </w:rPr>
        <w:t xml:space="preserve">While HES </w:t>
      </w:r>
      <w:r w:rsidR="005F5ADF">
        <w:rPr>
          <w:rFonts w:ascii="Arial" w:hAnsi="Arial"/>
          <w:color w:val="000000" w:themeColor="text1"/>
        </w:rPr>
        <w:t xml:space="preserve">(now HILS) </w:t>
      </w:r>
      <w:r w:rsidRPr="00842755">
        <w:rPr>
          <w:rFonts w:ascii="Arial" w:hAnsi="Arial"/>
          <w:color w:val="000000" w:themeColor="text1"/>
        </w:rPr>
        <w:t>is run every year, it collects additional data on individual and household assets, liabilities, and net worth every three years.</w:t>
      </w:r>
      <w:r>
        <w:rPr>
          <w:rFonts w:ascii="Arial" w:hAnsi="Arial"/>
          <w:color w:val="000000" w:themeColor="text1"/>
        </w:rPr>
        <w:t xml:space="preserve"> </w:t>
      </w:r>
    </w:p>
    <w:p w14:paraId="43AFB279" w14:textId="77777777" w:rsidR="003A724B" w:rsidRDefault="003A724B">
      <w:pPr>
        <w:spacing w:after="0" w:line="240" w:lineRule="auto"/>
        <w:rPr>
          <w:rFonts w:ascii="Arial" w:hAnsi="Arial"/>
          <w:color w:val="000000" w:themeColor="text1"/>
          <w:szCs w:val="20"/>
          <w:u w:val="single"/>
        </w:rPr>
      </w:pPr>
    </w:p>
    <w:p w14:paraId="55312F6A" w14:textId="4A80D35D" w:rsidR="00486A08" w:rsidRPr="004C4471" w:rsidRDefault="00486A08">
      <w:pPr>
        <w:pStyle w:val="ListParagraph"/>
        <w:numPr>
          <w:ilvl w:val="0"/>
          <w:numId w:val="100"/>
        </w:numPr>
        <w:spacing w:after="0" w:line="240" w:lineRule="auto"/>
        <w:ind w:left="284" w:hanging="284"/>
        <w:rPr>
          <w:rFonts w:ascii="Arial" w:hAnsi="Arial"/>
          <w:color w:val="000000" w:themeColor="text1"/>
          <w:szCs w:val="20"/>
          <w:u w:val="single"/>
        </w:rPr>
      </w:pPr>
      <w:r w:rsidRPr="004C4471">
        <w:rPr>
          <w:rFonts w:ascii="Arial" w:hAnsi="Arial"/>
          <w:color w:val="000000" w:themeColor="text1"/>
          <w:szCs w:val="20"/>
          <w:u w:val="single"/>
        </w:rPr>
        <w:t>Fuller set of Appendices</w:t>
      </w:r>
    </w:p>
    <w:p w14:paraId="7BD1E5DD" w14:textId="77777777" w:rsidR="00486A08" w:rsidRPr="00D27495" w:rsidRDefault="00486A08">
      <w:pPr>
        <w:spacing w:after="0" w:line="240" w:lineRule="auto"/>
        <w:rPr>
          <w:rFonts w:ascii="Arial" w:hAnsi="Arial"/>
          <w:color w:val="000000" w:themeColor="text1"/>
          <w:szCs w:val="20"/>
        </w:rPr>
      </w:pPr>
    </w:p>
    <w:p w14:paraId="67E9F7F8" w14:textId="6A1BCCD4" w:rsidR="00385F62" w:rsidRDefault="00D27495">
      <w:pPr>
        <w:spacing w:after="0" w:line="240" w:lineRule="auto"/>
        <w:rPr>
          <w:rFonts w:ascii="Arial" w:hAnsi="Arial"/>
          <w:color w:val="000000" w:themeColor="text1"/>
          <w:szCs w:val="20"/>
        </w:rPr>
      </w:pPr>
      <w:r>
        <w:rPr>
          <w:rFonts w:ascii="Arial" w:hAnsi="Arial"/>
          <w:color w:val="000000" w:themeColor="text1"/>
          <w:szCs w:val="20"/>
        </w:rPr>
        <w:t>The 2026 report has a fuller set of Appendices</w:t>
      </w:r>
      <w:r w:rsidR="003A724B">
        <w:rPr>
          <w:rFonts w:ascii="Arial" w:hAnsi="Arial"/>
          <w:color w:val="000000" w:themeColor="text1"/>
          <w:szCs w:val="20"/>
        </w:rPr>
        <w:t xml:space="preserve"> than in the </w:t>
      </w:r>
      <w:r w:rsidR="003A724B" w:rsidRPr="006B4C52">
        <w:rPr>
          <w:rFonts w:ascii="Arial" w:hAnsi="Arial"/>
          <w:color w:val="000000" w:themeColor="text1"/>
          <w:szCs w:val="20"/>
        </w:rPr>
        <w:t xml:space="preserve">past, including </w:t>
      </w:r>
      <w:r w:rsidR="006B4C52">
        <w:rPr>
          <w:rFonts w:ascii="Arial" w:hAnsi="Arial"/>
          <w:color w:val="000000" w:themeColor="text1"/>
          <w:szCs w:val="20"/>
        </w:rPr>
        <w:t xml:space="preserve">extensive </w:t>
      </w:r>
      <w:r w:rsidR="006B4C52" w:rsidRPr="006B4C52">
        <w:rPr>
          <w:rFonts w:ascii="Arial" w:hAnsi="Arial"/>
          <w:color w:val="000000" w:themeColor="text1"/>
          <w:szCs w:val="20"/>
        </w:rPr>
        <w:t>updated information on household income</w:t>
      </w:r>
      <w:r w:rsidR="006B4C52">
        <w:rPr>
          <w:rFonts w:ascii="Arial" w:hAnsi="Arial"/>
          <w:color w:val="000000" w:themeColor="text1"/>
          <w:szCs w:val="20"/>
        </w:rPr>
        <w:t xml:space="preserve">s (eg </w:t>
      </w:r>
      <w:r w:rsidR="006B4C52" w:rsidRPr="006B4C52">
        <w:rPr>
          <w:rFonts w:ascii="Arial" w:hAnsi="Arial"/>
          <w:color w:val="000000" w:themeColor="text1"/>
          <w:szCs w:val="20"/>
        </w:rPr>
        <w:t>trends</w:t>
      </w:r>
      <w:r w:rsidR="006B4C52">
        <w:rPr>
          <w:rFonts w:ascii="Arial" w:hAnsi="Arial"/>
          <w:color w:val="000000" w:themeColor="text1"/>
          <w:szCs w:val="20"/>
        </w:rPr>
        <w:t xml:space="preserve"> in real terms … and poverty lines converted to ordinary dollars for selected household types)</w:t>
      </w:r>
      <w:r w:rsidR="006B4C52" w:rsidRPr="006B4C52">
        <w:rPr>
          <w:rFonts w:ascii="Arial" w:hAnsi="Arial"/>
          <w:color w:val="000000" w:themeColor="text1"/>
          <w:szCs w:val="20"/>
        </w:rPr>
        <w:t xml:space="preserve"> and a detailed record of the changes in the material wellbeing questions when moving from HES to HILS 2024-25.</w:t>
      </w:r>
    </w:p>
    <w:p w14:paraId="06318D9A" w14:textId="77777777" w:rsidR="00385F62" w:rsidRDefault="00385F62">
      <w:pPr>
        <w:spacing w:after="0" w:line="240" w:lineRule="auto"/>
        <w:rPr>
          <w:rFonts w:ascii="Arial" w:hAnsi="Arial"/>
          <w:color w:val="000000" w:themeColor="text1"/>
          <w:szCs w:val="20"/>
        </w:rPr>
      </w:pPr>
    </w:p>
    <w:p w14:paraId="186D979C" w14:textId="77777777" w:rsidR="00385F62" w:rsidRDefault="00385F62">
      <w:pPr>
        <w:spacing w:after="0" w:line="240" w:lineRule="auto"/>
        <w:rPr>
          <w:rFonts w:ascii="Arial" w:hAnsi="Arial"/>
          <w:color w:val="000000" w:themeColor="text1"/>
          <w:szCs w:val="20"/>
        </w:rPr>
      </w:pPr>
    </w:p>
    <w:p w14:paraId="537DF451" w14:textId="77777777" w:rsidR="003C0C0C" w:rsidRDefault="003C0C0C">
      <w:pPr>
        <w:spacing w:after="0" w:line="240" w:lineRule="auto"/>
        <w:rPr>
          <w:rFonts w:ascii="Arial" w:hAnsi="Arial"/>
          <w:b/>
          <w:bCs/>
          <w:color w:val="000000" w:themeColor="text1"/>
          <w:sz w:val="36"/>
          <w:szCs w:val="36"/>
        </w:rPr>
      </w:pPr>
      <w:r>
        <w:rPr>
          <w:rFonts w:ascii="Arial" w:hAnsi="Arial"/>
          <w:b/>
          <w:bCs/>
          <w:color w:val="000000" w:themeColor="text1"/>
          <w:sz w:val="36"/>
          <w:szCs w:val="36"/>
        </w:rPr>
        <w:br w:type="page"/>
      </w:r>
    </w:p>
    <w:p w14:paraId="7A39F615" w14:textId="24870BA6" w:rsidR="003C0C0C" w:rsidRDefault="003C0C0C">
      <w:pPr>
        <w:spacing w:after="0" w:line="240" w:lineRule="auto"/>
        <w:rPr>
          <w:rFonts w:ascii="Arial" w:hAnsi="Arial"/>
          <w:b/>
          <w:bCs/>
          <w:color w:val="000000" w:themeColor="text1"/>
          <w:sz w:val="24"/>
          <w:szCs w:val="24"/>
        </w:rPr>
      </w:pPr>
      <w:r w:rsidRPr="003C0C0C">
        <w:rPr>
          <w:rFonts w:ascii="Arial" w:hAnsi="Arial"/>
          <w:b/>
          <w:bCs/>
          <w:color w:val="000000" w:themeColor="text1"/>
          <w:sz w:val="24"/>
          <w:szCs w:val="24"/>
        </w:rPr>
        <w:lastRenderedPageBreak/>
        <w:t>CPRA official child poverty figures from Stats NZ</w:t>
      </w:r>
    </w:p>
    <w:p w14:paraId="2572EA2B" w14:textId="77777777" w:rsidR="003C0C0C" w:rsidRPr="003C0C0C" w:rsidRDefault="003C0C0C">
      <w:pPr>
        <w:spacing w:after="0" w:line="240" w:lineRule="auto"/>
        <w:rPr>
          <w:rFonts w:ascii="Arial" w:hAnsi="Arial"/>
          <w:b/>
          <w:bCs/>
          <w:color w:val="000000" w:themeColor="text1"/>
          <w:sz w:val="24"/>
          <w:szCs w:val="24"/>
        </w:rPr>
      </w:pPr>
    </w:p>
    <w:p w14:paraId="202FC4FF" w14:textId="77777777" w:rsidR="003C0C0C" w:rsidRPr="00876081" w:rsidRDefault="003C0C0C" w:rsidP="003C0C0C">
      <w:pPr>
        <w:spacing w:after="0" w:line="240" w:lineRule="auto"/>
        <w:jc w:val="center"/>
        <w:rPr>
          <w:rFonts w:ascii="Arial" w:hAnsi="Arial"/>
          <w:b/>
          <w:bCs/>
          <w:color w:val="000000" w:themeColor="text1"/>
          <w:sz w:val="18"/>
          <w:szCs w:val="20"/>
        </w:rPr>
      </w:pPr>
      <w:r w:rsidRPr="00876081">
        <w:rPr>
          <w:rFonts w:ascii="Arial" w:hAnsi="Arial"/>
          <w:b/>
          <w:bCs/>
          <w:color w:val="000000" w:themeColor="text1"/>
          <w:sz w:val="18"/>
          <w:szCs w:val="20"/>
        </w:rPr>
        <w:t>Rates (%) and numbers for the nine available CPRA child poverty measures:</w:t>
      </w:r>
    </w:p>
    <w:p w14:paraId="63A5206F" w14:textId="77777777" w:rsidR="003C0C0C" w:rsidRPr="00876081" w:rsidRDefault="003C0C0C" w:rsidP="003C0C0C">
      <w:pPr>
        <w:jc w:val="center"/>
        <w:rPr>
          <w:rFonts w:ascii="Arial" w:hAnsi="Arial"/>
          <w:b/>
          <w:bCs/>
          <w:color w:val="000000" w:themeColor="text1"/>
          <w:sz w:val="18"/>
          <w:szCs w:val="20"/>
        </w:rPr>
      </w:pPr>
      <w:r w:rsidRPr="00876081">
        <w:rPr>
          <w:rFonts w:ascii="Arial" w:hAnsi="Arial"/>
          <w:b/>
          <w:bCs/>
          <w:color w:val="000000" w:themeColor="text1"/>
          <w:sz w:val="18"/>
          <w:szCs w:val="20"/>
        </w:rPr>
        <w:t>Stats NZ figures for 2017-18 to 202</w:t>
      </w:r>
      <w:r>
        <w:rPr>
          <w:rFonts w:ascii="Arial" w:hAnsi="Arial"/>
          <w:b/>
          <w:bCs/>
          <w:color w:val="000000" w:themeColor="text1"/>
          <w:sz w:val="18"/>
          <w:szCs w:val="20"/>
        </w:rPr>
        <w:t>4</w:t>
      </w:r>
      <w:r w:rsidRPr="00876081">
        <w:rPr>
          <w:rFonts w:ascii="Arial" w:hAnsi="Arial"/>
          <w:b/>
          <w:bCs/>
          <w:color w:val="000000" w:themeColor="text1"/>
          <w:sz w:val="18"/>
          <w:szCs w:val="20"/>
        </w:rPr>
        <w:t>-2</w:t>
      </w:r>
      <w:r>
        <w:rPr>
          <w:rFonts w:ascii="Arial" w:hAnsi="Arial"/>
          <w:b/>
          <w:bCs/>
          <w:color w:val="000000" w:themeColor="text1"/>
          <w:sz w:val="18"/>
          <w:szCs w:val="20"/>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42" w:type="dxa"/>
        </w:tblCellMar>
        <w:tblLook w:val="04A0" w:firstRow="1" w:lastRow="0" w:firstColumn="1" w:lastColumn="0" w:noHBand="0" w:noVBand="1"/>
      </w:tblPr>
      <w:tblGrid>
        <w:gridCol w:w="421"/>
        <w:gridCol w:w="2409"/>
        <w:gridCol w:w="567"/>
        <w:gridCol w:w="567"/>
        <w:gridCol w:w="567"/>
        <w:gridCol w:w="567"/>
        <w:gridCol w:w="567"/>
        <w:gridCol w:w="567"/>
        <w:gridCol w:w="567"/>
        <w:gridCol w:w="567"/>
        <w:gridCol w:w="851"/>
      </w:tblGrid>
      <w:tr w:rsidR="00B27C8F" w:rsidRPr="00876081" w14:paraId="014A6177" w14:textId="77777777" w:rsidTr="000063CD">
        <w:trPr>
          <w:jc w:val="center"/>
        </w:trPr>
        <w:tc>
          <w:tcPr>
            <w:tcW w:w="421" w:type="dxa"/>
            <w:vMerge w:val="restart"/>
          </w:tcPr>
          <w:p w14:paraId="63982F35" w14:textId="77777777" w:rsidR="00B27C8F" w:rsidRPr="00876081" w:rsidRDefault="00B27C8F" w:rsidP="000063CD">
            <w:pPr>
              <w:spacing w:before="40" w:after="40"/>
              <w:rPr>
                <w:rFonts w:ascii="Arial" w:hAnsi="Arial"/>
                <w:b/>
                <w:bCs/>
                <w:color w:val="000000" w:themeColor="text1"/>
                <w:sz w:val="14"/>
                <w:szCs w:val="14"/>
              </w:rPr>
            </w:pPr>
          </w:p>
        </w:tc>
        <w:tc>
          <w:tcPr>
            <w:tcW w:w="2409" w:type="dxa"/>
            <w:vMerge w:val="restart"/>
            <w:vAlign w:val="center"/>
          </w:tcPr>
          <w:p w14:paraId="6057DDDE" w14:textId="77777777" w:rsidR="00B27C8F" w:rsidRPr="00876081" w:rsidRDefault="00B27C8F" w:rsidP="000063CD">
            <w:pPr>
              <w:spacing w:before="120"/>
              <w:rPr>
                <w:rFonts w:ascii="Arial" w:hAnsi="Arial"/>
                <w:b/>
                <w:bCs/>
                <w:color w:val="000000" w:themeColor="text1"/>
                <w:sz w:val="14"/>
                <w:szCs w:val="14"/>
              </w:rPr>
            </w:pPr>
            <w:r w:rsidRPr="00876081">
              <w:rPr>
                <w:rFonts w:ascii="Arial" w:hAnsi="Arial"/>
                <w:b/>
                <w:bCs/>
                <w:color w:val="000000" w:themeColor="text1"/>
                <w:sz w:val="14"/>
                <w:szCs w:val="14"/>
              </w:rPr>
              <w:t>Measure</w:t>
            </w:r>
          </w:p>
        </w:tc>
        <w:tc>
          <w:tcPr>
            <w:tcW w:w="4536" w:type="dxa"/>
            <w:gridSpan w:val="8"/>
          </w:tcPr>
          <w:p w14:paraId="25E770C8" w14:textId="77777777" w:rsidR="00B27C8F" w:rsidRPr="00876081" w:rsidRDefault="00B27C8F" w:rsidP="000063CD">
            <w:pPr>
              <w:spacing w:before="40" w:after="40"/>
              <w:jc w:val="center"/>
              <w:rPr>
                <w:rFonts w:ascii="Arial" w:hAnsi="Arial"/>
                <w:b/>
                <w:bCs/>
                <w:color w:val="000000" w:themeColor="text1"/>
                <w:sz w:val="14"/>
                <w:szCs w:val="14"/>
              </w:rPr>
            </w:pPr>
            <w:r w:rsidRPr="00876081">
              <w:rPr>
                <w:rFonts w:ascii="Arial" w:hAnsi="Arial"/>
                <w:b/>
                <w:bCs/>
                <w:color w:val="000000" w:themeColor="text1"/>
                <w:sz w:val="14"/>
                <w:szCs w:val="14"/>
              </w:rPr>
              <w:t>% poor</w:t>
            </w:r>
          </w:p>
        </w:tc>
        <w:tc>
          <w:tcPr>
            <w:tcW w:w="851" w:type="dxa"/>
          </w:tcPr>
          <w:p w14:paraId="3ADE680C" w14:textId="77777777" w:rsidR="00B27C8F" w:rsidRPr="00876081" w:rsidRDefault="00B27C8F" w:rsidP="000063CD">
            <w:pPr>
              <w:spacing w:before="40" w:after="40"/>
              <w:jc w:val="center"/>
              <w:rPr>
                <w:rFonts w:ascii="Arial" w:hAnsi="Arial"/>
                <w:b/>
                <w:bCs/>
                <w:color w:val="000000" w:themeColor="text1"/>
                <w:sz w:val="14"/>
                <w:szCs w:val="14"/>
              </w:rPr>
            </w:pPr>
            <w:r w:rsidRPr="00876081">
              <w:rPr>
                <w:rFonts w:ascii="Arial" w:hAnsi="Arial"/>
                <w:b/>
                <w:bCs/>
                <w:color w:val="000000" w:themeColor="text1"/>
                <w:sz w:val="14"/>
                <w:szCs w:val="14"/>
              </w:rPr>
              <w:t># poor</w:t>
            </w:r>
          </w:p>
        </w:tc>
      </w:tr>
      <w:tr w:rsidR="00B27C8F" w:rsidRPr="00876081" w14:paraId="71778325" w14:textId="77777777" w:rsidTr="000063CD">
        <w:trPr>
          <w:jc w:val="center"/>
        </w:trPr>
        <w:tc>
          <w:tcPr>
            <w:tcW w:w="421" w:type="dxa"/>
            <w:vMerge/>
          </w:tcPr>
          <w:p w14:paraId="1D89C230" w14:textId="77777777" w:rsidR="00B27C8F" w:rsidRPr="00876081" w:rsidRDefault="00B27C8F" w:rsidP="000063CD">
            <w:pPr>
              <w:spacing w:before="40" w:after="40"/>
              <w:rPr>
                <w:rFonts w:ascii="Arial" w:hAnsi="Arial"/>
                <w:b/>
                <w:bCs/>
                <w:color w:val="000000" w:themeColor="text1"/>
                <w:sz w:val="14"/>
                <w:szCs w:val="14"/>
              </w:rPr>
            </w:pPr>
          </w:p>
        </w:tc>
        <w:tc>
          <w:tcPr>
            <w:tcW w:w="2409" w:type="dxa"/>
            <w:vMerge/>
            <w:vAlign w:val="center"/>
          </w:tcPr>
          <w:p w14:paraId="48EB6881" w14:textId="77777777" w:rsidR="00B27C8F" w:rsidRPr="00876081" w:rsidRDefault="00B27C8F" w:rsidP="000063CD">
            <w:pPr>
              <w:spacing w:before="120"/>
              <w:rPr>
                <w:rFonts w:ascii="Arial" w:hAnsi="Arial"/>
                <w:b/>
                <w:bCs/>
                <w:color w:val="000000" w:themeColor="text1"/>
                <w:sz w:val="14"/>
                <w:szCs w:val="14"/>
              </w:rPr>
            </w:pPr>
          </w:p>
        </w:tc>
        <w:tc>
          <w:tcPr>
            <w:tcW w:w="3969" w:type="dxa"/>
            <w:gridSpan w:val="7"/>
          </w:tcPr>
          <w:p w14:paraId="0A1503A2" w14:textId="77777777" w:rsidR="00B27C8F" w:rsidRPr="00876081" w:rsidRDefault="00B27C8F" w:rsidP="000063CD">
            <w:pPr>
              <w:spacing w:before="40" w:after="40"/>
              <w:jc w:val="center"/>
              <w:rPr>
                <w:rFonts w:ascii="Arial" w:hAnsi="Arial"/>
                <w:b/>
                <w:bCs/>
                <w:color w:val="000000" w:themeColor="text1"/>
                <w:sz w:val="14"/>
                <w:szCs w:val="14"/>
              </w:rPr>
            </w:pPr>
            <w:r>
              <w:rPr>
                <w:rFonts w:ascii="Arial" w:hAnsi="Arial"/>
                <w:b/>
                <w:bCs/>
                <w:color w:val="000000" w:themeColor="text1"/>
                <w:sz w:val="14"/>
                <w:szCs w:val="14"/>
              </w:rPr>
              <w:t>HES</w:t>
            </w:r>
          </w:p>
        </w:tc>
        <w:tc>
          <w:tcPr>
            <w:tcW w:w="567" w:type="dxa"/>
            <w:noWrap/>
            <w:tcMar>
              <w:left w:w="57" w:type="dxa"/>
              <w:right w:w="57" w:type="dxa"/>
            </w:tcMar>
          </w:tcPr>
          <w:p w14:paraId="633902B7" w14:textId="77777777" w:rsidR="00B27C8F" w:rsidRPr="00876081" w:rsidRDefault="00B27C8F" w:rsidP="000063CD">
            <w:pPr>
              <w:spacing w:before="40" w:after="40"/>
              <w:jc w:val="center"/>
              <w:rPr>
                <w:rFonts w:ascii="Arial" w:hAnsi="Arial"/>
                <w:b/>
                <w:bCs/>
                <w:color w:val="000000" w:themeColor="text1"/>
                <w:sz w:val="14"/>
                <w:szCs w:val="14"/>
              </w:rPr>
            </w:pPr>
            <w:r>
              <w:rPr>
                <w:rFonts w:ascii="Arial" w:hAnsi="Arial"/>
                <w:b/>
                <w:bCs/>
                <w:color w:val="000000" w:themeColor="text1"/>
                <w:sz w:val="14"/>
                <w:szCs w:val="14"/>
              </w:rPr>
              <w:t>HILS</w:t>
            </w:r>
          </w:p>
        </w:tc>
        <w:tc>
          <w:tcPr>
            <w:tcW w:w="851" w:type="dxa"/>
            <w:noWrap/>
            <w:tcMar>
              <w:left w:w="57" w:type="dxa"/>
              <w:right w:w="57" w:type="dxa"/>
            </w:tcMar>
          </w:tcPr>
          <w:p w14:paraId="1D2A0E69" w14:textId="77777777" w:rsidR="00B27C8F" w:rsidRPr="00876081" w:rsidRDefault="00B27C8F" w:rsidP="000063CD">
            <w:pPr>
              <w:spacing w:before="40" w:after="40"/>
              <w:jc w:val="center"/>
              <w:rPr>
                <w:rFonts w:ascii="Arial" w:hAnsi="Arial"/>
                <w:b/>
                <w:bCs/>
                <w:color w:val="000000" w:themeColor="text1"/>
                <w:sz w:val="14"/>
                <w:szCs w:val="14"/>
              </w:rPr>
            </w:pPr>
            <w:r>
              <w:rPr>
                <w:rFonts w:ascii="Arial" w:hAnsi="Arial"/>
                <w:b/>
                <w:bCs/>
                <w:color w:val="000000" w:themeColor="text1"/>
                <w:sz w:val="14"/>
                <w:szCs w:val="14"/>
              </w:rPr>
              <w:t>HILS</w:t>
            </w:r>
          </w:p>
        </w:tc>
      </w:tr>
      <w:tr w:rsidR="00B27C8F" w:rsidRPr="00876081" w14:paraId="4AEE41C7" w14:textId="77777777" w:rsidTr="000063CD">
        <w:trPr>
          <w:jc w:val="center"/>
        </w:trPr>
        <w:tc>
          <w:tcPr>
            <w:tcW w:w="421" w:type="dxa"/>
            <w:vMerge/>
          </w:tcPr>
          <w:p w14:paraId="10EF1AB4" w14:textId="77777777" w:rsidR="00B27C8F" w:rsidRPr="00876081" w:rsidRDefault="00B27C8F" w:rsidP="000063CD">
            <w:pPr>
              <w:spacing w:before="30" w:after="30"/>
              <w:rPr>
                <w:rFonts w:ascii="Arial" w:hAnsi="Arial"/>
                <w:color w:val="000000" w:themeColor="text1"/>
                <w:sz w:val="14"/>
                <w:szCs w:val="14"/>
              </w:rPr>
            </w:pPr>
          </w:p>
        </w:tc>
        <w:tc>
          <w:tcPr>
            <w:tcW w:w="2409" w:type="dxa"/>
            <w:vMerge/>
          </w:tcPr>
          <w:p w14:paraId="3FE03366" w14:textId="77777777" w:rsidR="00B27C8F" w:rsidRPr="00876081" w:rsidRDefault="00B27C8F" w:rsidP="000063CD">
            <w:pPr>
              <w:spacing w:before="30" w:after="30"/>
              <w:rPr>
                <w:rFonts w:ascii="Arial" w:hAnsi="Arial"/>
                <w:color w:val="000000" w:themeColor="text1"/>
                <w:sz w:val="14"/>
                <w:szCs w:val="14"/>
              </w:rPr>
            </w:pPr>
          </w:p>
        </w:tc>
        <w:tc>
          <w:tcPr>
            <w:tcW w:w="567" w:type="dxa"/>
            <w:noWrap/>
            <w:tcMar>
              <w:top w:w="28" w:type="dxa"/>
              <w:left w:w="28" w:type="dxa"/>
              <w:bottom w:w="28" w:type="dxa"/>
              <w:right w:w="28" w:type="dxa"/>
            </w:tcMar>
            <w:vAlign w:val="center"/>
          </w:tcPr>
          <w:p w14:paraId="172098E3" w14:textId="77777777" w:rsidR="00B27C8F" w:rsidRPr="009114C2" w:rsidRDefault="00B27C8F" w:rsidP="000063CD">
            <w:pPr>
              <w:spacing w:before="30" w:after="30"/>
              <w:jc w:val="center"/>
              <w:rPr>
                <w:rFonts w:ascii="Arial" w:hAnsi="Arial"/>
                <w:b/>
                <w:bCs/>
                <w:color w:val="000000" w:themeColor="text1"/>
                <w:sz w:val="14"/>
                <w:szCs w:val="14"/>
              </w:rPr>
            </w:pPr>
            <w:r w:rsidRPr="009114C2">
              <w:rPr>
                <w:rFonts w:ascii="Arial" w:hAnsi="Arial"/>
                <w:b/>
                <w:bCs/>
                <w:color w:val="000000" w:themeColor="text1"/>
                <w:sz w:val="14"/>
                <w:szCs w:val="14"/>
              </w:rPr>
              <w:t>17-18</w:t>
            </w:r>
          </w:p>
        </w:tc>
        <w:tc>
          <w:tcPr>
            <w:tcW w:w="567" w:type="dxa"/>
            <w:noWrap/>
            <w:tcMar>
              <w:top w:w="28" w:type="dxa"/>
              <w:left w:w="28" w:type="dxa"/>
              <w:bottom w:w="28" w:type="dxa"/>
              <w:right w:w="28" w:type="dxa"/>
            </w:tcMar>
            <w:vAlign w:val="center"/>
          </w:tcPr>
          <w:p w14:paraId="58960538" w14:textId="77777777" w:rsidR="00B27C8F" w:rsidRPr="009114C2" w:rsidRDefault="00B27C8F" w:rsidP="000063CD">
            <w:pPr>
              <w:spacing w:before="30" w:after="30"/>
              <w:jc w:val="center"/>
              <w:rPr>
                <w:rFonts w:ascii="Arial" w:hAnsi="Arial"/>
                <w:b/>
                <w:bCs/>
                <w:color w:val="000000" w:themeColor="text1"/>
                <w:sz w:val="14"/>
                <w:szCs w:val="14"/>
              </w:rPr>
            </w:pPr>
            <w:r w:rsidRPr="009114C2">
              <w:rPr>
                <w:rFonts w:ascii="Arial" w:hAnsi="Arial"/>
                <w:b/>
                <w:bCs/>
                <w:color w:val="000000" w:themeColor="text1"/>
                <w:sz w:val="14"/>
                <w:szCs w:val="14"/>
              </w:rPr>
              <w:t>18-19</w:t>
            </w:r>
          </w:p>
        </w:tc>
        <w:tc>
          <w:tcPr>
            <w:tcW w:w="567" w:type="dxa"/>
            <w:noWrap/>
            <w:tcMar>
              <w:top w:w="28" w:type="dxa"/>
              <w:left w:w="28" w:type="dxa"/>
              <w:bottom w:w="28" w:type="dxa"/>
              <w:right w:w="28" w:type="dxa"/>
            </w:tcMar>
            <w:vAlign w:val="center"/>
          </w:tcPr>
          <w:p w14:paraId="0E531D7F" w14:textId="77777777" w:rsidR="00B27C8F" w:rsidRPr="009114C2" w:rsidRDefault="00B27C8F" w:rsidP="000063CD">
            <w:pPr>
              <w:spacing w:before="30" w:after="30"/>
              <w:jc w:val="center"/>
              <w:rPr>
                <w:rFonts w:ascii="Arial" w:hAnsi="Arial"/>
                <w:b/>
                <w:bCs/>
                <w:color w:val="000000" w:themeColor="text1"/>
                <w:sz w:val="14"/>
                <w:szCs w:val="14"/>
              </w:rPr>
            </w:pPr>
            <w:r w:rsidRPr="009114C2">
              <w:rPr>
                <w:rFonts w:ascii="Arial" w:hAnsi="Arial"/>
                <w:b/>
                <w:bCs/>
                <w:color w:val="000000" w:themeColor="text1"/>
                <w:sz w:val="14"/>
                <w:szCs w:val="14"/>
              </w:rPr>
              <w:t>19-20</w:t>
            </w:r>
          </w:p>
        </w:tc>
        <w:tc>
          <w:tcPr>
            <w:tcW w:w="567" w:type="dxa"/>
            <w:noWrap/>
            <w:tcMar>
              <w:left w:w="28" w:type="dxa"/>
              <w:right w:w="28" w:type="dxa"/>
            </w:tcMar>
            <w:vAlign w:val="center"/>
          </w:tcPr>
          <w:p w14:paraId="259F570C" w14:textId="77777777" w:rsidR="00B27C8F" w:rsidRPr="009114C2" w:rsidRDefault="00B27C8F" w:rsidP="000063CD">
            <w:pPr>
              <w:spacing w:before="30" w:after="30"/>
              <w:ind w:left="-114" w:right="-142"/>
              <w:jc w:val="center"/>
              <w:rPr>
                <w:rFonts w:ascii="Arial" w:hAnsi="Arial"/>
                <w:b/>
                <w:bCs/>
                <w:color w:val="000000" w:themeColor="text1"/>
                <w:sz w:val="14"/>
                <w:szCs w:val="14"/>
              </w:rPr>
            </w:pPr>
            <w:r w:rsidRPr="009114C2">
              <w:rPr>
                <w:rFonts w:ascii="Arial" w:hAnsi="Arial"/>
                <w:b/>
                <w:bCs/>
                <w:color w:val="000000" w:themeColor="text1"/>
                <w:sz w:val="14"/>
                <w:szCs w:val="14"/>
              </w:rPr>
              <w:t>20-21</w:t>
            </w:r>
          </w:p>
        </w:tc>
        <w:tc>
          <w:tcPr>
            <w:tcW w:w="567" w:type="dxa"/>
            <w:noWrap/>
            <w:tcMar>
              <w:left w:w="28" w:type="dxa"/>
              <w:right w:w="28" w:type="dxa"/>
            </w:tcMar>
            <w:vAlign w:val="center"/>
          </w:tcPr>
          <w:p w14:paraId="6CDB2CE4" w14:textId="77777777" w:rsidR="00B27C8F" w:rsidRPr="009114C2" w:rsidRDefault="00B27C8F" w:rsidP="000063CD">
            <w:pPr>
              <w:spacing w:before="30" w:after="30"/>
              <w:ind w:left="-108" w:right="-147"/>
              <w:jc w:val="center"/>
              <w:rPr>
                <w:rFonts w:ascii="Arial" w:hAnsi="Arial"/>
                <w:b/>
                <w:bCs/>
                <w:color w:val="000000" w:themeColor="text1"/>
                <w:sz w:val="14"/>
                <w:szCs w:val="14"/>
              </w:rPr>
            </w:pPr>
            <w:r w:rsidRPr="009114C2">
              <w:rPr>
                <w:rFonts w:ascii="Arial" w:hAnsi="Arial"/>
                <w:b/>
                <w:bCs/>
                <w:color w:val="000000" w:themeColor="text1"/>
                <w:sz w:val="14"/>
                <w:szCs w:val="14"/>
              </w:rPr>
              <w:t>21-22</w:t>
            </w:r>
          </w:p>
        </w:tc>
        <w:tc>
          <w:tcPr>
            <w:tcW w:w="567" w:type="dxa"/>
            <w:noWrap/>
            <w:tcMar>
              <w:top w:w="28" w:type="dxa"/>
              <w:left w:w="28" w:type="dxa"/>
              <w:bottom w:w="28" w:type="dxa"/>
              <w:right w:w="28" w:type="dxa"/>
            </w:tcMar>
            <w:vAlign w:val="center"/>
          </w:tcPr>
          <w:p w14:paraId="2F56163F" w14:textId="77777777" w:rsidR="00B27C8F" w:rsidRPr="005208E7" w:rsidRDefault="00B27C8F" w:rsidP="000063CD">
            <w:pPr>
              <w:spacing w:before="30" w:after="30"/>
              <w:jc w:val="center"/>
              <w:rPr>
                <w:rFonts w:ascii="Arial" w:hAnsi="Arial"/>
                <w:b/>
                <w:bCs/>
                <w:color w:val="000000" w:themeColor="text1"/>
                <w:sz w:val="14"/>
                <w:szCs w:val="14"/>
              </w:rPr>
            </w:pPr>
            <w:r w:rsidRPr="005208E7">
              <w:rPr>
                <w:rFonts w:ascii="Arial" w:hAnsi="Arial"/>
                <w:b/>
                <w:bCs/>
                <w:color w:val="000000" w:themeColor="text1"/>
                <w:sz w:val="14"/>
                <w:szCs w:val="14"/>
              </w:rPr>
              <w:t>22-23</w:t>
            </w:r>
          </w:p>
        </w:tc>
        <w:tc>
          <w:tcPr>
            <w:tcW w:w="567" w:type="dxa"/>
            <w:noWrap/>
            <w:tcMar>
              <w:left w:w="28" w:type="dxa"/>
              <w:right w:w="28" w:type="dxa"/>
            </w:tcMar>
            <w:vAlign w:val="center"/>
          </w:tcPr>
          <w:p w14:paraId="14A04CA0" w14:textId="77777777" w:rsidR="00B27C8F" w:rsidRPr="005208E7" w:rsidRDefault="00B27C8F" w:rsidP="000063CD">
            <w:pPr>
              <w:spacing w:before="30" w:after="30"/>
              <w:jc w:val="center"/>
              <w:rPr>
                <w:rFonts w:ascii="Arial" w:hAnsi="Arial"/>
                <w:b/>
                <w:bCs/>
                <w:color w:val="000000" w:themeColor="text1"/>
                <w:sz w:val="14"/>
                <w:szCs w:val="14"/>
              </w:rPr>
            </w:pPr>
            <w:r w:rsidRPr="005208E7">
              <w:rPr>
                <w:rFonts w:ascii="Arial" w:hAnsi="Arial"/>
                <w:b/>
                <w:bCs/>
                <w:color w:val="000000" w:themeColor="text1"/>
                <w:sz w:val="14"/>
                <w:szCs w:val="14"/>
              </w:rPr>
              <w:t>23-24</w:t>
            </w:r>
          </w:p>
        </w:tc>
        <w:tc>
          <w:tcPr>
            <w:tcW w:w="567" w:type="dxa"/>
            <w:noWrap/>
            <w:tcMar>
              <w:left w:w="28" w:type="dxa"/>
              <w:right w:w="28" w:type="dxa"/>
            </w:tcMar>
          </w:tcPr>
          <w:p w14:paraId="64A85284" w14:textId="77777777" w:rsidR="00B27C8F" w:rsidRPr="00876081" w:rsidRDefault="00B27C8F" w:rsidP="000063CD">
            <w:pPr>
              <w:spacing w:before="30" w:after="30"/>
              <w:jc w:val="center"/>
              <w:rPr>
                <w:rFonts w:ascii="Arial" w:hAnsi="Arial"/>
                <w:b/>
                <w:bCs/>
                <w:i/>
                <w:iCs/>
                <w:color w:val="000000" w:themeColor="text1"/>
                <w:sz w:val="14"/>
                <w:szCs w:val="14"/>
              </w:rPr>
            </w:pPr>
            <w:r w:rsidRPr="00876081">
              <w:rPr>
                <w:rFonts w:ascii="Arial" w:hAnsi="Arial"/>
                <w:b/>
                <w:bCs/>
                <w:i/>
                <w:iCs/>
                <w:color w:val="000000" w:themeColor="text1"/>
                <w:sz w:val="14"/>
                <w:szCs w:val="14"/>
              </w:rPr>
              <w:t>2</w:t>
            </w:r>
            <w:r>
              <w:rPr>
                <w:rFonts w:ascii="Arial" w:hAnsi="Arial"/>
                <w:b/>
                <w:bCs/>
                <w:i/>
                <w:iCs/>
                <w:color w:val="000000" w:themeColor="text1"/>
                <w:sz w:val="14"/>
                <w:szCs w:val="14"/>
              </w:rPr>
              <w:t>4</w:t>
            </w:r>
            <w:r w:rsidRPr="00876081">
              <w:rPr>
                <w:rFonts w:ascii="Arial" w:hAnsi="Arial"/>
                <w:b/>
                <w:bCs/>
                <w:i/>
                <w:iCs/>
                <w:color w:val="000000" w:themeColor="text1"/>
                <w:sz w:val="14"/>
                <w:szCs w:val="14"/>
              </w:rPr>
              <w:t>-2</w:t>
            </w:r>
            <w:r>
              <w:rPr>
                <w:rFonts w:ascii="Arial" w:hAnsi="Arial"/>
                <w:b/>
                <w:bCs/>
                <w:i/>
                <w:iCs/>
                <w:color w:val="000000" w:themeColor="text1"/>
                <w:sz w:val="14"/>
                <w:szCs w:val="14"/>
              </w:rPr>
              <w:t>5</w:t>
            </w:r>
          </w:p>
        </w:tc>
        <w:tc>
          <w:tcPr>
            <w:tcW w:w="851" w:type="dxa"/>
            <w:noWrap/>
            <w:tcMar>
              <w:left w:w="28" w:type="dxa"/>
              <w:right w:w="28" w:type="dxa"/>
            </w:tcMar>
            <w:vAlign w:val="center"/>
          </w:tcPr>
          <w:p w14:paraId="28727B3B" w14:textId="77777777" w:rsidR="00B27C8F" w:rsidRPr="00876081" w:rsidRDefault="00B27C8F" w:rsidP="000063CD">
            <w:pPr>
              <w:spacing w:before="30" w:after="30"/>
              <w:jc w:val="center"/>
              <w:rPr>
                <w:rFonts w:ascii="Arial" w:hAnsi="Arial"/>
                <w:b/>
                <w:bCs/>
                <w:i/>
                <w:iCs/>
                <w:color w:val="000000" w:themeColor="text1"/>
                <w:sz w:val="14"/>
                <w:szCs w:val="14"/>
              </w:rPr>
            </w:pPr>
            <w:r w:rsidRPr="00876081">
              <w:rPr>
                <w:rFonts w:ascii="Arial" w:hAnsi="Arial"/>
                <w:b/>
                <w:bCs/>
                <w:i/>
                <w:iCs/>
                <w:color w:val="000000" w:themeColor="text1"/>
                <w:sz w:val="14"/>
                <w:szCs w:val="14"/>
              </w:rPr>
              <w:t>2</w:t>
            </w:r>
            <w:r>
              <w:rPr>
                <w:rFonts w:ascii="Arial" w:hAnsi="Arial"/>
                <w:b/>
                <w:bCs/>
                <w:i/>
                <w:iCs/>
                <w:color w:val="000000" w:themeColor="text1"/>
                <w:sz w:val="14"/>
                <w:szCs w:val="14"/>
              </w:rPr>
              <w:t>4</w:t>
            </w:r>
            <w:r w:rsidRPr="00876081">
              <w:rPr>
                <w:rFonts w:ascii="Arial" w:hAnsi="Arial"/>
                <w:b/>
                <w:bCs/>
                <w:i/>
                <w:iCs/>
                <w:color w:val="000000" w:themeColor="text1"/>
                <w:sz w:val="14"/>
                <w:szCs w:val="14"/>
              </w:rPr>
              <w:t>-2</w:t>
            </w:r>
            <w:r>
              <w:rPr>
                <w:rFonts w:ascii="Arial" w:hAnsi="Arial"/>
                <w:b/>
                <w:bCs/>
                <w:i/>
                <w:iCs/>
                <w:color w:val="000000" w:themeColor="text1"/>
                <w:sz w:val="14"/>
                <w:szCs w:val="14"/>
              </w:rPr>
              <w:t>5</w:t>
            </w:r>
          </w:p>
        </w:tc>
      </w:tr>
      <w:tr w:rsidR="00B27C8F" w:rsidRPr="00876081" w14:paraId="0449EC6D" w14:textId="77777777" w:rsidTr="000063CD">
        <w:trPr>
          <w:jc w:val="center"/>
        </w:trPr>
        <w:tc>
          <w:tcPr>
            <w:tcW w:w="421" w:type="dxa"/>
            <w:shd w:val="clear" w:color="auto" w:fill="E2EFD9" w:themeFill="accent6" w:themeFillTint="33"/>
            <w:vAlign w:val="center"/>
          </w:tcPr>
          <w:p w14:paraId="315E43BD" w14:textId="77777777" w:rsidR="00B27C8F" w:rsidRPr="00876081" w:rsidRDefault="00B27C8F" w:rsidP="000063CD">
            <w:pPr>
              <w:spacing w:before="30" w:after="30"/>
              <w:jc w:val="center"/>
              <w:rPr>
                <w:rFonts w:ascii="Arial" w:hAnsi="Arial"/>
                <w:b/>
                <w:bCs/>
                <w:color w:val="000000" w:themeColor="text1"/>
                <w:sz w:val="14"/>
                <w:szCs w:val="14"/>
              </w:rPr>
            </w:pPr>
            <w:r w:rsidRPr="00876081">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08597857"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BHC 50% relative</w:t>
            </w:r>
          </w:p>
        </w:tc>
        <w:tc>
          <w:tcPr>
            <w:tcW w:w="567" w:type="dxa"/>
            <w:shd w:val="clear" w:color="auto" w:fill="E2EFD9" w:themeFill="accent6" w:themeFillTint="33"/>
            <w:tcMar>
              <w:top w:w="28" w:type="dxa"/>
              <w:left w:w="28" w:type="dxa"/>
              <w:bottom w:w="28" w:type="dxa"/>
              <w:right w:w="28" w:type="dxa"/>
            </w:tcMar>
            <w:vAlign w:val="center"/>
          </w:tcPr>
          <w:p w14:paraId="6B6A4A70"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16.5</w:t>
            </w:r>
          </w:p>
        </w:tc>
        <w:tc>
          <w:tcPr>
            <w:tcW w:w="567" w:type="dxa"/>
            <w:shd w:val="clear" w:color="auto" w:fill="E2EFD9" w:themeFill="accent6" w:themeFillTint="33"/>
            <w:tcMar>
              <w:top w:w="28" w:type="dxa"/>
              <w:left w:w="28" w:type="dxa"/>
              <w:bottom w:w="28" w:type="dxa"/>
              <w:right w:w="28" w:type="dxa"/>
            </w:tcMar>
            <w:vAlign w:val="center"/>
          </w:tcPr>
          <w:p w14:paraId="67B6AAAA"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13.6</w:t>
            </w:r>
          </w:p>
        </w:tc>
        <w:tc>
          <w:tcPr>
            <w:tcW w:w="567" w:type="dxa"/>
            <w:shd w:val="clear" w:color="auto" w:fill="E2EFD9" w:themeFill="accent6" w:themeFillTint="33"/>
            <w:tcMar>
              <w:top w:w="28" w:type="dxa"/>
              <w:left w:w="28" w:type="dxa"/>
              <w:bottom w:w="28" w:type="dxa"/>
              <w:right w:w="28" w:type="dxa"/>
            </w:tcMar>
            <w:vAlign w:val="center"/>
          </w:tcPr>
          <w:p w14:paraId="65BE1EE3"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13.3</w:t>
            </w:r>
          </w:p>
        </w:tc>
        <w:tc>
          <w:tcPr>
            <w:tcW w:w="567" w:type="dxa"/>
            <w:shd w:val="clear" w:color="auto" w:fill="E2EFD9" w:themeFill="accent6" w:themeFillTint="33"/>
            <w:vAlign w:val="center"/>
          </w:tcPr>
          <w:p w14:paraId="49B3D038"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12.9</w:t>
            </w:r>
          </w:p>
        </w:tc>
        <w:tc>
          <w:tcPr>
            <w:tcW w:w="567" w:type="dxa"/>
            <w:shd w:val="clear" w:color="auto" w:fill="E2EFD9" w:themeFill="accent6" w:themeFillTint="33"/>
            <w:vAlign w:val="center"/>
          </w:tcPr>
          <w:p w14:paraId="1247C173"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11.7</w:t>
            </w:r>
          </w:p>
        </w:tc>
        <w:tc>
          <w:tcPr>
            <w:tcW w:w="567" w:type="dxa"/>
            <w:shd w:val="clear" w:color="auto" w:fill="E2EFD9" w:themeFill="accent6" w:themeFillTint="33"/>
            <w:tcMar>
              <w:top w:w="28" w:type="dxa"/>
              <w:left w:w="28" w:type="dxa"/>
              <w:bottom w:w="28" w:type="dxa"/>
              <w:right w:w="28" w:type="dxa"/>
            </w:tcMar>
            <w:vAlign w:val="center"/>
          </w:tcPr>
          <w:p w14:paraId="65D508BB"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12.1</w:t>
            </w:r>
          </w:p>
        </w:tc>
        <w:tc>
          <w:tcPr>
            <w:tcW w:w="567" w:type="dxa"/>
            <w:shd w:val="clear" w:color="auto" w:fill="E2EFD9" w:themeFill="accent6" w:themeFillTint="33"/>
            <w:vAlign w:val="center"/>
          </w:tcPr>
          <w:p w14:paraId="38BCD15D"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12.7</w:t>
            </w:r>
          </w:p>
        </w:tc>
        <w:tc>
          <w:tcPr>
            <w:tcW w:w="567" w:type="dxa"/>
            <w:shd w:val="clear" w:color="auto" w:fill="E2EFD9" w:themeFill="accent6" w:themeFillTint="33"/>
            <w:noWrap/>
            <w:tcMar>
              <w:left w:w="57" w:type="dxa"/>
              <w:right w:w="57" w:type="dxa"/>
            </w:tcMar>
            <w:vAlign w:val="center"/>
          </w:tcPr>
          <w:p w14:paraId="3EB8B80C" w14:textId="77777777" w:rsidR="00B27C8F" w:rsidRPr="007059B1" w:rsidRDefault="00B27C8F" w:rsidP="000063CD">
            <w:pPr>
              <w:spacing w:before="30" w:after="30"/>
              <w:jc w:val="center"/>
              <w:rPr>
                <w:rFonts w:ascii="Arial" w:hAnsi="Arial"/>
                <w:i/>
                <w:iCs/>
                <w:color w:val="000000" w:themeColor="text1"/>
                <w:sz w:val="14"/>
                <w:szCs w:val="14"/>
              </w:rPr>
            </w:pPr>
            <w:r w:rsidRPr="007059B1">
              <w:rPr>
                <w:rFonts w:ascii="Arial" w:hAnsi="Arial"/>
                <w:i/>
                <w:iCs/>
                <w:color w:val="000000"/>
                <w:sz w:val="14"/>
                <w:szCs w:val="14"/>
              </w:rPr>
              <w:t>12.6</w:t>
            </w:r>
          </w:p>
        </w:tc>
        <w:tc>
          <w:tcPr>
            <w:tcW w:w="851" w:type="dxa"/>
            <w:shd w:val="clear" w:color="auto" w:fill="E2EFD9" w:themeFill="accent6" w:themeFillTint="33"/>
            <w:noWrap/>
            <w:tcMar>
              <w:left w:w="57" w:type="dxa"/>
              <w:right w:w="57" w:type="dxa"/>
            </w:tcMar>
            <w:vAlign w:val="center"/>
          </w:tcPr>
          <w:p w14:paraId="4F798757" w14:textId="77777777" w:rsidR="00B27C8F" w:rsidRPr="00876081" w:rsidRDefault="00B27C8F" w:rsidP="000063CD">
            <w:pPr>
              <w:spacing w:before="30" w:after="30"/>
              <w:jc w:val="center"/>
              <w:rPr>
                <w:rFonts w:ascii="Arial" w:hAnsi="Arial"/>
                <w:i/>
                <w:iCs/>
                <w:color w:val="000000" w:themeColor="text1"/>
                <w:sz w:val="14"/>
                <w:szCs w:val="14"/>
              </w:rPr>
            </w:pPr>
            <w:r>
              <w:rPr>
                <w:rFonts w:ascii="Arial" w:hAnsi="Arial"/>
                <w:i/>
                <w:iCs/>
                <w:color w:val="000000"/>
                <w:sz w:val="14"/>
                <w:szCs w:val="14"/>
              </w:rPr>
              <w:t>148,700</w:t>
            </w:r>
          </w:p>
        </w:tc>
      </w:tr>
      <w:tr w:rsidR="00B27C8F" w:rsidRPr="00876081" w14:paraId="592A3084" w14:textId="77777777" w:rsidTr="000063CD">
        <w:trPr>
          <w:jc w:val="center"/>
        </w:trPr>
        <w:tc>
          <w:tcPr>
            <w:tcW w:w="421" w:type="dxa"/>
            <w:shd w:val="clear" w:color="auto" w:fill="E2EFD9" w:themeFill="accent6" w:themeFillTint="33"/>
            <w:vAlign w:val="center"/>
          </w:tcPr>
          <w:p w14:paraId="22FFC094"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488BC355"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AHC 50% anchored line (17/18 ref)</w:t>
            </w:r>
          </w:p>
        </w:tc>
        <w:tc>
          <w:tcPr>
            <w:tcW w:w="567" w:type="dxa"/>
            <w:shd w:val="clear" w:color="auto" w:fill="E2EFD9" w:themeFill="accent6" w:themeFillTint="33"/>
            <w:tcMar>
              <w:top w:w="28" w:type="dxa"/>
              <w:left w:w="28" w:type="dxa"/>
              <w:bottom w:w="28" w:type="dxa"/>
              <w:right w:w="28" w:type="dxa"/>
            </w:tcMar>
            <w:vAlign w:val="center"/>
          </w:tcPr>
          <w:p w14:paraId="34D17E5A"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22.8</w:t>
            </w:r>
          </w:p>
        </w:tc>
        <w:tc>
          <w:tcPr>
            <w:tcW w:w="567" w:type="dxa"/>
            <w:shd w:val="clear" w:color="auto" w:fill="E2EFD9" w:themeFill="accent6" w:themeFillTint="33"/>
            <w:tcMar>
              <w:top w:w="28" w:type="dxa"/>
              <w:left w:w="28" w:type="dxa"/>
              <w:bottom w:w="28" w:type="dxa"/>
              <w:right w:w="28" w:type="dxa"/>
            </w:tcMar>
            <w:vAlign w:val="center"/>
          </w:tcPr>
          <w:p w14:paraId="63E920CE"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18.7</w:t>
            </w:r>
          </w:p>
        </w:tc>
        <w:tc>
          <w:tcPr>
            <w:tcW w:w="567" w:type="dxa"/>
            <w:shd w:val="clear" w:color="auto" w:fill="E2EFD9" w:themeFill="accent6" w:themeFillTint="33"/>
            <w:tcMar>
              <w:top w:w="28" w:type="dxa"/>
              <w:left w:w="28" w:type="dxa"/>
              <w:bottom w:w="28" w:type="dxa"/>
              <w:right w:w="28" w:type="dxa"/>
            </w:tcMar>
            <w:vAlign w:val="center"/>
          </w:tcPr>
          <w:p w14:paraId="019C5E13"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17.9</w:t>
            </w:r>
          </w:p>
        </w:tc>
        <w:tc>
          <w:tcPr>
            <w:tcW w:w="567" w:type="dxa"/>
            <w:shd w:val="clear" w:color="auto" w:fill="E2EFD9" w:themeFill="accent6" w:themeFillTint="33"/>
            <w:vAlign w:val="center"/>
          </w:tcPr>
          <w:p w14:paraId="66D1AD35"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15.0</w:t>
            </w:r>
          </w:p>
        </w:tc>
        <w:tc>
          <w:tcPr>
            <w:tcW w:w="567" w:type="dxa"/>
            <w:shd w:val="clear" w:color="auto" w:fill="E2EFD9" w:themeFill="accent6" w:themeFillTint="33"/>
            <w:vAlign w:val="center"/>
          </w:tcPr>
          <w:p w14:paraId="14EEADD6"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14.6</w:t>
            </w:r>
          </w:p>
        </w:tc>
        <w:tc>
          <w:tcPr>
            <w:tcW w:w="567" w:type="dxa"/>
            <w:shd w:val="clear" w:color="auto" w:fill="E2EFD9" w:themeFill="accent6" w:themeFillTint="33"/>
            <w:tcMar>
              <w:top w:w="28" w:type="dxa"/>
              <w:left w:w="28" w:type="dxa"/>
              <w:bottom w:w="28" w:type="dxa"/>
              <w:right w:w="28" w:type="dxa"/>
            </w:tcMar>
            <w:vAlign w:val="center"/>
          </w:tcPr>
          <w:p w14:paraId="238FB90B"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17.8</w:t>
            </w:r>
          </w:p>
        </w:tc>
        <w:tc>
          <w:tcPr>
            <w:tcW w:w="567" w:type="dxa"/>
            <w:shd w:val="clear" w:color="auto" w:fill="E2EFD9" w:themeFill="accent6" w:themeFillTint="33"/>
            <w:vAlign w:val="center"/>
          </w:tcPr>
          <w:p w14:paraId="5BBAADB7"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18.2</w:t>
            </w:r>
          </w:p>
        </w:tc>
        <w:tc>
          <w:tcPr>
            <w:tcW w:w="567" w:type="dxa"/>
            <w:shd w:val="clear" w:color="auto" w:fill="E2EFD9" w:themeFill="accent6" w:themeFillTint="33"/>
            <w:noWrap/>
            <w:tcMar>
              <w:left w:w="57" w:type="dxa"/>
              <w:right w:w="57" w:type="dxa"/>
            </w:tcMar>
            <w:vAlign w:val="center"/>
          </w:tcPr>
          <w:p w14:paraId="23A733B4" w14:textId="77777777" w:rsidR="00B27C8F" w:rsidRPr="007059B1" w:rsidRDefault="00B27C8F" w:rsidP="000063CD">
            <w:pPr>
              <w:spacing w:before="30" w:after="30"/>
              <w:jc w:val="center"/>
              <w:rPr>
                <w:rFonts w:ascii="Arial" w:hAnsi="Arial"/>
                <w:i/>
                <w:iCs/>
                <w:color w:val="000000"/>
                <w:sz w:val="14"/>
                <w:szCs w:val="14"/>
              </w:rPr>
            </w:pPr>
            <w:r w:rsidRPr="007059B1">
              <w:rPr>
                <w:rFonts w:ascii="Arial" w:hAnsi="Arial"/>
                <w:i/>
                <w:iCs/>
                <w:color w:val="000000"/>
                <w:sz w:val="14"/>
                <w:szCs w:val="14"/>
              </w:rPr>
              <w:t>17.8</w:t>
            </w:r>
          </w:p>
        </w:tc>
        <w:tc>
          <w:tcPr>
            <w:tcW w:w="851" w:type="dxa"/>
            <w:shd w:val="clear" w:color="auto" w:fill="E2EFD9" w:themeFill="accent6" w:themeFillTint="33"/>
            <w:noWrap/>
            <w:tcMar>
              <w:left w:w="57" w:type="dxa"/>
              <w:right w:w="57" w:type="dxa"/>
            </w:tcMar>
            <w:vAlign w:val="center"/>
          </w:tcPr>
          <w:p w14:paraId="60773B48" w14:textId="77777777" w:rsidR="00B27C8F" w:rsidRDefault="00B27C8F" w:rsidP="000063CD">
            <w:pPr>
              <w:spacing w:before="30" w:after="30"/>
              <w:jc w:val="center"/>
              <w:rPr>
                <w:rFonts w:ascii="Arial" w:hAnsi="Arial"/>
                <w:i/>
                <w:iCs/>
                <w:color w:val="000000"/>
                <w:sz w:val="14"/>
                <w:szCs w:val="14"/>
              </w:rPr>
            </w:pPr>
            <w:r>
              <w:rPr>
                <w:rFonts w:ascii="Arial" w:hAnsi="Arial"/>
                <w:i/>
                <w:iCs/>
                <w:color w:val="000000"/>
                <w:sz w:val="14"/>
                <w:szCs w:val="14"/>
              </w:rPr>
              <w:t>210,600</w:t>
            </w:r>
          </w:p>
        </w:tc>
      </w:tr>
      <w:tr w:rsidR="00B27C8F" w:rsidRPr="00876081" w14:paraId="719BEB70" w14:textId="77777777" w:rsidTr="000063CD">
        <w:trPr>
          <w:jc w:val="center"/>
        </w:trPr>
        <w:tc>
          <w:tcPr>
            <w:tcW w:w="421" w:type="dxa"/>
            <w:shd w:val="clear" w:color="auto" w:fill="E2EFD9" w:themeFill="accent6" w:themeFillTint="33"/>
            <w:vAlign w:val="center"/>
          </w:tcPr>
          <w:p w14:paraId="42941F5B"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4783B303"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 xml:space="preserve">Material hardship </w:t>
            </w:r>
          </w:p>
        </w:tc>
        <w:tc>
          <w:tcPr>
            <w:tcW w:w="567" w:type="dxa"/>
            <w:shd w:val="clear" w:color="auto" w:fill="E2EFD9" w:themeFill="accent6" w:themeFillTint="33"/>
            <w:tcMar>
              <w:top w:w="28" w:type="dxa"/>
              <w:left w:w="28" w:type="dxa"/>
              <w:bottom w:w="28" w:type="dxa"/>
              <w:right w:w="28" w:type="dxa"/>
            </w:tcMar>
            <w:vAlign w:val="center"/>
          </w:tcPr>
          <w:p w14:paraId="22774279"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13.3</w:t>
            </w:r>
          </w:p>
        </w:tc>
        <w:tc>
          <w:tcPr>
            <w:tcW w:w="567" w:type="dxa"/>
            <w:shd w:val="clear" w:color="auto" w:fill="E2EFD9" w:themeFill="accent6" w:themeFillTint="33"/>
            <w:tcMar>
              <w:top w:w="28" w:type="dxa"/>
              <w:left w:w="28" w:type="dxa"/>
              <w:bottom w:w="28" w:type="dxa"/>
              <w:right w:w="28" w:type="dxa"/>
            </w:tcMar>
            <w:vAlign w:val="center"/>
          </w:tcPr>
          <w:p w14:paraId="543DE144"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13.3</w:t>
            </w:r>
          </w:p>
        </w:tc>
        <w:tc>
          <w:tcPr>
            <w:tcW w:w="567" w:type="dxa"/>
            <w:shd w:val="clear" w:color="auto" w:fill="E2EFD9" w:themeFill="accent6" w:themeFillTint="33"/>
            <w:tcMar>
              <w:top w:w="28" w:type="dxa"/>
              <w:left w:w="28" w:type="dxa"/>
              <w:bottom w:w="28" w:type="dxa"/>
              <w:right w:w="28" w:type="dxa"/>
            </w:tcMar>
            <w:vAlign w:val="center"/>
          </w:tcPr>
          <w:p w14:paraId="64F7C837"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11.6</w:t>
            </w:r>
          </w:p>
        </w:tc>
        <w:tc>
          <w:tcPr>
            <w:tcW w:w="567" w:type="dxa"/>
            <w:shd w:val="clear" w:color="auto" w:fill="E2EFD9" w:themeFill="accent6" w:themeFillTint="33"/>
            <w:vAlign w:val="center"/>
          </w:tcPr>
          <w:p w14:paraId="10C8D002"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11.0</w:t>
            </w:r>
          </w:p>
        </w:tc>
        <w:tc>
          <w:tcPr>
            <w:tcW w:w="567" w:type="dxa"/>
            <w:shd w:val="clear" w:color="auto" w:fill="E2EFD9" w:themeFill="accent6" w:themeFillTint="33"/>
            <w:vAlign w:val="center"/>
          </w:tcPr>
          <w:p w14:paraId="02E09108"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10.6</w:t>
            </w:r>
          </w:p>
        </w:tc>
        <w:tc>
          <w:tcPr>
            <w:tcW w:w="567" w:type="dxa"/>
            <w:shd w:val="clear" w:color="auto" w:fill="E2EFD9" w:themeFill="accent6" w:themeFillTint="33"/>
            <w:tcMar>
              <w:top w:w="28" w:type="dxa"/>
              <w:left w:w="28" w:type="dxa"/>
              <w:bottom w:w="28" w:type="dxa"/>
              <w:right w:w="28" w:type="dxa"/>
            </w:tcMar>
            <w:vAlign w:val="center"/>
          </w:tcPr>
          <w:p w14:paraId="7C288B23"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12.6</w:t>
            </w:r>
          </w:p>
        </w:tc>
        <w:tc>
          <w:tcPr>
            <w:tcW w:w="567" w:type="dxa"/>
            <w:shd w:val="clear" w:color="auto" w:fill="E2EFD9" w:themeFill="accent6" w:themeFillTint="33"/>
            <w:vAlign w:val="center"/>
          </w:tcPr>
          <w:p w14:paraId="3A6EB681"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13.5</w:t>
            </w:r>
          </w:p>
        </w:tc>
        <w:tc>
          <w:tcPr>
            <w:tcW w:w="567" w:type="dxa"/>
            <w:shd w:val="clear" w:color="auto" w:fill="E2EFD9" w:themeFill="accent6" w:themeFillTint="33"/>
            <w:noWrap/>
            <w:tcMar>
              <w:left w:w="57" w:type="dxa"/>
              <w:right w:w="57" w:type="dxa"/>
            </w:tcMar>
            <w:vAlign w:val="center"/>
          </w:tcPr>
          <w:p w14:paraId="445C35ED" w14:textId="77777777" w:rsidR="00B27C8F" w:rsidRPr="007059B1" w:rsidRDefault="00B27C8F" w:rsidP="000063CD">
            <w:pPr>
              <w:spacing w:before="30" w:after="30"/>
              <w:jc w:val="center"/>
              <w:rPr>
                <w:rFonts w:ascii="Arial" w:hAnsi="Arial"/>
                <w:i/>
                <w:iCs/>
                <w:color w:val="000000"/>
                <w:sz w:val="14"/>
                <w:szCs w:val="14"/>
              </w:rPr>
            </w:pPr>
            <w:r w:rsidRPr="007059B1">
              <w:rPr>
                <w:rFonts w:ascii="Arial" w:hAnsi="Arial"/>
                <w:i/>
                <w:iCs/>
                <w:color w:val="000000"/>
                <w:sz w:val="14"/>
                <w:szCs w:val="14"/>
              </w:rPr>
              <w:t>14.3</w:t>
            </w:r>
          </w:p>
        </w:tc>
        <w:tc>
          <w:tcPr>
            <w:tcW w:w="851" w:type="dxa"/>
            <w:shd w:val="clear" w:color="auto" w:fill="E2EFD9" w:themeFill="accent6" w:themeFillTint="33"/>
            <w:noWrap/>
            <w:tcMar>
              <w:left w:w="57" w:type="dxa"/>
              <w:right w:w="57" w:type="dxa"/>
            </w:tcMar>
            <w:vAlign w:val="center"/>
          </w:tcPr>
          <w:p w14:paraId="208D8E61" w14:textId="77777777" w:rsidR="00B27C8F" w:rsidRDefault="00B27C8F" w:rsidP="000063CD">
            <w:pPr>
              <w:spacing w:before="30" w:after="30"/>
              <w:jc w:val="center"/>
              <w:rPr>
                <w:rFonts w:ascii="Arial" w:hAnsi="Arial"/>
                <w:i/>
                <w:iCs/>
                <w:color w:val="000000"/>
                <w:sz w:val="14"/>
                <w:szCs w:val="14"/>
              </w:rPr>
            </w:pPr>
            <w:r>
              <w:rPr>
                <w:rFonts w:ascii="Arial" w:hAnsi="Arial"/>
                <w:i/>
                <w:iCs/>
                <w:color w:val="000000"/>
                <w:sz w:val="14"/>
                <w:szCs w:val="14"/>
              </w:rPr>
              <w:t>169,300</w:t>
            </w:r>
          </w:p>
        </w:tc>
      </w:tr>
      <w:tr w:rsidR="00B27C8F" w:rsidRPr="00876081" w14:paraId="780896DE" w14:textId="77777777" w:rsidTr="000063CD">
        <w:trPr>
          <w:jc w:val="center"/>
        </w:trPr>
        <w:tc>
          <w:tcPr>
            <w:tcW w:w="421" w:type="dxa"/>
            <w:shd w:val="clear" w:color="auto" w:fill="E2EFD9" w:themeFill="accent6" w:themeFillTint="33"/>
            <w:vAlign w:val="center"/>
          </w:tcPr>
          <w:p w14:paraId="05A41D7B" w14:textId="77777777" w:rsidR="00B27C8F" w:rsidRPr="004F763A" w:rsidRDefault="00B27C8F" w:rsidP="000063CD">
            <w:pPr>
              <w:spacing w:before="30" w:after="30"/>
              <w:jc w:val="center"/>
              <w:rPr>
                <w:rFonts w:ascii="Arial" w:hAnsi="Arial"/>
                <w:b/>
                <w:bCs/>
                <w:color w:val="000000" w:themeColor="text1"/>
                <w:sz w:val="14"/>
                <w:szCs w:val="14"/>
              </w:rPr>
            </w:pPr>
            <w:r w:rsidRPr="004F763A">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040B997B" w14:textId="77777777" w:rsidR="00B27C8F" w:rsidRPr="00876081" w:rsidRDefault="00B27C8F" w:rsidP="000063CD">
            <w:pPr>
              <w:spacing w:before="30" w:after="30"/>
              <w:rPr>
                <w:rFonts w:ascii="Arial" w:hAnsi="Arial"/>
                <w:color w:val="000000" w:themeColor="text1"/>
                <w:sz w:val="14"/>
                <w:szCs w:val="14"/>
              </w:rPr>
            </w:pPr>
            <w:r>
              <w:rPr>
                <w:rFonts w:ascii="Arial" w:hAnsi="Arial"/>
                <w:color w:val="000000" w:themeColor="text1"/>
                <w:sz w:val="14"/>
                <w:szCs w:val="14"/>
              </w:rPr>
              <w:t>Persistent poverty</w:t>
            </w:r>
          </w:p>
        </w:tc>
        <w:tc>
          <w:tcPr>
            <w:tcW w:w="5387" w:type="dxa"/>
            <w:gridSpan w:val="9"/>
            <w:shd w:val="clear" w:color="auto" w:fill="E2EFD9" w:themeFill="accent6" w:themeFillTint="33"/>
            <w:tcMar>
              <w:top w:w="28" w:type="dxa"/>
              <w:left w:w="28" w:type="dxa"/>
              <w:bottom w:w="28" w:type="dxa"/>
              <w:right w:w="28" w:type="dxa"/>
            </w:tcMar>
            <w:vAlign w:val="center"/>
          </w:tcPr>
          <w:p w14:paraId="4C0BB416" w14:textId="648DB77D" w:rsidR="00B27C8F" w:rsidRDefault="00B27C8F" w:rsidP="000063CD">
            <w:pPr>
              <w:spacing w:before="30" w:after="30"/>
              <w:jc w:val="center"/>
              <w:rPr>
                <w:rFonts w:ascii="Arial" w:hAnsi="Arial"/>
                <w:i/>
                <w:iCs/>
                <w:color w:val="000000"/>
                <w:sz w:val="14"/>
                <w:szCs w:val="14"/>
              </w:rPr>
            </w:pPr>
            <w:r>
              <w:rPr>
                <w:rFonts w:ascii="Arial" w:hAnsi="Arial"/>
                <w:i/>
                <w:iCs/>
                <w:color w:val="000000"/>
                <w:sz w:val="14"/>
                <w:szCs w:val="14"/>
              </w:rPr>
              <w:t>Not required until after the 2025-26 financial year (likely to be published in Feb 20</w:t>
            </w:r>
            <w:r w:rsidR="000720B0">
              <w:rPr>
                <w:rFonts w:ascii="Arial" w:hAnsi="Arial"/>
                <w:i/>
                <w:iCs/>
                <w:color w:val="000000"/>
                <w:sz w:val="14"/>
                <w:szCs w:val="14"/>
              </w:rPr>
              <w:t>2</w:t>
            </w:r>
            <w:r>
              <w:rPr>
                <w:rFonts w:ascii="Arial" w:hAnsi="Arial"/>
                <w:i/>
                <w:iCs/>
                <w:color w:val="000000"/>
                <w:sz w:val="14"/>
                <w:szCs w:val="14"/>
              </w:rPr>
              <w:t>7)</w:t>
            </w:r>
          </w:p>
        </w:tc>
      </w:tr>
      <w:tr w:rsidR="00B27C8F" w:rsidRPr="00876081" w14:paraId="5CF3CDA9" w14:textId="77777777" w:rsidTr="000063CD">
        <w:trPr>
          <w:jc w:val="center"/>
        </w:trPr>
        <w:tc>
          <w:tcPr>
            <w:tcW w:w="421" w:type="dxa"/>
            <w:vAlign w:val="center"/>
          </w:tcPr>
          <w:p w14:paraId="7C90AB8B"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5511FF16"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BHC 60% relative</w:t>
            </w:r>
          </w:p>
        </w:tc>
        <w:tc>
          <w:tcPr>
            <w:tcW w:w="567" w:type="dxa"/>
            <w:tcMar>
              <w:top w:w="28" w:type="dxa"/>
              <w:left w:w="28" w:type="dxa"/>
              <w:bottom w:w="28" w:type="dxa"/>
              <w:right w:w="28" w:type="dxa"/>
            </w:tcMar>
            <w:vAlign w:val="center"/>
          </w:tcPr>
          <w:p w14:paraId="2E73D81E"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25.3</w:t>
            </w:r>
          </w:p>
        </w:tc>
        <w:tc>
          <w:tcPr>
            <w:tcW w:w="567" w:type="dxa"/>
            <w:tcMar>
              <w:top w:w="28" w:type="dxa"/>
              <w:left w:w="28" w:type="dxa"/>
              <w:bottom w:w="28" w:type="dxa"/>
              <w:right w:w="28" w:type="dxa"/>
            </w:tcMar>
            <w:vAlign w:val="center"/>
          </w:tcPr>
          <w:p w14:paraId="2D36CAAB"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22.1</w:t>
            </w:r>
          </w:p>
        </w:tc>
        <w:tc>
          <w:tcPr>
            <w:tcW w:w="567" w:type="dxa"/>
            <w:tcMar>
              <w:top w:w="28" w:type="dxa"/>
              <w:left w:w="28" w:type="dxa"/>
              <w:bottom w:w="28" w:type="dxa"/>
              <w:right w:w="28" w:type="dxa"/>
            </w:tcMar>
            <w:vAlign w:val="center"/>
          </w:tcPr>
          <w:p w14:paraId="2A09DECF"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21.7</w:t>
            </w:r>
          </w:p>
        </w:tc>
        <w:tc>
          <w:tcPr>
            <w:tcW w:w="567" w:type="dxa"/>
            <w:vAlign w:val="center"/>
          </w:tcPr>
          <w:p w14:paraId="57B57920"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20.5</w:t>
            </w:r>
          </w:p>
        </w:tc>
        <w:tc>
          <w:tcPr>
            <w:tcW w:w="567" w:type="dxa"/>
            <w:vAlign w:val="center"/>
          </w:tcPr>
          <w:p w14:paraId="67F496DE"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20.2</w:t>
            </w:r>
          </w:p>
        </w:tc>
        <w:tc>
          <w:tcPr>
            <w:tcW w:w="567" w:type="dxa"/>
            <w:tcMar>
              <w:top w:w="28" w:type="dxa"/>
              <w:left w:w="28" w:type="dxa"/>
              <w:bottom w:w="28" w:type="dxa"/>
              <w:right w:w="28" w:type="dxa"/>
            </w:tcMar>
            <w:vAlign w:val="center"/>
          </w:tcPr>
          <w:p w14:paraId="2D4C9F1D"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21.7</w:t>
            </w:r>
          </w:p>
        </w:tc>
        <w:tc>
          <w:tcPr>
            <w:tcW w:w="567" w:type="dxa"/>
            <w:vAlign w:val="center"/>
          </w:tcPr>
          <w:p w14:paraId="6F80D48E"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21.5</w:t>
            </w:r>
          </w:p>
        </w:tc>
        <w:tc>
          <w:tcPr>
            <w:tcW w:w="567" w:type="dxa"/>
            <w:noWrap/>
            <w:tcMar>
              <w:left w:w="57" w:type="dxa"/>
              <w:right w:w="57" w:type="dxa"/>
            </w:tcMar>
            <w:vAlign w:val="center"/>
          </w:tcPr>
          <w:p w14:paraId="3C672E31" w14:textId="77777777" w:rsidR="00B27C8F" w:rsidRPr="007059B1" w:rsidRDefault="00B27C8F" w:rsidP="000063CD">
            <w:pPr>
              <w:spacing w:before="30" w:after="30"/>
              <w:jc w:val="center"/>
              <w:rPr>
                <w:rFonts w:ascii="Arial" w:hAnsi="Arial"/>
                <w:i/>
                <w:iCs/>
                <w:color w:val="000000" w:themeColor="text1"/>
                <w:sz w:val="14"/>
                <w:szCs w:val="14"/>
              </w:rPr>
            </w:pPr>
            <w:r w:rsidRPr="007059B1">
              <w:rPr>
                <w:rFonts w:ascii="Arial" w:hAnsi="Arial"/>
                <w:i/>
                <w:iCs/>
                <w:color w:val="000000"/>
                <w:sz w:val="14"/>
                <w:szCs w:val="14"/>
              </w:rPr>
              <w:t>21.7</w:t>
            </w:r>
          </w:p>
        </w:tc>
        <w:tc>
          <w:tcPr>
            <w:tcW w:w="851" w:type="dxa"/>
            <w:noWrap/>
            <w:tcMar>
              <w:left w:w="57" w:type="dxa"/>
              <w:right w:w="57" w:type="dxa"/>
            </w:tcMar>
            <w:vAlign w:val="center"/>
          </w:tcPr>
          <w:p w14:paraId="5D63E923" w14:textId="77777777" w:rsidR="00B27C8F" w:rsidRPr="00876081" w:rsidRDefault="00B27C8F" w:rsidP="000063CD">
            <w:pPr>
              <w:spacing w:before="30" w:after="30"/>
              <w:jc w:val="center"/>
              <w:rPr>
                <w:rFonts w:ascii="Arial" w:hAnsi="Arial"/>
                <w:i/>
                <w:iCs/>
                <w:color w:val="000000" w:themeColor="text1"/>
                <w:sz w:val="14"/>
                <w:szCs w:val="14"/>
              </w:rPr>
            </w:pPr>
            <w:r>
              <w:rPr>
                <w:rFonts w:ascii="Arial" w:hAnsi="Arial"/>
                <w:i/>
                <w:iCs/>
                <w:color w:val="000000"/>
                <w:sz w:val="14"/>
                <w:szCs w:val="14"/>
              </w:rPr>
              <w:t>256,400</w:t>
            </w:r>
          </w:p>
        </w:tc>
      </w:tr>
      <w:tr w:rsidR="00B27C8F" w:rsidRPr="00876081" w14:paraId="3AD5649A" w14:textId="77777777" w:rsidTr="000063CD">
        <w:trPr>
          <w:jc w:val="center"/>
        </w:trPr>
        <w:tc>
          <w:tcPr>
            <w:tcW w:w="421" w:type="dxa"/>
            <w:vAlign w:val="center"/>
          </w:tcPr>
          <w:p w14:paraId="1025C675"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143B25DD"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AHC 60% relative</w:t>
            </w:r>
          </w:p>
        </w:tc>
        <w:tc>
          <w:tcPr>
            <w:tcW w:w="567" w:type="dxa"/>
            <w:tcMar>
              <w:top w:w="28" w:type="dxa"/>
              <w:left w:w="28" w:type="dxa"/>
              <w:bottom w:w="28" w:type="dxa"/>
              <w:right w:w="28" w:type="dxa"/>
            </w:tcMar>
            <w:vAlign w:val="center"/>
          </w:tcPr>
          <w:p w14:paraId="3C283AF8"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30.6</w:t>
            </w:r>
          </w:p>
        </w:tc>
        <w:tc>
          <w:tcPr>
            <w:tcW w:w="567" w:type="dxa"/>
            <w:tcMar>
              <w:top w:w="28" w:type="dxa"/>
              <w:left w:w="28" w:type="dxa"/>
              <w:bottom w:w="28" w:type="dxa"/>
              <w:right w:w="28" w:type="dxa"/>
            </w:tcMar>
            <w:vAlign w:val="center"/>
          </w:tcPr>
          <w:p w14:paraId="6E6B11F6"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27.8</w:t>
            </w:r>
          </w:p>
        </w:tc>
        <w:tc>
          <w:tcPr>
            <w:tcW w:w="567" w:type="dxa"/>
            <w:tcMar>
              <w:top w:w="28" w:type="dxa"/>
              <w:left w:w="28" w:type="dxa"/>
              <w:bottom w:w="28" w:type="dxa"/>
              <w:right w:w="28" w:type="dxa"/>
            </w:tcMar>
            <w:vAlign w:val="center"/>
          </w:tcPr>
          <w:p w14:paraId="1C9CEA5A"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27.6</w:t>
            </w:r>
          </w:p>
        </w:tc>
        <w:tc>
          <w:tcPr>
            <w:tcW w:w="567" w:type="dxa"/>
            <w:vAlign w:val="center"/>
          </w:tcPr>
          <w:p w14:paraId="4AD74C65"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27.4</w:t>
            </w:r>
          </w:p>
        </w:tc>
        <w:tc>
          <w:tcPr>
            <w:tcW w:w="567" w:type="dxa"/>
            <w:vAlign w:val="center"/>
          </w:tcPr>
          <w:p w14:paraId="409AA664"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27.8</w:t>
            </w:r>
          </w:p>
        </w:tc>
        <w:tc>
          <w:tcPr>
            <w:tcW w:w="567" w:type="dxa"/>
            <w:tcMar>
              <w:top w:w="28" w:type="dxa"/>
              <w:left w:w="28" w:type="dxa"/>
              <w:bottom w:w="28" w:type="dxa"/>
              <w:right w:w="28" w:type="dxa"/>
            </w:tcMar>
            <w:vAlign w:val="center"/>
          </w:tcPr>
          <w:p w14:paraId="07EE3328"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29.3</w:t>
            </w:r>
          </w:p>
        </w:tc>
        <w:tc>
          <w:tcPr>
            <w:tcW w:w="567" w:type="dxa"/>
            <w:vAlign w:val="center"/>
          </w:tcPr>
          <w:p w14:paraId="582D3D6D"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30.1</w:t>
            </w:r>
          </w:p>
        </w:tc>
        <w:tc>
          <w:tcPr>
            <w:tcW w:w="567" w:type="dxa"/>
            <w:noWrap/>
            <w:tcMar>
              <w:left w:w="57" w:type="dxa"/>
              <w:right w:w="57" w:type="dxa"/>
            </w:tcMar>
            <w:vAlign w:val="center"/>
          </w:tcPr>
          <w:p w14:paraId="5A9A6BC4" w14:textId="77777777" w:rsidR="00B27C8F" w:rsidRPr="007059B1" w:rsidRDefault="00B27C8F" w:rsidP="000063CD">
            <w:pPr>
              <w:spacing w:before="30" w:after="30"/>
              <w:jc w:val="center"/>
              <w:rPr>
                <w:rFonts w:ascii="Arial" w:hAnsi="Arial"/>
                <w:i/>
                <w:iCs/>
                <w:color w:val="000000"/>
                <w:sz w:val="14"/>
                <w:szCs w:val="14"/>
              </w:rPr>
            </w:pPr>
            <w:r w:rsidRPr="007059B1">
              <w:rPr>
                <w:rFonts w:ascii="Arial" w:hAnsi="Arial"/>
                <w:i/>
                <w:iCs/>
                <w:color w:val="000000"/>
                <w:sz w:val="14"/>
                <w:szCs w:val="14"/>
              </w:rPr>
              <w:t>29.9</w:t>
            </w:r>
          </w:p>
        </w:tc>
        <w:tc>
          <w:tcPr>
            <w:tcW w:w="851" w:type="dxa"/>
            <w:noWrap/>
            <w:tcMar>
              <w:left w:w="57" w:type="dxa"/>
              <w:right w:w="57" w:type="dxa"/>
            </w:tcMar>
            <w:vAlign w:val="center"/>
          </w:tcPr>
          <w:p w14:paraId="712530FE" w14:textId="77777777" w:rsidR="00B27C8F" w:rsidRDefault="00B27C8F" w:rsidP="000063CD">
            <w:pPr>
              <w:spacing w:before="30" w:after="30"/>
              <w:jc w:val="center"/>
              <w:rPr>
                <w:rFonts w:ascii="Arial" w:hAnsi="Arial"/>
                <w:i/>
                <w:iCs/>
                <w:color w:val="000000"/>
                <w:sz w:val="14"/>
                <w:szCs w:val="14"/>
              </w:rPr>
            </w:pPr>
            <w:r>
              <w:rPr>
                <w:rFonts w:ascii="Arial" w:hAnsi="Arial"/>
                <w:i/>
                <w:iCs/>
                <w:color w:val="000000"/>
                <w:sz w:val="14"/>
                <w:szCs w:val="14"/>
              </w:rPr>
              <w:t>354,200</w:t>
            </w:r>
          </w:p>
        </w:tc>
      </w:tr>
      <w:tr w:rsidR="00B27C8F" w:rsidRPr="00876081" w14:paraId="2DA043F0" w14:textId="77777777" w:rsidTr="000063CD">
        <w:trPr>
          <w:jc w:val="center"/>
        </w:trPr>
        <w:tc>
          <w:tcPr>
            <w:tcW w:w="421" w:type="dxa"/>
            <w:vAlign w:val="center"/>
          </w:tcPr>
          <w:p w14:paraId="27814A2E"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26077F35"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AHC 50% relative</w:t>
            </w:r>
          </w:p>
        </w:tc>
        <w:tc>
          <w:tcPr>
            <w:tcW w:w="567" w:type="dxa"/>
            <w:tcMar>
              <w:top w:w="28" w:type="dxa"/>
              <w:left w:w="28" w:type="dxa"/>
              <w:bottom w:w="28" w:type="dxa"/>
              <w:right w:w="28" w:type="dxa"/>
            </w:tcMar>
            <w:vAlign w:val="center"/>
          </w:tcPr>
          <w:p w14:paraId="08A7EC73"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22.8</w:t>
            </w:r>
          </w:p>
        </w:tc>
        <w:tc>
          <w:tcPr>
            <w:tcW w:w="567" w:type="dxa"/>
            <w:tcMar>
              <w:top w:w="28" w:type="dxa"/>
              <w:left w:w="28" w:type="dxa"/>
              <w:bottom w:w="28" w:type="dxa"/>
              <w:right w:w="28" w:type="dxa"/>
            </w:tcMar>
            <w:vAlign w:val="center"/>
          </w:tcPr>
          <w:p w14:paraId="2D26A33D"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20.1</w:t>
            </w:r>
          </w:p>
        </w:tc>
        <w:tc>
          <w:tcPr>
            <w:tcW w:w="567" w:type="dxa"/>
            <w:tcMar>
              <w:top w:w="28" w:type="dxa"/>
              <w:left w:w="28" w:type="dxa"/>
              <w:bottom w:w="28" w:type="dxa"/>
              <w:right w:w="28" w:type="dxa"/>
            </w:tcMar>
            <w:vAlign w:val="center"/>
          </w:tcPr>
          <w:p w14:paraId="3E511C20"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19.5</w:t>
            </w:r>
          </w:p>
        </w:tc>
        <w:tc>
          <w:tcPr>
            <w:tcW w:w="567" w:type="dxa"/>
            <w:vAlign w:val="center"/>
          </w:tcPr>
          <w:p w14:paraId="48B0BD9C"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19.6</w:t>
            </w:r>
          </w:p>
        </w:tc>
        <w:tc>
          <w:tcPr>
            <w:tcW w:w="567" w:type="dxa"/>
            <w:vAlign w:val="center"/>
          </w:tcPr>
          <w:p w14:paraId="3F66D62D"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18.8</w:t>
            </w:r>
          </w:p>
        </w:tc>
        <w:tc>
          <w:tcPr>
            <w:tcW w:w="567" w:type="dxa"/>
            <w:tcMar>
              <w:top w:w="28" w:type="dxa"/>
              <w:left w:w="28" w:type="dxa"/>
              <w:bottom w:w="28" w:type="dxa"/>
              <w:right w:w="28" w:type="dxa"/>
            </w:tcMar>
            <w:vAlign w:val="center"/>
          </w:tcPr>
          <w:p w14:paraId="67334148"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20.5</w:t>
            </w:r>
          </w:p>
        </w:tc>
        <w:tc>
          <w:tcPr>
            <w:tcW w:w="567" w:type="dxa"/>
            <w:vAlign w:val="center"/>
          </w:tcPr>
          <w:p w14:paraId="345C4531" w14:textId="77777777" w:rsidR="00B27C8F" w:rsidRDefault="00B27C8F" w:rsidP="000063CD">
            <w:pPr>
              <w:spacing w:before="30" w:after="30"/>
              <w:jc w:val="center"/>
              <w:rPr>
                <w:rFonts w:ascii="Arial" w:hAnsi="Arial"/>
                <w:color w:val="000000"/>
                <w:sz w:val="14"/>
                <w:szCs w:val="14"/>
              </w:rPr>
            </w:pPr>
            <w:r>
              <w:rPr>
                <w:rFonts w:ascii="Arial" w:hAnsi="Arial"/>
                <w:color w:val="000000"/>
                <w:sz w:val="14"/>
                <w:szCs w:val="14"/>
              </w:rPr>
              <w:t>21.1</w:t>
            </w:r>
          </w:p>
        </w:tc>
        <w:tc>
          <w:tcPr>
            <w:tcW w:w="567" w:type="dxa"/>
            <w:noWrap/>
            <w:tcMar>
              <w:left w:w="57" w:type="dxa"/>
              <w:right w:w="57" w:type="dxa"/>
            </w:tcMar>
            <w:vAlign w:val="center"/>
          </w:tcPr>
          <w:p w14:paraId="52D74111" w14:textId="77777777" w:rsidR="00B27C8F" w:rsidRPr="007059B1" w:rsidRDefault="00B27C8F" w:rsidP="000063CD">
            <w:pPr>
              <w:spacing w:before="30" w:after="30"/>
              <w:jc w:val="center"/>
              <w:rPr>
                <w:rFonts w:ascii="Arial" w:hAnsi="Arial"/>
                <w:i/>
                <w:iCs/>
                <w:color w:val="000000"/>
                <w:sz w:val="14"/>
                <w:szCs w:val="14"/>
              </w:rPr>
            </w:pPr>
            <w:r w:rsidRPr="007059B1">
              <w:rPr>
                <w:rFonts w:ascii="Arial" w:hAnsi="Arial"/>
                <w:i/>
                <w:iCs/>
                <w:color w:val="000000"/>
                <w:sz w:val="14"/>
                <w:szCs w:val="14"/>
              </w:rPr>
              <w:t>21.5</w:t>
            </w:r>
          </w:p>
        </w:tc>
        <w:tc>
          <w:tcPr>
            <w:tcW w:w="851" w:type="dxa"/>
            <w:noWrap/>
            <w:tcMar>
              <w:left w:w="57" w:type="dxa"/>
              <w:right w:w="57" w:type="dxa"/>
            </w:tcMar>
            <w:vAlign w:val="center"/>
          </w:tcPr>
          <w:p w14:paraId="26E801F8" w14:textId="77777777" w:rsidR="00B27C8F" w:rsidRDefault="00B27C8F" w:rsidP="000063CD">
            <w:pPr>
              <w:spacing w:before="30" w:after="30"/>
              <w:jc w:val="center"/>
              <w:rPr>
                <w:rFonts w:ascii="Arial" w:hAnsi="Arial"/>
                <w:i/>
                <w:iCs/>
                <w:color w:val="000000"/>
                <w:sz w:val="14"/>
                <w:szCs w:val="14"/>
              </w:rPr>
            </w:pPr>
            <w:r>
              <w:rPr>
                <w:rFonts w:ascii="Arial" w:hAnsi="Arial"/>
                <w:i/>
                <w:iCs/>
                <w:color w:val="000000"/>
                <w:sz w:val="14"/>
                <w:szCs w:val="14"/>
              </w:rPr>
              <w:t>254,500</w:t>
            </w:r>
          </w:p>
        </w:tc>
      </w:tr>
      <w:tr w:rsidR="00B27C8F" w:rsidRPr="00876081" w14:paraId="0BADB3D4" w14:textId="77777777" w:rsidTr="000063CD">
        <w:trPr>
          <w:jc w:val="center"/>
        </w:trPr>
        <w:tc>
          <w:tcPr>
            <w:tcW w:w="421" w:type="dxa"/>
            <w:vAlign w:val="center"/>
          </w:tcPr>
          <w:p w14:paraId="785B148B"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593007D7"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AHC 40% relative</w:t>
            </w:r>
          </w:p>
        </w:tc>
        <w:tc>
          <w:tcPr>
            <w:tcW w:w="567" w:type="dxa"/>
            <w:tcMar>
              <w:top w:w="28" w:type="dxa"/>
              <w:left w:w="28" w:type="dxa"/>
              <w:bottom w:w="28" w:type="dxa"/>
              <w:right w:w="28" w:type="dxa"/>
            </w:tcMar>
            <w:vAlign w:val="center"/>
          </w:tcPr>
          <w:p w14:paraId="22A999F3"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15.7</w:t>
            </w:r>
          </w:p>
        </w:tc>
        <w:tc>
          <w:tcPr>
            <w:tcW w:w="567" w:type="dxa"/>
            <w:tcMar>
              <w:top w:w="28" w:type="dxa"/>
              <w:left w:w="28" w:type="dxa"/>
              <w:bottom w:w="28" w:type="dxa"/>
              <w:right w:w="28" w:type="dxa"/>
            </w:tcMar>
            <w:vAlign w:val="center"/>
          </w:tcPr>
          <w:p w14:paraId="5F83C6C2"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13.9</w:t>
            </w:r>
          </w:p>
        </w:tc>
        <w:tc>
          <w:tcPr>
            <w:tcW w:w="567" w:type="dxa"/>
            <w:tcMar>
              <w:top w:w="28" w:type="dxa"/>
              <w:left w:w="28" w:type="dxa"/>
              <w:bottom w:w="28" w:type="dxa"/>
              <w:right w:w="28" w:type="dxa"/>
            </w:tcMar>
            <w:vAlign w:val="center"/>
          </w:tcPr>
          <w:p w14:paraId="5D6CE541"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13.1</w:t>
            </w:r>
          </w:p>
        </w:tc>
        <w:tc>
          <w:tcPr>
            <w:tcW w:w="567" w:type="dxa"/>
            <w:vAlign w:val="center"/>
          </w:tcPr>
          <w:p w14:paraId="35A3D438"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12.2</w:t>
            </w:r>
          </w:p>
        </w:tc>
        <w:tc>
          <w:tcPr>
            <w:tcW w:w="567" w:type="dxa"/>
            <w:vAlign w:val="center"/>
          </w:tcPr>
          <w:p w14:paraId="69112782"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11.9</w:t>
            </w:r>
          </w:p>
        </w:tc>
        <w:tc>
          <w:tcPr>
            <w:tcW w:w="567" w:type="dxa"/>
            <w:tcMar>
              <w:top w:w="28" w:type="dxa"/>
              <w:left w:w="28" w:type="dxa"/>
              <w:bottom w:w="28" w:type="dxa"/>
              <w:right w:w="28" w:type="dxa"/>
            </w:tcMar>
            <w:vAlign w:val="center"/>
          </w:tcPr>
          <w:p w14:paraId="522584C9"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13.0</w:t>
            </w:r>
          </w:p>
        </w:tc>
        <w:tc>
          <w:tcPr>
            <w:tcW w:w="567" w:type="dxa"/>
            <w:vAlign w:val="center"/>
          </w:tcPr>
          <w:p w14:paraId="0463F5B4"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13.8</w:t>
            </w:r>
          </w:p>
        </w:tc>
        <w:tc>
          <w:tcPr>
            <w:tcW w:w="567" w:type="dxa"/>
            <w:noWrap/>
            <w:tcMar>
              <w:left w:w="57" w:type="dxa"/>
              <w:right w:w="57" w:type="dxa"/>
            </w:tcMar>
            <w:vAlign w:val="center"/>
          </w:tcPr>
          <w:p w14:paraId="09D5B656" w14:textId="77777777" w:rsidR="00B27C8F" w:rsidRPr="007059B1" w:rsidRDefault="00B27C8F" w:rsidP="000063CD">
            <w:pPr>
              <w:spacing w:before="30" w:after="30"/>
              <w:jc w:val="center"/>
              <w:rPr>
                <w:rFonts w:ascii="Arial" w:hAnsi="Arial"/>
                <w:i/>
                <w:iCs/>
                <w:color w:val="000000" w:themeColor="text1"/>
                <w:sz w:val="14"/>
                <w:szCs w:val="14"/>
              </w:rPr>
            </w:pPr>
            <w:r w:rsidRPr="007059B1">
              <w:rPr>
                <w:rFonts w:ascii="Arial" w:hAnsi="Arial"/>
                <w:i/>
                <w:iCs/>
                <w:color w:val="000000"/>
                <w:sz w:val="14"/>
                <w:szCs w:val="14"/>
              </w:rPr>
              <w:t>13.4</w:t>
            </w:r>
          </w:p>
        </w:tc>
        <w:tc>
          <w:tcPr>
            <w:tcW w:w="851" w:type="dxa"/>
            <w:noWrap/>
            <w:tcMar>
              <w:left w:w="57" w:type="dxa"/>
              <w:right w:w="57" w:type="dxa"/>
            </w:tcMar>
            <w:vAlign w:val="center"/>
          </w:tcPr>
          <w:p w14:paraId="66C0C0B4" w14:textId="77777777" w:rsidR="00B27C8F" w:rsidRPr="00876081" w:rsidRDefault="00B27C8F" w:rsidP="000063CD">
            <w:pPr>
              <w:spacing w:before="30" w:after="30"/>
              <w:jc w:val="center"/>
              <w:rPr>
                <w:rFonts w:ascii="Arial" w:hAnsi="Arial"/>
                <w:i/>
                <w:iCs/>
                <w:color w:val="000000" w:themeColor="text1"/>
                <w:sz w:val="14"/>
                <w:szCs w:val="14"/>
              </w:rPr>
            </w:pPr>
            <w:r>
              <w:rPr>
                <w:rFonts w:ascii="Arial" w:hAnsi="Arial"/>
                <w:i/>
                <w:iCs/>
                <w:color w:val="000000"/>
                <w:sz w:val="14"/>
                <w:szCs w:val="14"/>
              </w:rPr>
              <w:t>158,100</w:t>
            </w:r>
          </w:p>
        </w:tc>
      </w:tr>
      <w:tr w:rsidR="00B27C8F" w:rsidRPr="00876081" w14:paraId="3ECB65AA" w14:textId="77777777" w:rsidTr="000063CD">
        <w:trPr>
          <w:jc w:val="center"/>
        </w:trPr>
        <w:tc>
          <w:tcPr>
            <w:tcW w:w="421" w:type="dxa"/>
            <w:vAlign w:val="center"/>
          </w:tcPr>
          <w:p w14:paraId="21D877DA"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087AA3A4"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Severe material hardship</w:t>
            </w:r>
          </w:p>
        </w:tc>
        <w:tc>
          <w:tcPr>
            <w:tcW w:w="567" w:type="dxa"/>
            <w:tcMar>
              <w:top w:w="28" w:type="dxa"/>
              <w:left w:w="28" w:type="dxa"/>
              <w:bottom w:w="28" w:type="dxa"/>
              <w:right w:w="28" w:type="dxa"/>
            </w:tcMar>
            <w:vAlign w:val="center"/>
          </w:tcPr>
          <w:p w14:paraId="63E47BF4"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5.8</w:t>
            </w:r>
          </w:p>
        </w:tc>
        <w:tc>
          <w:tcPr>
            <w:tcW w:w="567" w:type="dxa"/>
            <w:tcMar>
              <w:top w:w="28" w:type="dxa"/>
              <w:left w:w="28" w:type="dxa"/>
              <w:bottom w:w="28" w:type="dxa"/>
              <w:right w:w="28" w:type="dxa"/>
            </w:tcMar>
            <w:vAlign w:val="center"/>
          </w:tcPr>
          <w:p w14:paraId="4F743461"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5.8</w:t>
            </w:r>
          </w:p>
        </w:tc>
        <w:tc>
          <w:tcPr>
            <w:tcW w:w="567" w:type="dxa"/>
            <w:tcMar>
              <w:top w:w="28" w:type="dxa"/>
              <w:left w:w="28" w:type="dxa"/>
              <w:bottom w:w="28" w:type="dxa"/>
              <w:right w:w="28" w:type="dxa"/>
            </w:tcMar>
            <w:vAlign w:val="center"/>
          </w:tcPr>
          <w:p w14:paraId="380A46EE"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4.6</w:t>
            </w:r>
          </w:p>
        </w:tc>
        <w:tc>
          <w:tcPr>
            <w:tcW w:w="567" w:type="dxa"/>
            <w:vAlign w:val="center"/>
          </w:tcPr>
          <w:p w14:paraId="7D4FDC31"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4.9</w:t>
            </w:r>
          </w:p>
        </w:tc>
        <w:tc>
          <w:tcPr>
            <w:tcW w:w="567" w:type="dxa"/>
            <w:vAlign w:val="center"/>
          </w:tcPr>
          <w:p w14:paraId="7BBF4BCB"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4.0</w:t>
            </w:r>
          </w:p>
        </w:tc>
        <w:tc>
          <w:tcPr>
            <w:tcW w:w="567" w:type="dxa"/>
            <w:tcMar>
              <w:top w:w="28" w:type="dxa"/>
              <w:left w:w="28" w:type="dxa"/>
              <w:bottom w:w="28" w:type="dxa"/>
              <w:right w:w="28" w:type="dxa"/>
            </w:tcMar>
            <w:vAlign w:val="center"/>
          </w:tcPr>
          <w:p w14:paraId="74CB9EA8"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5.6</w:t>
            </w:r>
          </w:p>
        </w:tc>
        <w:tc>
          <w:tcPr>
            <w:tcW w:w="567" w:type="dxa"/>
            <w:vAlign w:val="center"/>
          </w:tcPr>
          <w:p w14:paraId="4292933C"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5.5</w:t>
            </w:r>
          </w:p>
        </w:tc>
        <w:tc>
          <w:tcPr>
            <w:tcW w:w="567" w:type="dxa"/>
            <w:noWrap/>
            <w:tcMar>
              <w:left w:w="57" w:type="dxa"/>
              <w:right w:w="57" w:type="dxa"/>
            </w:tcMar>
            <w:vAlign w:val="center"/>
          </w:tcPr>
          <w:p w14:paraId="0C27368C" w14:textId="77777777" w:rsidR="00B27C8F" w:rsidRPr="007059B1" w:rsidRDefault="00B27C8F" w:rsidP="000063CD">
            <w:pPr>
              <w:spacing w:before="30" w:after="30"/>
              <w:jc w:val="center"/>
              <w:rPr>
                <w:rFonts w:ascii="Arial" w:hAnsi="Arial"/>
                <w:i/>
                <w:iCs/>
                <w:color w:val="000000" w:themeColor="text1"/>
                <w:sz w:val="14"/>
                <w:szCs w:val="14"/>
              </w:rPr>
            </w:pPr>
            <w:r w:rsidRPr="007059B1">
              <w:rPr>
                <w:rFonts w:ascii="Arial" w:hAnsi="Arial"/>
                <w:i/>
                <w:iCs/>
                <w:color w:val="000000"/>
                <w:sz w:val="14"/>
                <w:szCs w:val="14"/>
              </w:rPr>
              <w:t>6.0</w:t>
            </w:r>
          </w:p>
        </w:tc>
        <w:tc>
          <w:tcPr>
            <w:tcW w:w="851" w:type="dxa"/>
            <w:noWrap/>
            <w:tcMar>
              <w:left w:w="57" w:type="dxa"/>
              <w:right w:w="57" w:type="dxa"/>
            </w:tcMar>
            <w:vAlign w:val="center"/>
          </w:tcPr>
          <w:p w14:paraId="576452DA" w14:textId="77777777" w:rsidR="00B27C8F" w:rsidRPr="00876081" w:rsidRDefault="00B27C8F" w:rsidP="000063CD">
            <w:pPr>
              <w:spacing w:before="30" w:after="30"/>
              <w:jc w:val="center"/>
              <w:rPr>
                <w:rFonts w:ascii="Arial" w:hAnsi="Arial"/>
                <w:i/>
                <w:iCs/>
                <w:color w:val="000000" w:themeColor="text1"/>
                <w:sz w:val="14"/>
                <w:szCs w:val="14"/>
              </w:rPr>
            </w:pPr>
            <w:r>
              <w:rPr>
                <w:rFonts w:ascii="Arial" w:hAnsi="Arial"/>
                <w:i/>
                <w:iCs/>
                <w:color w:val="000000"/>
                <w:sz w:val="14"/>
                <w:szCs w:val="14"/>
              </w:rPr>
              <w:t>71,000</w:t>
            </w:r>
          </w:p>
        </w:tc>
      </w:tr>
      <w:tr w:rsidR="00B27C8F" w:rsidRPr="00876081" w14:paraId="1B6A3301" w14:textId="77777777" w:rsidTr="000063CD">
        <w:trPr>
          <w:jc w:val="center"/>
        </w:trPr>
        <w:tc>
          <w:tcPr>
            <w:tcW w:w="421" w:type="dxa"/>
            <w:vAlign w:val="center"/>
          </w:tcPr>
          <w:p w14:paraId="1C07F6E3" w14:textId="77777777" w:rsidR="00B27C8F" w:rsidRPr="00876081" w:rsidRDefault="00B27C8F" w:rsidP="000063CD">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78972AEB" w14:textId="77777777" w:rsidR="00B27C8F" w:rsidRPr="00876081" w:rsidRDefault="00B27C8F" w:rsidP="000063CD">
            <w:pPr>
              <w:spacing w:before="30" w:after="30"/>
              <w:rPr>
                <w:rFonts w:ascii="Arial" w:hAnsi="Arial"/>
                <w:color w:val="000000" w:themeColor="text1"/>
                <w:sz w:val="14"/>
                <w:szCs w:val="14"/>
              </w:rPr>
            </w:pPr>
            <w:r w:rsidRPr="00876081">
              <w:rPr>
                <w:rFonts w:ascii="Arial" w:hAnsi="Arial"/>
                <w:color w:val="000000" w:themeColor="text1"/>
                <w:sz w:val="14"/>
                <w:szCs w:val="14"/>
              </w:rPr>
              <w:t>Both material hardship and low-income (less than 60% AHC)</w:t>
            </w:r>
          </w:p>
        </w:tc>
        <w:tc>
          <w:tcPr>
            <w:tcW w:w="567" w:type="dxa"/>
            <w:tcMar>
              <w:top w:w="28" w:type="dxa"/>
              <w:left w:w="28" w:type="dxa"/>
              <w:bottom w:w="28" w:type="dxa"/>
              <w:right w:w="28" w:type="dxa"/>
            </w:tcMar>
            <w:vAlign w:val="center"/>
          </w:tcPr>
          <w:p w14:paraId="5A566C03"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8.8</w:t>
            </w:r>
          </w:p>
        </w:tc>
        <w:tc>
          <w:tcPr>
            <w:tcW w:w="567" w:type="dxa"/>
            <w:tcMar>
              <w:top w:w="28" w:type="dxa"/>
              <w:left w:w="28" w:type="dxa"/>
              <w:bottom w:w="28" w:type="dxa"/>
              <w:right w:w="28" w:type="dxa"/>
            </w:tcMar>
            <w:vAlign w:val="center"/>
          </w:tcPr>
          <w:p w14:paraId="407A85A2"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7.8</w:t>
            </w:r>
          </w:p>
        </w:tc>
        <w:tc>
          <w:tcPr>
            <w:tcW w:w="567" w:type="dxa"/>
            <w:tcMar>
              <w:top w:w="28" w:type="dxa"/>
              <w:left w:w="28" w:type="dxa"/>
              <w:bottom w:w="28" w:type="dxa"/>
              <w:right w:w="28" w:type="dxa"/>
            </w:tcMar>
            <w:vAlign w:val="center"/>
          </w:tcPr>
          <w:p w14:paraId="376569D3"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6.9</w:t>
            </w:r>
          </w:p>
        </w:tc>
        <w:tc>
          <w:tcPr>
            <w:tcW w:w="567" w:type="dxa"/>
            <w:vAlign w:val="center"/>
          </w:tcPr>
          <w:p w14:paraId="4899928D"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6.5</w:t>
            </w:r>
          </w:p>
        </w:tc>
        <w:tc>
          <w:tcPr>
            <w:tcW w:w="567" w:type="dxa"/>
            <w:vAlign w:val="center"/>
          </w:tcPr>
          <w:p w14:paraId="46980F54" w14:textId="77777777" w:rsidR="00B27C8F" w:rsidRPr="00876081"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5.8</w:t>
            </w:r>
          </w:p>
        </w:tc>
        <w:tc>
          <w:tcPr>
            <w:tcW w:w="567" w:type="dxa"/>
            <w:tcMar>
              <w:top w:w="28" w:type="dxa"/>
              <w:left w:w="28" w:type="dxa"/>
              <w:bottom w:w="28" w:type="dxa"/>
              <w:right w:w="28" w:type="dxa"/>
            </w:tcMar>
            <w:vAlign w:val="center"/>
          </w:tcPr>
          <w:p w14:paraId="5290D6C4"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6.8</w:t>
            </w:r>
          </w:p>
        </w:tc>
        <w:tc>
          <w:tcPr>
            <w:tcW w:w="567" w:type="dxa"/>
            <w:vAlign w:val="center"/>
          </w:tcPr>
          <w:p w14:paraId="198C0176" w14:textId="77777777" w:rsidR="00B27C8F" w:rsidRPr="005208E7" w:rsidRDefault="00B27C8F" w:rsidP="000063CD">
            <w:pPr>
              <w:spacing w:before="30" w:after="30"/>
              <w:jc w:val="center"/>
              <w:rPr>
                <w:rFonts w:ascii="Arial" w:hAnsi="Arial"/>
                <w:color w:val="000000" w:themeColor="text1"/>
                <w:sz w:val="14"/>
                <w:szCs w:val="14"/>
              </w:rPr>
            </w:pPr>
            <w:r>
              <w:rPr>
                <w:rFonts w:ascii="Arial" w:hAnsi="Arial"/>
                <w:color w:val="000000"/>
                <w:sz w:val="14"/>
                <w:szCs w:val="14"/>
              </w:rPr>
              <w:t>7.8</w:t>
            </w:r>
          </w:p>
        </w:tc>
        <w:tc>
          <w:tcPr>
            <w:tcW w:w="567" w:type="dxa"/>
            <w:noWrap/>
            <w:tcMar>
              <w:left w:w="57" w:type="dxa"/>
              <w:right w:w="57" w:type="dxa"/>
            </w:tcMar>
            <w:vAlign w:val="center"/>
          </w:tcPr>
          <w:p w14:paraId="2B20C0B1" w14:textId="77777777" w:rsidR="00B27C8F" w:rsidRPr="007059B1" w:rsidRDefault="00B27C8F" w:rsidP="000063CD">
            <w:pPr>
              <w:spacing w:before="30" w:after="30"/>
              <w:jc w:val="center"/>
              <w:rPr>
                <w:rFonts w:ascii="Arial" w:hAnsi="Arial"/>
                <w:i/>
                <w:iCs/>
                <w:color w:val="000000" w:themeColor="text1"/>
                <w:sz w:val="14"/>
                <w:szCs w:val="14"/>
              </w:rPr>
            </w:pPr>
            <w:r w:rsidRPr="007059B1">
              <w:rPr>
                <w:rFonts w:ascii="Arial" w:hAnsi="Arial"/>
                <w:i/>
                <w:iCs/>
                <w:color w:val="000000"/>
                <w:sz w:val="14"/>
                <w:szCs w:val="14"/>
              </w:rPr>
              <w:t>8.6</w:t>
            </w:r>
          </w:p>
        </w:tc>
        <w:tc>
          <w:tcPr>
            <w:tcW w:w="851" w:type="dxa"/>
            <w:noWrap/>
            <w:tcMar>
              <w:left w:w="57" w:type="dxa"/>
              <w:right w:w="57" w:type="dxa"/>
            </w:tcMar>
            <w:vAlign w:val="center"/>
          </w:tcPr>
          <w:p w14:paraId="228D2251" w14:textId="77777777" w:rsidR="00B27C8F" w:rsidRPr="00876081" w:rsidRDefault="00B27C8F" w:rsidP="000063CD">
            <w:pPr>
              <w:spacing w:before="30" w:after="30"/>
              <w:jc w:val="center"/>
              <w:rPr>
                <w:rFonts w:ascii="Arial" w:hAnsi="Arial"/>
                <w:i/>
                <w:iCs/>
                <w:color w:val="000000" w:themeColor="text1"/>
                <w:sz w:val="14"/>
                <w:szCs w:val="14"/>
              </w:rPr>
            </w:pPr>
            <w:r>
              <w:rPr>
                <w:rFonts w:ascii="Arial" w:hAnsi="Arial"/>
                <w:i/>
                <w:iCs/>
                <w:color w:val="000000"/>
                <w:sz w:val="14"/>
                <w:szCs w:val="14"/>
              </w:rPr>
              <w:t>101,600</w:t>
            </w:r>
          </w:p>
        </w:tc>
      </w:tr>
    </w:tbl>
    <w:p w14:paraId="742B37A0" w14:textId="77777777" w:rsidR="003C0C0C" w:rsidRPr="005D7AAC" w:rsidRDefault="003C0C0C" w:rsidP="003C0C0C">
      <w:pPr>
        <w:spacing w:before="60" w:after="60"/>
        <w:ind w:left="709" w:right="805" w:hanging="426"/>
        <w:rPr>
          <w:rFonts w:ascii="Arial" w:hAnsi="Arial"/>
          <w:color w:val="000000" w:themeColor="text1"/>
          <w:sz w:val="16"/>
          <w:szCs w:val="18"/>
        </w:rPr>
      </w:pPr>
      <w:r>
        <w:rPr>
          <w:rFonts w:ascii="Arial" w:hAnsi="Arial"/>
          <w:color w:val="000000" w:themeColor="text1"/>
          <w:sz w:val="16"/>
          <w:szCs w:val="18"/>
        </w:rPr>
        <w:t xml:space="preserve">Source: </w:t>
      </w:r>
      <w:hyperlink r:id="rId11" w:history="1">
        <w:r w:rsidRPr="005D7AAC">
          <w:rPr>
            <w:rStyle w:val="Hyperlink"/>
            <w:rFonts w:ascii="Arial" w:hAnsi="Arial"/>
            <w:sz w:val="16"/>
            <w:szCs w:val="18"/>
          </w:rPr>
          <w:t>Child poverty statistics: Year ended June 2025 – summary table</w:t>
        </w:r>
      </w:hyperlink>
    </w:p>
    <w:p w14:paraId="3901E4B2" w14:textId="77777777" w:rsidR="003C0C0C" w:rsidRPr="00876081" w:rsidRDefault="003C0C0C" w:rsidP="003C0C0C">
      <w:pPr>
        <w:spacing w:before="60" w:after="60"/>
        <w:ind w:left="709" w:right="805" w:hanging="426"/>
        <w:rPr>
          <w:rFonts w:ascii="Arial" w:hAnsi="Arial"/>
          <w:color w:val="000000" w:themeColor="text1"/>
          <w:sz w:val="16"/>
          <w:szCs w:val="18"/>
        </w:rPr>
      </w:pPr>
      <w:r w:rsidRPr="00876081">
        <w:rPr>
          <w:rFonts w:ascii="Arial" w:hAnsi="Arial"/>
          <w:color w:val="000000" w:themeColor="text1"/>
          <w:sz w:val="16"/>
          <w:szCs w:val="18"/>
        </w:rPr>
        <w:t xml:space="preserve">Notes for Table: </w:t>
      </w:r>
      <w:r w:rsidRPr="00876081">
        <w:rPr>
          <w:rFonts w:ascii="Arial" w:hAnsi="Arial"/>
          <w:color w:val="000000" w:themeColor="text1"/>
          <w:sz w:val="16"/>
          <w:szCs w:val="18"/>
        </w:rPr>
        <w:tab/>
      </w:r>
    </w:p>
    <w:p w14:paraId="18AF45FA" w14:textId="77777777" w:rsidR="003C0C0C" w:rsidRPr="00876081" w:rsidRDefault="003C0C0C">
      <w:pPr>
        <w:numPr>
          <w:ilvl w:val="0"/>
          <w:numId w:val="96"/>
        </w:numPr>
        <w:spacing w:after="60" w:line="240" w:lineRule="auto"/>
        <w:ind w:left="709" w:right="238" w:hanging="284"/>
        <w:rPr>
          <w:rFonts w:ascii="Arial" w:hAnsi="Arial"/>
          <w:color w:val="000000" w:themeColor="text1"/>
          <w:sz w:val="16"/>
          <w:szCs w:val="18"/>
        </w:rPr>
      </w:pPr>
      <w:r w:rsidRPr="00876081">
        <w:rPr>
          <w:rFonts w:ascii="Arial" w:hAnsi="Arial"/>
          <w:color w:val="000000" w:themeColor="text1"/>
          <w:sz w:val="16"/>
          <w:szCs w:val="18"/>
        </w:rPr>
        <w:t>BHC is short for ‘household income before deducting housing costs’ and AHC means ‘household income after deducting housing costs’.</w:t>
      </w:r>
    </w:p>
    <w:p w14:paraId="171C3BF9" w14:textId="77777777" w:rsidR="003C0C0C" w:rsidRPr="00876081" w:rsidRDefault="003C0C0C">
      <w:pPr>
        <w:numPr>
          <w:ilvl w:val="0"/>
          <w:numId w:val="96"/>
        </w:numPr>
        <w:spacing w:after="60" w:line="240" w:lineRule="auto"/>
        <w:ind w:left="709" w:right="237" w:hanging="284"/>
        <w:rPr>
          <w:rFonts w:ascii="Arial" w:hAnsi="Arial"/>
          <w:color w:val="000000" w:themeColor="text1"/>
          <w:sz w:val="16"/>
          <w:szCs w:val="18"/>
        </w:rPr>
      </w:pPr>
      <w:r w:rsidRPr="00876081">
        <w:rPr>
          <w:rFonts w:ascii="Arial" w:hAnsi="Arial"/>
          <w:color w:val="000000" w:themeColor="text1"/>
          <w:sz w:val="16"/>
          <w:szCs w:val="18"/>
        </w:rPr>
        <w:t>‘AHC 40% relative’ is short for ‘40% of the median AHC income’, and so on</w:t>
      </w:r>
      <w:r>
        <w:rPr>
          <w:rFonts w:ascii="Arial" w:hAnsi="Arial"/>
          <w:color w:val="000000" w:themeColor="text1"/>
          <w:sz w:val="16"/>
          <w:szCs w:val="18"/>
        </w:rPr>
        <w:t>.</w:t>
      </w:r>
    </w:p>
    <w:p w14:paraId="3135831E" w14:textId="77777777" w:rsidR="003C0C0C" w:rsidRDefault="003C0C0C">
      <w:pPr>
        <w:numPr>
          <w:ilvl w:val="0"/>
          <w:numId w:val="96"/>
        </w:numPr>
        <w:spacing w:after="60" w:line="240" w:lineRule="auto"/>
        <w:ind w:left="709" w:right="238" w:hanging="284"/>
        <w:rPr>
          <w:rFonts w:ascii="Arial" w:hAnsi="Arial"/>
          <w:color w:val="000000" w:themeColor="text1"/>
          <w:sz w:val="16"/>
          <w:szCs w:val="18"/>
        </w:rPr>
      </w:pPr>
      <w:r>
        <w:rPr>
          <w:rFonts w:ascii="Arial" w:hAnsi="Arial"/>
          <w:color w:val="000000" w:themeColor="text1"/>
          <w:sz w:val="16"/>
          <w:szCs w:val="18"/>
        </w:rPr>
        <w:t>Material hardship and severe material hardship for the HES years are measured using the DEP-17 index with thresholds of 6+ and 9+ respectively. For HILS 24-25 the MH-18 index is used with thresholds of 7+ and 10+.</w:t>
      </w:r>
    </w:p>
    <w:p w14:paraId="6CF3F08F" w14:textId="77777777" w:rsidR="003C0C0C" w:rsidRPr="00876081" w:rsidRDefault="003C0C0C">
      <w:pPr>
        <w:numPr>
          <w:ilvl w:val="0"/>
          <w:numId w:val="96"/>
        </w:numPr>
        <w:spacing w:after="0" w:line="240" w:lineRule="auto"/>
        <w:ind w:left="709" w:right="238" w:hanging="284"/>
        <w:rPr>
          <w:rFonts w:ascii="Arial" w:hAnsi="Arial"/>
          <w:color w:val="000000" w:themeColor="text1"/>
          <w:sz w:val="16"/>
          <w:szCs w:val="18"/>
        </w:rPr>
      </w:pPr>
      <w:r w:rsidRPr="00876081">
        <w:rPr>
          <w:rFonts w:ascii="Arial" w:hAnsi="Arial"/>
          <w:color w:val="000000" w:themeColor="text1"/>
          <w:sz w:val="16"/>
          <w:szCs w:val="18"/>
        </w:rPr>
        <w:t xml:space="preserve">P = primary measure (required by the CPRA to have targets). </w:t>
      </w:r>
      <w:r>
        <w:rPr>
          <w:rFonts w:ascii="Arial" w:hAnsi="Arial"/>
          <w:color w:val="000000" w:themeColor="text1"/>
          <w:sz w:val="16"/>
          <w:szCs w:val="18"/>
        </w:rPr>
        <w:t xml:space="preserve"> </w:t>
      </w:r>
    </w:p>
    <w:p w14:paraId="656095E8" w14:textId="77777777" w:rsidR="003C0C0C" w:rsidRDefault="003C0C0C" w:rsidP="003C0C0C">
      <w:pPr>
        <w:spacing w:after="60" w:line="240" w:lineRule="auto"/>
        <w:ind w:left="709" w:right="238"/>
        <w:rPr>
          <w:rFonts w:ascii="Arial" w:hAnsi="Arial"/>
          <w:color w:val="000000" w:themeColor="text1"/>
          <w:sz w:val="16"/>
          <w:szCs w:val="18"/>
        </w:rPr>
      </w:pPr>
      <w:r w:rsidRPr="00876081">
        <w:rPr>
          <w:rFonts w:ascii="Arial" w:hAnsi="Arial"/>
          <w:color w:val="000000" w:themeColor="text1"/>
          <w:sz w:val="16"/>
          <w:szCs w:val="18"/>
        </w:rPr>
        <w:t>S</w:t>
      </w:r>
      <w:r>
        <w:rPr>
          <w:rFonts w:ascii="Arial" w:hAnsi="Arial"/>
          <w:color w:val="000000" w:themeColor="text1"/>
          <w:sz w:val="16"/>
          <w:szCs w:val="18"/>
        </w:rPr>
        <w:t xml:space="preserve"> </w:t>
      </w:r>
      <w:r w:rsidRPr="00876081">
        <w:rPr>
          <w:rFonts w:ascii="Arial" w:hAnsi="Arial"/>
          <w:color w:val="000000" w:themeColor="text1"/>
          <w:sz w:val="16"/>
          <w:szCs w:val="18"/>
        </w:rPr>
        <w:t>= supplementary measure (no targets required).</w:t>
      </w:r>
    </w:p>
    <w:p w14:paraId="4563DE24" w14:textId="77777777" w:rsidR="003C0C0C" w:rsidRDefault="003C0C0C">
      <w:pPr>
        <w:numPr>
          <w:ilvl w:val="0"/>
          <w:numId w:val="96"/>
        </w:numPr>
        <w:spacing w:after="60" w:line="240" w:lineRule="auto"/>
        <w:ind w:left="709" w:right="237" w:hanging="284"/>
        <w:rPr>
          <w:rFonts w:ascii="Arial" w:hAnsi="Arial"/>
          <w:color w:val="000000" w:themeColor="text1"/>
          <w:sz w:val="16"/>
          <w:szCs w:val="18"/>
        </w:rPr>
      </w:pPr>
      <w:r>
        <w:rPr>
          <w:rFonts w:ascii="Arial" w:hAnsi="Arial"/>
          <w:color w:val="000000" w:themeColor="text1"/>
          <w:sz w:val="16"/>
          <w:szCs w:val="18"/>
        </w:rPr>
        <w:t xml:space="preserve">The 2024-25 figures are italicised as they are provisional. The figures for the latest survey are always provisional for the February publications as final IRD returns are still to come for some who receive WFF tax credits. In addition, by the time of the next publication there will have been a population rebase. The provisional and revised figures for 2023-24 are shown in </w:t>
      </w:r>
      <w:r w:rsidRPr="00D4670A">
        <w:rPr>
          <w:rFonts w:ascii="Arial" w:hAnsi="Arial"/>
          <w:b/>
          <w:bCs/>
          <w:color w:val="000000" w:themeColor="text1"/>
          <w:sz w:val="16"/>
          <w:szCs w:val="18"/>
        </w:rPr>
        <w:t>Table A2.2</w:t>
      </w:r>
      <w:r>
        <w:rPr>
          <w:rFonts w:ascii="Arial" w:hAnsi="Arial"/>
          <w:color w:val="000000" w:themeColor="text1"/>
          <w:sz w:val="16"/>
          <w:szCs w:val="18"/>
        </w:rPr>
        <w:t xml:space="preserve">. </w:t>
      </w:r>
    </w:p>
    <w:p w14:paraId="234DE465" w14:textId="77777777" w:rsidR="003C0C0C" w:rsidRDefault="003C0C0C" w:rsidP="003C0C0C">
      <w:pPr>
        <w:spacing w:after="0" w:line="240" w:lineRule="auto"/>
        <w:ind w:left="709" w:right="238"/>
        <w:rPr>
          <w:rFonts w:ascii="Arial" w:hAnsi="Arial"/>
          <w:color w:val="000000" w:themeColor="text1"/>
          <w:sz w:val="16"/>
          <w:szCs w:val="18"/>
        </w:rPr>
      </w:pPr>
      <w:r>
        <w:rPr>
          <w:rFonts w:ascii="Arial" w:hAnsi="Arial"/>
          <w:color w:val="000000" w:themeColor="text1"/>
          <w:sz w:val="16"/>
          <w:szCs w:val="18"/>
        </w:rPr>
        <w:t>See the Child Poverty Technical Appendix for more information:</w:t>
      </w:r>
    </w:p>
    <w:p w14:paraId="7E3FBDF2" w14:textId="77777777" w:rsidR="003C0C0C" w:rsidRPr="00876081" w:rsidRDefault="003C0C0C" w:rsidP="003C0C0C">
      <w:pPr>
        <w:spacing w:after="60" w:line="240" w:lineRule="auto"/>
        <w:ind w:left="709" w:right="237"/>
        <w:rPr>
          <w:rFonts w:ascii="Arial" w:hAnsi="Arial"/>
          <w:color w:val="000000" w:themeColor="text1"/>
          <w:sz w:val="16"/>
          <w:szCs w:val="18"/>
        </w:rPr>
      </w:pPr>
      <w:hyperlink r:id="rId12" w:history="1">
        <w:r w:rsidRPr="00170572">
          <w:rPr>
            <w:rStyle w:val="Hyperlink"/>
            <w:rFonts w:ascii="Arial" w:hAnsi="Arial"/>
            <w:sz w:val="16"/>
            <w:szCs w:val="18"/>
          </w:rPr>
          <w:t>https://www.stats.govt.nz/methods/child-poverty-statistics-year-ended-june-2025-technical-appendix/</w:t>
        </w:r>
      </w:hyperlink>
      <w:r>
        <w:rPr>
          <w:rFonts w:ascii="Arial" w:hAnsi="Arial"/>
          <w:color w:val="000000" w:themeColor="text1"/>
          <w:sz w:val="16"/>
          <w:szCs w:val="18"/>
        </w:rPr>
        <w:t xml:space="preserve"> </w:t>
      </w:r>
    </w:p>
    <w:p w14:paraId="7C251AEB" w14:textId="77777777" w:rsidR="003C0C0C" w:rsidRPr="005208E7" w:rsidRDefault="003C0C0C" w:rsidP="003C0C0C">
      <w:pPr>
        <w:spacing w:after="60"/>
        <w:ind w:right="237"/>
        <w:rPr>
          <w:rFonts w:ascii="Arial" w:hAnsi="Arial"/>
          <w:color w:val="000000" w:themeColor="text1"/>
          <w:sz w:val="16"/>
          <w:szCs w:val="18"/>
        </w:rPr>
      </w:pPr>
    </w:p>
    <w:p w14:paraId="651355F1" w14:textId="77777777" w:rsidR="003C0C0C" w:rsidRPr="00876081" w:rsidRDefault="003C0C0C" w:rsidP="003C0C0C">
      <w:pPr>
        <w:spacing w:line="240" w:lineRule="auto"/>
        <w:jc w:val="center"/>
        <w:rPr>
          <w:rFonts w:ascii="Arial" w:hAnsi="Arial"/>
          <w:b/>
          <w:bCs/>
          <w:color w:val="000000" w:themeColor="text1"/>
          <w:sz w:val="18"/>
          <w:szCs w:val="20"/>
        </w:rPr>
      </w:pPr>
      <w:r>
        <w:rPr>
          <w:rFonts w:ascii="Arial" w:hAnsi="Arial"/>
          <w:b/>
          <w:bCs/>
          <w:color w:val="000000" w:themeColor="text1"/>
          <w:sz w:val="18"/>
          <w:szCs w:val="20"/>
        </w:rPr>
        <w:t xml:space="preserve">Provisional and final rates (%) </w:t>
      </w:r>
      <w:r w:rsidRPr="00876081">
        <w:rPr>
          <w:rFonts w:ascii="Arial" w:hAnsi="Arial"/>
          <w:b/>
          <w:bCs/>
          <w:color w:val="000000" w:themeColor="text1"/>
          <w:sz w:val="18"/>
          <w:szCs w:val="20"/>
        </w:rPr>
        <w:t>for the nine available CPRA child poverty measures</w:t>
      </w:r>
      <w:r>
        <w:rPr>
          <w:rFonts w:ascii="Arial" w:hAnsi="Arial"/>
          <w:b/>
          <w:bCs/>
          <w:color w:val="000000" w:themeColor="text1"/>
          <w:sz w:val="18"/>
          <w:szCs w:val="20"/>
        </w:rPr>
        <w:t xml:space="preserve"> for 2023-24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42" w:type="dxa"/>
        </w:tblCellMar>
        <w:tblLook w:val="04A0" w:firstRow="1" w:lastRow="0" w:firstColumn="1" w:lastColumn="0" w:noHBand="0" w:noVBand="1"/>
      </w:tblPr>
      <w:tblGrid>
        <w:gridCol w:w="421"/>
        <w:gridCol w:w="2409"/>
        <w:gridCol w:w="851"/>
        <w:gridCol w:w="850"/>
      </w:tblGrid>
      <w:tr w:rsidR="003C0C0C" w:rsidRPr="00876081" w14:paraId="4E99A6AE" w14:textId="77777777" w:rsidTr="0020734C">
        <w:trPr>
          <w:jc w:val="center"/>
        </w:trPr>
        <w:tc>
          <w:tcPr>
            <w:tcW w:w="421" w:type="dxa"/>
            <w:shd w:val="clear" w:color="auto" w:fill="D9D9D9" w:themeFill="background1" w:themeFillShade="D9"/>
            <w:vAlign w:val="center"/>
          </w:tcPr>
          <w:p w14:paraId="31D4FC48" w14:textId="77777777" w:rsidR="003C0C0C" w:rsidRPr="00876081" w:rsidRDefault="003C0C0C" w:rsidP="0020734C">
            <w:pPr>
              <w:spacing w:before="30" w:after="30"/>
              <w:jc w:val="center"/>
              <w:rPr>
                <w:rFonts w:ascii="Arial" w:hAnsi="Arial"/>
                <w:b/>
                <w:bCs/>
                <w:color w:val="000000" w:themeColor="text1"/>
                <w:sz w:val="14"/>
                <w:szCs w:val="14"/>
              </w:rPr>
            </w:pPr>
          </w:p>
        </w:tc>
        <w:tc>
          <w:tcPr>
            <w:tcW w:w="2409" w:type="dxa"/>
            <w:shd w:val="clear" w:color="auto" w:fill="D9D9D9" w:themeFill="background1" w:themeFillShade="D9"/>
            <w:noWrap/>
            <w:tcMar>
              <w:right w:w="57" w:type="dxa"/>
            </w:tcMar>
            <w:vAlign w:val="center"/>
          </w:tcPr>
          <w:p w14:paraId="52DF280D" w14:textId="77777777" w:rsidR="003C0C0C" w:rsidRPr="00876081" w:rsidRDefault="003C0C0C" w:rsidP="0020734C">
            <w:pPr>
              <w:spacing w:before="30" w:after="30"/>
              <w:rPr>
                <w:rFonts w:ascii="Arial" w:hAnsi="Arial"/>
                <w:color w:val="000000" w:themeColor="text1"/>
                <w:sz w:val="14"/>
                <w:szCs w:val="14"/>
              </w:rPr>
            </w:pPr>
          </w:p>
        </w:tc>
        <w:tc>
          <w:tcPr>
            <w:tcW w:w="1701" w:type="dxa"/>
            <w:gridSpan w:val="2"/>
            <w:shd w:val="clear" w:color="auto" w:fill="D9D9D9" w:themeFill="background1" w:themeFillShade="D9"/>
            <w:tcMar>
              <w:top w:w="28" w:type="dxa"/>
              <w:left w:w="28" w:type="dxa"/>
              <w:bottom w:w="28" w:type="dxa"/>
              <w:right w:w="28" w:type="dxa"/>
            </w:tcMar>
            <w:vAlign w:val="center"/>
          </w:tcPr>
          <w:p w14:paraId="56106904" w14:textId="77777777" w:rsidR="003C0C0C" w:rsidRPr="00D4670A" w:rsidRDefault="003C0C0C" w:rsidP="0020734C">
            <w:pPr>
              <w:spacing w:before="30" w:after="30"/>
              <w:jc w:val="center"/>
              <w:rPr>
                <w:rFonts w:ascii="Arial" w:hAnsi="Arial"/>
                <w:b/>
                <w:bCs/>
                <w:color w:val="000000" w:themeColor="text1"/>
                <w:sz w:val="14"/>
                <w:szCs w:val="14"/>
              </w:rPr>
            </w:pPr>
            <w:r w:rsidRPr="00D4670A">
              <w:rPr>
                <w:rFonts w:ascii="Arial" w:hAnsi="Arial"/>
                <w:b/>
                <w:bCs/>
                <w:color w:val="000000" w:themeColor="text1"/>
                <w:sz w:val="14"/>
                <w:szCs w:val="14"/>
              </w:rPr>
              <w:t>% ‘poor’</w:t>
            </w:r>
          </w:p>
        </w:tc>
      </w:tr>
      <w:tr w:rsidR="003C0C0C" w:rsidRPr="00876081" w14:paraId="5A63456D" w14:textId="77777777" w:rsidTr="0020734C">
        <w:trPr>
          <w:jc w:val="center"/>
        </w:trPr>
        <w:tc>
          <w:tcPr>
            <w:tcW w:w="421" w:type="dxa"/>
            <w:shd w:val="clear" w:color="auto" w:fill="D9D9D9" w:themeFill="background1" w:themeFillShade="D9"/>
            <w:vAlign w:val="center"/>
          </w:tcPr>
          <w:p w14:paraId="779C2E16" w14:textId="77777777" w:rsidR="003C0C0C" w:rsidRPr="00876081" w:rsidRDefault="003C0C0C" w:rsidP="0020734C">
            <w:pPr>
              <w:spacing w:before="30" w:after="30"/>
              <w:jc w:val="center"/>
              <w:rPr>
                <w:rFonts w:ascii="Arial" w:hAnsi="Arial"/>
                <w:b/>
                <w:bCs/>
                <w:color w:val="000000" w:themeColor="text1"/>
                <w:sz w:val="14"/>
                <w:szCs w:val="14"/>
              </w:rPr>
            </w:pPr>
          </w:p>
        </w:tc>
        <w:tc>
          <w:tcPr>
            <w:tcW w:w="2409" w:type="dxa"/>
            <w:shd w:val="clear" w:color="auto" w:fill="D9D9D9" w:themeFill="background1" w:themeFillShade="D9"/>
            <w:noWrap/>
            <w:tcMar>
              <w:right w:w="57" w:type="dxa"/>
            </w:tcMar>
            <w:vAlign w:val="center"/>
          </w:tcPr>
          <w:p w14:paraId="3DA0E9C5" w14:textId="77777777" w:rsidR="003C0C0C" w:rsidRPr="00D4670A" w:rsidRDefault="003C0C0C" w:rsidP="0020734C">
            <w:pPr>
              <w:spacing w:before="30" w:after="30"/>
              <w:rPr>
                <w:rFonts w:ascii="Arial" w:hAnsi="Arial"/>
                <w:b/>
                <w:bCs/>
                <w:color w:val="000000" w:themeColor="text1"/>
                <w:sz w:val="14"/>
                <w:szCs w:val="14"/>
              </w:rPr>
            </w:pPr>
            <w:r w:rsidRPr="00D4670A">
              <w:rPr>
                <w:rFonts w:ascii="Arial" w:hAnsi="Arial"/>
                <w:b/>
                <w:bCs/>
                <w:color w:val="000000" w:themeColor="text1"/>
                <w:sz w:val="14"/>
                <w:szCs w:val="14"/>
              </w:rPr>
              <w:t>Measure</w:t>
            </w:r>
          </w:p>
        </w:tc>
        <w:tc>
          <w:tcPr>
            <w:tcW w:w="851" w:type="dxa"/>
            <w:shd w:val="clear" w:color="auto" w:fill="D9D9D9" w:themeFill="background1" w:themeFillShade="D9"/>
            <w:tcMar>
              <w:top w:w="28" w:type="dxa"/>
              <w:left w:w="28" w:type="dxa"/>
              <w:bottom w:w="28" w:type="dxa"/>
              <w:right w:w="28" w:type="dxa"/>
            </w:tcMar>
            <w:vAlign w:val="center"/>
          </w:tcPr>
          <w:p w14:paraId="6134F412" w14:textId="77777777" w:rsidR="003C0C0C" w:rsidRPr="00D4670A" w:rsidRDefault="003C0C0C" w:rsidP="0020734C">
            <w:pPr>
              <w:spacing w:before="30" w:after="30"/>
              <w:jc w:val="center"/>
              <w:rPr>
                <w:rFonts w:ascii="Arial" w:hAnsi="Arial"/>
                <w:b/>
                <w:bCs/>
                <w:color w:val="000000" w:themeColor="text1"/>
                <w:sz w:val="14"/>
                <w:szCs w:val="14"/>
              </w:rPr>
            </w:pPr>
            <w:r w:rsidRPr="00D4670A">
              <w:rPr>
                <w:rFonts w:ascii="Arial" w:hAnsi="Arial"/>
                <w:b/>
                <w:bCs/>
                <w:color w:val="000000" w:themeColor="text1"/>
                <w:sz w:val="14"/>
                <w:szCs w:val="14"/>
              </w:rPr>
              <w:t>23-24 provisional</w:t>
            </w:r>
          </w:p>
        </w:tc>
        <w:tc>
          <w:tcPr>
            <w:tcW w:w="850" w:type="dxa"/>
            <w:shd w:val="clear" w:color="auto" w:fill="D9D9D9" w:themeFill="background1" w:themeFillShade="D9"/>
            <w:tcMar>
              <w:top w:w="28" w:type="dxa"/>
              <w:left w:w="28" w:type="dxa"/>
              <w:bottom w:w="28" w:type="dxa"/>
              <w:right w:w="28" w:type="dxa"/>
            </w:tcMar>
            <w:vAlign w:val="center"/>
          </w:tcPr>
          <w:p w14:paraId="478437A5" w14:textId="77777777" w:rsidR="003C0C0C" w:rsidRDefault="003C0C0C" w:rsidP="0020734C">
            <w:pPr>
              <w:spacing w:before="30" w:after="0" w:line="240" w:lineRule="auto"/>
              <w:jc w:val="center"/>
              <w:rPr>
                <w:rFonts w:ascii="Arial" w:hAnsi="Arial"/>
                <w:b/>
                <w:bCs/>
                <w:color w:val="000000" w:themeColor="text1"/>
                <w:sz w:val="14"/>
                <w:szCs w:val="14"/>
              </w:rPr>
            </w:pPr>
            <w:r w:rsidRPr="00D4670A">
              <w:rPr>
                <w:rFonts w:ascii="Arial" w:hAnsi="Arial"/>
                <w:b/>
                <w:bCs/>
                <w:color w:val="000000" w:themeColor="text1"/>
                <w:sz w:val="14"/>
                <w:szCs w:val="14"/>
              </w:rPr>
              <w:t>23-24</w:t>
            </w:r>
          </w:p>
          <w:p w14:paraId="36579E5E" w14:textId="77777777" w:rsidR="003C0C0C" w:rsidRPr="00D4670A" w:rsidRDefault="003C0C0C" w:rsidP="0020734C">
            <w:pPr>
              <w:spacing w:before="30" w:after="30"/>
              <w:jc w:val="center"/>
              <w:rPr>
                <w:rFonts w:ascii="Arial" w:hAnsi="Arial"/>
                <w:b/>
                <w:bCs/>
                <w:color w:val="000000" w:themeColor="text1"/>
                <w:sz w:val="14"/>
                <w:szCs w:val="14"/>
              </w:rPr>
            </w:pPr>
            <w:r w:rsidRPr="00D4670A">
              <w:rPr>
                <w:rFonts w:ascii="Arial" w:hAnsi="Arial"/>
                <w:b/>
                <w:bCs/>
                <w:color w:val="000000" w:themeColor="text1"/>
                <w:sz w:val="14"/>
                <w:szCs w:val="14"/>
              </w:rPr>
              <w:t xml:space="preserve"> final</w:t>
            </w:r>
          </w:p>
        </w:tc>
      </w:tr>
      <w:tr w:rsidR="003C0C0C" w:rsidRPr="00876081" w14:paraId="2D2699E8" w14:textId="77777777" w:rsidTr="0020734C">
        <w:trPr>
          <w:jc w:val="center"/>
        </w:trPr>
        <w:tc>
          <w:tcPr>
            <w:tcW w:w="421" w:type="dxa"/>
            <w:shd w:val="clear" w:color="auto" w:fill="D9D9D9" w:themeFill="background1" w:themeFillShade="D9"/>
            <w:vAlign w:val="center"/>
          </w:tcPr>
          <w:p w14:paraId="2D6B592A" w14:textId="77777777" w:rsidR="003C0C0C" w:rsidRPr="00876081" w:rsidRDefault="003C0C0C" w:rsidP="0020734C">
            <w:pPr>
              <w:spacing w:before="30" w:after="30"/>
              <w:jc w:val="center"/>
              <w:rPr>
                <w:rFonts w:ascii="Arial" w:hAnsi="Arial"/>
                <w:b/>
                <w:bCs/>
                <w:color w:val="000000" w:themeColor="text1"/>
                <w:sz w:val="14"/>
                <w:szCs w:val="14"/>
              </w:rPr>
            </w:pPr>
            <w:r w:rsidRPr="00876081">
              <w:rPr>
                <w:rFonts w:ascii="Arial" w:hAnsi="Arial"/>
                <w:b/>
                <w:bCs/>
                <w:color w:val="000000" w:themeColor="text1"/>
                <w:sz w:val="14"/>
                <w:szCs w:val="14"/>
              </w:rPr>
              <w:t>P</w:t>
            </w:r>
          </w:p>
        </w:tc>
        <w:tc>
          <w:tcPr>
            <w:tcW w:w="2409" w:type="dxa"/>
            <w:shd w:val="clear" w:color="auto" w:fill="D9D9D9" w:themeFill="background1" w:themeFillShade="D9"/>
            <w:noWrap/>
            <w:tcMar>
              <w:right w:w="57" w:type="dxa"/>
            </w:tcMar>
            <w:vAlign w:val="center"/>
          </w:tcPr>
          <w:p w14:paraId="0A486FAF" w14:textId="77777777" w:rsidR="003C0C0C" w:rsidRPr="00876081" w:rsidRDefault="003C0C0C" w:rsidP="0020734C">
            <w:pPr>
              <w:spacing w:before="30" w:after="30"/>
              <w:rPr>
                <w:rFonts w:ascii="Arial" w:hAnsi="Arial"/>
                <w:color w:val="000000" w:themeColor="text1"/>
                <w:sz w:val="14"/>
                <w:szCs w:val="14"/>
              </w:rPr>
            </w:pPr>
            <w:r w:rsidRPr="00876081">
              <w:rPr>
                <w:rFonts w:ascii="Arial" w:hAnsi="Arial"/>
                <w:color w:val="000000" w:themeColor="text1"/>
                <w:sz w:val="14"/>
                <w:szCs w:val="14"/>
              </w:rPr>
              <w:t>BHC 50% relative</w:t>
            </w:r>
          </w:p>
        </w:tc>
        <w:tc>
          <w:tcPr>
            <w:tcW w:w="851" w:type="dxa"/>
            <w:shd w:val="clear" w:color="auto" w:fill="D9D9D9" w:themeFill="background1" w:themeFillShade="D9"/>
            <w:tcMar>
              <w:top w:w="28" w:type="dxa"/>
              <w:left w:w="28" w:type="dxa"/>
              <w:bottom w:w="28" w:type="dxa"/>
              <w:right w:w="28" w:type="dxa"/>
            </w:tcMar>
            <w:vAlign w:val="center"/>
          </w:tcPr>
          <w:p w14:paraId="17F154BC" w14:textId="77777777" w:rsidR="003C0C0C" w:rsidRPr="00876081" w:rsidRDefault="003C0C0C" w:rsidP="0020734C">
            <w:pPr>
              <w:spacing w:before="30" w:after="30"/>
              <w:jc w:val="center"/>
              <w:rPr>
                <w:rFonts w:ascii="Arial" w:hAnsi="Arial"/>
                <w:color w:val="000000" w:themeColor="text1"/>
                <w:sz w:val="14"/>
                <w:szCs w:val="14"/>
              </w:rPr>
            </w:pPr>
            <w:r>
              <w:rPr>
                <w:rFonts w:ascii="Arial" w:hAnsi="Arial"/>
                <w:color w:val="000000"/>
                <w:sz w:val="14"/>
                <w:szCs w:val="14"/>
              </w:rPr>
              <w:t>12.7</w:t>
            </w:r>
          </w:p>
        </w:tc>
        <w:tc>
          <w:tcPr>
            <w:tcW w:w="850" w:type="dxa"/>
            <w:shd w:val="clear" w:color="auto" w:fill="D9D9D9" w:themeFill="background1" w:themeFillShade="D9"/>
            <w:tcMar>
              <w:top w:w="28" w:type="dxa"/>
              <w:left w:w="28" w:type="dxa"/>
              <w:bottom w:w="28" w:type="dxa"/>
              <w:right w:w="28" w:type="dxa"/>
            </w:tcMar>
            <w:vAlign w:val="center"/>
          </w:tcPr>
          <w:p w14:paraId="204C60B4" w14:textId="77777777" w:rsidR="003C0C0C" w:rsidRPr="00876081" w:rsidRDefault="003C0C0C" w:rsidP="0020734C">
            <w:pPr>
              <w:spacing w:before="30" w:after="30"/>
              <w:jc w:val="center"/>
              <w:rPr>
                <w:rFonts w:ascii="Arial" w:hAnsi="Arial"/>
                <w:color w:val="000000" w:themeColor="text1"/>
                <w:sz w:val="14"/>
                <w:szCs w:val="14"/>
              </w:rPr>
            </w:pPr>
            <w:r>
              <w:rPr>
                <w:rFonts w:ascii="Arial" w:hAnsi="Arial"/>
                <w:color w:val="000000" w:themeColor="text1"/>
                <w:sz w:val="14"/>
                <w:szCs w:val="14"/>
              </w:rPr>
              <w:t>12.7</w:t>
            </w:r>
          </w:p>
        </w:tc>
      </w:tr>
      <w:tr w:rsidR="00D77518" w:rsidRPr="00876081" w14:paraId="726870E3" w14:textId="77777777" w:rsidTr="00D77518">
        <w:trPr>
          <w:jc w:val="center"/>
        </w:trPr>
        <w:tc>
          <w:tcPr>
            <w:tcW w:w="421" w:type="dxa"/>
            <w:shd w:val="clear" w:color="auto" w:fill="D9D9D9" w:themeFill="background1" w:themeFillShade="D9"/>
            <w:vAlign w:val="center"/>
          </w:tcPr>
          <w:p w14:paraId="44FF3B66" w14:textId="03F6742D"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b/>
                <w:bCs/>
                <w:color w:val="000000" w:themeColor="text1"/>
                <w:sz w:val="14"/>
                <w:szCs w:val="14"/>
              </w:rPr>
              <w:t>P</w:t>
            </w:r>
          </w:p>
        </w:tc>
        <w:tc>
          <w:tcPr>
            <w:tcW w:w="2409" w:type="dxa"/>
            <w:shd w:val="clear" w:color="auto" w:fill="D9D9D9" w:themeFill="background1" w:themeFillShade="D9"/>
            <w:noWrap/>
            <w:tcMar>
              <w:right w:w="57" w:type="dxa"/>
            </w:tcMar>
            <w:vAlign w:val="center"/>
          </w:tcPr>
          <w:p w14:paraId="0E96877B" w14:textId="20D3A09E"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AHC 50% anchored line (17/18 ref)</w:t>
            </w:r>
          </w:p>
        </w:tc>
        <w:tc>
          <w:tcPr>
            <w:tcW w:w="851" w:type="dxa"/>
            <w:shd w:val="clear" w:color="auto" w:fill="D9D9D9" w:themeFill="background1" w:themeFillShade="D9"/>
            <w:tcMar>
              <w:top w:w="28" w:type="dxa"/>
              <w:left w:w="28" w:type="dxa"/>
              <w:bottom w:w="28" w:type="dxa"/>
              <w:right w:w="28" w:type="dxa"/>
            </w:tcMar>
            <w:vAlign w:val="center"/>
          </w:tcPr>
          <w:p w14:paraId="3FD841D7" w14:textId="71C57EB3" w:rsidR="00D77518" w:rsidRDefault="00D77518" w:rsidP="00D77518">
            <w:pPr>
              <w:spacing w:before="30" w:after="30"/>
              <w:jc w:val="center"/>
              <w:rPr>
                <w:rFonts w:ascii="Arial" w:hAnsi="Arial"/>
                <w:b/>
                <w:bCs/>
                <w:color w:val="000000"/>
                <w:sz w:val="14"/>
                <w:szCs w:val="14"/>
              </w:rPr>
            </w:pPr>
            <w:r>
              <w:rPr>
                <w:rFonts w:ascii="Arial" w:hAnsi="Arial"/>
                <w:color w:val="000000"/>
                <w:sz w:val="14"/>
                <w:szCs w:val="14"/>
              </w:rPr>
              <w:t>17.7</w:t>
            </w:r>
          </w:p>
        </w:tc>
        <w:tc>
          <w:tcPr>
            <w:tcW w:w="850" w:type="dxa"/>
            <w:shd w:val="clear" w:color="auto" w:fill="D9D9D9" w:themeFill="background1" w:themeFillShade="D9"/>
            <w:tcMar>
              <w:top w:w="28" w:type="dxa"/>
              <w:left w:w="28" w:type="dxa"/>
              <w:bottom w:w="28" w:type="dxa"/>
              <w:right w:w="28" w:type="dxa"/>
            </w:tcMar>
            <w:vAlign w:val="center"/>
          </w:tcPr>
          <w:p w14:paraId="6662ABDF" w14:textId="409A86CC" w:rsidR="00D77518" w:rsidRDefault="00D77518" w:rsidP="00D77518">
            <w:pPr>
              <w:spacing w:before="30" w:after="30"/>
              <w:jc w:val="center"/>
              <w:rPr>
                <w:rFonts w:ascii="Arial" w:hAnsi="Arial"/>
                <w:b/>
                <w:bCs/>
                <w:color w:val="000000" w:themeColor="text1"/>
                <w:sz w:val="14"/>
                <w:szCs w:val="14"/>
              </w:rPr>
            </w:pPr>
            <w:r>
              <w:rPr>
                <w:rFonts w:ascii="Arial" w:hAnsi="Arial"/>
                <w:color w:val="000000" w:themeColor="text1"/>
                <w:sz w:val="14"/>
                <w:szCs w:val="14"/>
              </w:rPr>
              <w:t>18.2</w:t>
            </w:r>
          </w:p>
        </w:tc>
      </w:tr>
      <w:tr w:rsidR="00D77518" w:rsidRPr="00876081" w14:paraId="22D64971" w14:textId="77777777" w:rsidTr="00D77518">
        <w:trPr>
          <w:jc w:val="center"/>
        </w:trPr>
        <w:tc>
          <w:tcPr>
            <w:tcW w:w="421" w:type="dxa"/>
            <w:shd w:val="clear" w:color="auto" w:fill="D9D9D9" w:themeFill="background1" w:themeFillShade="D9"/>
            <w:vAlign w:val="center"/>
          </w:tcPr>
          <w:p w14:paraId="4CE065A2" w14:textId="03321E00"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b/>
                <w:bCs/>
                <w:color w:val="000000" w:themeColor="text1"/>
                <w:sz w:val="14"/>
                <w:szCs w:val="14"/>
              </w:rPr>
              <w:t>P</w:t>
            </w:r>
          </w:p>
        </w:tc>
        <w:tc>
          <w:tcPr>
            <w:tcW w:w="2409" w:type="dxa"/>
            <w:shd w:val="clear" w:color="auto" w:fill="D9D9D9" w:themeFill="background1" w:themeFillShade="D9"/>
            <w:noWrap/>
            <w:tcMar>
              <w:right w:w="57" w:type="dxa"/>
            </w:tcMar>
            <w:vAlign w:val="center"/>
          </w:tcPr>
          <w:p w14:paraId="57A7D6A2" w14:textId="34B589F7"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 xml:space="preserve">Material hardship </w:t>
            </w:r>
          </w:p>
        </w:tc>
        <w:tc>
          <w:tcPr>
            <w:tcW w:w="851" w:type="dxa"/>
            <w:shd w:val="clear" w:color="auto" w:fill="D9D9D9" w:themeFill="background1" w:themeFillShade="D9"/>
            <w:tcMar>
              <w:top w:w="28" w:type="dxa"/>
              <w:left w:w="28" w:type="dxa"/>
              <w:bottom w:w="28" w:type="dxa"/>
              <w:right w:w="28" w:type="dxa"/>
            </w:tcMar>
            <w:vAlign w:val="center"/>
          </w:tcPr>
          <w:p w14:paraId="5CE1FC70" w14:textId="337AA9C4" w:rsidR="00D77518" w:rsidRDefault="00D77518" w:rsidP="00D77518">
            <w:pPr>
              <w:spacing w:before="30" w:after="30"/>
              <w:jc w:val="center"/>
              <w:rPr>
                <w:rFonts w:ascii="Arial" w:hAnsi="Arial"/>
                <w:b/>
                <w:bCs/>
                <w:color w:val="000000"/>
                <w:sz w:val="14"/>
                <w:szCs w:val="14"/>
              </w:rPr>
            </w:pPr>
            <w:r>
              <w:rPr>
                <w:rFonts w:ascii="Arial" w:hAnsi="Arial"/>
                <w:color w:val="000000"/>
                <w:sz w:val="14"/>
                <w:szCs w:val="14"/>
              </w:rPr>
              <w:t>13.4</w:t>
            </w:r>
          </w:p>
        </w:tc>
        <w:tc>
          <w:tcPr>
            <w:tcW w:w="850" w:type="dxa"/>
            <w:shd w:val="clear" w:color="auto" w:fill="D9D9D9" w:themeFill="background1" w:themeFillShade="D9"/>
            <w:tcMar>
              <w:top w:w="28" w:type="dxa"/>
              <w:left w:w="28" w:type="dxa"/>
              <w:bottom w:w="28" w:type="dxa"/>
              <w:right w:w="28" w:type="dxa"/>
            </w:tcMar>
            <w:vAlign w:val="center"/>
          </w:tcPr>
          <w:p w14:paraId="649E2AA1" w14:textId="03CF974D" w:rsidR="00D77518" w:rsidRDefault="00D77518" w:rsidP="00D77518">
            <w:pPr>
              <w:spacing w:before="30" w:after="30"/>
              <w:jc w:val="center"/>
              <w:rPr>
                <w:rFonts w:ascii="Arial" w:hAnsi="Arial"/>
                <w:b/>
                <w:bCs/>
                <w:color w:val="000000" w:themeColor="text1"/>
                <w:sz w:val="14"/>
                <w:szCs w:val="14"/>
              </w:rPr>
            </w:pPr>
            <w:r>
              <w:rPr>
                <w:rFonts w:ascii="Arial" w:hAnsi="Arial"/>
                <w:color w:val="000000" w:themeColor="text1"/>
                <w:sz w:val="14"/>
                <w:szCs w:val="14"/>
              </w:rPr>
              <w:t>13.5</w:t>
            </w:r>
          </w:p>
        </w:tc>
      </w:tr>
      <w:tr w:rsidR="00D77518" w:rsidRPr="00876081" w14:paraId="4BE4E040" w14:textId="77777777" w:rsidTr="0020734C">
        <w:trPr>
          <w:jc w:val="center"/>
        </w:trPr>
        <w:tc>
          <w:tcPr>
            <w:tcW w:w="421" w:type="dxa"/>
            <w:vAlign w:val="center"/>
          </w:tcPr>
          <w:p w14:paraId="3CEB1BD1" w14:textId="77777777" w:rsidR="00D77518" w:rsidRPr="00046A9B" w:rsidRDefault="00D77518" w:rsidP="00D77518">
            <w:pPr>
              <w:spacing w:before="30" w:after="30"/>
              <w:jc w:val="center"/>
              <w:rPr>
                <w:rFonts w:ascii="Arial" w:hAnsi="Arial"/>
                <w:color w:val="000000" w:themeColor="text1"/>
                <w:sz w:val="14"/>
                <w:szCs w:val="14"/>
              </w:rPr>
            </w:pPr>
            <w:r w:rsidRPr="00046A9B">
              <w:rPr>
                <w:rFonts w:ascii="Arial" w:hAnsi="Arial"/>
                <w:color w:val="000000" w:themeColor="text1"/>
                <w:sz w:val="14"/>
                <w:szCs w:val="14"/>
              </w:rPr>
              <w:t>S</w:t>
            </w:r>
          </w:p>
        </w:tc>
        <w:tc>
          <w:tcPr>
            <w:tcW w:w="2409" w:type="dxa"/>
            <w:noWrap/>
            <w:tcMar>
              <w:right w:w="57" w:type="dxa"/>
            </w:tcMar>
            <w:vAlign w:val="center"/>
          </w:tcPr>
          <w:p w14:paraId="22970628" w14:textId="77777777" w:rsidR="00D77518" w:rsidRPr="00046A9B" w:rsidRDefault="00D77518" w:rsidP="00D77518">
            <w:pPr>
              <w:spacing w:before="30" w:after="30"/>
              <w:rPr>
                <w:rFonts w:ascii="Arial" w:hAnsi="Arial"/>
                <w:color w:val="000000" w:themeColor="text1"/>
                <w:sz w:val="14"/>
                <w:szCs w:val="14"/>
              </w:rPr>
            </w:pPr>
            <w:r w:rsidRPr="00046A9B">
              <w:rPr>
                <w:rFonts w:ascii="Arial" w:hAnsi="Arial"/>
                <w:color w:val="000000" w:themeColor="text1"/>
                <w:sz w:val="14"/>
                <w:szCs w:val="14"/>
              </w:rPr>
              <w:t>BHC 60% relative</w:t>
            </w:r>
          </w:p>
        </w:tc>
        <w:tc>
          <w:tcPr>
            <w:tcW w:w="851" w:type="dxa"/>
            <w:tcMar>
              <w:top w:w="28" w:type="dxa"/>
              <w:left w:w="28" w:type="dxa"/>
              <w:bottom w:w="28" w:type="dxa"/>
              <w:right w:w="28" w:type="dxa"/>
            </w:tcMar>
            <w:vAlign w:val="center"/>
          </w:tcPr>
          <w:p w14:paraId="16D3EF38" w14:textId="77777777" w:rsidR="00D77518" w:rsidRPr="00046A9B" w:rsidRDefault="00D77518" w:rsidP="00D77518">
            <w:pPr>
              <w:spacing w:before="30" w:after="30"/>
              <w:jc w:val="center"/>
              <w:rPr>
                <w:rFonts w:ascii="Arial" w:hAnsi="Arial"/>
                <w:color w:val="000000" w:themeColor="text1"/>
                <w:sz w:val="14"/>
                <w:szCs w:val="14"/>
              </w:rPr>
            </w:pPr>
            <w:r w:rsidRPr="00046A9B">
              <w:rPr>
                <w:rFonts w:ascii="Arial" w:hAnsi="Arial"/>
                <w:color w:val="000000"/>
                <w:sz w:val="14"/>
                <w:szCs w:val="14"/>
              </w:rPr>
              <w:t>21.6</w:t>
            </w:r>
          </w:p>
        </w:tc>
        <w:tc>
          <w:tcPr>
            <w:tcW w:w="850" w:type="dxa"/>
            <w:tcMar>
              <w:top w:w="28" w:type="dxa"/>
              <w:left w:w="28" w:type="dxa"/>
              <w:bottom w:w="28" w:type="dxa"/>
              <w:right w:w="28" w:type="dxa"/>
            </w:tcMar>
            <w:vAlign w:val="center"/>
          </w:tcPr>
          <w:p w14:paraId="5B8D0425" w14:textId="77777777" w:rsidR="00D77518" w:rsidRPr="00046A9B" w:rsidRDefault="00D77518" w:rsidP="00D77518">
            <w:pPr>
              <w:spacing w:before="30" w:after="30"/>
              <w:jc w:val="center"/>
              <w:rPr>
                <w:rFonts w:ascii="Arial" w:hAnsi="Arial"/>
                <w:color w:val="000000" w:themeColor="text1"/>
                <w:sz w:val="14"/>
                <w:szCs w:val="14"/>
              </w:rPr>
            </w:pPr>
            <w:r w:rsidRPr="00046A9B">
              <w:rPr>
                <w:rFonts w:ascii="Arial" w:hAnsi="Arial"/>
                <w:color w:val="000000" w:themeColor="text1"/>
                <w:sz w:val="14"/>
                <w:szCs w:val="14"/>
              </w:rPr>
              <w:t>21.5</w:t>
            </w:r>
          </w:p>
        </w:tc>
      </w:tr>
      <w:tr w:rsidR="00D77518" w:rsidRPr="00876081" w14:paraId="03EE8846" w14:textId="77777777" w:rsidTr="0020734C">
        <w:trPr>
          <w:jc w:val="center"/>
        </w:trPr>
        <w:tc>
          <w:tcPr>
            <w:tcW w:w="421" w:type="dxa"/>
            <w:vAlign w:val="center"/>
          </w:tcPr>
          <w:p w14:paraId="0BB024EA" w14:textId="0FB7C281"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7F84DF39" w14:textId="17AD820B"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AHC 60% relative</w:t>
            </w:r>
          </w:p>
        </w:tc>
        <w:tc>
          <w:tcPr>
            <w:tcW w:w="851" w:type="dxa"/>
            <w:tcMar>
              <w:top w:w="28" w:type="dxa"/>
              <w:left w:w="28" w:type="dxa"/>
              <w:bottom w:w="28" w:type="dxa"/>
              <w:right w:w="28" w:type="dxa"/>
            </w:tcMar>
            <w:vAlign w:val="center"/>
          </w:tcPr>
          <w:p w14:paraId="27749315" w14:textId="766295CB" w:rsidR="00D77518" w:rsidRDefault="00D77518" w:rsidP="00D77518">
            <w:pPr>
              <w:spacing w:before="30" w:after="30"/>
              <w:jc w:val="center"/>
              <w:rPr>
                <w:rFonts w:ascii="Arial" w:hAnsi="Arial"/>
                <w:color w:val="000000"/>
                <w:sz w:val="14"/>
                <w:szCs w:val="14"/>
              </w:rPr>
            </w:pPr>
            <w:r>
              <w:rPr>
                <w:rFonts w:ascii="Arial" w:hAnsi="Arial"/>
                <w:color w:val="000000"/>
                <w:sz w:val="14"/>
                <w:szCs w:val="14"/>
              </w:rPr>
              <w:t>29.9</w:t>
            </w:r>
          </w:p>
        </w:tc>
        <w:tc>
          <w:tcPr>
            <w:tcW w:w="850" w:type="dxa"/>
            <w:tcMar>
              <w:top w:w="28" w:type="dxa"/>
              <w:left w:w="28" w:type="dxa"/>
              <w:bottom w:w="28" w:type="dxa"/>
              <w:right w:w="28" w:type="dxa"/>
            </w:tcMar>
            <w:vAlign w:val="center"/>
          </w:tcPr>
          <w:p w14:paraId="3E3B4C65" w14:textId="3F19769F" w:rsidR="00D77518" w:rsidRDefault="00D77518" w:rsidP="00D77518">
            <w:pPr>
              <w:spacing w:before="30" w:after="30"/>
              <w:jc w:val="center"/>
              <w:rPr>
                <w:rFonts w:ascii="Arial" w:hAnsi="Arial"/>
                <w:color w:val="000000" w:themeColor="text1"/>
                <w:sz w:val="14"/>
                <w:szCs w:val="14"/>
              </w:rPr>
            </w:pPr>
            <w:r>
              <w:rPr>
                <w:rFonts w:ascii="Arial" w:hAnsi="Arial"/>
                <w:color w:val="000000" w:themeColor="text1"/>
                <w:sz w:val="14"/>
                <w:szCs w:val="14"/>
              </w:rPr>
              <w:t>30.1</w:t>
            </w:r>
          </w:p>
        </w:tc>
      </w:tr>
      <w:tr w:rsidR="00D77518" w:rsidRPr="00876081" w14:paraId="172E3087" w14:textId="77777777" w:rsidTr="0020734C">
        <w:trPr>
          <w:jc w:val="center"/>
        </w:trPr>
        <w:tc>
          <w:tcPr>
            <w:tcW w:w="421" w:type="dxa"/>
            <w:vAlign w:val="center"/>
          </w:tcPr>
          <w:p w14:paraId="24FE2D91" w14:textId="17216ED3"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4626D65D" w14:textId="78A54EF2"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AHC 50% relative</w:t>
            </w:r>
          </w:p>
        </w:tc>
        <w:tc>
          <w:tcPr>
            <w:tcW w:w="851" w:type="dxa"/>
            <w:tcMar>
              <w:top w:w="28" w:type="dxa"/>
              <w:left w:w="28" w:type="dxa"/>
              <w:bottom w:w="28" w:type="dxa"/>
              <w:right w:w="28" w:type="dxa"/>
            </w:tcMar>
            <w:vAlign w:val="center"/>
          </w:tcPr>
          <w:p w14:paraId="5AFA7A96" w14:textId="78D27FE3" w:rsidR="00D77518" w:rsidRDefault="00D77518" w:rsidP="00D77518">
            <w:pPr>
              <w:spacing w:before="30" w:after="30"/>
              <w:jc w:val="center"/>
              <w:rPr>
                <w:rFonts w:ascii="Arial" w:hAnsi="Arial"/>
                <w:color w:val="000000"/>
                <w:sz w:val="14"/>
                <w:szCs w:val="14"/>
              </w:rPr>
            </w:pPr>
            <w:r>
              <w:rPr>
                <w:rFonts w:ascii="Arial" w:hAnsi="Arial"/>
                <w:color w:val="000000"/>
                <w:sz w:val="14"/>
                <w:szCs w:val="14"/>
              </w:rPr>
              <w:t>21.1</w:t>
            </w:r>
          </w:p>
        </w:tc>
        <w:tc>
          <w:tcPr>
            <w:tcW w:w="850" w:type="dxa"/>
            <w:tcMar>
              <w:top w:w="28" w:type="dxa"/>
              <w:left w:w="28" w:type="dxa"/>
              <w:bottom w:w="28" w:type="dxa"/>
              <w:right w:w="28" w:type="dxa"/>
            </w:tcMar>
            <w:vAlign w:val="center"/>
          </w:tcPr>
          <w:p w14:paraId="563DAD4C" w14:textId="3E812FE9" w:rsidR="00D77518" w:rsidRDefault="00D77518" w:rsidP="00D77518">
            <w:pPr>
              <w:spacing w:before="30" w:after="30"/>
              <w:jc w:val="center"/>
              <w:rPr>
                <w:rFonts w:ascii="Arial" w:hAnsi="Arial"/>
                <w:color w:val="000000" w:themeColor="text1"/>
                <w:sz w:val="14"/>
                <w:szCs w:val="14"/>
              </w:rPr>
            </w:pPr>
            <w:r>
              <w:rPr>
                <w:rFonts w:ascii="Arial" w:hAnsi="Arial"/>
                <w:color w:val="000000" w:themeColor="text1"/>
                <w:sz w:val="14"/>
                <w:szCs w:val="14"/>
              </w:rPr>
              <w:t>21.1</w:t>
            </w:r>
          </w:p>
        </w:tc>
      </w:tr>
      <w:tr w:rsidR="00D77518" w:rsidRPr="00876081" w14:paraId="73E32AD4" w14:textId="77777777" w:rsidTr="0020734C">
        <w:trPr>
          <w:jc w:val="center"/>
        </w:trPr>
        <w:tc>
          <w:tcPr>
            <w:tcW w:w="421" w:type="dxa"/>
            <w:vAlign w:val="center"/>
          </w:tcPr>
          <w:p w14:paraId="267BC4CD" w14:textId="77777777"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7539C63C" w14:textId="77777777"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AHC 40% relative</w:t>
            </w:r>
          </w:p>
        </w:tc>
        <w:tc>
          <w:tcPr>
            <w:tcW w:w="851" w:type="dxa"/>
            <w:tcMar>
              <w:top w:w="28" w:type="dxa"/>
              <w:left w:w="28" w:type="dxa"/>
              <w:bottom w:w="28" w:type="dxa"/>
              <w:right w:w="28" w:type="dxa"/>
            </w:tcMar>
            <w:vAlign w:val="center"/>
          </w:tcPr>
          <w:p w14:paraId="4476DCDD" w14:textId="77777777" w:rsidR="00D77518" w:rsidRPr="00876081" w:rsidRDefault="00D77518" w:rsidP="00D77518">
            <w:pPr>
              <w:spacing w:before="30" w:after="30"/>
              <w:jc w:val="center"/>
              <w:rPr>
                <w:rFonts w:ascii="Arial" w:hAnsi="Arial"/>
                <w:color w:val="000000" w:themeColor="text1"/>
                <w:sz w:val="14"/>
                <w:szCs w:val="14"/>
              </w:rPr>
            </w:pPr>
            <w:r>
              <w:rPr>
                <w:rFonts w:ascii="Arial" w:hAnsi="Arial"/>
                <w:color w:val="000000"/>
                <w:sz w:val="14"/>
                <w:szCs w:val="14"/>
              </w:rPr>
              <w:t>13.6</w:t>
            </w:r>
          </w:p>
        </w:tc>
        <w:tc>
          <w:tcPr>
            <w:tcW w:w="850" w:type="dxa"/>
            <w:tcMar>
              <w:top w:w="28" w:type="dxa"/>
              <w:left w:w="28" w:type="dxa"/>
              <w:bottom w:w="28" w:type="dxa"/>
              <w:right w:w="28" w:type="dxa"/>
            </w:tcMar>
            <w:vAlign w:val="center"/>
          </w:tcPr>
          <w:p w14:paraId="1F03E7DF" w14:textId="77777777" w:rsidR="00D77518" w:rsidRPr="00876081" w:rsidRDefault="00D77518" w:rsidP="00D77518">
            <w:pPr>
              <w:spacing w:before="30" w:after="30"/>
              <w:jc w:val="center"/>
              <w:rPr>
                <w:rFonts w:ascii="Arial" w:hAnsi="Arial"/>
                <w:color w:val="000000" w:themeColor="text1"/>
                <w:sz w:val="14"/>
                <w:szCs w:val="14"/>
              </w:rPr>
            </w:pPr>
            <w:r>
              <w:rPr>
                <w:rFonts w:ascii="Arial" w:hAnsi="Arial"/>
                <w:color w:val="000000" w:themeColor="text1"/>
                <w:sz w:val="14"/>
                <w:szCs w:val="14"/>
              </w:rPr>
              <w:t>13.8</w:t>
            </w:r>
          </w:p>
        </w:tc>
      </w:tr>
      <w:tr w:rsidR="00D77518" w:rsidRPr="00876081" w14:paraId="5A8D27D5" w14:textId="77777777" w:rsidTr="0020734C">
        <w:trPr>
          <w:jc w:val="center"/>
        </w:trPr>
        <w:tc>
          <w:tcPr>
            <w:tcW w:w="421" w:type="dxa"/>
            <w:vAlign w:val="center"/>
          </w:tcPr>
          <w:p w14:paraId="2254990A" w14:textId="77777777"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227FD54C" w14:textId="77777777"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Severe material hardship</w:t>
            </w:r>
          </w:p>
        </w:tc>
        <w:tc>
          <w:tcPr>
            <w:tcW w:w="851" w:type="dxa"/>
            <w:tcMar>
              <w:top w:w="28" w:type="dxa"/>
              <w:left w:w="28" w:type="dxa"/>
              <w:bottom w:w="28" w:type="dxa"/>
              <w:right w:w="28" w:type="dxa"/>
            </w:tcMar>
            <w:vAlign w:val="center"/>
          </w:tcPr>
          <w:p w14:paraId="1D269516" w14:textId="77777777" w:rsidR="00D77518" w:rsidRPr="00876081" w:rsidRDefault="00D77518" w:rsidP="00D77518">
            <w:pPr>
              <w:spacing w:before="30" w:after="30"/>
              <w:jc w:val="center"/>
              <w:rPr>
                <w:rFonts w:ascii="Arial" w:hAnsi="Arial"/>
                <w:color w:val="000000" w:themeColor="text1"/>
                <w:sz w:val="14"/>
                <w:szCs w:val="14"/>
              </w:rPr>
            </w:pPr>
            <w:r>
              <w:rPr>
                <w:rFonts w:ascii="Arial" w:hAnsi="Arial"/>
                <w:color w:val="000000"/>
                <w:sz w:val="14"/>
                <w:szCs w:val="14"/>
              </w:rPr>
              <w:t>5.4</w:t>
            </w:r>
          </w:p>
        </w:tc>
        <w:tc>
          <w:tcPr>
            <w:tcW w:w="850" w:type="dxa"/>
            <w:tcMar>
              <w:top w:w="28" w:type="dxa"/>
              <w:left w:w="28" w:type="dxa"/>
              <w:bottom w:w="28" w:type="dxa"/>
              <w:right w:w="28" w:type="dxa"/>
            </w:tcMar>
            <w:vAlign w:val="center"/>
          </w:tcPr>
          <w:p w14:paraId="6C32239D" w14:textId="77777777" w:rsidR="00D77518" w:rsidRPr="00876081" w:rsidRDefault="00D77518" w:rsidP="00D77518">
            <w:pPr>
              <w:spacing w:before="30" w:after="30"/>
              <w:jc w:val="center"/>
              <w:rPr>
                <w:rFonts w:ascii="Arial" w:hAnsi="Arial"/>
                <w:color w:val="000000" w:themeColor="text1"/>
                <w:sz w:val="14"/>
                <w:szCs w:val="14"/>
              </w:rPr>
            </w:pPr>
            <w:r>
              <w:rPr>
                <w:rFonts w:ascii="Arial" w:hAnsi="Arial"/>
                <w:color w:val="000000" w:themeColor="text1"/>
                <w:sz w:val="14"/>
                <w:szCs w:val="14"/>
              </w:rPr>
              <w:t>5.5</w:t>
            </w:r>
          </w:p>
        </w:tc>
      </w:tr>
      <w:tr w:rsidR="00D77518" w:rsidRPr="00876081" w14:paraId="03660E3D" w14:textId="77777777" w:rsidTr="0020734C">
        <w:trPr>
          <w:jc w:val="center"/>
        </w:trPr>
        <w:tc>
          <w:tcPr>
            <w:tcW w:w="421" w:type="dxa"/>
            <w:vAlign w:val="center"/>
          </w:tcPr>
          <w:p w14:paraId="743E027F" w14:textId="77777777" w:rsidR="00D77518" w:rsidRPr="00876081" w:rsidRDefault="00D77518" w:rsidP="00D77518">
            <w:pPr>
              <w:spacing w:before="30" w:after="30"/>
              <w:jc w:val="center"/>
              <w:rPr>
                <w:rFonts w:ascii="Arial" w:hAnsi="Arial"/>
                <w:color w:val="000000" w:themeColor="text1"/>
                <w:sz w:val="14"/>
                <w:szCs w:val="14"/>
              </w:rPr>
            </w:pPr>
            <w:r w:rsidRPr="00876081">
              <w:rPr>
                <w:rFonts w:ascii="Arial" w:hAnsi="Arial"/>
                <w:color w:val="000000" w:themeColor="text1"/>
                <w:sz w:val="14"/>
                <w:szCs w:val="14"/>
              </w:rPr>
              <w:t>S</w:t>
            </w:r>
          </w:p>
        </w:tc>
        <w:tc>
          <w:tcPr>
            <w:tcW w:w="2409" w:type="dxa"/>
            <w:noWrap/>
            <w:tcMar>
              <w:right w:w="57" w:type="dxa"/>
            </w:tcMar>
            <w:vAlign w:val="center"/>
          </w:tcPr>
          <w:p w14:paraId="09F2C677" w14:textId="77777777" w:rsidR="00D77518" w:rsidRPr="00876081" w:rsidRDefault="00D77518" w:rsidP="00D77518">
            <w:pPr>
              <w:spacing w:before="30" w:after="30"/>
              <w:rPr>
                <w:rFonts w:ascii="Arial" w:hAnsi="Arial"/>
                <w:color w:val="000000" w:themeColor="text1"/>
                <w:sz w:val="14"/>
                <w:szCs w:val="14"/>
              </w:rPr>
            </w:pPr>
            <w:r w:rsidRPr="00876081">
              <w:rPr>
                <w:rFonts w:ascii="Arial" w:hAnsi="Arial"/>
                <w:color w:val="000000" w:themeColor="text1"/>
                <w:sz w:val="14"/>
                <w:szCs w:val="14"/>
              </w:rPr>
              <w:t>Both material hardship and low-income (less than 60% AHC)</w:t>
            </w:r>
          </w:p>
        </w:tc>
        <w:tc>
          <w:tcPr>
            <w:tcW w:w="851" w:type="dxa"/>
            <w:tcMar>
              <w:top w:w="28" w:type="dxa"/>
              <w:left w:w="28" w:type="dxa"/>
              <w:bottom w:w="28" w:type="dxa"/>
              <w:right w:w="28" w:type="dxa"/>
            </w:tcMar>
            <w:vAlign w:val="center"/>
          </w:tcPr>
          <w:p w14:paraId="41B46E51" w14:textId="77777777" w:rsidR="00D77518" w:rsidRPr="00876081" w:rsidRDefault="00D77518" w:rsidP="00D77518">
            <w:pPr>
              <w:spacing w:before="30" w:after="30"/>
              <w:jc w:val="center"/>
              <w:rPr>
                <w:rFonts w:ascii="Arial" w:hAnsi="Arial"/>
                <w:color w:val="000000" w:themeColor="text1"/>
                <w:sz w:val="14"/>
                <w:szCs w:val="14"/>
              </w:rPr>
            </w:pPr>
            <w:r>
              <w:rPr>
                <w:rFonts w:ascii="Arial" w:hAnsi="Arial"/>
                <w:color w:val="000000"/>
                <w:sz w:val="14"/>
                <w:szCs w:val="14"/>
              </w:rPr>
              <w:t>7.7</w:t>
            </w:r>
          </w:p>
        </w:tc>
        <w:tc>
          <w:tcPr>
            <w:tcW w:w="850" w:type="dxa"/>
            <w:tcMar>
              <w:top w:w="28" w:type="dxa"/>
              <w:left w:w="28" w:type="dxa"/>
              <w:bottom w:w="28" w:type="dxa"/>
              <w:right w:w="28" w:type="dxa"/>
            </w:tcMar>
            <w:vAlign w:val="center"/>
          </w:tcPr>
          <w:p w14:paraId="41F8DDE9" w14:textId="77777777" w:rsidR="00D77518" w:rsidRPr="00876081" w:rsidRDefault="00D77518" w:rsidP="00D77518">
            <w:pPr>
              <w:spacing w:before="30" w:after="30"/>
              <w:jc w:val="center"/>
              <w:rPr>
                <w:rFonts w:ascii="Arial" w:hAnsi="Arial"/>
                <w:color w:val="000000" w:themeColor="text1"/>
                <w:sz w:val="14"/>
                <w:szCs w:val="14"/>
              </w:rPr>
            </w:pPr>
            <w:r>
              <w:rPr>
                <w:rFonts w:ascii="Arial" w:hAnsi="Arial"/>
                <w:color w:val="000000" w:themeColor="text1"/>
                <w:sz w:val="14"/>
                <w:szCs w:val="14"/>
              </w:rPr>
              <w:t>7.8</w:t>
            </w:r>
          </w:p>
        </w:tc>
      </w:tr>
    </w:tbl>
    <w:p w14:paraId="7D3CDE6C" w14:textId="77777777" w:rsidR="003C0C0C" w:rsidRDefault="003C0C0C" w:rsidP="003C0C0C">
      <w:pPr>
        <w:spacing w:after="0" w:line="240" w:lineRule="auto"/>
        <w:jc w:val="center"/>
        <w:rPr>
          <w:rFonts w:ascii="Arial" w:hAnsi="Arial"/>
          <w:b/>
          <w:bCs/>
          <w:color w:val="000000" w:themeColor="text1"/>
          <w:sz w:val="18"/>
          <w:szCs w:val="20"/>
        </w:rPr>
      </w:pPr>
    </w:p>
    <w:p w14:paraId="1A3F04DA" w14:textId="4252B6C2" w:rsidR="00DA0641" w:rsidRDefault="00DA0641">
      <w:pPr>
        <w:spacing w:after="0" w:line="240" w:lineRule="auto"/>
        <w:rPr>
          <w:rFonts w:ascii="Arial" w:hAnsi="Arial"/>
          <w:b/>
          <w:bCs/>
          <w:color w:val="000000" w:themeColor="text1"/>
          <w:sz w:val="36"/>
          <w:szCs w:val="36"/>
        </w:rPr>
      </w:pPr>
      <w:r>
        <w:rPr>
          <w:rFonts w:ascii="Arial" w:hAnsi="Arial"/>
          <w:b/>
          <w:bCs/>
          <w:color w:val="000000" w:themeColor="text1"/>
          <w:sz w:val="36"/>
          <w:szCs w:val="36"/>
        </w:rPr>
        <w:br w:type="page"/>
      </w:r>
    </w:p>
    <w:p w14:paraId="6FA67C8B" w14:textId="21F2C448" w:rsidR="004633A2" w:rsidRPr="004633A2" w:rsidRDefault="004633A2" w:rsidP="004633A2">
      <w:pPr>
        <w:tabs>
          <w:tab w:val="right" w:pos="9026"/>
        </w:tabs>
        <w:spacing w:after="0" w:line="240" w:lineRule="auto"/>
        <w:rPr>
          <w:rFonts w:ascii="Arial" w:hAnsi="Arial"/>
          <w:b/>
          <w:bCs/>
          <w:color w:val="FF0000"/>
          <w:sz w:val="28"/>
          <w:szCs w:val="28"/>
        </w:rPr>
      </w:pPr>
      <w:r w:rsidRPr="004633A2">
        <w:rPr>
          <w:rFonts w:ascii="Arial" w:hAnsi="Arial"/>
          <w:b/>
          <w:bCs/>
          <w:color w:val="000000" w:themeColor="text1"/>
          <w:sz w:val="32"/>
          <w:szCs w:val="32"/>
        </w:rPr>
        <w:lastRenderedPageBreak/>
        <w:t>Table of Contents</w:t>
      </w:r>
    </w:p>
    <w:p w14:paraId="6104DB3A" w14:textId="77777777" w:rsidR="004633A2" w:rsidRDefault="004633A2" w:rsidP="004633A2">
      <w:pPr>
        <w:tabs>
          <w:tab w:val="right" w:pos="9026"/>
        </w:tabs>
        <w:spacing w:after="0" w:line="240" w:lineRule="auto"/>
        <w:rPr>
          <w:rFonts w:ascii="Arial" w:hAnsi="Arial"/>
          <w:b/>
          <w:bCs/>
          <w:color w:val="000000" w:themeColor="text1"/>
          <w:sz w:val="32"/>
          <w:szCs w:val="32"/>
        </w:rPr>
      </w:pPr>
    </w:p>
    <w:p w14:paraId="38AB4C0B" w14:textId="7FCAE76F" w:rsidR="006121C2" w:rsidRPr="006121C2" w:rsidRDefault="006121C2" w:rsidP="006121C2">
      <w:pPr>
        <w:tabs>
          <w:tab w:val="right" w:pos="9026"/>
        </w:tabs>
        <w:spacing w:after="0" w:line="240" w:lineRule="auto"/>
        <w:rPr>
          <w:rFonts w:ascii="Arial" w:eastAsia="Times New Roman" w:hAnsi="Arial" w:cs="Times New Roman"/>
          <w:bCs/>
          <w:color w:val="FF0000"/>
          <w:sz w:val="12"/>
          <w:szCs w:val="12"/>
          <w:lang w:val="en-GB"/>
        </w:rPr>
      </w:pPr>
      <w:r w:rsidRPr="00E45523">
        <w:rPr>
          <w:rFonts w:ascii="Arial" w:eastAsia="Times New Roman" w:hAnsi="Arial" w:cs="Times New Roman"/>
          <w:b/>
          <w:color w:val="000000" w:themeColor="text1"/>
          <w:szCs w:val="20"/>
          <w:lang w:val="en-GB"/>
        </w:rPr>
        <w:t>Glossary, Acronyms, Abbreviations and Definitions</w:t>
      </w:r>
      <w:r>
        <w:rPr>
          <w:rFonts w:ascii="Arial" w:eastAsia="Times New Roman" w:hAnsi="Arial" w:cs="Times New Roman"/>
          <w:bCs/>
          <w:color w:val="FF0000"/>
          <w:sz w:val="12"/>
          <w:szCs w:val="12"/>
          <w:lang w:val="en-GB"/>
        </w:rPr>
        <w:tab/>
      </w:r>
      <w:r w:rsidR="00160BF5">
        <w:rPr>
          <w:rFonts w:ascii="Arial" w:hAnsi="Arial"/>
          <w:color w:val="000000" w:themeColor="text1"/>
          <w:sz w:val="18"/>
          <w:szCs w:val="18"/>
        </w:rPr>
        <w:t>10</w:t>
      </w:r>
    </w:p>
    <w:p w14:paraId="34795167" w14:textId="77777777" w:rsidR="006121C2" w:rsidRDefault="006121C2" w:rsidP="004633A2">
      <w:pPr>
        <w:tabs>
          <w:tab w:val="right" w:pos="9026"/>
        </w:tabs>
        <w:spacing w:after="0" w:line="240" w:lineRule="auto"/>
        <w:rPr>
          <w:rFonts w:ascii="Arial" w:eastAsia="Times New Roman" w:hAnsi="Arial" w:cs="Times New Roman"/>
          <w:b/>
          <w:color w:val="000000" w:themeColor="text1"/>
          <w:szCs w:val="20"/>
          <w:lang w:val="en-GB"/>
        </w:rPr>
      </w:pPr>
    </w:p>
    <w:p w14:paraId="125B2E4B" w14:textId="41D571BE" w:rsidR="004633A2" w:rsidRPr="004633A2" w:rsidRDefault="004633A2" w:rsidP="004633A2">
      <w:pPr>
        <w:tabs>
          <w:tab w:val="right" w:pos="9026"/>
        </w:tabs>
        <w:spacing w:after="0" w:line="240" w:lineRule="auto"/>
        <w:rPr>
          <w:rFonts w:ascii="Arial" w:hAnsi="Arial"/>
          <w:b/>
          <w:bCs/>
          <w:color w:val="000000" w:themeColor="text1"/>
          <w:sz w:val="28"/>
          <w:szCs w:val="28"/>
        </w:rPr>
      </w:pPr>
      <w:r w:rsidRPr="004633A2">
        <w:rPr>
          <w:rFonts w:ascii="Arial" w:hAnsi="Arial"/>
          <w:b/>
          <w:bCs/>
          <w:color w:val="000000" w:themeColor="text1"/>
          <w:sz w:val="28"/>
          <w:szCs w:val="28"/>
        </w:rPr>
        <w:t>Part One</w:t>
      </w:r>
    </w:p>
    <w:p w14:paraId="4F0BAE24" w14:textId="77777777" w:rsidR="004633A2" w:rsidRPr="004633A2" w:rsidRDefault="004633A2" w:rsidP="004633A2">
      <w:pPr>
        <w:tabs>
          <w:tab w:val="right" w:pos="9026"/>
        </w:tabs>
        <w:spacing w:after="0" w:line="240" w:lineRule="auto"/>
        <w:rPr>
          <w:rFonts w:ascii="Arial" w:hAnsi="Arial"/>
          <w:b/>
          <w:bCs/>
          <w:color w:val="FF0000"/>
          <w:sz w:val="24"/>
          <w:szCs w:val="24"/>
        </w:rPr>
      </w:pPr>
      <w:r w:rsidRPr="004633A2">
        <w:rPr>
          <w:rFonts w:ascii="Arial" w:hAnsi="Arial"/>
          <w:b/>
          <w:bCs/>
          <w:color w:val="000000" w:themeColor="text1"/>
          <w:sz w:val="24"/>
          <w:szCs w:val="24"/>
        </w:rPr>
        <w:t xml:space="preserve">Introduction: concepts, definitions, measures, data sources </w:t>
      </w:r>
    </w:p>
    <w:p w14:paraId="0E246C14" w14:textId="77777777" w:rsidR="004633A2" w:rsidRPr="004B3782" w:rsidRDefault="004633A2" w:rsidP="004633A2">
      <w:pPr>
        <w:tabs>
          <w:tab w:val="right" w:pos="9026"/>
        </w:tabs>
        <w:spacing w:before="180" w:after="0" w:line="240" w:lineRule="auto"/>
        <w:rPr>
          <w:rFonts w:ascii="Arial" w:hAnsi="Arial"/>
          <w:b/>
          <w:bCs/>
          <w:color w:val="000000" w:themeColor="text1"/>
          <w:szCs w:val="20"/>
        </w:rPr>
      </w:pPr>
      <w:r w:rsidRPr="004B3782">
        <w:rPr>
          <w:rFonts w:ascii="Arial" w:hAnsi="Arial"/>
          <w:b/>
          <w:bCs/>
          <w:color w:val="000000" w:themeColor="text1"/>
          <w:szCs w:val="20"/>
        </w:rPr>
        <w:t>Section A</w:t>
      </w:r>
    </w:p>
    <w:p w14:paraId="2652FC4E" w14:textId="538F6B09" w:rsidR="004633A2" w:rsidRPr="004633A2" w:rsidRDefault="004633A2" w:rsidP="004633A2">
      <w:pPr>
        <w:tabs>
          <w:tab w:val="right" w:pos="9026"/>
        </w:tabs>
        <w:spacing w:after="80" w:line="240" w:lineRule="auto"/>
        <w:rPr>
          <w:rFonts w:ascii="Arial" w:hAnsi="Arial"/>
          <w:color w:val="000000" w:themeColor="text1"/>
          <w:szCs w:val="20"/>
        </w:rPr>
      </w:pPr>
      <w:r w:rsidRPr="004B3782">
        <w:rPr>
          <w:rFonts w:ascii="Arial" w:hAnsi="Arial"/>
          <w:b/>
          <w:bCs/>
          <w:color w:val="000000" w:themeColor="text1"/>
          <w:szCs w:val="20"/>
        </w:rPr>
        <w:t>Concepts, definitions and measures</w:t>
      </w:r>
      <w:r w:rsidRPr="004633A2">
        <w:rPr>
          <w:rFonts w:ascii="Arial" w:hAnsi="Arial"/>
          <w:color w:val="000000" w:themeColor="text1"/>
          <w:szCs w:val="20"/>
        </w:rPr>
        <w:tab/>
      </w:r>
      <w:r w:rsidR="00F430CF" w:rsidRPr="0080344E">
        <w:rPr>
          <w:rFonts w:ascii="Arial" w:hAnsi="Arial"/>
          <w:color w:val="000000" w:themeColor="text1"/>
          <w:sz w:val="18"/>
          <w:szCs w:val="18"/>
        </w:rPr>
        <w:t>1</w:t>
      </w:r>
      <w:r w:rsidR="00160BF5">
        <w:rPr>
          <w:rFonts w:ascii="Arial" w:hAnsi="Arial"/>
          <w:color w:val="000000" w:themeColor="text1"/>
          <w:sz w:val="18"/>
          <w:szCs w:val="18"/>
        </w:rPr>
        <w:t>3</w:t>
      </w:r>
    </w:p>
    <w:p w14:paraId="58A60949" w14:textId="77777777" w:rsidR="004633A2" w:rsidRPr="004633A2" w:rsidRDefault="004633A2" w:rsidP="004633A2">
      <w:pPr>
        <w:spacing w:after="0" w:line="240" w:lineRule="auto"/>
        <w:ind w:firstLine="284"/>
        <w:rPr>
          <w:rFonts w:ascii="Arial" w:hAnsi="Arial"/>
          <w:color w:val="000000"/>
          <w:sz w:val="18"/>
          <w:szCs w:val="18"/>
        </w:rPr>
      </w:pPr>
      <w:r w:rsidRPr="004633A2">
        <w:rPr>
          <w:rFonts w:ascii="Arial" w:hAnsi="Arial"/>
          <w:color w:val="000000"/>
          <w:sz w:val="18"/>
          <w:szCs w:val="18"/>
        </w:rPr>
        <w:t>The income-wealth-consumption framework used in the MSD reports</w:t>
      </w:r>
    </w:p>
    <w:p w14:paraId="74BF2443" w14:textId="77777777" w:rsidR="004633A2" w:rsidRPr="004633A2" w:rsidRDefault="004633A2" w:rsidP="004633A2">
      <w:pPr>
        <w:tabs>
          <w:tab w:val="right" w:pos="9026"/>
        </w:tabs>
        <w:spacing w:before="60" w:after="0" w:line="240" w:lineRule="auto"/>
        <w:ind w:firstLine="284"/>
        <w:rPr>
          <w:rFonts w:ascii="Arial" w:hAnsi="Arial"/>
          <w:color w:val="000000" w:themeColor="text1"/>
          <w:sz w:val="18"/>
          <w:szCs w:val="18"/>
        </w:rPr>
      </w:pPr>
      <w:r w:rsidRPr="004633A2">
        <w:rPr>
          <w:rFonts w:ascii="Arial" w:hAnsi="Arial"/>
          <w:color w:val="000000" w:themeColor="text1"/>
          <w:sz w:val="18"/>
          <w:szCs w:val="18"/>
        </w:rPr>
        <w:t>‘Poverty’ in this report: High level definition used in richer nations</w:t>
      </w:r>
    </w:p>
    <w:p w14:paraId="63DF0A03"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Using low household income to measure poverty</w:t>
      </w:r>
    </w:p>
    <w:p w14:paraId="7E8FEFAD"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Using non-income measures to measure poverty - material hardship or deprivation indices</w:t>
      </w:r>
    </w:p>
    <w:p w14:paraId="72EAB0D6"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 xml:space="preserve">Combining household income and material hardship indices to measure poverty </w:t>
      </w:r>
    </w:p>
    <w:p w14:paraId="308EFEA6" w14:textId="77777777" w:rsidR="004633A2" w:rsidRPr="004633A2" w:rsidRDefault="004633A2" w:rsidP="004633A2">
      <w:pPr>
        <w:tabs>
          <w:tab w:val="right" w:pos="9026"/>
        </w:tabs>
        <w:spacing w:before="60" w:after="0" w:line="240" w:lineRule="auto"/>
        <w:ind w:firstLine="284"/>
        <w:rPr>
          <w:rFonts w:ascii="Arial" w:hAnsi="Arial"/>
          <w:color w:val="000000" w:themeColor="text1"/>
          <w:sz w:val="18"/>
          <w:szCs w:val="18"/>
        </w:rPr>
      </w:pPr>
      <w:r w:rsidRPr="004633A2">
        <w:rPr>
          <w:rFonts w:ascii="Arial" w:hAnsi="Arial"/>
          <w:color w:val="000000" w:themeColor="text1"/>
          <w:sz w:val="18"/>
          <w:szCs w:val="18"/>
        </w:rPr>
        <w:t>Setting thresholds or ‘poverty lines’</w:t>
      </w:r>
    </w:p>
    <w:p w14:paraId="78CBF859" w14:textId="77777777" w:rsidR="004633A2" w:rsidRPr="004633A2" w:rsidRDefault="004633A2" w:rsidP="004633A2">
      <w:pPr>
        <w:tabs>
          <w:tab w:val="right" w:pos="9026"/>
        </w:tabs>
        <w:spacing w:before="60" w:after="0" w:line="240" w:lineRule="auto"/>
        <w:ind w:firstLine="284"/>
        <w:rPr>
          <w:rFonts w:ascii="Arial" w:hAnsi="Arial"/>
          <w:color w:val="000000" w:themeColor="text1"/>
          <w:sz w:val="18"/>
          <w:szCs w:val="18"/>
        </w:rPr>
      </w:pPr>
      <w:r w:rsidRPr="004633A2">
        <w:rPr>
          <w:rFonts w:ascii="Arial" w:hAnsi="Arial"/>
          <w:color w:val="000000" w:themeColor="text1"/>
          <w:sz w:val="18"/>
          <w:szCs w:val="18"/>
        </w:rPr>
        <w:t>Updating low-income thresholds (poverty lines) over time: fixed and moving line approaches</w:t>
      </w:r>
    </w:p>
    <w:p w14:paraId="44036A90" w14:textId="77777777" w:rsidR="004633A2" w:rsidRPr="004633A2" w:rsidRDefault="004633A2" w:rsidP="004633A2">
      <w:pPr>
        <w:tabs>
          <w:tab w:val="right" w:pos="9026"/>
        </w:tabs>
        <w:spacing w:before="60" w:after="0" w:line="240" w:lineRule="auto"/>
        <w:ind w:firstLine="284"/>
        <w:rPr>
          <w:rFonts w:ascii="Arial" w:hAnsi="Arial"/>
          <w:color w:val="000000" w:themeColor="text1"/>
          <w:sz w:val="18"/>
          <w:szCs w:val="18"/>
        </w:rPr>
      </w:pPr>
      <w:r w:rsidRPr="004633A2">
        <w:rPr>
          <w:rFonts w:ascii="Arial" w:hAnsi="Arial"/>
          <w:color w:val="000000" w:themeColor="text1"/>
          <w:sz w:val="18"/>
          <w:szCs w:val="18"/>
        </w:rPr>
        <w:t>Giving the numbers meaning – the need for a reference point</w:t>
      </w:r>
    </w:p>
    <w:p w14:paraId="521BF672" w14:textId="77777777" w:rsidR="004633A2" w:rsidRPr="004633A2" w:rsidRDefault="004633A2" w:rsidP="004633A2">
      <w:pPr>
        <w:tabs>
          <w:tab w:val="right" w:pos="9026"/>
        </w:tabs>
        <w:spacing w:before="60" w:after="0" w:line="240" w:lineRule="auto"/>
        <w:ind w:firstLine="284"/>
        <w:rPr>
          <w:rFonts w:ascii="Arial" w:hAnsi="Arial"/>
          <w:color w:val="000000" w:themeColor="text1"/>
          <w:sz w:val="18"/>
          <w:szCs w:val="18"/>
        </w:rPr>
      </w:pPr>
      <w:r w:rsidRPr="004633A2">
        <w:rPr>
          <w:rFonts w:ascii="Arial" w:hAnsi="Arial"/>
          <w:color w:val="000000" w:themeColor="text1"/>
          <w:sz w:val="18"/>
          <w:szCs w:val="18"/>
        </w:rPr>
        <w:t>Poverty experienced, including Sen on ‘shame’</w:t>
      </w:r>
    </w:p>
    <w:p w14:paraId="4F88AC2B" w14:textId="690D2CE1" w:rsidR="00816CEF" w:rsidRDefault="004633A2" w:rsidP="00816CEF">
      <w:pPr>
        <w:tabs>
          <w:tab w:val="right" w:pos="9026"/>
        </w:tabs>
        <w:spacing w:before="60" w:after="0" w:line="240" w:lineRule="auto"/>
        <w:ind w:firstLine="284"/>
        <w:rPr>
          <w:rFonts w:ascii="Arial" w:hAnsi="Arial"/>
          <w:color w:val="000000" w:themeColor="text1"/>
          <w:sz w:val="18"/>
          <w:szCs w:val="18"/>
        </w:rPr>
      </w:pPr>
      <w:r w:rsidRPr="004633A2">
        <w:rPr>
          <w:rFonts w:ascii="Arial" w:hAnsi="Arial"/>
          <w:color w:val="000000" w:themeColor="text1"/>
          <w:sz w:val="18"/>
          <w:szCs w:val="18"/>
        </w:rPr>
        <w:t>Rationale for a focus on child poverty</w:t>
      </w:r>
    </w:p>
    <w:p w14:paraId="2A1B5A85" w14:textId="77777777" w:rsidR="00C06A4C" w:rsidRPr="00DF1B33" w:rsidRDefault="00C06A4C" w:rsidP="00C06A4C">
      <w:pPr>
        <w:spacing w:before="120" w:after="0" w:line="240" w:lineRule="auto"/>
        <w:rPr>
          <w:rFonts w:ascii="Arial" w:hAnsi="Arial"/>
          <w:sz w:val="18"/>
          <w:szCs w:val="18"/>
        </w:rPr>
      </w:pPr>
      <w:r w:rsidRPr="000556BC">
        <w:rPr>
          <w:rFonts w:ascii="Arial" w:hAnsi="Arial"/>
          <w:b/>
          <w:bCs/>
          <w:color w:val="000000" w:themeColor="text1"/>
          <w:sz w:val="18"/>
          <w:szCs w:val="18"/>
        </w:rPr>
        <w:t>Box #1</w:t>
      </w:r>
      <w:r w:rsidRPr="00DF1B33">
        <w:rPr>
          <w:rFonts w:ascii="Arial" w:hAnsi="Arial"/>
          <w:color w:val="000000" w:themeColor="text1"/>
          <w:sz w:val="18"/>
          <w:szCs w:val="18"/>
        </w:rPr>
        <w:t xml:space="preserve"> </w:t>
      </w:r>
      <w:r w:rsidRPr="004633A2">
        <w:rPr>
          <w:rFonts w:ascii="Arial" w:hAnsi="Arial"/>
          <w:color w:val="000000" w:themeColor="text1"/>
          <w:sz w:val="18"/>
          <w:szCs w:val="18"/>
        </w:rPr>
        <w:t>–</w:t>
      </w:r>
      <w:r w:rsidRPr="00DF1B33">
        <w:rPr>
          <w:rFonts w:ascii="Arial" w:hAnsi="Arial"/>
          <w:color w:val="000000" w:themeColor="text1"/>
          <w:sz w:val="18"/>
          <w:szCs w:val="18"/>
        </w:rPr>
        <w:t xml:space="preserve"> </w:t>
      </w:r>
      <w:r w:rsidRPr="00DF1B33">
        <w:rPr>
          <w:rFonts w:ascii="Arial" w:hAnsi="Arial"/>
          <w:i/>
          <w:iCs/>
          <w:sz w:val="18"/>
          <w:szCs w:val="18"/>
        </w:rPr>
        <w:t>The UK’s possible new supplementary measure of poverty: BAR (Below Average Resources)</w:t>
      </w:r>
    </w:p>
    <w:p w14:paraId="6F21E485" w14:textId="77777777" w:rsidR="00816CEF" w:rsidRPr="004633A2" w:rsidRDefault="00816CEF" w:rsidP="00816CEF">
      <w:pPr>
        <w:tabs>
          <w:tab w:val="right" w:pos="9026"/>
        </w:tabs>
        <w:spacing w:before="60" w:after="0" w:line="240" w:lineRule="auto"/>
        <w:ind w:firstLine="284"/>
        <w:rPr>
          <w:rFonts w:ascii="Arial" w:hAnsi="Arial"/>
          <w:color w:val="000000" w:themeColor="text1"/>
          <w:sz w:val="18"/>
          <w:szCs w:val="18"/>
        </w:rPr>
      </w:pPr>
    </w:p>
    <w:p w14:paraId="0D44A550" w14:textId="77777777" w:rsidR="004633A2" w:rsidRPr="004633A2" w:rsidRDefault="004633A2" w:rsidP="004633A2">
      <w:pPr>
        <w:tabs>
          <w:tab w:val="right" w:pos="9026"/>
        </w:tabs>
        <w:spacing w:before="180" w:after="0" w:line="240" w:lineRule="auto"/>
        <w:rPr>
          <w:rFonts w:ascii="Arial" w:hAnsi="Arial"/>
          <w:b/>
          <w:bCs/>
          <w:color w:val="000000" w:themeColor="text1"/>
          <w:szCs w:val="20"/>
        </w:rPr>
      </w:pPr>
      <w:r w:rsidRPr="004633A2">
        <w:rPr>
          <w:rFonts w:ascii="Arial" w:hAnsi="Arial"/>
          <w:b/>
          <w:bCs/>
          <w:color w:val="000000" w:themeColor="text1"/>
          <w:szCs w:val="20"/>
        </w:rPr>
        <w:t>Section B</w:t>
      </w:r>
    </w:p>
    <w:p w14:paraId="1D86B566" w14:textId="0C2C309C" w:rsidR="004633A2" w:rsidRPr="004633A2" w:rsidRDefault="004633A2" w:rsidP="004633A2">
      <w:pPr>
        <w:tabs>
          <w:tab w:val="right" w:pos="9026"/>
        </w:tabs>
        <w:spacing w:after="80" w:line="240" w:lineRule="auto"/>
        <w:rPr>
          <w:rFonts w:ascii="Arial" w:hAnsi="Arial"/>
          <w:b/>
          <w:bCs/>
          <w:color w:val="000000" w:themeColor="text1"/>
          <w:szCs w:val="20"/>
        </w:rPr>
      </w:pPr>
      <w:r w:rsidRPr="004633A2">
        <w:rPr>
          <w:rFonts w:ascii="Arial" w:hAnsi="Arial"/>
          <w:b/>
          <w:bCs/>
          <w:color w:val="000000" w:themeColor="text1"/>
          <w:szCs w:val="20"/>
        </w:rPr>
        <w:t>Data sources</w:t>
      </w:r>
      <w:r w:rsidRPr="004633A2">
        <w:rPr>
          <w:rFonts w:ascii="Arial" w:hAnsi="Arial"/>
          <w:b/>
          <w:bCs/>
          <w:color w:val="000000" w:themeColor="text1"/>
          <w:szCs w:val="20"/>
        </w:rPr>
        <w:tab/>
      </w:r>
      <w:r w:rsidR="007E03AE">
        <w:rPr>
          <w:rFonts w:ascii="Arial" w:hAnsi="Arial"/>
          <w:color w:val="000000" w:themeColor="text1"/>
          <w:sz w:val="18"/>
          <w:szCs w:val="18"/>
        </w:rPr>
        <w:t>2</w:t>
      </w:r>
      <w:r w:rsidR="00C06A4C">
        <w:rPr>
          <w:rFonts w:ascii="Arial" w:hAnsi="Arial"/>
          <w:color w:val="000000" w:themeColor="text1"/>
          <w:sz w:val="18"/>
          <w:szCs w:val="18"/>
        </w:rPr>
        <w:t>5</w:t>
      </w:r>
    </w:p>
    <w:p w14:paraId="53E9BA88" w14:textId="77777777" w:rsidR="004633A2" w:rsidRPr="004633A2" w:rsidRDefault="004633A2" w:rsidP="004633A2">
      <w:pPr>
        <w:tabs>
          <w:tab w:val="left" w:pos="284"/>
          <w:tab w:val="right" w:pos="9026"/>
        </w:tabs>
        <w:spacing w:after="0" w:line="240" w:lineRule="auto"/>
        <w:ind w:left="284"/>
        <w:rPr>
          <w:rFonts w:ascii="Arial" w:hAnsi="Arial"/>
          <w:color w:val="000000"/>
          <w:sz w:val="18"/>
          <w:szCs w:val="18"/>
        </w:rPr>
      </w:pPr>
      <w:r w:rsidRPr="004633A2">
        <w:rPr>
          <w:rFonts w:ascii="Arial" w:hAnsi="Arial"/>
          <w:color w:val="000000"/>
          <w:sz w:val="18"/>
          <w:szCs w:val="18"/>
        </w:rPr>
        <w:t>The shift from HES (Household Economic Survey) to HILS (Household Income and Living Survey)</w:t>
      </w:r>
    </w:p>
    <w:p w14:paraId="48A5E140" w14:textId="77777777" w:rsidR="004633A2" w:rsidRPr="004633A2" w:rsidRDefault="004633A2" w:rsidP="004633A2">
      <w:pPr>
        <w:tabs>
          <w:tab w:val="left" w:pos="284"/>
          <w:tab w:val="right" w:pos="9026"/>
        </w:tabs>
        <w:spacing w:before="60" w:after="0" w:line="240" w:lineRule="auto"/>
        <w:ind w:left="284"/>
        <w:rPr>
          <w:rFonts w:ascii="Arial" w:hAnsi="Arial"/>
          <w:color w:val="000000"/>
          <w:sz w:val="18"/>
          <w:szCs w:val="18"/>
        </w:rPr>
      </w:pPr>
      <w:r w:rsidRPr="004633A2">
        <w:rPr>
          <w:rFonts w:ascii="Arial" w:hAnsi="Arial"/>
          <w:color w:val="000000"/>
          <w:sz w:val="18"/>
          <w:szCs w:val="18"/>
        </w:rPr>
        <w:t>Sample size and data collection challenges</w:t>
      </w:r>
    </w:p>
    <w:p w14:paraId="1EBF3908" w14:textId="77777777" w:rsidR="004633A2" w:rsidRPr="004633A2" w:rsidRDefault="004633A2" w:rsidP="004633A2">
      <w:pPr>
        <w:tabs>
          <w:tab w:val="left" w:pos="284"/>
          <w:tab w:val="right" w:pos="9026"/>
        </w:tabs>
        <w:spacing w:before="60" w:after="0" w:line="240" w:lineRule="auto"/>
        <w:ind w:left="284"/>
        <w:rPr>
          <w:rFonts w:ascii="Arial" w:hAnsi="Arial"/>
          <w:color w:val="000000"/>
          <w:sz w:val="18"/>
          <w:szCs w:val="18"/>
        </w:rPr>
      </w:pPr>
      <w:r w:rsidRPr="004633A2">
        <w:rPr>
          <w:rFonts w:ascii="Arial" w:hAnsi="Arial"/>
          <w:color w:val="000000"/>
          <w:sz w:val="18"/>
          <w:szCs w:val="18"/>
        </w:rPr>
        <w:t>Labelling of HES and HILS years</w:t>
      </w:r>
    </w:p>
    <w:p w14:paraId="640F0459" w14:textId="77777777" w:rsidR="004633A2" w:rsidRPr="004633A2" w:rsidRDefault="004633A2" w:rsidP="004633A2">
      <w:pPr>
        <w:tabs>
          <w:tab w:val="right" w:pos="9026"/>
        </w:tabs>
        <w:spacing w:after="0" w:line="240" w:lineRule="auto"/>
        <w:rPr>
          <w:rFonts w:ascii="Arial" w:hAnsi="Arial"/>
          <w:b/>
          <w:bCs/>
          <w:color w:val="000000" w:themeColor="text1"/>
          <w:sz w:val="32"/>
          <w:szCs w:val="32"/>
        </w:rPr>
      </w:pPr>
    </w:p>
    <w:p w14:paraId="2F26ACA4" w14:textId="77777777" w:rsidR="004633A2" w:rsidRPr="004633A2" w:rsidRDefault="004633A2" w:rsidP="004633A2">
      <w:pPr>
        <w:tabs>
          <w:tab w:val="right" w:pos="9026"/>
        </w:tabs>
        <w:spacing w:after="0" w:line="240" w:lineRule="auto"/>
        <w:rPr>
          <w:rFonts w:ascii="Arial" w:hAnsi="Arial"/>
          <w:b/>
          <w:bCs/>
          <w:color w:val="000000" w:themeColor="text1"/>
          <w:sz w:val="32"/>
          <w:szCs w:val="32"/>
        </w:rPr>
      </w:pPr>
    </w:p>
    <w:p w14:paraId="79B9CF0A" w14:textId="77777777" w:rsidR="004633A2" w:rsidRPr="004633A2" w:rsidRDefault="004633A2" w:rsidP="004633A2">
      <w:pPr>
        <w:tabs>
          <w:tab w:val="right" w:pos="9026"/>
        </w:tabs>
        <w:spacing w:after="0" w:line="240" w:lineRule="auto"/>
        <w:rPr>
          <w:rFonts w:ascii="Arial" w:hAnsi="Arial"/>
          <w:b/>
          <w:bCs/>
          <w:color w:val="000000" w:themeColor="text1"/>
          <w:sz w:val="32"/>
          <w:szCs w:val="32"/>
        </w:rPr>
      </w:pPr>
      <w:r w:rsidRPr="004633A2">
        <w:rPr>
          <w:rFonts w:ascii="Arial" w:hAnsi="Arial"/>
          <w:b/>
          <w:bCs/>
          <w:color w:val="000000" w:themeColor="text1"/>
          <w:sz w:val="32"/>
          <w:szCs w:val="32"/>
        </w:rPr>
        <w:t>Part Two</w:t>
      </w:r>
    </w:p>
    <w:p w14:paraId="6848AD10" w14:textId="77777777" w:rsidR="004633A2" w:rsidRPr="004633A2" w:rsidRDefault="004633A2" w:rsidP="004633A2">
      <w:pPr>
        <w:tabs>
          <w:tab w:val="right" w:pos="9026"/>
        </w:tabs>
        <w:spacing w:after="0" w:line="240" w:lineRule="auto"/>
        <w:rPr>
          <w:rFonts w:ascii="Arial" w:hAnsi="Arial"/>
          <w:b/>
          <w:bCs/>
          <w:color w:val="FF0000"/>
          <w:sz w:val="28"/>
          <w:szCs w:val="28"/>
        </w:rPr>
      </w:pPr>
      <w:r w:rsidRPr="004633A2">
        <w:rPr>
          <w:rFonts w:ascii="Arial" w:hAnsi="Arial"/>
          <w:b/>
          <w:bCs/>
          <w:color w:val="000000" w:themeColor="text1"/>
          <w:sz w:val="28"/>
          <w:szCs w:val="28"/>
        </w:rPr>
        <w:t>Selected Findings</w:t>
      </w:r>
    </w:p>
    <w:p w14:paraId="47243786" w14:textId="77777777" w:rsidR="004633A2" w:rsidRPr="004633A2" w:rsidRDefault="004633A2" w:rsidP="004633A2">
      <w:pPr>
        <w:tabs>
          <w:tab w:val="right" w:pos="9026"/>
        </w:tabs>
        <w:spacing w:before="240" w:after="0" w:line="240" w:lineRule="auto"/>
        <w:rPr>
          <w:rFonts w:ascii="Arial" w:hAnsi="Arial"/>
          <w:b/>
          <w:bCs/>
          <w:color w:val="000000" w:themeColor="text1"/>
          <w:szCs w:val="20"/>
        </w:rPr>
      </w:pPr>
      <w:r w:rsidRPr="004633A2">
        <w:rPr>
          <w:rFonts w:ascii="Arial" w:hAnsi="Arial"/>
          <w:b/>
          <w:bCs/>
          <w:color w:val="000000" w:themeColor="text1"/>
          <w:szCs w:val="20"/>
        </w:rPr>
        <w:t>Section C</w:t>
      </w:r>
    </w:p>
    <w:p w14:paraId="5372DB0F" w14:textId="52865D9C" w:rsidR="004633A2" w:rsidRPr="004B18C5" w:rsidRDefault="004633A2" w:rsidP="004633A2">
      <w:pPr>
        <w:tabs>
          <w:tab w:val="left" w:pos="284"/>
          <w:tab w:val="right" w:pos="9026"/>
        </w:tabs>
        <w:spacing w:after="80" w:line="240" w:lineRule="auto"/>
        <w:rPr>
          <w:rFonts w:ascii="Arial" w:hAnsi="Arial"/>
          <w:color w:val="000000" w:themeColor="text1"/>
          <w:sz w:val="18"/>
          <w:szCs w:val="18"/>
        </w:rPr>
      </w:pPr>
      <w:r w:rsidRPr="004633A2">
        <w:rPr>
          <w:rFonts w:ascii="Arial" w:hAnsi="Arial"/>
          <w:b/>
          <w:bCs/>
          <w:color w:val="000000" w:themeColor="text1"/>
          <w:szCs w:val="20"/>
        </w:rPr>
        <w:t xml:space="preserve">Material hardship (MH) comparisons with European countries </w:t>
      </w:r>
      <w:r>
        <w:rPr>
          <w:rFonts w:ascii="Arial" w:hAnsi="Arial"/>
          <w:b/>
          <w:bCs/>
          <w:color w:val="000000" w:themeColor="text1"/>
          <w:szCs w:val="20"/>
        </w:rPr>
        <w:t>using the EU-13 index</w:t>
      </w:r>
      <w:r w:rsidRPr="004633A2">
        <w:rPr>
          <w:rFonts w:ascii="Arial" w:hAnsi="Arial"/>
          <w:b/>
          <w:bCs/>
          <w:color w:val="000000" w:themeColor="text1"/>
          <w:szCs w:val="20"/>
        </w:rPr>
        <w:t xml:space="preserve"> </w:t>
      </w:r>
      <w:r w:rsidR="004B18C5">
        <w:rPr>
          <w:rFonts w:ascii="Arial" w:hAnsi="Arial"/>
          <w:b/>
          <w:bCs/>
          <w:color w:val="000000" w:themeColor="text1"/>
          <w:szCs w:val="20"/>
        </w:rPr>
        <w:tab/>
      </w:r>
      <w:r w:rsidR="004B18C5" w:rsidRPr="004B18C5">
        <w:rPr>
          <w:rFonts w:ascii="Arial" w:hAnsi="Arial"/>
          <w:color w:val="000000" w:themeColor="text1"/>
          <w:sz w:val="18"/>
          <w:szCs w:val="18"/>
        </w:rPr>
        <w:t>2</w:t>
      </w:r>
      <w:r w:rsidR="00C06A4C">
        <w:rPr>
          <w:rFonts w:ascii="Arial" w:hAnsi="Arial"/>
          <w:color w:val="000000" w:themeColor="text1"/>
          <w:sz w:val="18"/>
          <w:szCs w:val="18"/>
        </w:rPr>
        <w:t>9</w:t>
      </w:r>
    </w:p>
    <w:p w14:paraId="784A9DF2" w14:textId="77777777" w:rsidR="004633A2" w:rsidRPr="004633A2" w:rsidRDefault="004633A2" w:rsidP="004633A2">
      <w:pPr>
        <w:tabs>
          <w:tab w:val="left" w:pos="284"/>
          <w:tab w:val="right" w:pos="9026"/>
        </w:tabs>
        <w:spacing w:after="0" w:line="240" w:lineRule="auto"/>
        <w:ind w:left="284"/>
        <w:rPr>
          <w:rFonts w:ascii="Arial" w:hAnsi="Arial"/>
          <w:color w:val="000000"/>
          <w:sz w:val="18"/>
          <w:szCs w:val="18"/>
        </w:rPr>
      </w:pPr>
      <w:r w:rsidRPr="004633A2">
        <w:rPr>
          <w:rFonts w:ascii="Arial" w:hAnsi="Arial"/>
          <w:color w:val="000000"/>
          <w:sz w:val="18"/>
          <w:szCs w:val="18"/>
        </w:rPr>
        <w:t>All children (0-17 years) in 2024</w:t>
      </w:r>
    </w:p>
    <w:p w14:paraId="75F23C10" w14:textId="77777777" w:rsidR="004633A2" w:rsidRPr="004633A2" w:rsidRDefault="004633A2" w:rsidP="004633A2">
      <w:pPr>
        <w:tabs>
          <w:tab w:val="left" w:pos="284"/>
          <w:tab w:val="right" w:pos="9026"/>
        </w:tabs>
        <w:spacing w:before="60" w:after="0" w:line="240" w:lineRule="auto"/>
        <w:ind w:left="284"/>
        <w:rPr>
          <w:rFonts w:ascii="Arial" w:hAnsi="Arial"/>
          <w:color w:val="000000"/>
          <w:sz w:val="18"/>
          <w:szCs w:val="18"/>
        </w:rPr>
      </w:pPr>
      <w:r w:rsidRPr="004633A2">
        <w:rPr>
          <w:rFonts w:ascii="Arial" w:hAnsi="Arial"/>
          <w:color w:val="000000"/>
          <w:sz w:val="18"/>
          <w:szCs w:val="18"/>
        </w:rPr>
        <w:t>Two-parent and sole-parent households</w:t>
      </w:r>
    </w:p>
    <w:p w14:paraId="68F71910" w14:textId="77777777" w:rsidR="004633A2" w:rsidRPr="004633A2" w:rsidRDefault="004633A2" w:rsidP="004633A2">
      <w:pPr>
        <w:tabs>
          <w:tab w:val="left" w:pos="284"/>
          <w:tab w:val="right" w:pos="9026"/>
        </w:tabs>
        <w:spacing w:before="60" w:after="0" w:line="240" w:lineRule="auto"/>
        <w:ind w:left="284"/>
        <w:rPr>
          <w:rFonts w:ascii="Arial" w:hAnsi="Arial"/>
          <w:color w:val="000000"/>
          <w:sz w:val="18"/>
          <w:szCs w:val="18"/>
        </w:rPr>
      </w:pPr>
      <w:r w:rsidRPr="004633A2">
        <w:rPr>
          <w:rFonts w:ascii="Arial" w:hAnsi="Arial"/>
          <w:color w:val="000000"/>
          <w:sz w:val="18"/>
          <w:szCs w:val="18"/>
        </w:rPr>
        <w:t>Older New Zealanders and children compared</w:t>
      </w:r>
    </w:p>
    <w:p w14:paraId="6A896057" w14:textId="77777777" w:rsidR="004633A2" w:rsidRPr="004633A2" w:rsidRDefault="004633A2" w:rsidP="004633A2">
      <w:pPr>
        <w:tabs>
          <w:tab w:val="left" w:pos="284"/>
          <w:tab w:val="right" w:pos="9026"/>
        </w:tabs>
        <w:spacing w:before="60" w:after="0" w:line="240" w:lineRule="auto"/>
        <w:ind w:left="284"/>
        <w:rPr>
          <w:rFonts w:ascii="Arial" w:hAnsi="Arial"/>
          <w:color w:val="000000"/>
          <w:sz w:val="18"/>
          <w:szCs w:val="18"/>
        </w:rPr>
      </w:pPr>
      <w:r w:rsidRPr="004633A2">
        <w:rPr>
          <w:rFonts w:ascii="Arial" w:hAnsi="Arial"/>
          <w:bCs/>
          <w:color w:val="000000" w:themeColor="text1"/>
          <w:sz w:val="18"/>
          <w:szCs w:val="18"/>
        </w:rPr>
        <w:t xml:space="preserve">Child-specific deprivation items and selected child-related household items: comparisons with European countries </w:t>
      </w:r>
    </w:p>
    <w:p w14:paraId="3341C82B" w14:textId="77777777" w:rsidR="004633A2" w:rsidRPr="004633A2" w:rsidRDefault="004633A2" w:rsidP="004633A2">
      <w:pPr>
        <w:tabs>
          <w:tab w:val="left" w:pos="284"/>
          <w:tab w:val="right" w:pos="9026"/>
        </w:tabs>
        <w:spacing w:before="60" w:after="0" w:line="240" w:lineRule="auto"/>
        <w:ind w:left="284"/>
        <w:rPr>
          <w:rFonts w:ascii="Arial" w:hAnsi="Arial"/>
          <w:bCs/>
          <w:color w:val="000000" w:themeColor="text1"/>
          <w:szCs w:val="20"/>
        </w:rPr>
      </w:pPr>
    </w:p>
    <w:p w14:paraId="7DA8D5EF" w14:textId="6C048F77" w:rsidR="004633A2" w:rsidRPr="00432560" w:rsidRDefault="004633A2" w:rsidP="004633A2">
      <w:pPr>
        <w:tabs>
          <w:tab w:val="right" w:pos="9026"/>
        </w:tabs>
        <w:spacing w:after="0" w:line="240" w:lineRule="auto"/>
        <w:rPr>
          <w:rFonts w:ascii="Arial" w:hAnsi="Arial"/>
          <w:i/>
          <w:iCs/>
          <w:color w:val="000000"/>
          <w:sz w:val="18"/>
          <w:szCs w:val="18"/>
        </w:rPr>
      </w:pPr>
      <w:r w:rsidRPr="004633A2">
        <w:rPr>
          <w:rFonts w:ascii="Arial" w:hAnsi="Arial"/>
          <w:b/>
          <w:bCs/>
          <w:color w:val="000000"/>
          <w:sz w:val="18"/>
          <w:szCs w:val="18"/>
        </w:rPr>
        <w:t>Box #</w:t>
      </w:r>
      <w:r w:rsidR="000556BC">
        <w:rPr>
          <w:rFonts w:ascii="Arial" w:hAnsi="Arial"/>
          <w:b/>
          <w:bCs/>
          <w:color w:val="000000"/>
          <w:sz w:val="18"/>
          <w:szCs w:val="18"/>
        </w:rPr>
        <w:t>2</w:t>
      </w:r>
      <w:r w:rsidRPr="004633A2">
        <w:rPr>
          <w:rFonts w:ascii="Arial" w:hAnsi="Arial"/>
          <w:b/>
          <w:bCs/>
          <w:color w:val="000000"/>
          <w:sz w:val="18"/>
          <w:szCs w:val="18"/>
        </w:rPr>
        <w:t xml:space="preserve"> </w:t>
      </w:r>
      <w:r w:rsidRPr="00432560">
        <w:rPr>
          <w:rFonts w:ascii="Arial" w:hAnsi="Arial"/>
          <w:b/>
          <w:bCs/>
          <w:i/>
          <w:iCs/>
          <w:color w:val="000000"/>
          <w:sz w:val="18"/>
          <w:szCs w:val="18"/>
        </w:rPr>
        <w:t xml:space="preserve">– </w:t>
      </w:r>
      <w:r w:rsidRPr="00432560">
        <w:rPr>
          <w:rFonts w:ascii="Arial" w:hAnsi="Arial"/>
          <w:i/>
          <w:iCs/>
          <w:sz w:val="18"/>
          <w:szCs w:val="18"/>
        </w:rPr>
        <w:t>Measurement and reporting approaches</w:t>
      </w:r>
      <w:r w:rsidRPr="00432560">
        <w:rPr>
          <w:rFonts w:ascii="Arial" w:hAnsi="Arial"/>
          <w:i/>
          <w:iCs/>
          <w:color w:val="000000"/>
          <w:sz w:val="18"/>
          <w:szCs w:val="18"/>
        </w:rPr>
        <w:t xml:space="preserve"> </w:t>
      </w:r>
      <w:r w:rsidRPr="00432560">
        <w:rPr>
          <w:rFonts w:ascii="Arial" w:hAnsi="Arial"/>
          <w:i/>
          <w:iCs/>
          <w:sz w:val="18"/>
          <w:szCs w:val="18"/>
        </w:rPr>
        <w:t>for the MH sections that follow (Sections D, E and F)</w:t>
      </w:r>
    </w:p>
    <w:p w14:paraId="51243A7E" w14:textId="77777777" w:rsidR="004633A2" w:rsidRPr="004633A2" w:rsidRDefault="004633A2" w:rsidP="004633A2">
      <w:pPr>
        <w:tabs>
          <w:tab w:val="right" w:pos="9026"/>
        </w:tabs>
        <w:spacing w:after="0" w:line="240" w:lineRule="auto"/>
        <w:rPr>
          <w:rFonts w:ascii="Arial" w:hAnsi="Arial"/>
          <w:b/>
          <w:bCs/>
          <w:color w:val="000000" w:themeColor="text1"/>
          <w:szCs w:val="20"/>
        </w:rPr>
      </w:pPr>
    </w:p>
    <w:p w14:paraId="75E4D999" w14:textId="4B490C2B" w:rsidR="004633A2" w:rsidRPr="004633A2" w:rsidRDefault="004633A2" w:rsidP="004633A2">
      <w:pPr>
        <w:tabs>
          <w:tab w:val="right" w:pos="9026"/>
        </w:tabs>
        <w:spacing w:after="0" w:line="240" w:lineRule="auto"/>
        <w:rPr>
          <w:rFonts w:ascii="Arial" w:hAnsi="Arial"/>
          <w:b/>
          <w:bCs/>
          <w:color w:val="000000" w:themeColor="text1"/>
          <w:szCs w:val="20"/>
        </w:rPr>
      </w:pPr>
      <w:r w:rsidRPr="004633A2">
        <w:rPr>
          <w:rFonts w:ascii="Arial" w:hAnsi="Arial"/>
          <w:b/>
          <w:bCs/>
          <w:color w:val="000000" w:themeColor="text1"/>
          <w:szCs w:val="20"/>
        </w:rPr>
        <w:t>Section D</w:t>
      </w:r>
      <w:r w:rsidR="004B18C5">
        <w:rPr>
          <w:rFonts w:ascii="Arial" w:hAnsi="Arial"/>
          <w:b/>
          <w:bCs/>
          <w:color w:val="000000" w:themeColor="text1"/>
          <w:szCs w:val="20"/>
        </w:rPr>
        <w:tab/>
      </w:r>
      <w:r w:rsidR="007E03AE">
        <w:rPr>
          <w:rFonts w:ascii="Arial" w:hAnsi="Arial"/>
          <w:color w:val="000000" w:themeColor="text1"/>
          <w:sz w:val="18"/>
          <w:szCs w:val="18"/>
        </w:rPr>
        <w:t>3</w:t>
      </w:r>
      <w:r w:rsidR="00052B14">
        <w:rPr>
          <w:rFonts w:ascii="Arial" w:hAnsi="Arial"/>
          <w:color w:val="000000" w:themeColor="text1"/>
          <w:sz w:val="18"/>
          <w:szCs w:val="18"/>
        </w:rPr>
        <w:t>3</w:t>
      </w:r>
    </w:p>
    <w:p w14:paraId="677CBD03" w14:textId="77777777" w:rsidR="004633A2" w:rsidRPr="004633A2" w:rsidRDefault="004633A2" w:rsidP="004633A2">
      <w:pPr>
        <w:spacing w:after="80" w:line="240" w:lineRule="auto"/>
        <w:rPr>
          <w:rFonts w:ascii="Arial" w:hAnsi="Arial"/>
          <w:b/>
          <w:bCs/>
          <w:color w:val="000000" w:themeColor="text1"/>
          <w:szCs w:val="20"/>
        </w:rPr>
      </w:pPr>
      <w:r w:rsidRPr="004633A2">
        <w:rPr>
          <w:rFonts w:ascii="Arial" w:hAnsi="Arial"/>
          <w:b/>
          <w:bCs/>
          <w:color w:val="000000" w:themeColor="text1"/>
          <w:szCs w:val="20"/>
        </w:rPr>
        <w:t>What does poverty look like in practice for children in households identified as being in material hardship (MH)?</w:t>
      </w:r>
    </w:p>
    <w:p w14:paraId="376C14CD" w14:textId="77777777" w:rsidR="004633A2" w:rsidRPr="004633A2" w:rsidRDefault="004633A2" w:rsidP="004633A2">
      <w:pPr>
        <w:spacing w:before="60" w:after="0" w:line="240" w:lineRule="auto"/>
        <w:ind w:left="284"/>
        <w:jc w:val="both"/>
        <w:rPr>
          <w:rFonts w:ascii="Arial" w:hAnsi="Arial"/>
          <w:color w:val="000000" w:themeColor="text1"/>
          <w:sz w:val="18"/>
          <w:szCs w:val="18"/>
        </w:rPr>
      </w:pPr>
      <w:r w:rsidRPr="004633A2">
        <w:rPr>
          <w:rFonts w:ascii="Arial" w:hAnsi="Arial"/>
          <w:color w:val="000000" w:themeColor="text1"/>
          <w:sz w:val="18"/>
          <w:szCs w:val="18"/>
        </w:rPr>
        <w:t xml:space="preserve">For children in households identified as ‘in hardship’, life is typically very different from that experienced by the vast majority of New Zealand children </w:t>
      </w:r>
    </w:p>
    <w:p w14:paraId="4866C7DA" w14:textId="77777777" w:rsidR="004633A2" w:rsidRPr="004633A2" w:rsidRDefault="004633A2" w:rsidP="004633A2">
      <w:pPr>
        <w:spacing w:before="60" w:after="0" w:line="240" w:lineRule="auto"/>
        <w:ind w:left="284"/>
        <w:rPr>
          <w:rFonts w:ascii="Arial" w:hAnsi="Arial"/>
          <w:color w:val="FF0000"/>
          <w:sz w:val="18"/>
          <w:szCs w:val="18"/>
        </w:rPr>
      </w:pPr>
      <w:r w:rsidRPr="004633A2">
        <w:rPr>
          <w:rFonts w:ascii="Arial" w:hAnsi="Arial"/>
          <w:color w:val="000000" w:themeColor="text1"/>
          <w:sz w:val="18"/>
          <w:szCs w:val="18"/>
        </w:rPr>
        <w:t xml:space="preserve">A wider selection of child-relevant household items plus some child-specific items: deprivation rates for each of these items for all aged 6-17 yrs in households in material hardship or severe material hardship </w:t>
      </w:r>
    </w:p>
    <w:p w14:paraId="2A0DC5B2" w14:textId="77777777" w:rsidR="004633A2" w:rsidRPr="004633A2" w:rsidRDefault="004633A2" w:rsidP="004633A2">
      <w:pPr>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 xml:space="preserve">DEP-17 items </w:t>
      </w:r>
    </w:p>
    <w:p w14:paraId="6D660CC9" w14:textId="77777777" w:rsidR="004633A2" w:rsidRPr="004633A2" w:rsidRDefault="004633A2" w:rsidP="004633A2">
      <w:pPr>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Self-assessed income adequacy</w:t>
      </w:r>
    </w:p>
    <w:p w14:paraId="7F057406" w14:textId="77777777" w:rsidR="004633A2" w:rsidRPr="004633A2" w:rsidRDefault="004633A2" w:rsidP="004633A2">
      <w:pPr>
        <w:spacing w:after="0" w:line="240" w:lineRule="auto"/>
        <w:rPr>
          <w:rFonts w:ascii="Arial" w:hAnsi="Arial"/>
          <w:b/>
          <w:bCs/>
          <w:color w:val="000000" w:themeColor="text1"/>
          <w:szCs w:val="20"/>
        </w:rPr>
      </w:pPr>
      <w:r w:rsidRPr="004633A2">
        <w:rPr>
          <w:rFonts w:ascii="Arial" w:hAnsi="Arial"/>
          <w:b/>
          <w:bCs/>
          <w:color w:val="000000" w:themeColor="text1"/>
          <w:szCs w:val="20"/>
        </w:rPr>
        <w:br w:type="page"/>
      </w:r>
    </w:p>
    <w:p w14:paraId="0F4117DF" w14:textId="3A2E163E" w:rsidR="004633A2" w:rsidRPr="004633A2" w:rsidRDefault="004633A2" w:rsidP="004633A2">
      <w:pPr>
        <w:tabs>
          <w:tab w:val="right" w:pos="9026"/>
        </w:tabs>
        <w:spacing w:before="240" w:after="0" w:line="240" w:lineRule="auto"/>
        <w:rPr>
          <w:rFonts w:ascii="Arial" w:hAnsi="Arial"/>
          <w:b/>
          <w:bCs/>
          <w:color w:val="FF0000"/>
          <w:szCs w:val="20"/>
        </w:rPr>
      </w:pPr>
      <w:r w:rsidRPr="004633A2">
        <w:rPr>
          <w:rFonts w:ascii="Arial" w:hAnsi="Arial"/>
          <w:b/>
          <w:bCs/>
          <w:color w:val="000000" w:themeColor="text1"/>
          <w:szCs w:val="20"/>
        </w:rPr>
        <w:lastRenderedPageBreak/>
        <w:t xml:space="preserve">Section E </w:t>
      </w:r>
      <w:r w:rsidR="004B18C5">
        <w:rPr>
          <w:rFonts w:ascii="Arial" w:hAnsi="Arial"/>
          <w:b/>
          <w:bCs/>
          <w:color w:val="000000" w:themeColor="text1"/>
          <w:szCs w:val="20"/>
        </w:rPr>
        <w:tab/>
      </w:r>
      <w:r w:rsidR="00052B14">
        <w:rPr>
          <w:rFonts w:ascii="Arial" w:hAnsi="Arial"/>
          <w:color w:val="000000" w:themeColor="text1"/>
          <w:sz w:val="18"/>
          <w:szCs w:val="18"/>
        </w:rPr>
        <w:t>41</w:t>
      </w:r>
    </w:p>
    <w:p w14:paraId="4F3D8C12" w14:textId="77777777" w:rsidR="004633A2" w:rsidRPr="004633A2" w:rsidRDefault="004633A2" w:rsidP="004633A2">
      <w:pPr>
        <w:tabs>
          <w:tab w:val="right" w:pos="9026"/>
        </w:tabs>
        <w:spacing w:line="240" w:lineRule="auto"/>
        <w:rPr>
          <w:rFonts w:ascii="Arial" w:hAnsi="Arial"/>
          <w:b/>
          <w:bCs/>
          <w:i/>
          <w:iCs/>
          <w:color w:val="000000" w:themeColor="text1"/>
          <w:szCs w:val="20"/>
        </w:rPr>
      </w:pPr>
      <w:r w:rsidRPr="004633A2">
        <w:rPr>
          <w:rFonts w:ascii="Arial" w:hAnsi="Arial"/>
          <w:b/>
          <w:bCs/>
          <w:color w:val="000000" w:themeColor="text1"/>
          <w:szCs w:val="20"/>
        </w:rPr>
        <w:t>The demographics of child material hardship (MH): breakdowns for children in different household contexts and for individual characteristics; comparisons with selected households without children</w:t>
      </w:r>
    </w:p>
    <w:p w14:paraId="07336203" w14:textId="77777777" w:rsidR="004633A2" w:rsidRPr="004633A2" w:rsidRDefault="004633A2" w:rsidP="004633A2">
      <w:pPr>
        <w:tabs>
          <w:tab w:val="right" w:pos="9026"/>
        </w:tabs>
        <w:spacing w:after="0" w:line="240" w:lineRule="auto"/>
        <w:ind w:left="284"/>
        <w:rPr>
          <w:rFonts w:ascii="Arial" w:hAnsi="Arial"/>
          <w:color w:val="000000" w:themeColor="text1"/>
          <w:sz w:val="18"/>
          <w:szCs w:val="18"/>
        </w:rPr>
      </w:pPr>
      <w:r w:rsidRPr="004633A2">
        <w:rPr>
          <w:rFonts w:ascii="Arial" w:hAnsi="Arial"/>
          <w:color w:val="000000" w:themeColor="text1"/>
          <w:sz w:val="18"/>
          <w:szCs w:val="18"/>
        </w:rPr>
        <w:t>Overview tables by selected breakdowns</w:t>
      </w:r>
    </w:p>
    <w:p w14:paraId="5943CDE7"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household type</w:t>
      </w:r>
    </w:p>
    <w:p w14:paraId="193EF555"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number of children in the household</w:t>
      </w:r>
    </w:p>
    <w:p w14:paraId="1F566C43"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work intensity and labour market status of household</w:t>
      </w:r>
    </w:p>
    <w:p w14:paraId="51840A86"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main source of income – market or government</w:t>
      </w:r>
    </w:p>
    <w:p w14:paraId="51949BC2"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tenure</w:t>
      </w:r>
    </w:p>
    <w:p w14:paraId="4D283C97"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private rental by AS receipt</w:t>
      </w:r>
    </w:p>
    <w:p w14:paraId="1BA941E7"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highest educational qualification in the household</w:t>
      </w:r>
    </w:p>
    <w:p w14:paraId="4751F49D"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ethnicity</w:t>
      </w:r>
    </w:p>
    <w:p w14:paraId="2E21FFA1"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disability status</w:t>
      </w:r>
    </w:p>
    <w:p w14:paraId="6958A019" w14:textId="77777777" w:rsidR="004633A2" w:rsidRPr="004633A2" w:rsidRDefault="004633A2" w:rsidP="004633A2">
      <w:pPr>
        <w:tabs>
          <w:tab w:val="right" w:pos="9026"/>
        </w:tabs>
        <w:spacing w:after="60" w:line="240" w:lineRule="auto"/>
        <w:ind w:left="709"/>
        <w:rPr>
          <w:rFonts w:ascii="Arial" w:hAnsi="Arial"/>
          <w:color w:val="000000" w:themeColor="text1"/>
          <w:sz w:val="16"/>
          <w:szCs w:val="16"/>
          <w:highlight w:val="yellow"/>
        </w:rPr>
      </w:pPr>
      <w:r w:rsidRPr="004633A2">
        <w:rPr>
          <w:rFonts w:ascii="Arial" w:hAnsi="Arial"/>
          <w:color w:val="000000" w:themeColor="text1"/>
          <w:sz w:val="16"/>
          <w:szCs w:val="16"/>
        </w:rPr>
        <w:t>age (younger children compared with older children</w:t>
      </w:r>
      <w:r w:rsidRPr="004B18C5">
        <w:rPr>
          <w:rFonts w:ascii="Arial" w:hAnsi="Arial"/>
          <w:color w:val="000000" w:themeColor="text1"/>
          <w:sz w:val="16"/>
          <w:szCs w:val="16"/>
        </w:rPr>
        <w:t>, all children compared with older New Zealanders)</w:t>
      </w:r>
    </w:p>
    <w:p w14:paraId="0802CC68"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Children in ‘working’ and ‘beneficiary’ households</w:t>
      </w:r>
    </w:p>
    <w:p w14:paraId="6E6865C7"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Children by their disability status and that of their households</w:t>
      </w:r>
    </w:p>
    <w:p w14:paraId="1E32721E" w14:textId="77777777" w:rsidR="006E267C" w:rsidRDefault="004633A2" w:rsidP="004633A2">
      <w:pPr>
        <w:tabs>
          <w:tab w:val="right" w:pos="9026"/>
        </w:tabs>
        <w:spacing w:before="60" w:after="0" w:line="240" w:lineRule="auto"/>
        <w:ind w:left="284"/>
        <w:rPr>
          <w:rFonts w:ascii="Arial" w:hAnsi="Arial"/>
          <w:color w:val="FF0000"/>
          <w:sz w:val="18"/>
          <w:szCs w:val="18"/>
        </w:rPr>
      </w:pPr>
      <w:r w:rsidRPr="004633A2">
        <w:rPr>
          <w:rFonts w:ascii="Arial" w:hAnsi="Arial"/>
          <w:color w:val="000000" w:themeColor="text1"/>
          <w:sz w:val="18"/>
          <w:szCs w:val="18"/>
        </w:rPr>
        <w:t xml:space="preserve">Material hardship in the ‘early years’ </w:t>
      </w:r>
    </w:p>
    <w:p w14:paraId="361585BE" w14:textId="792BBE5A" w:rsidR="004633A2" w:rsidRPr="004633A2" w:rsidRDefault="004633A2" w:rsidP="004633A2">
      <w:pPr>
        <w:tabs>
          <w:tab w:val="right" w:pos="9026"/>
        </w:tabs>
        <w:spacing w:before="60" w:after="0" w:line="240" w:lineRule="auto"/>
        <w:ind w:left="284"/>
        <w:rPr>
          <w:rFonts w:ascii="Arial" w:hAnsi="Arial"/>
          <w:bCs/>
          <w:color w:val="000000" w:themeColor="text1"/>
          <w:sz w:val="18"/>
          <w:szCs w:val="18"/>
        </w:rPr>
      </w:pPr>
      <w:r w:rsidRPr="004633A2">
        <w:rPr>
          <w:rFonts w:ascii="Arial" w:hAnsi="Arial"/>
          <w:bCs/>
          <w:color w:val="000000" w:themeColor="text1"/>
          <w:sz w:val="18"/>
          <w:szCs w:val="18"/>
        </w:rPr>
        <w:t xml:space="preserve">Material hardship, low (AHC) income and foodbank usage in six Auckland sub-regions </w:t>
      </w:r>
    </w:p>
    <w:p w14:paraId="72B8AD00" w14:textId="77777777" w:rsidR="004633A2" w:rsidRPr="004633A2" w:rsidRDefault="004633A2" w:rsidP="004633A2">
      <w:pPr>
        <w:spacing w:before="60" w:after="0" w:line="240" w:lineRule="auto"/>
        <w:ind w:left="284"/>
        <w:rPr>
          <w:rFonts w:ascii="Arial" w:hAnsi="Arial"/>
          <w:bCs/>
          <w:color w:val="000000" w:themeColor="text1"/>
          <w:sz w:val="18"/>
          <w:szCs w:val="18"/>
        </w:rPr>
      </w:pPr>
      <w:r w:rsidRPr="004633A2">
        <w:rPr>
          <w:rFonts w:ascii="Arial" w:hAnsi="Arial"/>
          <w:bCs/>
          <w:color w:val="000000" w:themeColor="text1"/>
          <w:sz w:val="18"/>
          <w:szCs w:val="18"/>
        </w:rPr>
        <w:t>Material hardship depth and socio-economic status</w:t>
      </w:r>
    </w:p>
    <w:p w14:paraId="5A38D50E" w14:textId="16D966C8" w:rsidR="004633A2" w:rsidRPr="004633A2" w:rsidRDefault="004633A2" w:rsidP="004633A2">
      <w:pPr>
        <w:tabs>
          <w:tab w:val="right" w:pos="9026"/>
        </w:tabs>
        <w:spacing w:before="240" w:after="0" w:line="240" w:lineRule="auto"/>
        <w:rPr>
          <w:rFonts w:ascii="Arial" w:hAnsi="Arial"/>
          <w:b/>
          <w:bCs/>
          <w:color w:val="FF0000"/>
          <w:szCs w:val="20"/>
        </w:rPr>
      </w:pPr>
      <w:r w:rsidRPr="004633A2">
        <w:rPr>
          <w:rFonts w:ascii="Arial" w:hAnsi="Arial"/>
          <w:b/>
          <w:bCs/>
          <w:color w:val="000000" w:themeColor="text1"/>
          <w:szCs w:val="20"/>
        </w:rPr>
        <w:t xml:space="preserve">Section F </w:t>
      </w:r>
    </w:p>
    <w:p w14:paraId="51524FA7" w14:textId="5644E57D" w:rsidR="004633A2" w:rsidRPr="004633A2" w:rsidRDefault="004633A2" w:rsidP="004633A2">
      <w:pPr>
        <w:tabs>
          <w:tab w:val="right" w:pos="9026"/>
        </w:tabs>
        <w:spacing w:after="80" w:line="240" w:lineRule="auto"/>
        <w:rPr>
          <w:rFonts w:ascii="Arial" w:hAnsi="Arial"/>
          <w:color w:val="000000" w:themeColor="text1"/>
          <w:szCs w:val="20"/>
        </w:rPr>
      </w:pPr>
      <w:r w:rsidRPr="004633A2">
        <w:rPr>
          <w:rFonts w:ascii="Arial" w:hAnsi="Arial"/>
          <w:b/>
          <w:bCs/>
          <w:color w:val="000000" w:themeColor="text1"/>
          <w:szCs w:val="20"/>
        </w:rPr>
        <w:t>Material hardship trends, 2007 to 2025</w:t>
      </w:r>
      <w:r w:rsidRPr="004633A2">
        <w:rPr>
          <w:rFonts w:ascii="Arial" w:hAnsi="Arial"/>
          <w:b/>
          <w:bCs/>
          <w:color w:val="000000" w:themeColor="text1"/>
          <w:sz w:val="22"/>
        </w:rPr>
        <w:tab/>
      </w:r>
      <w:r w:rsidR="00BB0B44" w:rsidRPr="007E03AE">
        <w:rPr>
          <w:rFonts w:ascii="Arial" w:hAnsi="Arial"/>
          <w:color w:val="000000" w:themeColor="text1"/>
          <w:sz w:val="18"/>
          <w:szCs w:val="18"/>
        </w:rPr>
        <w:t>5</w:t>
      </w:r>
      <w:r w:rsidR="00052B14">
        <w:rPr>
          <w:rFonts w:ascii="Arial" w:hAnsi="Arial"/>
          <w:color w:val="000000" w:themeColor="text1"/>
          <w:sz w:val="18"/>
          <w:szCs w:val="18"/>
        </w:rPr>
        <w:t>7</w:t>
      </w:r>
    </w:p>
    <w:p w14:paraId="5DC6A424" w14:textId="77777777" w:rsidR="004633A2" w:rsidRPr="004633A2" w:rsidRDefault="004633A2" w:rsidP="004633A2">
      <w:pPr>
        <w:tabs>
          <w:tab w:val="right" w:pos="9026"/>
        </w:tabs>
        <w:spacing w:after="0" w:line="240" w:lineRule="auto"/>
        <w:ind w:left="284"/>
        <w:rPr>
          <w:rFonts w:ascii="Arial" w:hAnsi="Arial"/>
          <w:color w:val="000000" w:themeColor="text1"/>
          <w:sz w:val="18"/>
          <w:szCs w:val="18"/>
        </w:rPr>
      </w:pPr>
      <w:r w:rsidRPr="004633A2">
        <w:rPr>
          <w:rFonts w:ascii="Arial" w:hAnsi="Arial"/>
          <w:color w:val="000000" w:themeColor="text1"/>
          <w:sz w:val="18"/>
          <w:szCs w:val="18"/>
        </w:rPr>
        <w:t>The approach taken to measuring material hardship trends</w:t>
      </w:r>
    </w:p>
    <w:p w14:paraId="2893D731"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All children</w:t>
      </w:r>
    </w:p>
    <w:p w14:paraId="4AB32BAC"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Comparisons with the whole population and with older New Zealanders</w:t>
      </w:r>
    </w:p>
    <w:p w14:paraId="569F3A27"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Tenure</w:t>
      </w:r>
    </w:p>
    <w:p w14:paraId="3586CDC0"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Ethnicity</w:t>
      </w:r>
    </w:p>
    <w:p w14:paraId="0F900197"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Disability status</w:t>
      </w:r>
    </w:p>
    <w:p w14:paraId="2299B23C"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‘Working’ and ‘beneficiary’ households</w:t>
      </w:r>
    </w:p>
    <w:p w14:paraId="7D5759FF" w14:textId="77777777" w:rsidR="004633A2" w:rsidRPr="004633A2" w:rsidRDefault="004633A2" w:rsidP="004633A2">
      <w:pPr>
        <w:tabs>
          <w:tab w:val="right" w:pos="9026"/>
        </w:tabs>
        <w:spacing w:before="60" w:after="0" w:line="240" w:lineRule="auto"/>
        <w:ind w:left="426"/>
        <w:rPr>
          <w:rFonts w:ascii="Arial" w:hAnsi="Arial"/>
          <w:color w:val="000000" w:themeColor="text1"/>
          <w:sz w:val="18"/>
          <w:szCs w:val="18"/>
        </w:rPr>
      </w:pPr>
      <w:r w:rsidRPr="004633A2">
        <w:rPr>
          <w:rFonts w:ascii="Arial" w:hAnsi="Arial"/>
          <w:color w:val="000000" w:themeColor="text1"/>
          <w:sz w:val="18"/>
          <w:szCs w:val="18"/>
        </w:rPr>
        <w:t>[Numbers only – Children in workless households - including international comparisons]</w:t>
      </w:r>
    </w:p>
    <w:p w14:paraId="1B24804D" w14:textId="77777777" w:rsidR="004633A2" w:rsidRPr="004633A2" w:rsidRDefault="004633A2" w:rsidP="004633A2">
      <w:pPr>
        <w:tabs>
          <w:tab w:val="right" w:pos="9026"/>
        </w:tabs>
        <w:spacing w:before="60" w:after="0" w:line="240" w:lineRule="auto"/>
        <w:ind w:left="426"/>
        <w:rPr>
          <w:rFonts w:ascii="Arial" w:hAnsi="Arial"/>
          <w:color w:val="000000" w:themeColor="text1"/>
          <w:sz w:val="18"/>
          <w:szCs w:val="18"/>
        </w:rPr>
      </w:pPr>
      <w:r w:rsidRPr="004633A2">
        <w:rPr>
          <w:rFonts w:ascii="Arial" w:eastAsia="Times New Roman" w:hAnsi="Arial"/>
          <w:color w:val="000000" w:themeColor="text1"/>
          <w:sz w:val="18"/>
          <w:szCs w:val="18"/>
          <w:lang w:val="en-GB"/>
        </w:rPr>
        <w:t xml:space="preserve">[Numbers only </w:t>
      </w:r>
      <w:r w:rsidRPr="004633A2">
        <w:rPr>
          <w:rFonts w:ascii="Arial" w:hAnsi="Arial"/>
          <w:color w:val="000000" w:themeColor="text1"/>
          <w:sz w:val="18"/>
          <w:szCs w:val="18"/>
        </w:rPr>
        <w:t xml:space="preserve">– </w:t>
      </w:r>
      <w:r w:rsidRPr="004633A2">
        <w:rPr>
          <w:rFonts w:ascii="Arial" w:eastAsia="Times New Roman" w:hAnsi="Arial"/>
          <w:color w:val="000000" w:themeColor="text1"/>
          <w:sz w:val="18"/>
          <w:szCs w:val="18"/>
          <w:lang w:val="en-GB"/>
        </w:rPr>
        <w:t>Children in workless households, in households with no full-time paid worker and in families in receipt of a main benefit]</w:t>
      </w:r>
    </w:p>
    <w:p w14:paraId="625ADCC4"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20"/>
        </w:rPr>
      </w:pPr>
      <w:r w:rsidRPr="004633A2">
        <w:rPr>
          <w:rFonts w:ascii="Arial" w:hAnsi="Arial"/>
          <w:color w:val="000000" w:themeColor="text1"/>
          <w:sz w:val="18"/>
          <w:szCs w:val="20"/>
        </w:rPr>
        <w:t>Trend in material wellbeing for children in households above the hardship threshold</w:t>
      </w:r>
    </w:p>
    <w:p w14:paraId="52D44064" w14:textId="25398BC2" w:rsidR="004633A2" w:rsidRPr="004633A2" w:rsidRDefault="004633A2" w:rsidP="004633A2">
      <w:pPr>
        <w:tabs>
          <w:tab w:val="right" w:pos="9026"/>
        </w:tabs>
        <w:spacing w:before="60" w:after="0" w:line="240" w:lineRule="auto"/>
        <w:ind w:left="284"/>
        <w:rPr>
          <w:rFonts w:ascii="Arial" w:hAnsi="Arial"/>
          <w:color w:val="FF0000"/>
          <w:sz w:val="18"/>
          <w:szCs w:val="20"/>
        </w:rPr>
      </w:pPr>
      <w:r w:rsidRPr="004633A2">
        <w:rPr>
          <w:rFonts w:ascii="Arial" w:hAnsi="Arial"/>
          <w:color w:val="000000" w:themeColor="text1"/>
          <w:sz w:val="18"/>
          <w:szCs w:val="20"/>
        </w:rPr>
        <w:t>Self-assessed income adequacy (</w:t>
      </w:r>
      <w:r w:rsidR="005D7B7C">
        <w:rPr>
          <w:rFonts w:ascii="Arial" w:hAnsi="Arial"/>
          <w:color w:val="000000" w:themeColor="text1"/>
          <w:sz w:val="18"/>
          <w:szCs w:val="20"/>
        </w:rPr>
        <w:t xml:space="preserve">‘not enough’ and </w:t>
      </w:r>
      <w:r w:rsidRPr="004633A2">
        <w:rPr>
          <w:rFonts w:ascii="Arial" w:hAnsi="Arial"/>
          <w:color w:val="000000" w:themeColor="text1"/>
          <w:sz w:val="18"/>
          <w:szCs w:val="20"/>
        </w:rPr>
        <w:t>‘enough’ or ‘more than enough’</w:t>
      </w:r>
      <w:r w:rsidR="00E45919">
        <w:rPr>
          <w:rFonts w:ascii="Arial" w:hAnsi="Arial"/>
          <w:color w:val="FF0000"/>
          <w:sz w:val="18"/>
          <w:szCs w:val="20"/>
        </w:rPr>
        <w:t>)</w:t>
      </w:r>
    </w:p>
    <w:p w14:paraId="093DB90B" w14:textId="77777777" w:rsidR="004633A2" w:rsidRPr="004633A2" w:rsidRDefault="004633A2" w:rsidP="004633A2">
      <w:pPr>
        <w:tabs>
          <w:tab w:val="right" w:pos="9026"/>
        </w:tabs>
        <w:spacing w:after="0" w:line="240" w:lineRule="auto"/>
        <w:ind w:left="284"/>
        <w:rPr>
          <w:rFonts w:ascii="Arial" w:hAnsi="Arial"/>
          <w:color w:val="FF0000"/>
          <w:sz w:val="16"/>
          <w:szCs w:val="16"/>
        </w:rPr>
      </w:pPr>
    </w:p>
    <w:p w14:paraId="1FF08EB3" w14:textId="77777777" w:rsidR="004633A2" w:rsidRPr="004633A2" w:rsidRDefault="004633A2" w:rsidP="004633A2">
      <w:pPr>
        <w:spacing w:after="0" w:line="240" w:lineRule="auto"/>
        <w:rPr>
          <w:rFonts w:ascii="Arial" w:hAnsi="Arial"/>
          <w:b/>
          <w:bCs/>
          <w:color w:val="000000" w:themeColor="text1"/>
          <w:szCs w:val="20"/>
        </w:rPr>
      </w:pPr>
      <w:r w:rsidRPr="004633A2">
        <w:rPr>
          <w:rFonts w:ascii="Arial" w:hAnsi="Arial"/>
          <w:b/>
          <w:bCs/>
          <w:color w:val="000000" w:themeColor="text1"/>
          <w:szCs w:val="20"/>
        </w:rPr>
        <w:t>Section G</w:t>
      </w:r>
    </w:p>
    <w:p w14:paraId="6A9F293D" w14:textId="56CA5CB3" w:rsidR="004633A2" w:rsidRPr="004633A2" w:rsidRDefault="004633A2" w:rsidP="004633A2">
      <w:pPr>
        <w:tabs>
          <w:tab w:val="right" w:pos="9026"/>
        </w:tabs>
        <w:spacing w:after="80" w:line="240" w:lineRule="auto"/>
        <w:rPr>
          <w:rFonts w:ascii="Arial" w:hAnsi="Arial"/>
          <w:b/>
          <w:bCs/>
          <w:color w:val="000000" w:themeColor="text1"/>
          <w:sz w:val="22"/>
        </w:rPr>
      </w:pPr>
      <w:r w:rsidRPr="004633A2">
        <w:rPr>
          <w:rFonts w:ascii="Arial" w:hAnsi="Arial"/>
          <w:b/>
          <w:bCs/>
          <w:color w:val="000000" w:themeColor="text1"/>
          <w:szCs w:val="20"/>
        </w:rPr>
        <w:t>Trends in the real CPI-adjusted incomes for households with children</w:t>
      </w:r>
      <w:r w:rsidRPr="004633A2">
        <w:rPr>
          <w:rFonts w:ascii="Arial" w:hAnsi="Arial"/>
          <w:b/>
          <w:bCs/>
          <w:color w:val="000000" w:themeColor="text1"/>
          <w:sz w:val="22"/>
        </w:rPr>
        <w:tab/>
      </w:r>
      <w:r w:rsidR="00052B14">
        <w:rPr>
          <w:rFonts w:ascii="Arial" w:hAnsi="Arial"/>
          <w:color w:val="000000" w:themeColor="text1"/>
          <w:sz w:val="18"/>
          <w:szCs w:val="18"/>
        </w:rPr>
        <w:t>71</w:t>
      </w:r>
    </w:p>
    <w:p w14:paraId="76FDFC8C" w14:textId="77777777" w:rsidR="004633A2" w:rsidRPr="004633A2" w:rsidRDefault="004633A2" w:rsidP="004633A2">
      <w:pPr>
        <w:tabs>
          <w:tab w:val="right" w:pos="9026"/>
        </w:tabs>
        <w:spacing w:after="0" w:line="240" w:lineRule="auto"/>
        <w:ind w:left="284"/>
        <w:rPr>
          <w:rFonts w:ascii="Arial" w:hAnsi="Arial"/>
          <w:color w:val="000000" w:themeColor="text1"/>
          <w:sz w:val="18"/>
          <w:szCs w:val="18"/>
        </w:rPr>
      </w:pPr>
      <w:r w:rsidRPr="004633A2">
        <w:rPr>
          <w:rFonts w:ascii="Arial" w:hAnsi="Arial"/>
          <w:color w:val="000000" w:themeColor="text1"/>
          <w:sz w:val="18"/>
          <w:szCs w:val="18"/>
        </w:rPr>
        <w:t>Real vs nominal trends for selected household incomes</w:t>
      </w:r>
    </w:p>
    <w:p w14:paraId="08CE7C93"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Median incomes – whole population (BHC and AHC)</w:t>
      </w:r>
    </w:p>
    <w:p w14:paraId="748DD4A9"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p20 and p70  – whole population (BHC and AHC)</w:t>
      </w:r>
    </w:p>
    <w:p w14:paraId="00245F9E"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Median incomes – children in their households (BHC and AHC)</w:t>
      </w:r>
    </w:p>
    <w:p w14:paraId="0E74EC92"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p10, p20 and p30 – children in their households (AHC)</w:t>
      </w:r>
    </w:p>
    <w:p w14:paraId="36A44B0C"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Selected factors impacting on trends in household incomes</w:t>
      </w:r>
    </w:p>
    <w:p w14:paraId="57DFE16F"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Trends in the real hourly rate for the minimum wage and the median wage</w:t>
      </w:r>
    </w:p>
    <w:p w14:paraId="42D835B7"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Proportion of two parent HHs that are two-earner HHs</w:t>
      </w:r>
    </w:p>
    <w:p w14:paraId="7B9197E0"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Proportion of children in beneficiary households</w:t>
      </w:r>
    </w:p>
    <w:p w14:paraId="1B7C69E2" w14:textId="77777777" w:rsidR="004633A2" w:rsidRPr="004633A2" w:rsidRDefault="004633A2" w:rsidP="004633A2">
      <w:pPr>
        <w:tabs>
          <w:tab w:val="right" w:pos="9026"/>
        </w:tabs>
        <w:spacing w:after="0" w:line="240" w:lineRule="auto"/>
        <w:ind w:left="709"/>
        <w:rPr>
          <w:rFonts w:ascii="Arial" w:hAnsi="Arial"/>
          <w:color w:val="000000" w:themeColor="text1"/>
          <w:sz w:val="16"/>
          <w:szCs w:val="16"/>
        </w:rPr>
      </w:pPr>
      <w:r w:rsidRPr="004633A2">
        <w:rPr>
          <w:rFonts w:ascii="Arial" w:hAnsi="Arial"/>
          <w:color w:val="000000" w:themeColor="text1"/>
          <w:sz w:val="16"/>
          <w:szCs w:val="16"/>
        </w:rPr>
        <w:t>Real-terms trends in core benefit + FB/WFF and in total incomes for beneficiary families</w:t>
      </w:r>
    </w:p>
    <w:p w14:paraId="0EF6C02C"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sz w:val="18"/>
          <w:szCs w:val="18"/>
        </w:rPr>
        <w:t xml:space="preserve">Household income trends for children by household type and ethnicity (1982 to 2025) </w:t>
      </w:r>
    </w:p>
    <w:p w14:paraId="2B370CE3" w14:textId="77777777" w:rsidR="004633A2" w:rsidRPr="004633A2" w:rsidRDefault="004633A2" w:rsidP="004633A2">
      <w:pPr>
        <w:tabs>
          <w:tab w:val="right" w:pos="9026"/>
        </w:tabs>
        <w:spacing w:after="0" w:line="240" w:lineRule="auto"/>
        <w:ind w:left="284"/>
        <w:rPr>
          <w:rFonts w:ascii="Arial" w:hAnsi="Arial"/>
          <w:color w:val="000000" w:themeColor="text1"/>
          <w:szCs w:val="20"/>
        </w:rPr>
      </w:pPr>
    </w:p>
    <w:p w14:paraId="79F61D14" w14:textId="77777777" w:rsidR="004633A2" w:rsidRPr="004633A2" w:rsidRDefault="004633A2" w:rsidP="004633A2">
      <w:pPr>
        <w:spacing w:after="0" w:line="240" w:lineRule="auto"/>
        <w:rPr>
          <w:rFonts w:ascii="Arial" w:hAnsi="Arial"/>
          <w:b/>
          <w:bCs/>
          <w:color w:val="000000" w:themeColor="text1"/>
          <w:szCs w:val="20"/>
        </w:rPr>
      </w:pPr>
      <w:r w:rsidRPr="004633A2">
        <w:rPr>
          <w:rFonts w:ascii="Arial" w:hAnsi="Arial"/>
          <w:b/>
          <w:bCs/>
          <w:color w:val="000000" w:themeColor="text1"/>
          <w:szCs w:val="20"/>
        </w:rPr>
        <w:br w:type="page"/>
      </w:r>
    </w:p>
    <w:p w14:paraId="71C68671" w14:textId="77777777" w:rsidR="004633A2" w:rsidRPr="004633A2" w:rsidRDefault="004633A2" w:rsidP="004633A2">
      <w:pPr>
        <w:tabs>
          <w:tab w:val="right" w:pos="9026"/>
        </w:tabs>
        <w:spacing w:after="0" w:line="240" w:lineRule="auto"/>
        <w:rPr>
          <w:rFonts w:ascii="Arial" w:hAnsi="Arial"/>
          <w:b/>
          <w:bCs/>
          <w:color w:val="000000" w:themeColor="text1"/>
          <w:szCs w:val="20"/>
        </w:rPr>
      </w:pPr>
      <w:r w:rsidRPr="004633A2">
        <w:rPr>
          <w:rFonts w:ascii="Arial" w:hAnsi="Arial"/>
          <w:b/>
          <w:bCs/>
          <w:color w:val="000000" w:themeColor="text1"/>
          <w:szCs w:val="20"/>
        </w:rPr>
        <w:lastRenderedPageBreak/>
        <w:t>Section H</w:t>
      </w:r>
    </w:p>
    <w:p w14:paraId="682098C1" w14:textId="0C130122" w:rsidR="004633A2" w:rsidRPr="004633A2" w:rsidRDefault="004633A2" w:rsidP="004633A2">
      <w:pPr>
        <w:tabs>
          <w:tab w:val="right" w:pos="9026"/>
        </w:tabs>
        <w:spacing w:after="80" w:line="240" w:lineRule="auto"/>
        <w:rPr>
          <w:rFonts w:ascii="Arial" w:hAnsi="Arial"/>
          <w:b/>
          <w:bCs/>
          <w:color w:val="000000" w:themeColor="text1"/>
          <w:szCs w:val="20"/>
        </w:rPr>
      </w:pPr>
      <w:r w:rsidRPr="004633A2">
        <w:rPr>
          <w:rFonts w:ascii="Arial" w:hAnsi="Arial"/>
          <w:b/>
          <w:bCs/>
          <w:color w:val="000000" w:themeColor="text1"/>
          <w:szCs w:val="20"/>
        </w:rPr>
        <w:t>Trends in AHC low-income (poverty) rates for children in their households</w:t>
      </w:r>
      <w:r w:rsidRPr="004633A2">
        <w:rPr>
          <w:rFonts w:ascii="Arial" w:hAnsi="Arial"/>
          <w:b/>
          <w:bCs/>
          <w:color w:val="000000" w:themeColor="text1"/>
          <w:szCs w:val="20"/>
        </w:rPr>
        <w:tab/>
      </w:r>
      <w:r w:rsidR="00BB0B44">
        <w:rPr>
          <w:rFonts w:ascii="Arial" w:hAnsi="Arial"/>
          <w:color w:val="000000" w:themeColor="text1"/>
          <w:sz w:val="18"/>
          <w:szCs w:val="18"/>
        </w:rPr>
        <w:t>7</w:t>
      </w:r>
      <w:r w:rsidR="00052B14">
        <w:rPr>
          <w:rFonts w:ascii="Arial" w:hAnsi="Arial"/>
          <w:color w:val="000000" w:themeColor="text1"/>
          <w:sz w:val="18"/>
          <w:szCs w:val="18"/>
        </w:rPr>
        <w:t>7</w:t>
      </w:r>
    </w:p>
    <w:p w14:paraId="4591201F" w14:textId="77777777" w:rsidR="004633A2" w:rsidRPr="004633A2" w:rsidRDefault="004633A2" w:rsidP="004633A2">
      <w:pPr>
        <w:tabs>
          <w:tab w:val="right" w:pos="9026"/>
        </w:tabs>
        <w:spacing w:after="0" w:line="240" w:lineRule="auto"/>
        <w:ind w:left="284"/>
        <w:rPr>
          <w:rFonts w:ascii="Arial" w:hAnsi="Arial"/>
          <w:color w:val="000000" w:themeColor="text1"/>
          <w:sz w:val="18"/>
          <w:szCs w:val="18"/>
        </w:rPr>
      </w:pPr>
      <w:r w:rsidRPr="004633A2">
        <w:rPr>
          <w:rFonts w:ascii="Arial" w:hAnsi="Arial"/>
          <w:color w:val="000000" w:themeColor="text1"/>
          <w:sz w:val="18"/>
          <w:szCs w:val="18"/>
        </w:rPr>
        <w:t>Constant value or fixed line approach (FIXED) using AHC 50</w:t>
      </w:r>
    </w:p>
    <w:p w14:paraId="6B8A1056" w14:textId="77777777" w:rsidR="004633A2" w:rsidRPr="004633A2" w:rsidRDefault="004633A2" w:rsidP="004633A2">
      <w:pPr>
        <w:tabs>
          <w:tab w:val="right" w:pos="9026"/>
        </w:tabs>
        <w:spacing w:after="0" w:line="240" w:lineRule="auto"/>
        <w:ind w:left="709"/>
        <w:rPr>
          <w:rFonts w:ascii="Arial" w:hAnsi="Arial"/>
          <w:color w:val="000000" w:themeColor="text1"/>
          <w:sz w:val="18"/>
          <w:szCs w:val="18"/>
        </w:rPr>
      </w:pPr>
      <w:r w:rsidRPr="004633A2">
        <w:rPr>
          <w:rFonts w:ascii="Arial" w:hAnsi="Arial"/>
          <w:color w:val="000000" w:themeColor="text1"/>
          <w:sz w:val="18"/>
          <w:szCs w:val="18"/>
        </w:rPr>
        <w:t>Similarity in trends for AHC (fixed) and material hardship</w:t>
      </w:r>
    </w:p>
    <w:p w14:paraId="2AA1B399"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Moving line or relative (REL) approach using AHC 40 50 and 60 REL</w:t>
      </w:r>
    </w:p>
    <w:p w14:paraId="1873ADE8" w14:textId="77777777" w:rsidR="004633A2" w:rsidRPr="004633A2" w:rsidRDefault="004633A2" w:rsidP="004633A2">
      <w:pPr>
        <w:tabs>
          <w:tab w:val="right" w:pos="9026"/>
        </w:tabs>
        <w:spacing w:after="0" w:line="240" w:lineRule="auto"/>
        <w:ind w:left="284"/>
        <w:rPr>
          <w:rFonts w:ascii="Arial" w:hAnsi="Arial"/>
          <w:color w:val="000000" w:themeColor="text1"/>
          <w:sz w:val="18"/>
          <w:szCs w:val="18"/>
        </w:rPr>
      </w:pPr>
    </w:p>
    <w:p w14:paraId="389B3C9A" w14:textId="77777777" w:rsidR="00BB0B44" w:rsidRDefault="00BB0B44" w:rsidP="004633A2">
      <w:pPr>
        <w:tabs>
          <w:tab w:val="right" w:pos="9026"/>
        </w:tabs>
        <w:spacing w:after="0" w:line="240" w:lineRule="auto"/>
        <w:rPr>
          <w:rFonts w:ascii="Arial" w:hAnsi="Arial"/>
          <w:b/>
          <w:bCs/>
          <w:color w:val="000000" w:themeColor="text1"/>
          <w:szCs w:val="20"/>
        </w:rPr>
      </w:pPr>
    </w:p>
    <w:p w14:paraId="6558ABB5" w14:textId="3F123580" w:rsidR="004633A2" w:rsidRPr="004633A2" w:rsidRDefault="004633A2" w:rsidP="004633A2">
      <w:pPr>
        <w:tabs>
          <w:tab w:val="right" w:pos="9026"/>
        </w:tabs>
        <w:spacing w:after="0" w:line="240" w:lineRule="auto"/>
        <w:rPr>
          <w:rFonts w:ascii="Arial" w:hAnsi="Arial"/>
          <w:b/>
          <w:bCs/>
          <w:color w:val="000000" w:themeColor="text1"/>
          <w:szCs w:val="20"/>
        </w:rPr>
      </w:pPr>
      <w:r w:rsidRPr="004633A2">
        <w:rPr>
          <w:rFonts w:ascii="Arial" w:hAnsi="Arial"/>
          <w:b/>
          <w:bCs/>
          <w:color w:val="000000" w:themeColor="text1"/>
          <w:szCs w:val="20"/>
        </w:rPr>
        <w:t>Section I</w:t>
      </w:r>
    </w:p>
    <w:p w14:paraId="15C02ABA" w14:textId="0A2FAAFD" w:rsidR="004633A2" w:rsidRPr="004633A2" w:rsidRDefault="004633A2" w:rsidP="004633A2">
      <w:pPr>
        <w:tabs>
          <w:tab w:val="right" w:pos="9026"/>
        </w:tabs>
        <w:spacing w:after="80" w:line="240" w:lineRule="auto"/>
        <w:rPr>
          <w:rFonts w:ascii="Arial" w:hAnsi="Arial"/>
          <w:b/>
          <w:bCs/>
          <w:color w:val="000000" w:themeColor="text1"/>
          <w:sz w:val="22"/>
        </w:rPr>
      </w:pPr>
      <w:r w:rsidRPr="004633A2">
        <w:rPr>
          <w:rFonts w:ascii="Arial" w:hAnsi="Arial"/>
          <w:b/>
          <w:bCs/>
          <w:color w:val="000000" w:themeColor="text1"/>
          <w:szCs w:val="20"/>
        </w:rPr>
        <w:t>Housing costs and housing affordability for owners &amp; renters (HHs with children)</w:t>
      </w:r>
      <w:r w:rsidRPr="004633A2">
        <w:rPr>
          <w:rFonts w:ascii="Arial" w:hAnsi="Arial"/>
          <w:b/>
          <w:bCs/>
          <w:color w:val="000000" w:themeColor="text1"/>
          <w:sz w:val="22"/>
        </w:rPr>
        <w:tab/>
      </w:r>
      <w:r w:rsidR="007E03AE">
        <w:rPr>
          <w:rFonts w:ascii="Arial" w:hAnsi="Arial"/>
          <w:color w:val="000000" w:themeColor="text1"/>
          <w:sz w:val="18"/>
          <w:szCs w:val="18"/>
        </w:rPr>
        <w:t>8</w:t>
      </w:r>
      <w:r w:rsidR="00052B14">
        <w:rPr>
          <w:rFonts w:ascii="Arial" w:hAnsi="Arial"/>
          <w:color w:val="000000" w:themeColor="text1"/>
          <w:sz w:val="18"/>
          <w:szCs w:val="18"/>
        </w:rPr>
        <w:t>3</w:t>
      </w:r>
    </w:p>
    <w:p w14:paraId="0833F199" w14:textId="77777777" w:rsidR="004633A2" w:rsidRPr="004633A2" w:rsidRDefault="004633A2" w:rsidP="004633A2">
      <w:pPr>
        <w:tabs>
          <w:tab w:val="right" w:pos="9026"/>
        </w:tabs>
        <w:spacing w:after="0" w:line="240" w:lineRule="auto"/>
        <w:ind w:left="284"/>
        <w:rPr>
          <w:rFonts w:ascii="Arial" w:hAnsi="Arial"/>
          <w:color w:val="000000" w:themeColor="text1"/>
          <w:sz w:val="18"/>
          <w:szCs w:val="18"/>
        </w:rPr>
      </w:pPr>
      <w:r w:rsidRPr="004633A2">
        <w:rPr>
          <w:rFonts w:ascii="Arial" w:hAnsi="Arial"/>
          <w:color w:val="000000" w:themeColor="text1"/>
          <w:sz w:val="18"/>
          <w:szCs w:val="18"/>
        </w:rPr>
        <w:t>Numbers and proportions of children by tenure (2024-25)</w:t>
      </w:r>
    </w:p>
    <w:p w14:paraId="4BC82DC2"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18"/>
        </w:rPr>
        <w:t>Average housing costs relative to household BHC income, by income quintile, 1988 to 2025</w:t>
      </w:r>
    </w:p>
    <w:p w14:paraId="599047A3" w14:textId="77777777" w:rsidR="004633A2" w:rsidRPr="004633A2" w:rsidRDefault="004633A2" w:rsidP="004633A2">
      <w:pPr>
        <w:tabs>
          <w:tab w:val="right" w:pos="9026"/>
        </w:tabs>
        <w:spacing w:before="60" w:after="0" w:line="240" w:lineRule="auto"/>
        <w:ind w:left="284"/>
        <w:rPr>
          <w:rFonts w:ascii="Arial" w:hAnsi="Arial"/>
          <w:color w:val="000000" w:themeColor="text1"/>
          <w:sz w:val="18"/>
          <w:szCs w:val="18"/>
        </w:rPr>
      </w:pPr>
      <w:r w:rsidRPr="004633A2">
        <w:rPr>
          <w:rFonts w:ascii="Arial" w:hAnsi="Arial"/>
          <w:color w:val="000000" w:themeColor="text1"/>
          <w:sz w:val="18"/>
          <w:szCs w:val="20"/>
        </w:rPr>
        <w:t>Housing affordability using housing-outgoings-to-income ratios (OTIs) set at 30%, 40% and 50%</w:t>
      </w:r>
    </w:p>
    <w:p w14:paraId="0F192218" w14:textId="77777777" w:rsidR="004633A2" w:rsidRPr="004633A2" w:rsidRDefault="004633A2" w:rsidP="004633A2">
      <w:pPr>
        <w:tabs>
          <w:tab w:val="right" w:pos="9026"/>
        </w:tabs>
        <w:spacing w:after="0" w:line="240" w:lineRule="auto"/>
        <w:ind w:left="709"/>
        <w:rPr>
          <w:rFonts w:ascii="Arial" w:hAnsi="Arial"/>
          <w:color w:val="000000" w:themeColor="text1"/>
          <w:sz w:val="18"/>
          <w:szCs w:val="18"/>
        </w:rPr>
      </w:pPr>
      <w:r w:rsidRPr="004633A2">
        <w:rPr>
          <w:rFonts w:ascii="Arial" w:hAnsi="Arial"/>
          <w:color w:val="000000" w:themeColor="text1"/>
          <w:sz w:val="18"/>
          <w:szCs w:val="18"/>
        </w:rPr>
        <w:t>All households with children</w:t>
      </w:r>
    </w:p>
    <w:p w14:paraId="523D9915" w14:textId="77777777" w:rsidR="004633A2" w:rsidRPr="004633A2" w:rsidRDefault="004633A2" w:rsidP="004633A2">
      <w:pPr>
        <w:tabs>
          <w:tab w:val="right" w:pos="9026"/>
        </w:tabs>
        <w:spacing w:after="0" w:line="240" w:lineRule="auto"/>
        <w:ind w:left="709"/>
        <w:rPr>
          <w:rFonts w:ascii="Arial" w:hAnsi="Arial"/>
          <w:color w:val="000000" w:themeColor="text1"/>
          <w:sz w:val="18"/>
          <w:szCs w:val="18"/>
        </w:rPr>
      </w:pPr>
      <w:r w:rsidRPr="004633A2">
        <w:rPr>
          <w:rFonts w:ascii="Arial" w:hAnsi="Arial"/>
          <w:color w:val="000000" w:themeColor="text1"/>
          <w:sz w:val="18"/>
          <w:szCs w:val="18"/>
        </w:rPr>
        <w:t>Low-income households with children, privately owned</w:t>
      </w:r>
    </w:p>
    <w:p w14:paraId="20269478" w14:textId="77777777" w:rsidR="004633A2" w:rsidRPr="004633A2" w:rsidRDefault="004633A2" w:rsidP="004633A2">
      <w:pPr>
        <w:tabs>
          <w:tab w:val="right" w:pos="9026"/>
        </w:tabs>
        <w:spacing w:after="0" w:line="240" w:lineRule="auto"/>
        <w:ind w:left="709"/>
        <w:rPr>
          <w:rFonts w:ascii="Arial" w:hAnsi="Arial"/>
          <w:color w:val="000000" w:themeColor="text1"/>
          <w:sz w:val="18"/>
          <w:szCs w:val="18"/>
        </w:rPr>
      </w:pPr>
      <w:r w:rsidRPr="004633A2">
        <w:rPr>
          <w:rFonts w:ascii="Arial" w:hAnsi="Arial"/>
          <w:color w:val="000000" w:themeColor="text1"/>
          <w:sz w:val="18"/>
          <w:szCs w:val="18"/>
        </w:rPr>
        <w:t>Renting privately and receiving the AS</w:t>
      </w:r>
    </w:p>
    <w:p w14:paraId="031A9145" w14:textId="77777777" w:rsidR="004633A2" w:rsidRPr="004633A2" w:rsidRDefault="004633A2" w:rsidP="004633A2">
      <w:pPr>
        <w:tabs>
          <w:tab w:val="right" w:pos="9026"/>
        </w:tabs>
        <w:spacing w:after="0" w:line="240" w:lineRule="auto"/>
        <w:ind w:left="709"/>
        <w:rPr>
          <w:rFonts w:ascii="Arial" w:hAnsi="Arial"/>
          <w:color w:val="000000" w:themeColor="text1"/>
          <w:sz w:val="18"/>
          <w:szCs w:val="18"/>
        </w:rPr>
      </w:pPr>
    </w:p>
    <w:p w14:paraId="2D43B718" w14:textId="77777777" w:rsidR="004633A2" w:rsidRPr="004633A2" w:rsidRDefault="004633A2" w:rsidP="004633A2">
      <w:pPr>
        <w:spacing w:after="0" w:line="240" w:lineRule="auto"/>
        <w:rPr>
          <w:rFonts w:ascii="Arial" w:hAnsi="Arial"/>
          <w:b/>
          <w:bCs/>
          <w:color w:val="000000" w:themeColor="text1"/>
          <w:sz w:val="24"/>
          <w:szCs w:val="24"/>
        </w:rPr>
      </w:pPr>
    </w:p>
    <w:p w14:paraId="19D3E1F3" w14:textId="06AC9FC7" w:rsidR="004633A2" w:rsidRPr="004633A2" w:rsidRDefault="004633A2" w:rsidP="004633A2">
      <w:pPr>
        <w:tabs>
          <w:tab w:val="right" w:pos="9026"/>
        </w:tabs>
        <w:spacing w:after="0" w:line="240" w:lineRule="auto"/>
        <w:rPr>
          <w:rFonts w:ascii="Arial" w:hAnsi="Arial"/>
          <w:color w:val="000000" w:themeColor="text1"/>
          <w:szCs w:val="20"/>
        </w:rPr>
      </w:pPr>
      <w:r w:rsidRPr="004633A2">
        <w:rPr>
          <w:rFonts w:ascii="Arial" w:hAnsi="Arial"/>
          <w:b/>
          <w:bCs/>
          <w:color w:val="000000" w:themeColor="text1"/>
          <w:szCs w:val="20"/>
        </w:rPr>
        <w:t>References</w:t>
      </w:r>
      <w:r w:rsidRPr="004633A2">
        <w:rPr>
          <w:rFonts w:ascii="Arial" w:hAnsi="Arial"/>
          <w:b/>
          <w:bCs/>
          <w:color w:val="000000" w:themeColor="text1"/>
          <w:szCs w:val="20"/>
        </w:rPr>
        <w:tab/>
      </w:r>
      <w:r w:rsidR="000B394B" w:rsidRPr="00740D46">
        <w:rPr>
          <w:rFonts w:ascii="Arial" w:hAnsi="Arial"/>
          <w:color w:val="000000" w:themeColor="text1"/>
          <w:sz w:val="18"/>
          <w:szCs w:val="18"/>
        </w:rPr>
        <w:t>8</w:t>
      </w:r>
      <w:r w:rsidR="00052B14">
        <w:rPr>
          <w:rFonts w:ascii="Arial" w:hAnsi="Arial"/>
          <w:color w:val="000000" w:themeColor="text1"/>
          <w:sz w:val="18"/>
          <w:szCs w:val="18"/>
        </w:rPr>
        <w:t>7</w:t>
      </w:r>
    </w:p>
    <w:p w14:paraId="708FE3AB" w14:textId="77777777" w:rsidR="004633A2" w:rsidRPr="004633A2" w:rsidRDefault="004633A2" w:rsidP="004633A2">
      <w:pPr>
        <w:tabs>
          <w:tab w:val="right" w:pos="9026"/>
        </w:tabs>
        <w:spacing w:after="0" w:line="240" w:lineRule="auto"/>
        <w:rPr>
          <w:rFonts w:ascii="Arial" w:hAnsi="Arial"/>
          <w:color w:val="000000" w:themeColor="text1"/>
          <w:szCs w:val="20"/>
        </w:rPr>
      </w:pPr>
    </w:p>
    <w:p w14:paraId="5B1E0065" w14:textId="77777777" w:rsidR="004633A2" w:rsidRPr="004633A2" w:rsidRDefault="004633A2" w:rsidP="004633A2">
      <w:pPr>
        <w:tabs>
          <w:tab w:val="right" w:pos="9026"/>
        </w:tabs>
        <w:spacing w:after="0" w:line="240" w:lineRule="auto"/>
        <w:rPr>
          <w:rFonts w:ascii="Arial" w:hAnsi="Arial"/>
          <w:b/>
          <w:bCs/>
          <w:color w:val="000000" w:themeColor="text1"/>
          <w:szCs w:val="20"/>
        </w:rPr>
      </w:pPr>
    </w:p>
    <w:p w14:paraId="29020479" w14:textId="1F6BEBCD" w:rsidR="004633A2" w:rsidRPr="004633A2" w:rsidRDefault="004633A2" w:rsidP="004633A2">
      <w:pPr>
        <w:tabs>
          <w:tab w:val="right" w:pos="9026"/>
        </w:tabs>
        <w:spacing w:after="0" w:line="240" w:lineRule="auto"/>
        <w:rPr>
          <w:rFonts w:ascii="Arial" w:hAnsi="Arial"/>
          <w:color w:val="000000" w:themeColor="text1"/>
          <w:szCs w:val="20"/>
        </w:rPr>
      </w:pPr>
      <w:r w:rsidRPr="004633A2">
        <w:rPr>
          <w:rFonts w:ascii="Arial" w:hAnsi="Arial"/>
          <w:b/>
          <w:bCs/>
          <w:color w:val="000000" w:themeColor="text1"/>
          <w:szCs w:val="20"/>
        </w:rPr>
        <w:t xml:space="preserve">Appendices </w:t>
      </w:r>
      <w:r w:rsidRPr="004633A2">
        <w:rPr>
          <w:rFonts w:ascii="Arial" w:hAnsi="Arial"/>
          <w:b/>
          <w:bCs/>
          <w:color w:val="000000" w:themeColor="text1"/>
          <w:sz w:val="22"/>
        </w:rPr>
        <w:tab/>
      </w:r>
      <w:r w:rsidR="00052B14">
        <w:rPr>
          <w:rFonts w:ascii="Arial" w:hAnsi="Arial"/>
          <w:color w:val="000000" w:themeColor="text1"/>
          <w:sz w:val="18"/>
          <w:szCs w:val="18"/>
        </w:rPr>
        <w:t>90</w:t>
      </w:r>
    </w:p>
    <w:p w14:paraId="4D72715E" w14:textId="77777777" w:rsidR="004633A2" w:rsidRPr="004633A2" w:rsidRDefault="004633A2" w:rsidP="004633A2">
      <w:pPr>
        <w:tabs>
          <w:tab w:val="right" w:pos="9026"/>
        </w:tabs>
        <w:spacing w:after="0" w:line="240" w:lineRule="auto"/>
        <w:rPr>
          <w:rFonts w:ascii="Arial" w:hAnsi="Arial"/>
          <w:b/>
          <w:bCs/>
          <w:color w:val="000000" w:themeColor="text1"/>
          <w:sz w:val="22"/>
        </w:rPr>
      </w:pPr>
    </w:p>
    <w:p w14:paraId="3A741411" w14:textId="77777777" w:rsidR="004633A2" w:rsidRPr="004633A2" w:rsidRDefault="004633A2" w:rsidP="004633A2">
      <w:pPr>
        <w:numPr>
          <w:ilvl w:val="0"/>
          <w:numId w:val="33"/>
        </w:numPr>
        <w:spacing w:after="0" w:line="240" w:lineRule="auto"/>
        <w:ind w:left="641" w:hanging="357"/>
        <w:rPr>
          <w:rFonts w:ascii="Arial" w:hAnsi="Arial"/>
          <w:color w:val="0000FF"/>
          <w:sz w:val="18"/>
          <w:szCs w:val="18"/>
        </w:rPr>
      </w:pPr>
      <w:r w:rsidRPr="004633A2">
        <w:rPr>
          <w:rFonts w:ascii="Arial" w:hAnsi="Arial"/>
          <w:color w:val="000000" w:themeColor="text1"/>
          <w:sz w:val="18"/>
          <w:szCs w:val="18"/>
        </w:rPr>
        <w:t>Further information on the Data Sources for the analysis in this report: Stats NZ’s Household Economic Survey (HES) and Household Living Survey (HILS) and some associated administrative data.</w:t>
      </w:r>
    </w:p>
    <w:p w14:paraId="12329FC1"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 xml:space="preserve">CPRA official child poverty figures from Stats NZ, 2017-18 to 2024-25. </w:t>
      </w:r>
    </w:p>
    <w:p w14:paraId="3B275ED8"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Composition of material hardship indices used in this report (EU-13, DEP-17/MH-18 and the MWI-24 and MWI-26), plus the child-specific items for HES 2023-24.</w:t>
      </w:r>
    </w:p>
    <w:p w14:paraId="706E52FE" w14:textId="77777777" w:rsidR="004633A2" w:rsidRPr="004633A2" w:rsidRDefault="004633A2" w:rsidP="004633A2">
      <w:pPr>
        <w:numPr>
          <w:ilvl w:val="0"/>
          <w:numId w:val="33"/>
        </w:numPr>
        <w:spacing w:before="120" w:after="0" w:line="240" w:lineRule="auto"/>
        <w:ind w:left="641" w:hanging="357"/>
        <w:rPr>
          <w:rFonts w:ascii="Arial" w:hAnsi="Arial"/>
          <w:bCs/>
          <w:color w:val="000000" w:themeColor="text1"/>
          <w:sz w:val="18"/>
          <w:szCs w:val="18"/>
        </w:rPr>
      </w:pPr>
      <w:r w:rsidRPr="004633A2">
        <w:rPr>
          <w:rFonts w:ascii="Arial" w:hAnsi="Arial"/>
          <w:bCs/>
          <w:sz w:val="18"/>
          <w:szCs w:val="18"/>
        </w:rPr>
        <w:t>Trends showing the close similarity of material hardship assessments for children using three indices (DEP-17, EU-13 and MWI)</w:t>
      </w:r>
    </w:p>
    <w:p w14:paraId="5372C1E6" w14:textId="77777777" w:rsidR="004633A2" w:rsidRPr="004633A2" w:rsidRDefault="004633A2" w:rsidP="004633A2">
      <w:pPr>
        <w:numPr>
          <w:ilvl w:val="0"/>
          <w:numId w:val="33"/>
        </w:numPr>
        <w:spacing w:before="120" w:after="0" w:line="240" w:lineRule="auto"/>
        <w:ind w:left="641" w:hanging="357"/>
        <w:rPr>
          <w:rFonts w:ascii="Arial" w:hAnsi="Arial"/>
          <w:i/>
          <w:iCs/>
          <w:color w:val="000000" w:themeColor="text1"/>
          <w:sz w:val="18"/>
          <w:szCs w:val="18"/>
        </w:rPr>
      </w:pPr>
      <w:r w:rsidRPr="004633A2">
        <w:rPr>
          <w:rFonts w:ascii="Arial" w:hAnsi="Arial"/>
          <w:color w:val="000000" w:themeColor="text1"/>
          <w:sz w:val="18"/>
          <w:szCs w:val="18"/>
        </w:rPr>
        <w:t>Whole population version of Table D.5.</w:t>
      </w:r>
    </w:p>
    <w:p w14:paraId="7485767C" w14:textId="77777777" w:rsidR="004633A2" w:rsidRPr="004633A2" w:rsidRDefault="004633A2" w:rsidP="004633A2">
      <w:pPr>
        <w:numPr>
          <w:ilvl w:val="0"/>
          <w:numId w:val="33"/>
        </w:numPr>
        <w:spacing w:before="120" w:after="0" w:line="240" w:lineRule="auto"/>
        <w:ind w:left="641" w:hanging="357"/>
        <w:rPr>
          <w:rFonts w:ascii="Arial" w:hAnsi="Arial"/>
          <w:i/>
          <w:iCs/>
          <w:color w:val="000000" w:themeColor="text1"/>
          <w:sz w:val="18"/>
          <w:szCs w:val="18"/>
        </w:rPr>
      </w:pPr>
      <w:r w:rsidRPr="004633A2">
        <w:rPr>
          <w:rFonts w:ascii="Arial" w:hAnsi="Arial"/>
          <w:color w:val="000000" w:themeColor="text1"/>
          <w:sz w:val="18"/>
          <w:szCs w:val="18"/>
        </w:rPr>
        <w:t>Sensitivity of findings to choice of 80% rather than 50% as the threshold for ‘main source’ of household income.</w:t>
      </w:r>
    </w:p>
    <w:p w14:paraId="3F1F5C65" w14:textId="77777777" w:rsidR="004633A2" w:rsidRPr="004633A2" w:rsidRDefault="004633A2" w:rsidP="004633A2">
      <w:pPr>
        <w:numPr>
          <w:ilvl w:val="0"/>
          <w:numId w:val="33"/>
        </w:numPr>
        <w:spacing w:before="120" w:after="0" w:line="240" w:lineRule="auto"/>
        <w:ind w:left="641" w:hanging="357"/>
        <w:rPr>
          <w:rFonts w:ascii="Arial" w:hAnsi="Arial"/>
          <w:i/>
          <w:iCs/>
          <w:color w:val="000000" w:themeColor="text1"/>
          <w:sz w:val="18"/>
          <w:szCs w:val="18"/>
        </w:rPr>
      </w:pPr>
      <w:r w:rsidRPr="004633A2">
        <w:rPr>
          <w:rFonts w:ascii="Arial" w:hAnsi="Arial"/>
          <w:color w:val="000000" w:themeColor="text1"/>
          <w:sz w:val="18"/>
          <w:szCs w:val="18"/>
        </w:rPr>
        <w:t>Trend in CPI changes for quarter-on-same-quarter-12-months-before.</w:t>
      </w:r>
    </w:p>
    <w:p w14:paraId="31287784"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Equivalisation and ‘Where does your household fit in the income spectrum?’</w:t>
      </w:r>
    </w:p>
    <w:p w14:paraId="787DE136"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Low-income thresholds (poverty lines) by household type.</w:t>
      </w:r>
    </w:p>
    <w:p w14:paraId="1035C1CA"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Decile boundaries and means ($2025) 1982 to 2025.</w:t>
      </w:r>
    </w:p>
    <w:p w14:paraId="79582EE2"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w:t>
      </w:r>
    </w:p>
    <w:p w14:paraId="470B7F66" w14:textId="77777777" w:rsidR="004633A2" w:rsidRPr="004633A2" w:rsidRDefault="004633A2" w:rsidP="004633A2">
      <w:pPr>
        <w:numPr>
          <w:ilvl w:val="0"/>
          <w:numId w:val="33"/>
        </w:numPr>
        <w:spacing w:before="120" w:after="0" w:line="240" w:lineRule="auto"/>
        <w:ind w:left="641" w:hanging="357"/>
        <w:rPr>
          <w:rFonts w:ascii="Arial" w:hAnsi="Arial"/>
          <w:color w:val="000000" w:themeColor="text1"/>
          <w:sz w:val="18"/>
          <w:szCs w:val="18"/>
        </w:rPr>
      </w:pPr>
      <w:r w:rsidRPr="004633A2">
        <w:rPr>
          <w:rFonts w:ascii="Arial" w:hAnsi="Arial"/>
          <w:color w:val="000000" w:themeColor="text1"/>
          <w:sz w:val="18"/>
          <w:szCs w:val="18"/>
        </w:rPr>
        <w:t>–</w:t>
      </w:r>
    </w:p>
    <w:p w14:paraId="1F234A18" w14:textId="77777777" w:rsidR="004633A2" w:rsidRPr="004633A2" w:rsidRDefault="004633A2" w:rsidP="004633A2">
      <w:pPr>
        <w:spacing w:before="120" w:after="0" w:line="240" w:lineRule="auto"/>
        <w:ind w:left="284"/>
        <w:rPr>
          <w:rFonts w:ascii="Arial" w:hAnsi="Arial"/>
          <w:color w:val="000000" w:themeColor="text1"/>
          <w:sz w:val="18"/>
          <w:szCs w:val="18"/>
        </w:rPr>
      </w:pPr>
      <w:r w:rsidRPr="004633A2">
        <w:rPr>
          <w:rFonts w:ascii="Arial" w:hAnsi="Arial"/>
          <w:color w:val="000000" w:themeColor="text1"/>
          <w:sz w:val="18"/>
          <w:szCs w:val="18"/>
        </w:rPr>
        <w:t>20</w:t>
      </w:r>
      <w:r w:rsidRPr="004633A2">
        <w:rPr>
          <w:rFonts w:ascii="Arial" w:hAnsi="Arial"/>
          <w:color w:val="000000" w:themeColor="text1"/>
          <w:sz w:val="18"/>
          <w:szCs w:val="18"/>
        </w:rPr>
        <w:tab/>
        <w:t>Full text of HES and HILS MWQs (material wellbeing questions):</w:t>
      </w:r>
    </w:p>
    <w:p w14:paraId="27DE2C9F" w14:textId="77777777" w:rsidR="004633A2" w:rsidRPr="004633A2" w:rsidRDefault="004633A2" w:rsidP="004633A2">
      <w:pPr>
        <w:spacing w:before="40" w:after="0" w:line="240" w:lineRule="auto"/>
        <w:ind w:left="851"/>
        <w:rPr>
          <w:rFonts w:ascii="Arial" w:hAnsi="Arial"/>
          <w:color w:val="000000" w:themeColor="text1"/>
          <w:sz w:val="16"/>
          <w:szCs w:val="16"/>
        </w:rPr>
      </w:pPr>
      <w:r w:rsidRPr="004633A2">
        <w:rPr>
          <w:rFonts w:ascii="Arial" w:hAnsi="Arial"/>
          <w:color w:val="000000" w:themeColor="text1"/>
          <w:sz w:val="16"/>
          <w:szCs w:val="16"/>
        </w:rPr>
        <w:t>All</w:t>
      </w:r>
    </w:p>
    <w:p w14:paraId="1162A88E" w14:textId="77777777" w:rsidR="004633A2" w:rsidRPr="004633A2" w:rsidRDefault="004633A2" w:rsidP="004633A2">
      <w:pPr>
        <w:spacing w:before="40" w:after="0" w:line="240" w:lineRule="auto"/>
        <w:ind w:left="851"/>
        <w:rPr>
          <w:rFonts w:ascii="Arial" w:hAnsi="Arial"/>
          <w:color w:val="000000" w:themeColor="text1"/>
          <w:sz w:val="16"/>
          <w:szCs w:val="16"/>
        </w:rPr>
      </w:pPr>
      <w:r w:rsidRPr="004633A2">
        <w:rPr>
          <w:rFonts w:ascii="Arial" w:hAnsi="Arial"/>
          <w:color w:val="000000" w:themeColor="text1"/>
          <w:sz w:val="16"/>
          <w:szCs w:val="16"/>
        </w:rPr>
        <w:t>DEP-17 and MH-18</w:t>
      </w:r>
    </w:p>
    <w:p w14:paraId="10E90C6E" w14:textId="77777777" w:rsidR="004633A2" w:rsidRPr="004633A2" w:rsidRDefault="004633A2" w:rsidP="004633A2">
      <w:pPr>
        <w:spacing w:before="40" w:after="0" w:line="240" w:lineRule="auto"/>
        <w:ind w:left="851"/>
        <w:rPr>
          <w:rFonts w:ascii="Arial" w:hAnsi="Arial"/>
          <w:color w:val="000000" w:themeColor="text1"/>
          <w:sz w:val="16"/>
          <w:szCs w:val="16"/>
        </w:rPr>
      </w:pPr>
      <w:r w:rsidRPr="004633A2">
        <w:rPr>
          <w:rFonts w:ascii="Arial" w:hAnsi="Arial"/>
          <w:color w:val="000000" w:themeColor="text1"/>
          <w:sz w:val="16"/>
          <w:szCs w:val="16"/>
        </w:rPr>
        <w:t>MWI-24 and MWI-26</w:t>
      </w:r>
    </w:p>
    <w:p w14:paraId="002159D3" w14:textId="77777777" w:rsidR="006E267C" w:rsidRDefault="006E267C">
      <w:pPr>
        <w:spacing w:after="0" w:line="240" w:lineRule="auto"/>
        <w:rPr>
          <w:rFonts w:ascii="Arial" w:eastAsia="Times New Roman" w:hAnsi="Arial" w:cs="Times New Roman"/>
          <w:b/>
          <w:color w:val="000000" w:themeColor="text1"/>
          <w:sz w:val="24"/>
          <w:szCs w:val="24"/>
          <w:lang w:val="en-GB"/>
        </w:rPr>
      </w:pPr>
      <w:r>
        <w:rPr>
          <w:rFonts w:ascii="Arial" w:eastAsia="Times New Roman" w:hAnsi="Arial" w:cs="Times New Roman"/>
          <w:b/>
          <w:color w:val="000000" w:themeColor="text1"/>
          <w:sz w:val="24"/>
          <w:szCs w:val="24"/>
          <w:lang w:val="en-GB"/>
        </w:rPr>
        <w:br w:type="page"/>
      </w:r>
    </w:p>
    <w:p w14:paraId="79DC8924" w14:textId="1050A046" w:rsidR="00E2613B" w:rsidRPr="00902E83" w:rsidRDefault="00E2613B" w:rsidP="00E2613B">
      <w:pPr>
        <w:spacing w:after="0" w:line="240" w:lineRule="auto"/>
        <w:rPr>
          <w:rFonts w:ascii="Arial" w:eastAsia="Times New Roman" w:hAnsi="Arial" w:cs="Times New Roman"/>
          <w:bCs/>
          <w:color w:val="FF0000"/>
          <w:sz w:val="16"/>
          <w:szCs w:val="16"/>
          <w:lang w:val="en-GB"/>
        </w:rPr>
      </w:pPr>
      <w:r w:rsidRPr="00AF6CC0">
        <w:rPr>
          <w:rFonts w:ascii="Arial" w:eastAsia="Times New Roman" w:hAnsi="Arial" w:cs="Times New Roman"/>
          <w:b/>
          <w:color w:val="000000" w:themeColor="text1"/>
          <w:sz w:val="24"/>
          <w:szCs w:val="24"/>
          <w:lang w:val="en-GB"/>
        </w:rPr>
        <w:lastRenderedPageBreak/>
        <w:t>Glossary, Acronyms</w:t>
      </w:r>
      <w:r w:rsidR="00CE6FC9">
        <w:rPr>
          <w:rFonts w:ascii="Arial" w:eastAsia="Times New Roman" w:hAnsi="Arial" w:cs="Times New Roman"/>
          <w:b/>
          <w:color w:val="000000" w:themeColor="text1"/>
          <w:sz w:val="24"/>
          <w:szCs w:val="24"/>
          <w:lang w:val="en-GB"/>
        </w:rPr>
        <w:t xml:space="preserve">, </w:t>
      </w:r>
      <w:r w:rsidRPr="00AF6CC0">
        <w:rPr>
          <w:rFonts w:ascii="Arial" w:eastAsia="Times New Roman" w:hAnsi="Arial" w:cs="Times New Roman"/>
          <w:b/>
          <w:color w:val="000000" w:themeColor="text1"/>
          <w:sz w:val="24"/>
          <w:szCs w:val="24"/>
          <w:lang w:val="en-GB"/>
        </w:rPr>
        <w:t>Abbreviations</w:t>
      </w:r>
      <w:r w:rsidR="00CE6FC9">
        <w:rPr>
          <w:rFonts w:ascii="Arial" w:eastAsia="Times New Roman" w:hAnsi="Arial" w:cs="Times New Roman"/>
          <w:b/>
          <w:color w:val="000000" w:themeColor="text1"/>
          <w:sz w:val="24"/>
          <w:szCs w:val="24"/>
          <w:lang w:val="en-GB"/>
        </w:rPr>
        <w:t xml:space="preserve"> and Definitions</w:t>
      </w:r>
    </w:p>
    <w:p w14:paraId="1C861993" w14:textId="77777777" w:rsidR="00E2613B" w:rsidRPr="00AF6CC0" w:rsidRDefault="00E2613B" w:rsidP="00E2613B">
      <w:pPr>
        <w:spacing w:after="0" w:line="240" w:lineRule="auto"/>
        <w:rPr>
          <w:rFonts w:ascii="Arial" w:eastAsia="Times New Roman" w:hAnsi="Arial" w:cs="Times New Roman"/>
          <w:color w:val="000000" w:themeColor="text1"/>
          <w:szCs w:val="20"/>
          <w:lang w:val="en-GB"/>
        </w:rPr>
      </w:pPr>
    </w:p>
    <w:p w14:paraId="5F8FDAAB" w14:textId="54B232F4" w:rsidR="00E2613B" w:rsidRPr="00825655"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825655">
        <w:rPr>
          <w:rFonts w:ascii="Arial" w:eastAsia="Times New Roman" w:hAnsi="Arial" w:cs="Times New Roman"/>
          <w:color w:val="000000" w:themeColor="text1"/>
          <w:sz w:val="18"/>
          <w:szCs w:val="18"/>
          <w:lang w:val="en-GB"/>
        </w:rPr>
        <w:t>CPRA</w:t>
      </w:r>
      <w:r w:rsidRPr="00825655">
        <w:rPr>
          <w:rFonts w:ascii="Arial" w:eastAsia="Times New Roman" w:hAnsi="Arial" w:cs="Times New Roman"/>
          <w:color w:val="000000" w:themeColor="text1"/>
          <w:sz w:val="18"/>
          <w:szCs w:val="18"/>
          <w:lang w:val="en-GB"/>
        </w:rPr>
        <w:tab/>
        <w:t>Child Poverty Reduction Act (2018)</w:t>
      </w:r>
    </w:p>
    <w:p w14:paraId="5B552A7F" w14:textId="4490E69D" w:rsidR="007F717A" w:rsidRDefault="007F717A"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GFC</w:t>
      </w:r>
      <w:r>
        <w:rPr>
          <w:rFonts w:ascii="Arial" w:eastAsia="Times New Roman" w:hAnsi="Arial" w:cs="Times New Roman"/>
          <w:color w:val="000000" w:themeColor="text1"/>
          <w:sz w:val="18"/>
          <w:szCs w:val="18"/>
          <w:lang w:val="en-GB"/>
        </w:rPr>
        <w:tab/>
        <w:t>Global Financial Crisis (2008-2009)</w:t>
      </w:r>
    </w:p>
    <w:p w14:paraId="135CC700" w14:textId="53599BD2" w:rsidR="00902E83" w:rsidRPr="00825655"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sidRPr="00825655">
        <w:rPr>
          <w:rFonts w:ascii="Arial" w:eastAsia="Times New Roman" w:hAnsi="Arial" w:cs="Times New Roman"/>
          <w:color w:val="000000" w:themeColor="text1"/>
          <w:sz w:val="18"/>
          <w:szCs w:val="18"/>
          <w:lang w:val="en-GB"/>
        </w:rPr>
        <w:t>HES</w:t>
      </w:r>
      <w:r w:rsidR="00835955" w:rsidRPr="00825655">
        <w:rPr>
          <w:rFonts w:ascii="Arial" w:eastAsia="Times New Roman" w:hAnsi="Arial" w:cs="Times New Roman"/>
          <w:color w:val="000000" w:themeColor="text1"/>
          <w:sz w:val="18"/>
          <w:szCs w:val="18"/>
          <w:lang w:val="en-GB"/>
        </w:rPr>
        <w:tab/>
        <w:t>Household Economic Survey</w:t>
      </w:r>
    </w:p>
    <w:p w14:paraId="694AFCC0" w14:textId="2FBBB7AF" w:rsidR="00902E83" w:rsidRPr="00825655"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sidRPr="00825655">
        <w:rPr>
          <w:rFonts w:ascii="Arial" w:eastAsia="Times New Roman" w:hAnsi="Arial" w:cs="Times New Roman"/>
          <w:color w:val="000000" w:themeColor="text1"/>
          <w:sz w:val="18"/>
          <w:szCs w:val="18"/>
          <w:lang w:val="en-GB"/>
        </w:rPr>
        <w:t>HILS</w:t>
      </w:r>
      <w:r w:rsidR="00835955" w:rsidRPr="00825655">
        <w:rPr>
          <w:rFonts w:ascii="Arial" w:eastAsia="Times New Roman" w:hAnsi="Arial" w:cs="Times New Roman"/>
          <w:color w:val="000000" w:themeColor="text1"/>
          <w:sz w:val="18"/>
          <w:szCs w:val="18"/>
          <w:lang w:val="en-GB"/>
        </w:rPr>
        <w:tab/>
        <w:t>Household Income Living Survey</w:t>
      </w:r>
    </w:p>
    <w:p w14:paraId="7CCF42F7" w14:textId="4F8279BB" w:rsidR="00902E83" w:rsidRPr="00825655"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sidRPr="00825655">
        <w:rPr>
          <w:rFonts w:ascii="Arial" w:eastAsia="Times New Roman" w:hAnsi="Arial" w:cs="Times New Roman"/>
          <w:color w:val="000000" w:themeColor="text1"/>
          <w:sz w:val="18"/>
          <w:szCs w:val="18"/>
          <w:lang w:val="en-GB"/>
        </w:rPr>
        <w:t>LIA</w:t>
      </w:r>
      <w:r w:rsidR="00835955" w:rsidRPr="00825655">
        <w:rPr>
          <w:rFonts w:ascii="Arial" w:eastAsia="Times New Roman" w:hAnsi="Arial" w:cs="Times New Roman"/>
          <w:color w:val="000000" w:themeColor="text1"/>
          <w:sz w:val="18"/>
          <w:szCs w:val="18"/>
          <w:lang w:val="en-GB"/>
        </w:rPr>
        <w:tab/>
        <w:t>Living in Aotearoa</w:t>
      </w:r>
    </w:p>
    <w:p w14:paraId="3648E92E" w14:textId="2E145BB5" w:rsidR="00902E83" w:rsidRPr="00825655"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sidRPr="00825655">
        <w:rPr>
          <w:rFonts w:ascii="Arial" w:eastAsia="Times New Roman" w:hAnsi="Arial" w:cs="Times New Roman"/>
          <w:color w:val="000000" w:themeColor="text1"/>
          <w:sz w:val="18"/>
          <w:szCs w:val="18"/>
          <w:lang w:val="en-GB"/>
        </w:rPr>
        <w:t>GSS</w:t>
      </w:r>
      <w:r w:rsidR="00835955" w:rsidRPr="00825655">
        <w:rPr>
          <w:rFonts w:ascii="Arial" w:eastAsia="Times New Roman" w:hAnsi="Arial" w:cs="Times New Roman"/>
          <w:color w:val="000000" w:themeColor="text1"/>
          <w:sz w:val="18"/>
          <w:szCs w:val="18"/>
          <w:lang w:val="en-GB"/>
        </w:rPr>
        <w:tab/>
        <w:t>General Social Surve</w:t>
      </w:r>
      <w:r w:rsidR="00E62009">
        <w:rPr>
          <w:rFonts w:ascii="Arial" w:eastAsia="Times New Roman" w:hAnsi="Arial" w:cs="Times New Roman"/>
          <w:color w:val="000000" w:themeColor="text1"/>
          <w:sz w:val="18"/>
          <w:szCs w:val="18"/>
          <w:lang w:val="en-GB"/>
        </w:rPr>
        <w:t>y</w:t>
      </w:r>
    </w:p>
    <w:p w14:paraId="2CC4A9CA" w14:textId="119322FE"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AF6CC0">
        <w:rPr>
          <w:rFonts w:ascii="Arial" w:eastAsia="Times New Roman" w:hAnsi="Arial" w:cs="Times New Roman"/>
          <w:color w:val="000000" w:themeColor="text1"/>
          <w:sz w:val="18"/>
          <w:szCs w:val="18"/>
          <w:lang w:val="en-GB"/>
        </w:rPr>
        <w:t>MH</w:t>
      </w:r>
      <w:r w:rsidRPr="00AF6CC0">
        <w:rPr>
          <w:rFonts w:ascii="Arial" w:eastAsia="Times New Roman" w:hAnsi="Arial" w:cs="Times New Roman"/>
          <w:color w:val="000000" w:themeColor="text1"/>
          <w:sz w:val="18"/>
          <w:szCs w:val="18"/>
          <w:lang w:val="en-GB"/>
        </w:rPr>
        <w:tab/>
        <w:t>‘Material hardship’. Note that the EU term is ‘material and social deprivation’</w:t>
      </w:r>
    </w:p>
    <w:p w14:paraId="5689D22A" w14:textId="77777777" w:rsidR="00BD517C" w:rsidRDefault="00BD517C" w:rsidP="006F5353">
      <w:pPr>
        <w:spacing w:after="60" w:line="240" w:lineRule="auto"/>
        <w:ind w:left="2127" w:hanging="1701"/>
        <w:rPr>
          <w:rFonts w:ascii="Arial" w:eastAsia="Times New Roman" w:hAnsi="Arial" w:cs="Times New Roman"/>
          <w:color w:val="000000" w:themeColor="text1"/>
          <w:sz w:val="18"/>
          <w:szCs w:val="18"/>
          <w:lang w:val="en-US"/>
        </w:rPr>
      </w:pPr>
      <w:r>
        <w:rPr>
          <w:rFonts w:ascii="Arial" w:eastAsia="Times New Roman" w:hAnsi="Arial" w:cs="Times New Roman"/>
          <w:color w:val="000000" w:themeColor="text1"/>
          <w:sz w:val="18"/>
          <w:szCs w:val="18"/>
          <w:lang w:val="en-US"/>
        </w:rPr>
        <w:t>SMH</w:t>
      </w:r>
      <w:r>
        <w:rPr>
          <w:rFonts w:ascii="Arial" w:eastAsia="Times New Roman" w:hAnsi="Arial" w:cs="Times New Roman"/>
          <w:color w:val="000000" w:themeColor="text1"/>
          <w:sz w:val="18"/>
          <w:szCs w:val="18"/>
          <w:lang w:val="en-US"/>
        </w:rPr>
        <w:tab/>
        <w:t>‘Severe material hardship’</w:t>
      </w:r>
    </w:p>
    <w:p w14:paraId="1D136B22" w14:textId="51CA3CC2" w:rsidR="006F5353" w:rsidRDefault="006F5353" w:rsidP="006F5353">
      <w:pPr>
        <w:spacing w:after="60" w:line="240" w:lineRule="auto"/>
        <w:ind w:left="2127" w:hanging="1701"/>
        <w:rPr>
          <w:rFonts w:ascii="Arial" w:eastAsia="Times New Roman" w:hAnsi="Arial" w:cs="Times New Roman"/>
          <w:color w:val="000000" w:themeColor="text1"/>
          <w:sz w:val="18"/>
          <w:szCs w:val="18"/>
          <w:lang w:val="en-US"/>
        </w:rPr>
      </w:pPr>
      <w:r>
        <w:rPr>
          <w:rFonts w:ascii="Arial" w:eastAsia="Times New Roman" w:hAnsi="Arial" w:cs="Times New Roman"/>
          <w:color w:val="000000" w:themeColor="text1"/>
          <w:sz w:val="18"/>
          <w:szCs w:val="18"/>
          <w:lang w:val="en-US"/>
        </w:rPr>
        <w:t>Disposable income</w:t>
      </w:r>
      <w:r>
        <w:rPr>
          <w:rFonts w:ascii="Arial" w:eastAsia="Times New Roman" w:hAnsi="Arial" w:cs="Times New Roman"/>
          <w:color w:val="000000" w:themeColor="text1"/>
          <w:sz w:val="18"/>
          <w:szCs w:val="18"/>
          <w:lang w:val="en-US"/>
        </w:rPr>
        <w:tab/>
      </w:r>
      <w:r w:rsidR="00381E4C" w:rsidRPr="00381E4C">
        <w:rPr>
          <w:rFonts w:ascii="Arial" w:eastAsia="Times New Roman" w:hAnsi="Arial" w:cs="Times New Roman"/>
          <w:color w:val="000000" w:themeColor="text1"/>
          <w:sz w:val="18"/>
          <w:szCs w:val="18"/>
          <w:lang w:val="en-US"/>
        </w:rPr>
        <w:t xml:space="preserve">Income from all sources (incl WFF tax credits) </w:t>
      </w:r>
      <w:r w:rsidR="00381E4C" w:rsidRPr="00381E4C">
        <w:rPr>
          <w:rFonts w:ascii="Arial" w:eastAsia="Times New Roman" w:hAnsi="Arial" w:cs="Times New Roman"/>
          <w:i/>
          <w:iCs/>
          <w:color w:val="000000" w:themeColor="text1"/>
          <w:sz w:val="18"/>
          <w:szCs w:val="18"/>
          <w:lang w:val="en-US"/>
        </w:rPr>
        <w:t>less</w:t>
      </w:r>
      <w:r w:rsidR="00381E4C" w:rsidRPr="00381E4C">
        <w:rPr>
          <w:rFonts w:ascii="Arial" w:eastAsia="Times New Roman" w:hAnsi="Arial" w:cs="Times New Roman"/>
          <w:color w:val="000000" w:themeColor="text1"/>
          <w:sz w:val="18"/>
          <w:szCs w:val="18"/>
          <w:lang w:val="en-US"/>
        </w:rPr>
        <w:t xml:space="preserve"> income tax and ACC earners levy </w:t>
      </w:r>
    </w:p>
    <w:p w14:paraId="2EDA323F" w14:textId="41E081C9" w:rsidR="00381E4C" w:rsidRDefault="006F5353" w:rsidP="006F5353">
      <w:pPr>
        <w:spacing w:after="60" w:line="240" w:lineRule="auto"/>
        <w:ind w:left="2127" w:hanging="1701"/>
        <w:rPr>
          <w:rFonts w:ascii="Arial" w:eastAsia="Times New Roman" w:hAnsi="Arial" w:cs="Times New Roman"/>
          <w:color w:val="000000" w:themeColor="text1"/>
          <w:sz w:val="18"/>
          <w:szCs w:val="18"/>
          <w:lang w:val="en-US"/>
        </w:rPr>
      </w:pPr>
      <w:r>
        <w:rPr>
          <w:rFonts w:ascii="Arial" w:eastAsia="Times New Roman" w:hAnsi="Arial" w:cs="Times New Roman"/>
          <w:color w:val="000000" w:themeColor="text1"/>
          <w:sz w:val="18"/>
          <w:szCs w:val="18"/>
          <w:lang w:val="en-US"/>
        </w:rPr>
        <w:t>Main income source</w:t>
      </w:r>
      <w:r>
        <w:rPr>
          <w:rFonts w:ascii="Arial" w:eastAsia="Times New Roman" w:hAnsi="Arial" w:cs="Times New Roman"/>
          <w:color w:val="000000" w:themeColor="text1"/>
          <w:sz w:val="18"/>
          <w:szCs w:val="18"/>
          <w:lang w:val="en-US"/>
        </w:rPr>
        <w:tab/>
      </w:r>
      <w:r w:rsidR="00381E4C" w:rsidRPr="00381E4C">
        <w:rPr>
          <w:rFonts w:ascii="Arial" w:eastAsia="Times New Roman" w:hAnsi="Arial" w:cs="Times New Roman"/>
          <w:color w:val="000000" w:themeColor="text1"/>
          <w:sz w:val="18"/>
          <w:szCs w:val="18"/>
          <w:lang w:val="en-US"/>
        </w:rPr>
        <w:t xml:space="preserve">For some analysis households are divided into two groups according to the main source of household income – market or government. Market income is income from salaries and wages, self-employment and investment.  Government income is income from </w:t>
      </w:r>
      <w:r w:rsidR="00381E4C">
        <w:rPr>
          <w:rFonts w:ascii="Arial" w:eastAsia="Times New Roman" w:hAnsi="Arial" w:cs="Times New Roman"/>
          <w:color w:val="000000" w:themeColor="text1"/>
          <w:sz w:val="18"/>
          <w:szCs w:val="18"/>
        </w:rPr>
        <w:t>social welfare</w:t>
      </w:r>
      <w:r w:rsidR="00381E4C" w:rsidRPr="00381E4C">
        <w:rPr>
          <w:rFonts w:ascii="Arial" w:eastAsia="Times New Roman" w:hAnsi="Arial" w:cs="Times New Roman"/>
          <w:color w:val="000000" w:themeColor="text1"/>
          <w:sz w:val="18"/>
          <w:szCs w:val="18"/>
        </w:rPr>
        <w:t xml:space="preserve"> benefits, NZS, AS, WFF tax credits, student bursaries, and so on. </w:t>
      </w:r>
    </w:p>
    <w:p w14:paraId="0FB271CB" w14:textId="5048BD4D"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AF6CC0">
        <w:rPr>
          <w:rFonts w:ascii="Arial" w:eastAsia="Times New Roman" w:hAnsi="Arial" w:cs="Times New Roman"/>
          <w:color w:val="000000" w:themeColor="text1"/>
          <w:sz w:val="18"/>
          <w:szCs w:val="18"/>
          <w:lang w:val="en-GB"/>
        </w:rPr>
        <w:t>AHC income</w:t>
      </w:r>
      <w:r w:rsidRPr="00AF6CC0">
        <w:rPr>
          <w:rFonts w:ascii="Arial" w:eastAsia="Times New Roman" w:hAnsi="Arial" w:cs="Times New Roman"/>
          <w:color w:val="000000" w:themeColor="text1"/>
          <w:sz w:val="18"/>
          <w:szCs w:val="18"/>
          <w:lang w:val="en-GB"/>
        </w:rPr>
        <w:tab/>
        <w:t>Income after (deducting) housing costs</w:t>
      </w:r>
    </w:p>
    <w:p w14:paraId="4BC43031" w14:textId="73BDB800"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AF6CC0">
        <w:rPr>
          <w:rFonts w:ascii="Arial" w:eastAsia="Times New Roman" w:hAnsi="Arial" w:cs="Times New Roman"/>
          <w:color w:val="000000" w:themeColor="text1"/>
          <w:sz w:val="18"/>
          <w:szCs w:val="18"/>
          <w:lang w:val="en-GB"/>
        </w:rPr>
        <w:t>BHC income</w:t>
      </w:r>
      <w:r w:rsidRPr="00AF6CC0">
        <w:rPr>
          <w:rFonts w:ascii="Arial" w:eastAsia="Times New Roman" w:hAnsi="Arial" w:cs="Times New Roman"/>
          <w:color w:val="000000" w:themeColor="text1"/>
          <w:sz w:val="18"/>
          <w:szCs w:val="18"/>
          <w:lang w:val="en-GB"/>
        </w:rPr>
        <w:tab/>
        <w:t>Income before (deducting) housing costs</w:t>
      </w:r>
    </w:p>
    <w:p w14:paraId="4079B186" w14:textId="019B82F7"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US"/>
        </w:rPr>
      </w:pPr>
      <w:r w:rsidRPr="00AF6CC0">
        <w:rPr>
          <w:rFonts w:ascii="Arial" w:eastAsia="Times New Roman" w:hAnsi="Arial" w:cs="Times New Roman"/>
          <w:color w:val="000000" w:themeColor="text1"/>
          <w:sz w:val="18"/>
          <w:szCs w:val="18"/>
          <w:lang w:val="en-US"/>
        </w:rPr>
        <w:t>Equivalised income</w:t>
      </w:r>
      <w:r w:rsidRPr="00AF6CC0">
        <w:rPr>
          <w:rFonts w:ascii="Arial" w:eastAsia="Times New Roman" w:hAnsi="Arial" w:cs="Times New Roman"/>
          <w:color w:val="000000" w:themeColor="text1"/>
          <w:sz w:val="18"/>
          <w:szCs w:val="18"/>
          <w:lang w:val="en-US"/>
        </w:rPr>
        <w:tab/>
      </w:r>
      <w:r w:rsidRPr="00AF6CC0">
        <w:rPr>
          <w:rFonts w:ascii="Arial" w:hAnsi="Arial"/>
          <w:color w:val="000000" w:themeColor="text1"/>
          <w:sz w:val="18"/>
          <w:szCs w:val="18"/>
        </w:rPr>
        <w:t>Household income adjusted for household size and composition to enable more reasonable comparisons between households when household income is used as a measure of material wellbeing</w:t>
      </w:r>
    </w:p>
    <w:p w14:paraId="179C46D6" w14:textId="5E0F0764"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US"/>
        </w:rPr>
      </w:pPr>
      <w:r w:rsidRPr="00AF6CC0">
        <w:rPr>
          <w:rFonts w:ascii="Arial" w:eastAsia="Times New Roman" w:hAnsi="Arial" w:cs="Times New Roman"/>
          <w:color w:val="000000" w:themeColor="text1"/>
          <w:sz w:val="18"/>
          <w:szCs w:val="18"/>
          <w:lang w:val="en-US"/>
        </w:rPr>
        <w:t>BHC 60 etc</w:t>
      </w:r>
      <w:r w:rsidRPr="00AF6CC0">
        <w:rPr>
          <w:rFonts w:ascii="Arial" w:eastAsia="Times New Roman" w:hAnsi="Arial" w:cs="Times New Roman"/>
          <w:color w:val="000000" w:themeColor="text1"/>
          <w:sz w:val="18"/>
          <w:szCs w:val="18"/>
          <w:lang w:val="en-US"/>
        </w:rPr>
        <w:tab/>
        <w:t>Low-income threshold or income poverty line = 60% of the BHC median</w:t>
      </w:r>
    </w:p>
    <w:p w14:paraId="61563B75" w14:textId="6BB22353"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US"/>
        </w:rPr>
      </w:pPr>
      <w:r w:rsidRPr="00AF6CC0">
        <w:rPr>
          <w:rFonts w:ascii="Arial" w:eastAsia="Times New Roman" w:hAnsi="Arial" w:cs="Times New Roman"/>
          <w:color w:val="000000" w:themeColor="text1"/>
          <w:sz w:val="18"/>
          <w:szCs w:val="18"/>
          <w:lang w:val="en-US"/>
        </w:rPr>
        <w:t>REL or ‘moving’</w:t>
      </w:r>
      <w:r w:rsidRPr="00AF6CC0">
        <w:rPr>
          <w:rFonts w:ascii="Arial" w:eastAsia="Times New Roman" w:hAnsi="Arial" w:cs="Times New Roman"/>
          <w:color w:val="000000" w:themeColor="text1"/>
          <w:sz w:val="18"/>
          <w:szCs w:val="18"/>
          <w:lang w:val="en-US"/>
        </w:rPr>
        <w:tab/>
        <w:t>Relative-to-contemporary-median (referring to low-income thresholds or ‘poverty lines’ that are calculated as a proportion of the median for the survey year in question)</w:t>
      </w:r>
    </w:p>
    <w:p w14:paraId="4433EECA" w14:textId="45FBE5F8" w:rsidR="00E2613B" w:rsidRPr="00AF6CC0" w:rsidRDefault="0058168F"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‘FIXED’</w:t>
      </w:r>
      <w:r>
        <w:rPr>
          <w:rFonts w:ascii="Arial" w:eastAsia="Times New Roman" w:hAnsi="Arial" w:cs="Times New Roman"/>
          <w:color w:val="000000" w:themeColor="text1"/>
          <w:sz w:val="18"/>
          <w:szCs w:val="18"/>
          <w:lang w:val="en-GB"/>
        </w:rPr>
        <w:tab/>
        <w:t>L</w:t>
      </w:r>
      <w:r w:rsidR="00E2613B" w:rsidRPr="00AF6CC0">
        <w:rPr>
          <w:rFonts w:ascii="Arial" w:eastAsia="Times New Roman" w:hAnsi="Arial" w:cs="Times New Roman"/>
          <w:color w:val="000000" w:themeColor="text1"/>
          <w:sz w:val="18"/>
          <w:szCs w:val="18"/>
          <w:lang w:val="en-GB"/>
        </w:rPr>
        <w:t xml:space="preserve">ow-income thresholds </w:t>
      </w:r>
      <w:r>
        <w:rPr>
          <w:rFonts w:ascii="Arial" w:eastAsia="Times New Roman" w:hAnsi="Arial" w:cs="Times New Roman"/>
          <w:color w:val="000000" w:themeColor="text1"/>
          <w:sz w:val="18"/>
          <w:szCs w:val="18"/>
          <w:lang w:val="en-GB"/>
        </w:rPr>
        <w:t>kept</w:t>
      </w:r>
      <w:r w:rsidR="00E2613B" w:rsidRPr="00AF6CC0">
        <w:rPr>
          <w:rFonts w:ascii="Arial" w:eastAsia="Times New Roman" w:hAnsi="Arial" w:cs="Times New Roman"/>
          <w:color w:val="000000" w:themeColor="text1"/>
          <w:sz w:val="18"/>
          <w:szCs w:val="18"/>
          <w:lang w:val="en-GB"/>
        </w:rPr>
        <w:t xml:space="preserve"> ‘fixed’ in real (inflation-adjusted) terms, starting with a reference year. They are also referred to as ‘anchored’ lines</w:t>
      </w:r>
      <w:r>
        <w:rPr>
          <w:rFonts w:ascii="Arial" w:eastAsia="Times New Roman" w:hAnsi="Arial" w:cs="Times New Roman"/>
          <w:color w:val="000000" w:themeColor="text1"/>
          <w:sz w:val="18"/>
          <w:szCs w:val="18"/>
          <w:lang w:val="en-GB"/>
        </w:rPr>
        <w:t xml:space="preserve"> (OECD)</w:t>
      </w:r>
    </w:p>
    <w:p w14:paraId="1E554F11" w14:textId="2C02105A" w:rsidR="00202FA0" w:rsidRDefault="00202FA0" w:rsidP="00CE6FC9">
      <w:pPr>
        <w:spacing w:after="60" w:line="240" w:lineRule="auto"/>
        <w:ind w:left="2127" w:hanging="1701"/>
        <w:rPr>
          <w:rFonts w:ascii="Arial" w:eastAsia="Times New Roman" w:hAnsi="Arial" w:cs="Times New Roman"/>
          <w:color w:val="000000" w:themeColor="text1"/>
          <w:sz w:val="18"/>
          <w:szCs w:val="18"/>
          <w:lang w:val="en-GB"/>
        </w:rPr>
      </w:pPr>
      <w:r w:rsidRPr="00DD1F27">
        <w:rPr>
          <w:rFonts w:ascii="Arial" w:eastAsia="Times New Roman" w:hAnsi="Arial" w:cs="Times New Roman"/>
          <w:color w:val="000000" w:themeColor="text1"/>
          <w:sz w:val="18"/>
          <w:szCs w:val="18"/>
          <w:lang w:val="en-GB"/>
        </w:rPr>
        <w:t>WFF</w:t>
      </w:r>
      <w:r w:rsidRPr="00DD1F27">
        <w:rPr>
          <w:rFonts w:ascii="Arial" w:eastAsia="Times New Roman" w:hAnsi="Arial" w:cs="Times New Roman"/>
          <w:color w:val="000000" w:themeColor="text1"/>
          <w:sz w:val="18"/>
          <w:szCs w:val="18"/>
          <w:lang w:val="en-GB"/>
        </w:rPr>
        <w:tab/>
        <w:t>Working for Families</w:t>
      </w:r>
    </w:p>
    <w:p w14:paraId="175C9BD1" w14:textId="663A276E" w:rsidR="00E2613B"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AF6CC0">
        <w:rPr>
          <w:rFonts w:ascii="Arial" w:eastAsia="Times New Roman" w:hAnsi="Arial" w:cs="Times New Roman"/>
          <w:color w:val="000000" w:themeColor="text1"/>
          <w:sz w:val="18"/>
          <w:szCs w:val="18"/>
          <w:lang w:val="en-GB"/>
        </w:rPr>
        <w:t>AS</w:t>
      </w:r>
      <w:r w:rsidRPr="00AF6CC0">
        <w:rPr>
          <w:rFonts w:ascii="Arial" w:eastAsia="Times New Roman" w:hAnsi="Arial" w:cs="Times New Roman"/>
          <w:color w:val="000000" w:themeColor="text1"/>
          <w:sz w:val="18"/>
          <w:szCs w:val="18"/>
          <w:lang w:val="en-GB"/>
        </w:rPr>
        <w:tab/>
        <w:t>Accommodation Supplement</w:t>
      </w:r>
    </w:p>
    <w:p w14:paraId="4D2E45FC" w14:textId="44C0BB4C" w:rsidR="009177E9" w:rsidRDefault="00524B21" w:rsidP="00CE6FC9">
      <w:pPr>
        <w:spacing w:after="60" w:line="240" w:lineRule="auto"/>
        <w:ind w:left="2127" w:hanging="1701"/>
        <w:rPr>
          <w:rFonts w:ascii="Arial" w:eastAsia="Times New Roman" w:hAnsi="Arial" w:cs="Times New Roman"/>
          <w:color w:val="000000" w:themeColor="text1"/>
          <w:sz w:val="18"/>
          <w:szCs w:val="18"/>
          <w:lang w:val="en-US"/>
        </w:rPr>
      </w:pPr>
      <w:r>
        <w:rPr>
          <w:rFonts w:ascii="Arial" w:eastAsia="Times New Roman" w:hAnsi="Arial" w:cs="Times New Roman"/>
          <w:color w:val="000000" w:themeColor="text1"/>
          <w:sz w:val="18"/>
          <w:szCs w:val="18"/>
          <w:lang w:val="en-GB"/>
        </w:rPr>
        <w:t>NZS/VP</w:t>
      </w:r>
      <w:r>
        <w:rPr>
          <w:rFonts w:ascii="Arial" w:eastAsia="Times New Roman" w:hAnsi="Arial" w:cs="Times New Roman"/>
          <w:color w:val="000000" w:themeColor="text1"/>
          <w:sz w:val="18"/>
          <w:szCs w:val="18"/>
          <w:lang w:val="en-GB"/>
        </w:rPr>
        <w:tab/>
        <w:t>New Zealand Superannuation / Veterans Pension</w:t>
      </w:r>
    </w:p>
    <w:p w14:paraId="56D271FF" w14:textId="2BE361DE"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US"/>
        </w:rPr>
      </w:pPr>
      <w:r w:rsidRPr="00AF6CC0">
        <w:rPr>
          <w:rFonts w:ascii="Arial" w:eastAsia="Times New Roman" w:hAnsi="Arial" w:cs="Times New Roman"/>
          <w:color w:val="000000" w:themeColor="text1"/>
          <w:sz w:val="18"/>
          <w:szCs w:val="18"/>
          <w:lang w:val="en-US"/>
        </w:rPr>
        <w:t>FT</w:t>
      </w:r>
      <w:r w:rsidRPr="00AF6CC0">
        <w:rPr>
          <w:rFonts w:ascii="Arial" w:eastAsia="Times New Roman" w:hAnsi="Arial" w:cs="Times New Roman"/>
          <w:color w:val="000000" w:themeColor="text1"/>
          <w:sz w:val="18"/>
          <w:szCs w:val="18"/>
          <w:lang w:val="en-US"/>
        </w:rPr>
        <w:tab/>
        <w:t>Full-time (30 hours or more per week). Can also be short for Family Trust</w:t>
      </w:r>
    </w:p>
    <w:p w14:paraId="626C3201" w14:textId="2073EA21"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US"/>
        </w:rPr>
      </w:pPr>
      <w:r w:rsidRPr="00AF6CC0">
        <w:rPr>
          <w:rFonts w:ascii="Arial" w:eastAsia="Times New Roman" w:hAnsi="Arial" w:cs="Times New Roman"/>
          <w:color w:val="000000" w:themeColor="text1"/>
          <w:sz w:val="18"/>
          <w:szCs w:val="18"/>
          <w:lang w:val="en-US"/>
        </w:rPr>
        <w:t>PT</w:t>
      </w:r>
      <w:r w:rsidRPr="00AF6CC0">
        <w:rPr>
          <w:rFonts w:ascii="Arial" w:eastAsia="Times New Roman" w:hAnsi="Arial" w:cs="Times New Roman"/>
          <w:color w:val="000000" w:themeColor="text1"/>
          <w:sz w:val="18"/>
          <w:szCs w:val="18"/>
          <w:lang w:val="en-US"/>
        </w:rPr>
        <w:tab/>
        <w:t>Part-time (from 5 to less than 30 hours per week in paid employment)</w:t>
      </w:r>
    </w:p>
    <w:p w14:paraId="6BC73F8E" w14:textId="19E9C6B6"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AF6CC0">
        <w:rPr>
          <w:rFonts w:ascii="Arial" w:eastAsia="Times New Roman" w:hAnsi="Arial" w:cs="Times New Roman"/>
          <w:color w:val="000000" w:themeColor="text1"/>
          <w:sz w:val="18"/>
          <w:szCs w:val="18"/>
          <w:lang w:val="en-GB"/>
        </w:rPr>
        <w:t>WL</w:t>
      </w:r>
      <w:r w:rsidRPr="00AF6CC0">
        <w:rPr>
          <w:rFonts w:ascii="Arial" w:eastAsia="Times New Roman" w:hAnsi="Arial" w:cs="Times New Roman"/>
          <w:color w:val="000000" w:themeColor="text1"/>
          <w:sz w:val="18"/>
          <w:szCs w:val="18"/>
          <w:lang w:val="en-GB"/>
        </w:rPr>
        <w:tab/>
        <w:t>Workless adult (less than 5 hours per week in paid employment)</w:t>
      </w:r>
    </w:p>
    <w:p w14:paraId="55DE19B4" w14:textId="77777777" w:rsidR="00E2613B" w:rsidRPr="00AF6CC0" w:rsidRDefault="00E2613B" w:rsidP="00CE6FC9">
      <w:pPr>
        <w:spacing w:after="60" w:line="240" w:lineRule="auto"/>
        <w:ind w:left="2127" w:hanging="1701"/>
        <w:rPr>
          <w:rFonts w:ascii="Arial" w:eastAsia="Times New Roman" w:hAnsi="Arial" w:cs="Times New Roman"/>
          <w:color w:val="000000" w:themeColor="text1"/>
          <w:sz w:val="18"/>
          <w:szCs w:val="18"/>
          <w:lang w:val="en-US"/>
        </w:rPr>
      </w:pPr>
      <w:r w:rsidRPr="00AF6CC0">
        <w:rPr>
          <w:rFonts w:ascii="Arial" w:eastAsia="Times New Roman" w:hAnsi="Arial" w:cs="Times New Roman"/>
          <w:color w:val="000000" w:themeColor="text1"/>
          <w:sz w:val="18"/>
          <w:szCs w:val="18"/>
          <w:lang w:val="en-US"/>
        </w:rPr>
        <w:t>SE</w:t>
      </w:r>
      <w:r w:rsidRPr="00AF6CC0">
        <w:rPr>
          <w:rFonts w:ascii="Arial" w:eastAsia="Times New Roman" w:hAnsi="Arial" w:cs="Times New Roman"/>
          <w:color w:val="000000" w:themeColor="text1"/>
          <w:sz w:val="18"/>
          <w:szCs w:val="18"/>
          <w:lang w:val="en-US"/>
        </w:rPr>
        <w:tab/>
        <w:t>Self-employed (HH) – a household for which more than half the gross income comes from self-employment.</w:t>
      </w:r>
    </w:p>
    <w:p w14:paraId="448CF69E" w14:textId="3878FBF9" w:rsidR="00E2613B" w:rsidRPr="00AF6CC0" w:rsidRDefault="00E2613B" w:rsidP="00CE6FC9">
      <w:pPr>
        <w:spacing w:after="60" w:line="240" w:lineRule="auto"/>
        <w:ind w:left="2127" w:hanging="1701"/>
        <w:rPr>
          <w:rFonts w:ascii="Arial" w:hAnsi="Arial"/>
          <w:color w:val="000000" w:themeColor="text1"/>
          <w:sz w:val="18"/>
          <w:szCs w:val="18"/>
        </w:rPr>
      </w:pPr>
      <w:r w:rsidRPr="00AF6CC0">
        <w:rPr>
          <w:rFonts w:ascii="Arial" w:hAnsi="Arial"/>
          <w:color w:val="000000" w:themeColor="text1"/>
          <w:sz w:val="18"/>
          <w:szCs w:val="18"/>
        </w:rPr>
        <w:t xml:space="preserve">Decile </w:t>
      </w:r>
      <w:r w:rsidRPr="00AF6CC0">
        <w:rPr>
          <w:rFonts w:ascii="Arial" w:hAnsi="Arial"/>
          <w:color w:val="000000" w:themeColor="text1"/>
          <w:sz w:val="18"/>
          <w:szCs w:val="18"/>
        </w:rPr>
        <w:tab/>
        <w:t>One tenth or 10% of a ranked group of individuals or households</w:t>
      </w:r>
    </w:p>
    <w:p w14:paraId="6EDDD846" w14:textId="146760B8" w:rsidR="00E2613B" w:rsidRPr="00AF6CC0" w:rsidRDefault="00E2613B" w:rsidP="00CE6FC9">
      <w:pPr>
        <w:spacing w:after="60" w:line="240" w:lineRule="auto"/>
        <w:ind w:left="2127" w:hanging="1701"/>
        <w:rPr>
          <w:rFonts w:ascii="Arial" w:hAnsi="Arial"/>
          <w:color w:val="000000" w:themeColor="text1"/>
          <w:sz w:val="18"/>
          <w:szCs w:val="18"/>
        </w:rPr>
      </w:pPr>
      <w:r w:rsidRPr="00AF6CC0">
        <w:rPr>
          <w:rFonts w:ascii="Arial" w:eastAsia="Times New Roman" w:hAnsi="Arial" w:cs="Times New Roman"/>
          <w:color w:val="000000" w:themeColor="text1"/>
          <w:sz w:val="18"/>
          <w:szCs w:val="18"/>
          <w:lang w:val="en-GB"/>
        </w:rPr>
        <w:t>Ventile</w:t>
      </w:r>
      <w:r w:rsidRPr="00AF6CC0">
        <w:rPr>
          <w:rFonts w:ascii="Arial" w:hAnsi="Arial"/>
          <w:color w:val="000000" w:themeColor="text1"/>
          <w:sz w:val="18"/>
          <w:szCs w:val="18"/>
        </w:rPr>
        <w:t xml:space="preserve"> </w:t>
      </w:r>
      <w:r w:rsidRPr="00AF6CC0">
        <w:rPr>
          <w:rFonts w:ascii="Arial" w:hAnsi="Arial"/>
          <w:color w:val="000000" w:themeColor="text1"/>
          <w:sz w:val="18"/>
          <w:szCs w:val="18"/>
        </w:rPr>
        <w:tab/>
        <w:t>One twentieth or 5% of a ranked group of individuals or households</w:t>
      </w:r>
    </w:p>
    <w:p w14:paraId="4FBEDD34" w14:textId="5CF61D7A" w:rsidR="00E2613B" w:rsidRPr="00AF6CC0" w:rsidRDefault="00E2613B" w:rsidP="00CE6FC9">
      <w:pPr>
        <w:spacing w:after="60" w:line="240" w:lineRule="auto"/>
        <w:ind w:left="2126" w:hanging="1701"/>
        <w:rPr>
          <w:rFonts w:ascii="Arial" w:hAnsi="Arial"/>
          <w:color w:val="000000" w:themeColor="text1"/>
          <w:sz w:val="18"/>
          <w:szCs w:val="18"/>
        </w:rPr>
      </w:pPr>
      <w:r w:rsidRPr="00AF6CC0">
        <w:rPr>
          <w:rFonts w:ascii="Arial" w:hAnsi="Arial"/>
          <w:color w:val="000000" w:themeColor="text1"/>
          <w:sz w:val="18"/>
          <w:szCs w:val="18"/>
        </w:rPr>
        <w:t>p10</w:t>
      </w:r>
      <w:r w:rsidRPr="00AF6CC0">
        <w:rPr>
          <w:rFonts w:ascii="Arial" w:hAnsi="Arial"/>
          <w:color w:val="000000" w:themeColor="text1"/>
          <w:sz w:val="18"/>
          <w:szCs w:val="18"/>
        </w:rPr>
        <w:tab/>
        <w:t>The boundary at the top of the lowest income decile (so, P50 is the median)</w:t>
      </w:r>
    </w:p>
    <w:p w14:paraId="683903C2" w14:textId="68D5B8B8" w:rsidR="00E2613B" w:rsidRPr="00AF6CC0" w:rsidRDefault="00E2613B" w:rsidP="00CE6FC9">
      <w:pPr>
        <w:spacing w:after="60" w:line="240" w:lineRule="auto"/>
        <w:ind w:left="2126" w:hanging="1701"/>
        <w:rPr>
          <w:rFonts w:ascii="Arial" w:hAnsi="Arial"/>
          <w:color w:val="000000" w:themeColor="text1"/>
          <w:sz w:val="18"/>
          <w:szCs w:val="18"/>
          <w:highlight w:val="yellow"/>
        </w:rPr>
      </w:pPr>
      <w:r w:rsidRPr="00AF6CC0">
        <w:rPr>
          <w:rFonts w:ascii="Arial" w:hAnsi="Arial"/>
          <w:color w:val="000000" w:themeColor="text1"/>
          <w:sz w:val="18"/>
          <w:szCs w:val="18"/>
        </w:rPr>
        <w:t>NZDep13</w:t>
      </w:r>
      <w:r w:rsidRPr="00AF6CC0">
        <w:rPr>
          <w:rFonts w:ascii="Arial" w:hAnsi="Arial"/>
          <w:color w:val="000000" w:themeColor="text1"/>
          <w:sz w:val="18"/>
          <w:szCs w:val="18"/>
        </w:rPr>
        <w:tab/>
        <w:t xml:space="preserve">A socio-economic deprivation index that </w:t>
      </w:r>
      <w:r w:rsidRPr="00AF6CC0">
        <w:rPr>
          <w:rFonts w:ascii="Arial" w:hAnsi="Arial"/>
          <w:color w:val="000000" w:themeColor="text1"/>
          <w:sz w:val="18"/>
          <w:szCs w:val="18"/>
          <w:shd w:val="clear" w:color="auto" w:fill="FFFFFF"/>
        </w:rPr>
        <w:t xml:space="preserve">combines census data relating to income, home ownership, employment, qualifications, family structure, housing, access to transport and communications. NZDep13 provides a deprivation score for each </w:t>
      </w:r>
      <w:r w:rsidR="00835955" w:rsidRPr="00AF6CC0">
        <w:rPr>
          <w:rFonts w:ascii="Arial" w:hAnsi="Arial"/>
          <w:color w:val="000000" w:themeColor="text1"/>
          <w:sz w:val="18"/>
          <w:szCs w:val="18"/>
          <w:shd w:val="clear" w:color="auto" w:fill="FFFFFF"/>
        </w:rPr>
        <w:t>mesh block</w:t>
      </w:r>
      <w:r w:rsidRPr="00AF6CC0">
        <w:rPr>
          <w:rFonts w:ascii="Arial" w:hAnsi="Arial"/>
          <w:color w:val="000000" w:themeColor="text1"/>
          <w:sz w:val="18"/>
          <w:szCs w:val="18"/>
          <w:shd w:val="clear" w:color="auto" w:fill="FFFFFF"/>
        </w:rPr>
        <w:t xml:space="preserve"> in New Zealand (typically 60-110 people in each). It is not a household-based measure </w:t>
      </w:r>
    </w:p>
    <w:p w14:paraId="6E520A95" w14:textId="5D551346" w:rsidR="00E2613B" w:rsidRPr="00AF6CC0" w:rsidRDefault="00E2613B" w:rsidP="00CE6FC9">
      <w:pPr>
        <w:spacing w:after="60" w:line="240" w:lineRule="auto"/>
        <w:ind w:left="2127" w:hanging="1701"/>
        <w:rPr>
          <w:rFonts w:ascii="Arial" w:eastAsia="Times New Roman" w:hAnsi="Arial"/>
          <w:color w:val="000000" w:themeColor="text1"/>
          <w:sz w:val="18"/>
          <w:szCs w:val="18"/>
        </w:rPr>
      </w:pPr>
      <w:r w:rsidRPr="00AF6CC0">
        <w:rPr>
          <w:rFonts w:ascii="Arial" w:eastAsia="Times New Roman" w:hAnsi="Arial"/>
          <w:color w:val="000000" w:themeColor="text1"/>
          <w:sz w:val="18"/>
          <w:szCs w:val="18"/>
        </w:rPr>
        <w:t>EU-SILC</w:t>
      </w:r>
      <w:r w:rsidRPr="00AF6CC0">
        <w:rPr>
          <w:rFonts w:ascii="Arial" w:eastAsia="Times New Roman" w:hAnsi="Arial"/>
          <w:color w:val="000000" w:themeColor="text1"/>
          <w:sz w:val="18"/>
          <w:szCs w:val="18"/>
        </w:rPr>
        <w:tab/>
        <w:t xml:space="preserve">Eurostat’s annual Survey of Incomes and Living Conditions (EU-SILC) </w:t>
      </w:r>
    </w:p>
    <w:p w14:paraId="5C6CDF8D" w14:textId="7DFC7354" w:rsidR="00E2613B" w:rsidRDefault="00E2613B" w:rsidP="00CE6FC9">
      <w:pPr>
        <w:spacing w:after="60" w:line="240" w:lineRule="auto"/>
        <w:ind w:left="2127" w:hanging="1701"/>
        <w:rPr>
          <w:rFonts w:ascii="Arial" w:eastAsia="Times New Roman" w:hAnsi="Arial" w:cs="Times New Roman"/>
          <w:color w:val="000000" w:themeColor="text1"/>
          <w:sz w:val="18"/>
          <w:szCs w:val="18"/>
          <w:lang w:val="en-GB"/>
        </w:rPr>
      </w:pPr>
      <w:r w:rsidRPr="00AF6CC0">
        <w:rPr>
          <w:rFonts w:ascii="Arial" w:eastAsia="Times New Roman" w:hAnsi="Arial" w:cs="Times New Roman"/>
          <w:color w:val="000000" w:themeColor="text1"/>
          <w:sz w:val="18"/>
          <w:szCs w:val="18"/>
          <w:lang w:val="en-GB"/>
        </w:rPr>
        <w:t>OTI ratio</w:t>
      </w:r>
      <w:r w:rsidRPr="00AF6CC0">
        <w:rPr>
          <w:rFonts w:ascii="Arial" w:eastAsia="Times New Roman" w:hAnsi="Arial" w:cs="Times New Roman"/>
          <w:color w:val="000000" w:themeColor="text1"/>
          <w:sz w:val="18"/>
          <w:szCs w:val="18"/>
          <w:lang w:val="en-GB"/>
        </w:rPr>
        <w:tab/>
        <w:t>The ratio of housing costs outgoings to disposable household income, often expressed as a percentage (eg ‘an OTI &gt; 40%’)</w:t>
      </w:r>
    </w:p>
    <w:p w14:paraId="26C38C8E" w14:textId="4713A040" w:rsidR="00902E83"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DEP-17</w:t>
      </w:r>
      <w:r w:rsidR="00835955">
        <w:rPr>
          <w:rFonts w:ascii="Arial" w:eastAsia="Times New Roman" w:hAnsi="Arial" w:cs="Times New Roman"/>
          <w:color w:val="000000" w:themeColor="text1"/>
          <w:sz w:val="18"/>
          <w:szCs w:val="18"/>
          <w:lang w:val="en-GB"/>
        </w:rPr>
        <w:tab/>
        <w:t xml:space="preserve">A HES-based index for measuring material </w:t>
      </w:r>
      <w:r w:rsidR="00777AB6">
        <w:rPr>
          <w:rFonts w:ascii="Arial" w:eastAsia="Times New Roman" w:hAnsi="Arial" w:cs="Times New Roman"/>
          <w:color w:val="000000" w:themeColor="text1"/>
          <w:sz w:val="18"/>
          <w:szCs w:val="18"/>
          <w:lang w:val="en-GB"/>
        </w:rPr>
        <w:t>ha</w:t>
      </w:r>
      <w:r w:rsidR="00835955">
        <w:rPr>
          <w:rFonts w:ascii="Arial" w:eastAsia="Times New Roman" w:hAnsi="Arial" w:cs="Times New Roman"/>
          <w:color w:val="000000" w:themeColor="text1"/>
          <w:sz w:val="18"/>
          <w:szCs w:val="18"/>
          <w:lang w:val="en-GB"/>
        </w:rPr>
        <w:t>rdship</w:t>
      </w:r>
      <w:r w:rsidR="00777AB6">
        <w:rPr>
          <w:rFonts w:ascii="Arial" w:eastAsia="Times New Roman" w:hAnsi="Arial" w:cs="Times New Roman"/>
          <w:color w:val="000000" w:themeColor="text1"/>
          <w:sz w:val="18"/>
          <w:szCs w:val="18"/>
          <w:lang w:val="en-GB"/>
        </w:rPr>
        <w:t xml:space="preserve"> (threshold is 6+/17)</w:t>
      </w:r>
    </w:p>
    <w:p w14:paraId="65AD991D" w14:textId="220D777B" w:rsidR="00902E83"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MH-18</w:t>
      </w:r>
      <w:r w:rsidR="00835955">
        <w:rPr>
          <w:rFonts w:ascii="Arial" w:eastAsia="Times New Roman" w:hAnsi="Arial" w:cs="Times New Roman"/>
          <w:color w:val="000000" w:themeColor="text1"/>
          <w:sz w:val="18"/>
          <w:szCs w:val="18"/>
          <w:lang w:val="en-GB"/>
        </w:rPr>
        <w:tab/>
        <w:t>A HILS-based</w:t>
      </w:r>
      <w:r w:rsidR="00777AB6">
        <w:rPr>
          <w:rFonts w:ascii="Arial" w:eastAsia="Times New Roman" w:hAnsi="Arial" w:cs="Times New Roman"/>
          <w:color w:val="000000" w:themeColor="text1"/>
          <w:sz w:val="18"/>
          <w:szCs w:val="18"/>
          <w:lang w:val="en-GB"/>
        </w:rPr>
        <w:t xml:space="preserve"> index for measuring material hardship (threshold is 7+/18)</w:t>
      </w:r>
    </w:p>
    <w:p w14:paraId="1C4D4C9A" w14:textId="699A7064" w:rsidR="00777AB6"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MWI-24</w:t>
      </w:r>
      <w:r>
        <w:rPr>
          <w:rFonts w:ascii="Arial" w:eastAsia="Times New Roman" w:hAnsi="Arial" w:cs="Times New Roman"/>
          <w:color w:val="000000" w:themeColor="text1"/>
          <w:sz w:val="18"/>
          <w:szCs w:val="18"/>
          <w:lang w:val="en-GB"/>
        </w:rPr>
        <w:tab/>
      </w:r>
      <w:r w:rsidR="00777AB6">
        <w:rPr>
          <w:rFonts w:ascii="Arial" w:eastAsia="Times New Roman" w:hAnsi="Arial" w:cs="Times New Roman"/>
          <w:color w:val="000000" w:themeColor="text1"/>
          <w:sz w:val="18"/>
          <w:szCs w:val="18"/>
          <w:lang w:val="en-GB"/>
        </w:rPr>
        <w:t>MSD’s HES-based 24-item Material Wellbeing Index</w:t>
      </w:r>
      <w:r w:rsidR="00EE7261">
        <w:rPr>
          <w:rFonts w:ascii="Arial" w:eastAsia="Times New Roman" w:hAnsi="Arial" w:cs="Times New Roman"/>
          <w:color w:val="000000" w:themeColor="text1"/>
          <w:sz w:val="18"/>
          <w:szCs w:val="18"/>
          <w:lang w:val="en-GB"/>
        </w:rPr>
        <w:t xml:space="preserve"> – ranks households across the full MWB spectrum from low to high</w:t>
      </w:r>
    </w:p>
    <w:p w14:paraId="53389241" w14:textId="2ACBDAED" w:rsidR="00EE7261" w:rsidRDefault="00902E83"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MWI-26</w:t>
      </w:r>
      <w:r w:rsidR="00777AB6">
        <w:rPr>
          <w:rFonts w:ascii="Arial" w:eastAsia="Times New Roman" w:hAnsi="Arial" w:cs="Times New Roman"/>
          <w:color w:val="000000" w:themeColor="text1"/>
          <w:sz w:val="18"/>
          <w:szCs w:val="18"/>
          <w:lang w:val="en-GB"/>
        </w:rPr>
        <w:tab/>
        <w:t>MSD’s HILS-based 26-item Material Wellbeing Index</w:t>
      </w:r>
      <w:r w:rsidR="00EE7261">
        <w:rPr>
          <w:rFonts w:ascii="Arial" w:eastAsia="Times New Roman" w:hAnsi="Arial" w:cs="Times New Roman"/>
          <w:color w:val="000000" w:themeColor="text1"/>
          <w:sz w:val="18"/>
          <w:szCs w:val="18"/>
          <w:lang w:val="en-GB"/>
        </w:rPr>
        <w:t xml:space="preserve"> – ranks households across the full MWB spectrum from low to high</w:t>
      </w:r>
    </w:p>
    <w:p w14:paraId="5AE1DCA4" w14:textId="23D1501B" w:rsidR="00777AB6" w:rsidRDefault="00777AB6" w:rsidP="00CE6FC9">
      <w:pPr>
        <w:spacing w:after="60" w:line="240" w:lineRule="auto"/>
        <w:ind w:left="2127" w:hanging="1701"/>
        <w:rPr>
          <w:rFonts w:ascii="Arial" w:eastAsia="Times New Roman" w:hAnsi="Arial" w:cs="Times New Roman"/>
          <w:color w:val="000000" w:themeColor="text1"/>
          <w:sz w:val="18"/>
          <w:szCs w:val="18"/>
          <w:lang w:val="en-GB"/>
        </w:rPr>
      </w:pPr>
      <w:r>
        <w:rPr>
          <w:rFonts w:ascii="Arial" w:eastAsia="Times New Roman" w:hAnsi="Arial" w:cs="Times New Roman"/>
          <w:color w:val="000000" w:themeColor="text1"/>
          <w:sz w:val="18"/>
          <w:szCs w:val="18"/>
          <w:lang w:val="en-GB"/>
        </w:rPr>
        <w:t>MWI</w:t>
      </w:r>
      <w:r>
        <w:rPr>
          <w:rFonts w:ascii="Arial" w:eastAsia="Times New Roman" w:hAnsi="Arial" w:cs="Times New Roman"/>
          <w:color w:val="000000" w:themeColor="text1"/>
          <w:sz w:val="18"/>
          <w:szCs w:val="18"/>
          <w:lang w:val="en-GB"/>
        </w:rPr>
        <w:tab/>
        <w:t>Shorthand for one or both the above, used when context makes the meaning of this shortened version clear</w:t>
      </w:r>
    </w:p>
    <w:p w14:paraId="7C2F9983" w14:textId="38152336" w:rsidR="001749F4" w:rsidRPr="006E267C" w:rsidRDefault="001749F4" w:rsidP="00CE6FC9">
      <w:pPr>
        <w:pStyle w:val="ListParagraph"/>
        <w:spacing w:after="0" w:line="240" w:lineRule="auto"/>
        <w:ind w:left="284" w:firstLine="142"/>
        <w:contextualSpacing w:val="0"/>
        <w:rPr>
          <w:rFonts w:ascii="Arial Mäori" w:hAnsi="Arial Mäori"/>
          <w:sz w:val="16"/>
          <w:szCs w:val="16"/>
        </w:rPr>
      </w:pPr>
      <w:r>
        <w:rPr>
          <w:rFonts w:ascii="Arial" w:eastAsia="Times New Roman" w:hAnsi="Arial" w:cs="Times New Roman"/>
          <w:color w:val="000000" w:themeColor="text1"/>
          <w:sz w:val="18"/>
          <w:szCs w:val="18"/>
          <w:lang w:val="en-GB"/>
        </w:rPr>
        <w:t>Liquid Assets</w:t>
      </w:r>
      <w:r>
        <w:rPr>
          <w:rFonts w:ascii="Arial" w:eastAsia="Times New Roman" w:hAnsi="Arial" w:cs="Times New Roman"/>
          <w:color w:val="000000" w:themeColor="text1"/>
          <w:sz w:val="18"/>
          <w:szCs w:val="18"/>
          <w:lang w:val="en-GB"/>
        </w:rPr>
        <w:tab/>
      </w:r>
      <w:r w:rsidR="00393036" w:rsidRPr="006E267C">
        <w:rPr>
          <w:rFonts w:ascii="Arial" w:eastAsia="Times New Roman" w:hAnsi="Arial"/>
          <w:color w:val="000000"/>
          <w:sz w:val="16"/>
          <w:szCs w:val="16"/>
        </w:rPr>
        <w:t xml:space="preserve">In short, </w:t>
      </w:r>
      <w:r w:rsidRPr="006E267C">
        <w:rPr>
          <w:rFonts w:ascii="Arial" w:eastAsia="Times New Roman" w:hAnsi="Arial"/>
          <w:color w:val="000000"/>
          <w:sz w:val="16"/>
          <w:szCs w:val="16"/>
        </w:rPr>
        <w:t>savings and accessible investments</w:t>
      </w:r>
      <w:r w:rsidRPr="006E267C">
        <w:rPr>
          <w:rStyle w:val="FootnoteReference"/>
          <w:rFonts w:ascii="Arial" w:eastAsia="Times New Roman" w:hAnsi="Arial"/>
          <w:color w:val="000000"/>
          <w:sz w:val="18"/>
          <w:szCs w:val="18"/>
        </w:rPr>
        <w:footnoteReference w:id="6"/>
      </w:r>
    </w:p>
    <w:p w14:paraId="09ECA854" w14:textId="492139CA" w:rsidR="001749F4" w:rsidRPr="00AF6CC0" w:rsidRDefault="001749F4" w:rsidP="001749F4">
      <w:pPr>
        <w:spacing w:after="60" w:line="240" w:lineRule="auto"/>
        <w:ind w:left="2127" w:hanging="1679"/>
        <w:rPr>
          <w:rFonts w:ascii="Arial" w:eastAsia="Times New Roman" w:hAnsi="Arial" w:cs="Times New Roman"/>
          <w:color w:val="000000" w:themeColor="text1"/>
          <w:sz w:val="18"/>
          <w:szCs w:val="18"/>
          <w:lang w:val="en-GB"/>
        </w:rPr>
      </w:pPr>
    </w:p>
    <w:p w14:paraId="580ED7B8" w14:textId="25AE1AEE" w:rsidR="00E2613B" w:rsidRPr="00FA5B8F" w:rsidRDefault="00E2613B" w:rsidP="00E2613B">
      <w:pPr>
        <w:spacing w:after="0" w:line="240" w:lineRule="auto"/>
        <w:rPr>
          <w:rFonts w:ascii="Arial" w:hAnsi="Arial"/>
          <w:b/>
          <w:bCs/>
          <w:color w:val="000000" w:themeColor="text1"/>
          <w:sz w:val="28"/>
          <w:szCs w:val="28"/>
        </w:rPr>
      </w:pPr>
      <w:r w:rsidRPr="008536E5">
        <w:rPr>
          <w:rFonts w:ascii="Arial" w:hAnsi="Arial"/>
          <w:b/>
          <w:bCs/>
          <w:color w:val="000000" w:themeColor="text1"/>
          <w:sz w:val="28"/>
          <w:szCs w:val="28"/>
        </w:rPr>
        <w:t>Useful links</w:t>
      </w:r>
    </w:p>
    <w:p w14:paraId="4C769F82" w14:textId="77777777" w:rsidR="00E2613B" w:rsidRDefault="00E2613B" w:rsidP="00E2613B">
      <w:pPr>
        <w:spacing w:after="0" w:line="240" w:lineRule="auto"/>
        <w:rPr>
          <w:rFonts w:ascii="Arial" w:hAnsi="Arial"/>
          <w:b/>
          <w:bCs/>
          <w:color w:val="0000FF"/>
          <w:sz w:val="22"/>
        </w:rPr>
      </w:pPr>
    </w:p>
    <w:p w14:paraId="7DD22D1E" w14:textId="01FF1241" w:rsidR="00E2613B" w:rsidRDefault="00E2613B" w:rsidP="00E2613B">
      <w:pPr>
        <w:pStyle w:val="FootnoteText"/>
        <w:ind w:left="142" w:hanging="142"/>
        <w:rPr>
          <w:rFonts w:ascii="Arial" w:hAnsi="Arial"/>
          <w:szCs w:val="18"/>
        </w:rPr>
      </w:pPr>
      <w:r w:rsidRPr="00ED2FCF">
        <w:rPr>
          <w:rFonts w:ascii="Arial" w:hAnsi="Arial"/>
          <w:szCs w:val="18"/>
        </w:rPr>
        <w:t>The latest Stats NZ Child Poverty Statistics release (February 202</w:t>
      </w:r>
      <w:r w:rsidR="009421DA">
        <w:rPr>
          <w:rFonts w:ascii="Arial" w:hAnsi="Arial"/>
          <w:szCs w:val="18"/>
        </w:rPr>
        <w:t>6</w:t>
      </w:r>
      <w:r w:rsidRPr="00ED2FCF">
        <w:rPr>
          <w:rFonts w:ascii="Arial" w:hAnsi="Arial"/>
          <w:szCs w:val="18"/>
        </w:rPr>
        <w:t>):</w:t>
      </w:r>
    </w:p>
    <w:p w14:paraId="0319D183" w14:textId="10A9474B" w:rsidR="00E2613B" w:rsidRPr="00ED2FCF" w:rsidRDefault="009421DA" w:rsidP="00E2613B">
      <w:pPr>
        <w:pStyle w:val="FootnoteText"/>
        <w:spacing w:after="120"/>
        <w:ind w:left="284"/>
        <w:rPr>
          <w:rFonts w:ascii="Arial" w:hAnsi="Arial"/>
          <w:szCs w:val="18"/>
        </w:rPr>
      </w:pPr>
      <w:hyperlink r:id="rId13" w:history="1">
        <w:r w:rsidRPr="004D3673">
          <w:rPr>
            <w:rStyle w:val="Hyperlink"/>
            <w:rFonts w:ascii="Arial" w:hAnsi="Arial"/>
            <w:szCs w:val="18"/>
          </w:rPr>
          <w:t>https://www.stats.govt.nz/information-releases/child-poverty-statistics-year-ended-june-2025/</w:t>
        </w:r>
      </w:hyperlink>
      <w:r>
        <w:rPr>
          <w:rFonts w:ascii="Arial" w:hAnsi="Arial"/>
          <w:szCs w:val="18"/>
        </w:rPr>
        <w:t xml:space="preserve"> </w:t>
      </w:r>
    </w:p>
    <w:p w14:paraId="10873A93" w14:textId="5E0CBFB5" w:rsidR="00E2613B" w:rsidRPr="00ED2FCF" w:rsidRDefault="00E2613B" w:rsidP="00E2613B">
      <w:pPr>
        <w:spacing w:after="0" w:line="240" w:lineRule="auto"/>
        <w:rPr>
          <w:rFonts w:ascii="Arial" w:hAnsi="Arial"/>
          <w:sz w:val="18"/>
          <w:szCs w:val="18"/>
        </w:rPr>
      </w:pPr>
      <w:r w:rsidRPr="00ED2FCF">
        <w:rPr>
          <w:rFonts w:ascii="Arial" w:hAnsi="Arial"/>
          <w:sz w:val="18"/>
          <w:szCs w:val="18"/>
        </w:rPr>
        <w:t>Budget 202</w:t>
      </w:r>
      <w:r w:rsidR="009421DA">
        <w:rPr>
          <w:rFonts w:ascii="Arial" w:hAnsi="Arial"/>
          <w:sz w:val="18"/>
          <w:szCs w:val="18"/>
        </w:rPr>
        <w:t>6</w:t>
      </w:r>
      <w:r w:rsidRPr="00ED2FCF">
        <w:rPr>
          <w:rFonts w:ascii="Arial" w:hAnsi="Arial"/>
          <w:sz w:val="18"/>
          <w:szCs w:val="18"/>
        </w:rPr>
        <w:t xml:space="preserve"> Child Poverty Report</w:t>
      </w:r>
      <w:r w:rsidR="00A67B7E">
        <w:rPr>
          <w:rFonts w:ascii="Arial" w:hAnsi="Arial"/>
          <w:sz w:val="18"/>
          <w:szCs w:val="18"/>
        </w:rPr>
        <w:t>:</w:t>
      </w:r>
    </w:p>
    <w:p w14:paraId="63ECE15B" w14:textId="77777777" w:rsidR="009421DA" w:rsidRPr="009421DA" w:rsidRDefault="009421DA" w:rsidP="009421DA">
      <w:pPr>
        <w:spacing w:line="240" w:lineRule="auto"/>
        <w:ind w:left="284"/>
        <w:rPr>
          <w:rFonts w:ascii="Arial" w:hAnsi="Arial"/>
          <w:sz w:val="18"/>
          <w:szCs w:val="18"/>
        </w:rPr>
      </w:pPr>
      <w:hyperlink r:id="rId14" w:history="1">
        <w:r w:rsidRPr="009421DA">
          <w:rPr>
            <w:rStyle w:val="Hyperlink"/>
            <w:rFonts w:ascii="Arial" w:hAnsi="Arial"/>
            <w:sz w:val="18"/>
            <w:szCs w:val="18"/>
          </w:rPr>
          <w:t>https://budget.govt.nz/budget/2026/child-poverty-report/index.htm</w:t>
        </w:r>
      </w:hyperlink>
      <w:r w:rsidRPr="009421DA">
        <w:rPr>
          <w:rFonts w:ascii="Arial" w:hAnsi="Arial"/>
          <w:sz w:val="18"/>
          <w:szCs w:val="18"/>
        </w:rPr>
        <w:t xml:space="preserve"> </w:t>
      </w:r>
    </w:p>
    <w:p w14:paraId="37FBB329" w14:textId="36EE02C4" w:rsidR="00E2613B" w:rsidRPr="00ED2FCF" w:rsidRDefault="00E2613B" w:rsidP="00E2613B">
      <w:pPr>
        <w:spacing w:after="0" w:line="240" w:lineRule="auto"/>
        <w:rPr>
          <w:rFonts w:ascii="Arial" w:hAnsi="Arial"/>
          <w:sz w:val="18"/>
          <w:szCs w:val="18"/>
        </w:rPr>
      </w:pPr>
      <w:r w:rsidRPr="00ED2FCF">
        <w:rPr>
          <w:rFonts w:ascii="Arial" w:hAnsi="Arial"/>
          <w:sz w:val="18"/>
          <w:szCs w:val="18"/>
        </w:rPr>
        <w:t>2023 BIM (prepared by the Child Wellbeing and Poverty Reduction Group while part of DPMC -  the CWPRG is now in MSD)</w:t>
      </w:r>
    </w:p>
    <w:p w14:paraId="4E14F1F4" w14:textId="77777777" w:rsidR="00E2613B" w:rsidRPr="00ED2FCF" w:rsidRDefault="00E2613B" w:rsidP="00E2613B">
      <w:pPr>
        <w:spacing w:line="240" w:lineRule="auto"/>
        <w:ind w:left="284"/>
        <w:rPr>
          <w:rFonts w:ascii="Arial" w:hAnsi="Arial"/>
          <w:sz w:val="18"/>
          <w:szCs w:val="18"/>
        </w:rPr>
      </w:pPr>
      <w:hyperlink r:id="rId15" w:history="1">
        <w:r w:rsidRPr="00ED2FCF">
          <w:rPr>
            <w:rStyle w:val="Hyperlink"/>
            <w:rFonts w:ascii="Arial" w:hAnsi="Arial"/>
            <w:sz w:val="18"/>
            <w:szCs w:val="18"/>
          </w:rPr>
          <w:t>https://www.msd.govt.nz/documents/about-msd-and-our-work/child-youth-wellbeing/advice-to-ministers/bim-2023-child-poverty-reduction.pdf</w:t>
        </w:r>
      </w:hyperlink>
      <w:r w:rsidRPr="00ED2FCF">
        <w:rPr>
          <w:rFonts w:ascii="Arial" w:hAnsi="Arial"/>
          <w:sz w:val="18"/>
          <w:szCs w:val="18"/>
        </w:rPr>
        <w:t xml:space="preserve"> </w:t>
      </w:r>
    </w:p>
    <w:p w14:paraId="1492F11D" w14:textId="77777777" w:rsidR="00E2613B" w:rsidRPr="00ED2FCF" w:rsidRDefault="00E2613B" w:rsidP="00E2613B">
      <w:pPr>
        <w:spacing w:after="0" w:line="240" w:lineRule="auto"/>
        <w:rPr>
          <w:rFonts w:ascii="Arial" w:hAnsi="Arial"/>
          <w:sz w:val="18"/>
          <w:szCs w:val="18"/>
        </w:rPr>
      </w:pPr>
      <w:r w:rsidRPr="00ED2FCF">
        <w:rPr>
          <w:rFonts w:ascii="Arial" w:hAnsi="Arial"/>
          <w:sz w:val="18"/>
          <w:szCs w:val="18"/>
        </w:rPr>
        <w:t xml:space="preserve">Budget 2023 Child Poverty Report </w:t>
      </w:r>
      <w:r>
        <w:rPr>
          <w:rFonts w:ascii="Arial" w:hAnsi="Arial"/>
          <w:sz w:val="18"/>
          <w:szCs w:val="18"/>
        </w:rPr>
        <w:t>– see pp45ff in:</w:t>
      </w:r>
    </w:p>
    <w:p w14:paraId="6438A659" w14:textId="77777777" w:rsidR="00E2613B" w:rsidRPr="009B617E" w:rsidRDefault="00E2613B" w:rsidP="00E2613B">
      <w:pPr>
        <w:spacing w:line="240" w:lineRule="auto"/>
        <w:ind w:left="284"/>
        <w:rPr>
          <w:rFonts w:ascii="Arial" w:hAnsi="Arial"/>
          <w:color w:val="0000FF"/>
          <w:sz w:val="18"/>
          <w:szCs w:val="18"/>
        </w:rPr>
      </w:pPr>
      <w:hyperlink r:id="rId16" w:history="1">
        <w:r>
          <w:rPr>
            <w:rStyle w:val="cf01"/>
            <w:color w:val="0000FF"/>
            <w:u w:val="single"/>
          </w:rPr>
          <w:t>B2 Wellbeing Budget 2023 - Support for Today, Building for Tomorrow - 18 May 2023 (treasury.govt.nz)</w:t>
        </w:r>
      </w:hyperlink>
    </w:p>
    <w:p w14:paraId="0F5B54D4" w14:textId="37A2C3D2" w:rsidR="00E2613B" w:rsidRPr="00ED2FCF" w:rsidRDefault="00E2613B" w:rsidP="00E2613B">
      <w:pPr>
        <w:spacing w:after="0" w:line="240" w:lineRule="auto"/>
        <w:rPr>
          <w:rFonts w:ascii="Arial" w:hAnsi="Arial"/>
          <w:color w:val="000000" w:themeColor="text1"/>
          <w:sz w:val="18"/>
          <w:szCs w:val="18"/>
        </w:rPr>
      </w:pPr>
      <w:r w:rsidRPr="00ED2FCF">
        <w:rPr>
          <w:rFonts w:ascii="Arial" w:hAnsi="Arial"/>
          <w:color w:val="000000" w:themeColor="text1"/>
          <w:sz w:val="18"/>
          <w:szCs w:val="18"/>
        </w:rPr>
        <w:t>Child Wellbeing and Poverty Reduction Group (MSD)</w:t>
      </w:r>
      <w:r w:rsidR="009421DA">
        <w:rPr>
          <w:rFonts w:ascii="Arial" w:hAnsi="Arial"/>
          <w:color w:val="000000" w:themeColor="text1"/>
          <w:sz w:val="18"/>
          <w:szCs w:val="18"/>
        </w:rPr>
        <w:t>:</w:t>
      </w:r>
    </w:p>
    <w:p w14:paraId="3DD20EB3" w14:textId="592EE405" w:rsidR="00E2613B" w:rsidRPr="009421DA" w:rsidRDefault="009421DA" w:rsidP="00E2613B">
      <w:pPr>
        <w:spacing w:line="240" w:lineRule="auto"/>
        <w:ind w:left="284"/>
        <w:rPr>
          <w:rFonts w:ascii="Arial" w:hAnsi="Arial"/>
          <w:color w:val="0000FF"/>
          <w:sz w:val="18"/>
          <w:szCs w:val="18"/>
        </w:rPr>
      </w:pPr>
      <w:hyperlink r:id="rId17" w:history="1">
        <w:r w:rsidRPr="009421DA">
          <w:rPr>
            <w:rStyle w:val="Hyperlink"/>
            <w:rFonts w:ascii="Arial" w:hAnsi="Arial"/>
            <w:sz w:val="18"/>
            <w:szCs w:val="18"/>
          </w:rPr>
          <w:t>https://www.msd.govt.nz/about-msd-and-our-work/child-wellbeing-and-poverty-reduction/index.html</w:t>
        </w:r>
      </w:hyperlink>
      <w:r w:rsidRPr="009421DA">
        <w:rPr>
          <w:rFonts w:ascii="Arial" w:hAnsi="Arial"/>
          <w:sz w:val="18"/>
          <w:szCs w:val="18"/>
        </w:rPr>
        <w:t xml:space="preserve"> </w:t>
      </w:r>
      <w:r w:rsidR="00E2613B" w:rsidRPr="009421DA">
        <w:rPr>
          <w:rFonts w:ascii="Arial" w:hAnsi="Arial"/>
          <w:color w:val="0000FF"/>
          <w:sz w:val="18"/>
          <w:szCs w:val="18"/>
        </w:rPr>
        <w:t xml:space="preserve"> </w:t>
      </w:r>
    </w:p>
    <w:p w14:paraId="3E8AC005" w14:textId="38DEC5A1" w:rsidR="00E2613B" w:rsidRPr="00960527" w:rsidRDefault="009421DA" w:rsidP="00E2613B">
      <w:pPr>
        <w:pStyle w:val="FootnoteText"/>
        <w:spacing w:before="60"/>
        <w:ind w:left="142" w:hanging="142"/>
        <w:rPr>
          <w:rFonts w:ascii="Arial" w:hAnsi="Arial"/>
          <w:szCs w:val="18"/>
        </w:rPr>
      </w:pPr>
      <w:r>
        <w:rPr>
          <w:rFonts w:ascii="Arial" w:hAnsi="Arial"/>
          <w:szCs w:val="18"/>
        </w:rPr>
        <w:t>Previous</w:t>
      </w:r>
      <w:r w:rsidR="00E2613B" w:rsidRPr="00960527">
        <w:rPr>
          <w:rFonts w:ascii="Arial" w:hAnsi="Arial"/>
          <w:szCs w:val="18"/>
        </w:rPr>
        <w:t xml:space="preserve"> MSD Child Poverty Report</w:t>
      </w:r>
      <w:r>
        <w:rPr>
          <w:rFonts w:ascii="Arial" w:hAnsi="Arial"/>
          <w:szCs w:val="18"/>
        </w:rPr>
        <w:t>s (2021, 2022, 2024)</w:t>
      </w:r>
      <w:r w:rsidR="00E2613B" w:rsidRPr="00960527">
        <w:rPr>
          <w:rFonts w:ascii="Arial" w:hAnsi="Arial"/>
          <w:szCs w:val="18"/>
        </w:rPr>
        <w:t xml:space="preserve">: </w:t>
      </w:r>
    </w:p>
    <w:p w14:paraId="6BF5553B" w14:textId="77777777" w:rsidR="00E2613B" w:rsidRDefault="00E2613B" w:rsidP="00E2613B">
      <w:pPr>
        <w:pStyle w:val="FootnoteText"/>
        <w:spacing w:after="120"/>
        <w:ind w:left="284"/>
        <w:rPr>
          <w:rFonts w:ascii="Arial" w:hAnsi="Arial"/>
          <w:szCs w:val="18"/>
        </w:rPr>
      </w:pPr>
      <w:hyperlink r:id="rId18" w:history="1">
        <w:r w:rsidRPr="00960527">
          <w:rPr>
            <w:rStyle w:val="Hyperlink"/>
            <w:rFonts w:ascii="Arial" w:hAnsi="Arial"/>
            <w:szCs w:val="18"/>
          </w:rPr>
          <w:t>https://www.msd.govt.nz/about-msd-and-our-work/publications-resources/research/child-poverty-in-nz/index.html</w:t>
        </w:r>
      </w:hyperlink>
      <w:r w:rsidRPr="00960527">
        <w:rPr>
          <w:rFonts w:ascii="Arial" w:hAnsi="Arial"/>
          <w:szCs w:val="18"/>
        </w:rPr>
        <w:t xml:space="preserve"> </w:t>
      </w:r>
    </w:p>
    <w:p w14:paraId="3DD3BB55" w14:textId="7EE03A87" w:rsidR="00E2613B" w:rsidRDefault="00AF6CC0" w:rsidP="00522901">
      <w:pPr>
        <w:widowControl w:val="0"/>
        <w:autoSpaceDE w:val="0"/>
        <w:autoSpaceDN w:val="0"/>
        <w:adjustRightInd w:val="0"/>
        <w:spacing w:after="0" w:line="240" w:lineRule="auto"/>
        <w:ind w:left="284" w:hanging="284"/>
        <w:rPr>
          <w:rFonts w:ascii="Arial" w:hAnsi="Arial"/>
          <w:sz w:val="18"/>
          <w:szCs w:val="18"/>
        </w:rPr>
      </w:pPr>
      <w:r>
        <w:rPr>
          <w:rFonts w:ascii="Arial" w:hAnsi="Arial"/>
          <w:sz w:val="18"/>
          <w:szCs w:val="18"/>
        </w:rPr>
        <w:t>‘</w:t>
      </w:r>
      <w:r w:rsidR="00E2613B" w:rsidRPr="00AF6CC0">
        <w:rPr>
          <w:rFonts w:ascii="Arial" w:hAnsi="Arial"/>
          <w:sz w:val="18"/>
          <w:szCs w:val="18"/>
        </w:rPr>
        <w:t>Insights from New Zealand child poverty data</w:t>
      </w:r>
      <w:r w:rsidR="00E2613B" w:rsidRPr="00960527">
        <w:rPr>
          <w:rFonts w:ascii="Arial" w:hAnsi="Arial"/>
          <w:sz w:val="18"/>
          <w:szCs w:val="18"/>
        </w:rPr>
        <w:t xml:space="preserve">, </w:t>
      </w:r>
      <w:r w:rsidR="00E2613B">
        <w:rPr>
          <w:rFonts w:ascii="Arial" w:hAnsi="Arial"/>
          <w:sz w:val="18"/>
          <w:szCs w:val="18"/>
        </w:rPr>
        <w:t>2022</w:t>
      </w:r>
      <w:r>
        <w:rPr>
          <w:rFonts w:ascii="Arial" w:hAnsi="Arial"/>
          <w:sz w:val="18"/>
          <w:szCs w:val="18"/>
        </w:rPr>
        <w:t>’,</w:t>
      </w:r>
      <w:r w:rsidR="00E2613B">
        <w:rPr>
          <w:rFonts w:ascii="Arial" w:hAnsi="Arial"/>
          <w:sz w:val="18"/>
          <w:szCs w:val="18"/>
        </w:rPr>
        <w:t xml:space="preserve"> </w:t>
      </w:r>
      <w:r w:rsidR="00E2613B" w:rsidRPr="00960527">
        <w:rPr>
          <w:rFonts w:ascii="Arial" w:hAnsi="Arial"/>
          <w:sz w:val="18"/>
          <w:szCs w:val="18"/>
        </w:rPr>
        <w:t xml:space="preserve">Treasury Analytical Note </w:t>
      </w:r>
      <w:r w:rsidR="00E2613B">
        <w:rPr>
          <w:rFonts w:ascii="Arial" w:hAnsi="Arial"/>
          <w:sz w:val="18"/>
          <w:szCs w:val="18"/>
        </w:rPr>
        <w:t xml:space="preserve">(Meghan Stephens): </w:t>
      </w:r>
      <w:hyperlink r:id="rId19" w:history="1">
        <w:r w:rsidR="00E2613B" w:rsidRPr="009653CA">
          <w:rPr>
            <w:rStyle w:val="Hyperlink"/>
            <w:rFonts w:ascii="Arial" w:hAnsi="Arial"/>
            <w:sz w:val="18"/>
            <w:szCs w:val="18"/>
          </w:rPr>
          <w:t>https://www.treasury.govt.nz/sites/default/files/2022-09/an22-04.pdf</w:t>
        </w:r>
      </w:hyperlink>
      <w:r w:rsidR="00E2613B" w:rsidRPr="00960527">
        <w:rPr>
          <w:rFonts w:ascii="Arial" w:hAnsi="Arial"/>
          <w:sz w:val="18"/>
          <w:szCs w:val="18"/>
        </w:rPr>
        <w:t xml:space="preserve"> </w:t>
      </w:r>
    </w:p>
    <w:p w14:paraId="09685DB3" w14:textId="77777777" w:rsidR="00F07EE4" w:rsidRDefault="00F07EE4" w:rsidP="00522901">
      <w:pPr>
        <w:widowControl w:val="0"/>
        <w:autoSpaceDE w:val="0"/>
        <w:autoSpaceDN w:val="0"/>
        <w:adjustRightInd w:val="0"/>
        <w:spacing w:after="0" w:line="240" w:lineRule="auto"/>
        <w:ind w:left="284" w:hanging="284"/>
        <w:rPr>
          <w:rFonts w:ascii="Arial" w:hAnsi="Arial"/>
          <w:sz w:val="18"/>
          <w:szCs w:val="18"/>
        </w:rPr>
      </w:pPr>
    </w:p>
    <w:p w14:paraId="26959515" w14:textId="0B6C417F" w:rsidR="00F07EE4" w:rsidRDefault="00F07EE4" w:rsidP="00F07EE4">
      <w:pPr>
        <w:widowControl w:val="0"/>
        <w:autoSpaceDE w:val="0"/>
        <w:autoSpaceDN w:val="0"/>
        <w:adjustRightInd w:val="0"/>
        <w:spacing w:after="60" w:line="240" w:lineRule="auto"/>
        <w:ind w:left="284" w:hanging="284"/>
        <w:rPr>
          <w:rFonts w:ascii="Arial" w:hAnsi="Arial"/>
          <w:sz w:val="18"/>
          <w:szCs w:val="18"/>
        </w:rPr>
      </w:pPr>
      <w:r>
        <w:rPr>
          <w:rFonts w:ascii="Arial" w:hAnsi="Arial"/>
          <w:sz w:val="18"/>
          <w:szCs w:val="18"/>
        </w:rPr>
        <w:t>Development of a new measure of poverty in the UK to sit alongside the existing HBAI measures:</w:t>
      </w:r>
    </w:p>
    <w:p w14:paraId="0B577020" w14:textId="77777777" w:rsidR="0097483B" w:rsidRPr="00960527" w:rsidRDefault="0097483B" w:rsidP="0097483B">
      <w:pPr>
        <w:widowControl w:val="0"/>
        <w:autoSpaceDE w:val="0"/>
        <w:autoSpaceDN w:val="0"/>
        <w:adjustRightInd w:val="0"/>
        <w:spacing w:after="60" w:line="240" w:lineRule="auto"/>
        <w:ind w:left="568" w:hanging="284"/>
        <w:rPr>
          <w:rFonts w:ascii="Arial" w:hAnsi="Arial"/>
          <w:sz w:val="18"/>
          <w:szCs w:val="18"/>
        </w:rPr>
      </w:pPr>
      <w:hyperlink r:id="rId20" w:history="1">
        <w:r w:rsidRPr="004D3673">
          <w:rPr>
            <w:rStyle w:val="Hyperlink"/>
            <w:rFonts w:ascii="Arial" w:hAnsi="Arial"/>
            <w:sz w:val="18"/>
            <w:szCs w:val="18"/>
          </w:rPr>
          <w:t>https://www.gov.uk/government/statistics/below-average-resources-developing-a-new-poverty-measure/below-average-resources-developing-a-new-poverty-measure</w:t>
        </w:r>
      </w:hyperlink>
      <w:r>
        <w:rPr>
          <w:rFonts w:ascii="Arial" w:hAnsi="Arial"/>
          <w:sz w:val="18"/>
          <w:szCs w:val="18"/>
        </w:rPr>
        <w:t xml:space="preserve"> </w:t>
      </w:r>
    </w:p>
    <w:p w14:paraId="347AD5EE" w14:textId="0EBD1E4B" w:rsidR="00F07EE4" w:rsidRDefault="00F07EE4" w:rsidP="00F07EE4">
      <w:pPr>
        <w:widowControl w:val="0"/>
        <w:autoSpaceDE w:val="0"/>
        <w:autoSpaceDN w:val="0"/>
        <w:adjustRightInd w:val="0"/>
        <w:spacing w:after="60" w:line="240" w:lineRule="auto"/>
        <w:ind w:left="568" w:hanging="284"/>
        <w:rPr>
          <w:rFonts w:ascii="Arial" w:hAnsi="Arial"/>
          <w:sz w:val="18"/>
          <w:szCs w:val="18"/>
        </w:rPr>
      </w:pPr>
      <w:hyperlink r:id="rId21" w:history="1">
        <w:r w:rsidRPr="004D3673">
          <w:rPr>
            <w:rStyle w:val="Hyperlink"/>
            <w:rFonts w:ascii="Arial" w:hAnsi="Arial"/>
            <w:sz w:val="18"/>
            <w:szCs w:val="18"/>
          </w:rPr>
          <w:t>https://socialmetricscommission.org.uk/</w:t>
        </w:r>
      </w:hyperlink>
      <w:r>
        <w:rPr>
          <w:rFonts w:ascii="Arial" w:hAnsi="Arial"/>
          <w:sz w:val="18"/>
          <w:szCs w:val="18"/>
        </w:rPr>
        <w:t xml:space="preserve"> </w:t>
      </w:r>
    </w:p>
    <w:p w14:paraId="523AF81F" w14:textId="4502AAE6" w:rsidR="00F07EE4" w:rsidRDefault="00F07EE4" w:rsidP="00F07EE4">
      <w:pPr>
        <w:widowControl w:val="0"/>
        <w:autoSpaceDE w:val="0"/>
        <w:autoSpaceDN w:val="0"/>
        <w:adjustRightInd w:val="0"/>
        <w:spacing w:after="60" w:line="240" w:lineRule="auto"/>
        <w:ind w:left="568" w:hanging="284"/>
        <w:rPr>
          <w:rFonts w:ascii="Arial" w:hAnsi="Arial"/>
          <w:sz w:val="18"/>
          <w:szCs w:val="18"/>
        </w:rPr>
      </w:pPr>
      <w:hyperlink r:id="rId22" w:history="1">
        <w:r w:rsidRPr="004D3673">
          <w:rPr>
            <w:rStyle w:val="Hyperlink"/>
            <w:rFonts w:ascii="Arial" w:hAnsi="Arial"/>
            <w:sz w:val="18"/>
            <w:szCs w:val="18"/>
          </w:rPr>
          <w:t>https://povertystrategycommission.org.uk/</w:t>
        </w:r>
      </w:hyperlink>
      <w:r>
        <w:rPr>
          <w:rFonts w:ascii="Arial" w:hAnsi="Arial"/>
          <w:sz w:val="18"/>
          <w:szCs w:val="18"/>
        </w:rPr>
        <w:t xml:space="preserve"> </w:t>
      </w:r>
    </w:p>
    <w:p w14:paraId="778A7B39" w14:textId="77777777" w:rsidR="00202FA0" w:rsidRDefault="00202FA0">
      <w:pPr>
        <w:spacing w:after="0" w:line="240" w:lineRule="auto"/>
        <w:rPr>
          <w:rFonts w:ascii="Arial" w:hAnsi="Arial"/>
          <w:b/>
          <w:bCs/>
          <w:color w:val="000000" w:themeColor="text1"/>
          <w:sz w:val="36"/>
          <w:szCs w:val="36"/>
        </w:rPr>
      </w:pPr>
      <w:r>
        <w:rPr>
          <w:rFonts w:ascii="Arial" w:hAnsi="Arial"/>
          <w:b/>
          <w:bCs/>
          <w:color w:val="000000" w:themeColor="text1"/>
          <w:sz w:val="36"/>
          <w:szCs w:val="36"/>
        </w:rPr>
        <w:br w:type="page"/>
      </w:r>
    </w:p>
    <w:p w14:paraId="329677DC" w14:textId="77777777" w:rsidR="00017A19" w:rsidRDefault="00017A19">
      <w:pPr>
        <w:spacing w:after="0" w:line="240" w:lineRule="auto"/>
        <w:rPr>
          <w:rFonts w:ascii="Arial" w:hAnsi="Arial"/>
          <w:b/>
          <w:bCs/>
          <w:color w:val="000000" w:themeColor="text1"/>
          <w:sz w:val="40"/>
          <w:szCs w:val="44"/>
        </w:rPr>
      </w:pPr>
      <w:r>
        <w:rPr>
          <w:rFonts w:ascii="Arial" w:hAnsi="Arial"/>
          <w:b/>
          <w:bCs/>
          <w:color w:val="000000" w:themeColor="text1"/>
          <w:sz w:val="40"/>
          <w:szCs w:val="44"/>
        </w:rPr>
        <w:lastRenderedPageBreak/>
        <w:br w:type="page"/>
      </w:r>
    </w:p>
    <w:p w14:paraId="1FAB7284" w14:textId="5F469A33" w:rsidR="004000B4" w:rsidRPr="009A3E2F" w:rsidRDefault="004000B4" w:rsidP="004000B4">
      <w:pPr>
        <w:spacing w:after="0" w:line="240" w:lineRule="auto"/>
        <w:rPr>
          <w:rFonts w:ascii="Arial" w:hAnsi="Arial"/>
          <w:b/>
          <w:bCs/>
          <w:color w:val="000000" w:themeColor="text1"/>
          <w:sz w:val="40"/>
          <w:szCs w:val="44"/>
        </w:rPr>
      </w:pPr>
      <w:r w:rsidRPr="009A3E2F">
        <w:rPr>
          <w:rFonts w:ascii="Arial" w:hAnsi="Arial"/>
          <w:b/>
          <w:bCs/>
          <w:color w:val="000000" w:themeColor="text1"/>
          <w:sz w:val="40"/>
          <w:szCs w:val="44"/>
        </w:rPr>
        <w:lastRenderedPageBreak/>
        <w:t>Part One</w:t>
      </w:r>
    </w:p>
    <w:p w14:paraId="4CFC613A" w14:textId="6F4EEF64" w:rsidR="00C22AEF" w:rsidRPr="004000B4" w:rsidRDefault="00C22AEF" w:rsidP="00C22AEF">
      <w:pPr>
        <w:spacing w:after="0" w:line="240" w:lineRule="auto"/>
        <w:rPr>
          <w:rFonts w:ascii="Arial" w:hAnsi="Arial"/>
          <w:b/>
          <w:bCs/>
          <w:color w:val="000000" w:themeColor="text1"/>
          <w:sz w:val="28"/>
          <w:szCs w:val="28"/>
        </w:rPr>
      </w:pPr>
      <w:r w:rsidRPr="004000B4">
        <w:rPr>
          <w:rFonts w:ascii="Arial" w:hAnsi="Arial"/>
          <w:b/>
          <w:bCs/>
          <w:color w:val="000000" w:themeColor="text1"/>
          <w:sz w:val="28"/>
          <w:szCs w:val="28"/>
        </w:rPr>
        <w:t>Concepts, definitions, measures</w:t>
      </w:r>
      <w:r>
        <w:rPr>
          <w:rFonts w:ascii="Arial" w:hAnsi="Arial"/>
          <w:b/>
          <w:bCs/>
          <w:color w:val="000000" w:themeColor="text1"/>
          <w:sz w:val="28"/>
          <w:szCs w:val="28"/>
        </w:rPr>
        <w:t xml:space="preserve"> and data sources</w:t>
      </w:r>
    </w:p>
    <w:p w14:paraId="3D43FED4" w14:textId="77777777" w:rsidR="004000B4" w:rsidRDefault="004000B4" w:rsidP="004000B4">
      <w:pPr>
        <w:spacing w:after="60" w:line="240" w:lineRule="auto"/>
        <w:rPr>
          <w:rFonts w:ascii="Arial" w:hAnsi="Arial"/>
          <w:b/>
          <w:bCs/>
          <w:color w:val="000000" w:themeColor="text1"/>
          <w:sz w:val="32"/>
          <w:szCs w:val="36"/>
        </w:rPr>
      </w:pPr>
    </w:p>
    <w:p w14:paraId="618CCC23" w14:textId="6A078346" w:rsidR="00644E3D" w:rsidRPr="00644E3D" w:rsidRDefault="00644E3D" w:rsidP="004000B4">
      <w:pPr>
        <w:spacing w:after="60" w:line="240" w:lineRule="auto"/>
        <w:rPr>
          <w:rFonts w:ascii="Arial" w:hAnsi="Arial"/>
          <w:b/>
          <w:bCs/>
          <w:color w:val="000000" w:themeColor="text1"/>
          <w:sz w:val="36"/>
          <w:szCs w:val="36"/>
        </w:rPr>
      </w:pPr>
      <w:r w:rsidRPr="00644E3D">
        <w:rPr>
          <w:rFonts w:ascii="Arial" w:hAnsi="Arial"/>
          <w:b/>
          <w:bCs/>
          <w:color w:val="000000" w:themeColor="text1"/>
          <w:sz w:val="36"/>
          <w:szCs w:val="36"/>
        </w:rPr>
        <w:t>Section A</w:t>
      </w:r>
    </w:p>
    <w:p w14:paraId="243F7F9F" w14:textId="4DE31CF1" w:rsidR="007A01F5" w:rsidRPr="004000B4" w:rsidRDefault="007A01F5" w:rsidP="00644E3D">
      <w:pPr>
        <w:spacing w:after="0" w:line="240" w:lineRule="auto"/>
        <w:rPr>
          <w:rFonts w:ascii="Arial" w:hAnsi="Arial"/>
          <w:b/>
          <w:bCs/>
          <w:color w:val="000000" w:themeColor="text1"/>
          <w:sz w:val="28"/>
          <w:szCs w:val="28"/>
        </w:rPr>
      </w:pPr>
      <w:r w:rsidRPr="004000B4">
        <w:rPr>
          <w:rFonts w:ascii="Arial" w:hAnsi="Arial"/>
          <w:b/>
          <w:bCs/>
          <w:color w:val="000000" w:themeColor="text1"/>
          <w:sz w:val="28"/>
          <w:szCs w:val="28"/>
        </w:rPr>
        <w:t>Concepts, definitions, measures</w:t>
      </w:r>
    </w:p>
    <w:p w14:paraId="4714ADCC" w14:textId="77777777" w:rsidR="001C39B2" w:rsidRPr="004820EC" w:rsidRDefault="001C39B2">
      <w:pPr>
        <w:spacing w:after="0" w:line="240" w:lineRule="auto"/>
        <w:rPr>
          <w:rFonts w:ascii="Arial" w:hAnsi="Arial"/>
          <w:b/>
          <w:bCs/>
          <w:color w:val="000000" w:themeColor="text1"/>
          <w:sz w:val="24"/>
          <w:szCs w:val="24"/>
        </w:rPr>
      </w:pPr>
    </w:p>
    <w:p w14:paraId="0ED3BA79" w14:textId="322F2DEE" w:rsidR="003D5DE5" w:rsidRPr="0068014C" w:rsidRDefault="007210FE">
      <w:pPr>
        <w:spacing w:after="0" w:line="240" w:lineRule="auto"/>
        <w:rPr>
          <w:rFonts w:ascii="Arial" w:hAnsi="Arial"/>
          <w:color w:val="000000" w:themeColor="text1"/>
          <w:szCs w:val="20"/>
        </w:rPr>
      </w:pPr>
      <w:r w:rsidRPr="00C22AEF">
        <w:rPr>
          <w:rFonts w:ascii="Arial" w:hAnsi="Arial"/>
          <w:b/>
          <w:bCs/>
          <w:color w:val="000000" w:themeColor="text1"/>
          <w:szCs w:val="20"/>
        </w:rPr>
        <w:t>Section A</w:t>
      </w:r>
      <w:r w:rsidR="007A01F5" w:rsidRPr="0068014C">
        <w:rPr>
          <w:rFonts w:ascii="Arial" w:hAnsi="Arial"/>
          <w:color w:val="000000" w:themeColor="text1"/>
          <w:szCs w:val="20"/>
        </w:rPr>
        <w:t xml:space="preserve"> d</w:t>
      </w:r>
      <w:r w:rsidR="003D5DE5" w:rsidRPr="0068014C">
        <w:rPr>
          <w:rFonts w:ascii="Arial" w:hAnsi="Arial"/>
          <w:color w:val="000000" w:themeColor="text1"/>
          <w:szCs w:val="20"/>
        </w:rPr>
        <w:t xml:space="preserve">escribes and discusses the conceptual, methodological and technical infrastructure used in this report and other similar ones internationally. </w:t>
      </w:r>
      <w:r w:rsidR="007A01F5" w:rsidRPr="0068014C">
        <w:rPr>
          <w:rFonts w:ascii="Arial" w:hAnsi="Arial"/>
          <w:color w:val="000000" w:themeColor="text1"/>
          <w:szCs w:val="20"/>
        </w:rPr>
        <w:t>The choices made in the process of going from raw survey and administrative data to</w:t>
      </w:r>
      <w:r w:rsidR="006B71CB">
        <w:rPr>
          <w:rFonts w:ascii="Arial" w:hAnsi="Arial"/>
          <w:color w:val="000000" w:themeColor="text1"/>
          <w:szCs w:val="20"/>
        </w:rPr>
        <w:t xml:space="preserve"> the dataset used for analysis and then to</w:t>
      </w:r>
      <w:r w:rsidR="007A01F5" w:rsidRPr="0068014C">
        <w:rPr>
          <w:rFonts w:ascii="Arial" w:hAnsi="Arial"/>
          <w:color w:val="000000" w:themeColor="text1"/>
          <w:szCs w:val="20"/>
        </w:rPr>
        <w:t xml:space="preserve"> the tables and charts in the report have an impact on the picture that is painted. </w:t>
      </w:r>
      <w:r w:rsidR="003D5DE5" w:rsidRPr="0068014C">
        <w:rPr>
          <w:rFonts w:ascii="Arial" w:hAnsi="Arial"/>
          <w:color w:val="000000" w:themeColor="text1"/>
          <w:szCs w:val="20"/>
        </w:rPr>
        <w:t>Not every</w:t>
      </w:r>
      <w:r w:rsidR="007A01F5" w:rsidRPr="0068014C">
        <w:rPr>
          <w:rFonts w:ascii="Arial" w:hAnsi="Arial"/>
          <w:color w:val="000000" w:themeColor="text1"/>
          <w:szCs w:val="20"/>
        </w:rPr>
        <w:t xml:space="preserve"> aspect of the journey is covered –</w:t>
      </w:r>
      <w:r w:rsidR="006B71CB">
        <w:rPr>
          <w:rFonts w:ascii="Arial" w:hAnsi="Arial"/>
          <w:color w:val="000000" w:themeColor="text1"/>
          <w:szCs w:val="20"/>
        </w:rPr>
        <w:t xml:space="preserve"> the report’s major focus is on the steps after the analysis data set is created. S</w:t>
      </w:r>
      <w:r w:rsidR="007A01F5" w:rsidRPr="0068014C">
        <w:rPr>
          <w:rFonts w:ascii="Arial" w:hAnsi="Arial"/>
          <w:color w:val="000000" w:themeColor="text1"/>
          <w:szCs w:val="20"/>
        </w:rPr>
        <w:t xml:space="preserve">ee Stats NZ’s </w:t>
      </w:r>
      <w:r w:rsidR="00E10035">
        <w:rPr>
          <w:rFonts w:ascii="Arial" w:hAnsi="Arial"/>
          <w:color w:val="000000" w:themeColor="text1"/>
          <w:szCs w:val="20"/>
        </w:rPr>
        <w:t xml:space="preserve"> February 2025 </w:t>
      </w:r>
      <w:r w:rsidR="007A01F5" w:rsidRPr="0068014C">
        <w:rPr>
          <w:rFonts w:ascii="Arial" w:hAnsi="Arial"/>
          <w:color w:val="000000" w:themeColor="text1"/>
          <w:szCs w:val="20"/>
        </w:rPr>
        <w:t>Technical Appendix for more</w:t>
      </w:r>
      <w:r w:rsidR="006B71CB">
        <w:rPr>
          <w:rFonts w:ascii="Arial" w:hAnsi="Arial"/>
          <w:color w:val="000000" w:themeColor="text1"/>
          <w:szCs w:val="20"/>
        </w:rPr>
        <w:t xml:space="preserve"> detail</w:t>
      </w:r>
      <w:r w:rsidR="00E160AC" w:rsidRPr="0068014C">
        <w:rPr>
          <w:rStyle w:val="FootnoteReference"/>
          <w:rFonts w:ascii="Arial" w:hAnsi="Arial"/>
          <w:color w:val="000000" w:themeColor="text1"/>
          <w:szCs w:val="20"/>
        </w:rPr>
        <w:footnoteReference w:id="7"/>
      </w:r>
      <w:r w:rsidR="007A01F5" w:rsidRPr="0068014C">
        <w:rPr>
          <w:rFonts w:ascii="Arial" w:hAnsi="Arial"/>
          <w:color w:val="000000" w:themeColor="text1"/>
          <w:szCs w:val="20"/>
        </w:rPr>
        <w:t>.</w:t>
      </w:r>
    </w:p>
    <w:p w14:paraId="217DED60" w14:textId="59E761A7" w:rsidR="001C39B2" w:rsidRPr="0068014C" w:rsidRDefault="001C39B2">
      <w:pPr>
        <w:spacing w:after="0" w:line="240" w:lineRule="auto"/>
        <w:rPr>
          <w:rFonts w:ascii="Arial" w:hAnsi="Arial"/>
          <w:color w:val="000000" w:themeColor="text1"/>
          <w:szCs w:val="20"/>
        </w:rPr>
      </w:pPr>
    </w:p>
    <w:p w14:paraId="47AEA00A" w14:textId="404E1B75" w:rsidR="00F60B65" w:rsidRPr="008E7E03" w:rsidRDefault="005032CD" w:rsidP="00F60B65">
      <w:pPr>
        <w:spacing w:after="0" w:line="240" w:lineRule="auto"/>
        <w:rPr>
          <w:rFonts w:ascii="Arial" w:eastAsia="Times New Roman" w:hAnsi="Arial"/>
          <w:color w:val="000000"/>
          <w:szCs w:val="20"/>
          <w:lang w:val="en-GB"/>
        </w:rPr>
      </w:pPr>
      <w:r w:rsidRPr="0068014C">
        <w:rPr>
          <w:rFonts w:ascii="Arial" w:hAnsi="Arial"/>
          <w:color w:val="000000" w:themeColor="text1"/>
          <w:szCs w:val="20"/>
        </w:rPr>
        <w:t xml:space="preserve">The section </w:t>
      </w:r>
      <w:r w:rsidR="00F60B65">
        <w:rPr>
          <w:rFonts w:ascii="Arial" w:hAnsi="Arial"/>
          <w:color w:val="000000" w:themeColor="text1"/>
          <w:szCs w:val="20"/>
        </w:rPr>
        <w:t>opens</w:t>
      </w:r>
      <w:r w:rsidRPr="0068014C">
        <w:rPr>
          <w:rFonts w:ascii="Arial" w:hAnsi="Arial"/>
          <w:color w:val="000000" w:themeColor="text1"/>
          <w:szCs w:val="20"/>
        </w:rPr>
        <w:t xml:space="preserve"> with </w:t>
      </w:r>
      <w:r w:rsidR="00F60B65">
        <w:rPr>
          <w:rFonts w:ascii="Arial" w:hAnsi="Arial"/>
          <w:color w:val="000000" w:themeColor="text1"/>
          <w:szCs w:val="20"/>
        </w:rPr>
        <w:t xml:space="preserve">a description of the income-wealth-consumption framework used in MSD reports </w:t>
      </w:r>
      <w:r w:rsidR="00F60B65">
        <w:rPr>
          <w:rFonts w:ascii="Arial" w:eastAsia="Times New Roman" w:hAnsi="Arial"/>
          <w:bCs/>
          <w:color w:val="000000"/>
          <w:szCs w:val="20"/>
          <w:lang w:val="en-GB"/>
        </w:rPr>
        <w:t>to assist with thinking</w:t>
      </w:r>
      <w:r w:rsidR="00F60B65" w:rsidRPr="008E7E03">
        <w:rPr>
          <w:rFonts w:ascii="Arial" w:eastAsia="Times New Roman" w:hAnsi="Arial"/>
          <w:color w:val="000000"/>
          <w:szCs w:val="20"/>
          <w:lang w:val="en-GB"/>
        </w:rPr>
        <w:t xml:space="preserve"> through the relationship between material wellbeing (or living standards), </w:t>
      </w:r>
      <w:r w:rsidR="00F60B65">
        <w:rPr>
          <w:rFonts w:ascii="Arial" w:eastAsia="Times New Roman" w:hAnsi="Arial"/>
          <w:color w:val="000000"/>
          <w:szCs w:val="20"/>
          <w:lang w:val="en-GB"/>
        </w:rPr>
        <w:t xml:space="preserve">material hardship, </w:t>
      </w:r>
      <w:r w:rsidR="00F60B65" w:rsidRPr="008E7E03">
        <w:rPr>
          <w:rFonts w:ascii="Arial" w:eastAsia="Times New Roman" w:hAnsi="Arial"/>
          <w:color w:val="000000"/>
          <w:szCs w:val="20"/>
          <w:lang w:val="en-GB"/>
        </w:rPr>
        <w:t xml:space="preserve">household income, financial and physical assets, and other factors. </w:t>
      </w:r>
    </w:p>
    <w:p w14:paraId="7558C660" w14:textId="77777777" w:rsidR="00F60B65" w:rsidRDefault="00F60B65" w:rsidP="00F60B65">
      <w:pPr>
        <w:spacing w:after="0" w:line="240" w:lineRule="auto"/>
        <w:rPr>
          <w:rFonts w:ascii="Arial" w:hAnsi="Arial"/>
          <w:color w:val="000000" w:themeColor="text1"/>
          <w:szCs w:val="20"/>
        </w:rPr>
      </w:pPr>
    </w:p>
    <w:p w14:paraId="6824E471" w14:textId="7EB07A03" w:rsidR="001C39B2" w:rsidRPr="0068014C" w:rsidRDefault="00F60B65" w:rsidP="0068014C">
      <w:pPr>
        <w:spacing w:after="60" w:line="240" w:lineRule="auto"/>
        <w:rPr>
          <w:rFonts w:ascii="Arial" w:hAnsi="Arial"/>
          <w:color w:val="000000" w:themeColor="text1"/>
          <w:szCs w:val="20"/>
        </w:rPr>
      </w:pPr>
      <w:r>
        <w:rPr>
          <w:rFonts w:ascii="Arial" w:hAnsi="Arial"/>
          <w:color w:val="000000" w:themeColor="text1"/>
          <w:szCs w:val="20"/>
        </w:rPr>
        <w:t xml:space="preserve">It then gives </w:t>
      </w:r>
      <w:r w:rsidR="005032CD" w:rsidRPr="0068014C">
        <w:rPr>
          <w:rFonts w:ascii="Arial" w:hAnsi="Arial"/>
          <w:color w:val="000000" w:themeColor="text1"/>
          <w:szCs w:val="20"/>
        </w:rPr>
        <w:t xml:space="preserve">the high-level definition of ‘poverty’ used in this report </w:t>
      </w:r>
      <w:r>
        <w:rPr>
          <w:rFonts w:ascii="Arial" w:hAnsi="Arial"/>
          <w:color w:val="000000" w:themeColor="text1"/>
          <w:szCs w:val="20"/>
        </w:rPr>
        <w:t>and</w:t>
      </w:r>
      <w:r w:rsidR="005032CD" w:rsidRPr="0068014C">
        <w:rPr>
          <w:rFonts w:ascii="Arial" w:hAnsi="Arial"/>
          <w:color w:val="000000" w:themeColor="text1"/>
          <w:szCs w:val="20"/>
        </w:rPr>
        <w:t xml:space="preserve"> discusses the </w:t>
      </w:r>
      <w:r w:rsidR="008C4FA0" w:rsidRPr="0068014C">
        <w:rPr>
          <w:rFonts w:ascii="Arial" w:hAnsi="Arial"/>
          <w:color w:val="000000" w:themeColor="text1"/>
          <w:szCs w:val="20"/>
        </w:rPr>
        <w:t>three</w:t>
      </w:r>
      <w:r w:rsidR="00235E71" w:rsidRPr="0068014C">
        <w:rPr>
          <w:rFonts w:ascii="Arial" w:hAnsi="Arial"/>
          <w:color w:val="000000" w:themeColor="text1"/>
          <w:szCs w:val="20"/>
        </w:rPr>
        <w:t xml:space="preserve"> main metrics used to implement the definition in practice:</w:t>
      </w:r>
    </w:p>
    <w:p w14:paraId="1528CCAA" w14:textId="619CA1B1" w:rsidR="00235E71" w:rsidRPr="0068014C" w:rsidRDefault="008C4FA0">
      <w:pPr>
        <w:pStyle w:val="ListParagraph"/>
        <w:numPr>
          <w:ilvl w:val="0"/>
          <w:numId w:val="43"/>
        </w:numPr>
        <w:spacing w:after="60" w:line="240" w:lineRule="auto"/>
        <w:contextualSpacing w:val="0"/>
        <w:rPr>
          <w:rFonts w:ascii="Arial" w:hAnsi="Arial"/>
          <w:color w:val="000000" w:themeColor="text1"/>
          <w:szCs w:val="20"/>
        </w:rPr>
      </w:pPr>
      <w:r w:rsidRPr="0068014C">
        <w:rPr>
          <w:rFonts w:ascii="Arial" w:hAnsi="Arial"/>
          <w:color w:val="000000" w:themeColor="text1"/>
          <w:szCs w:val="20"/>
        </w:rPr>
        <w:t>h</w:t>
      </w:r>
      <w:r w:rsidR="00235E71" w:rsidRPr="0068014C">
        <w:rPr>
          <w:rFonts w:ascii="Arial" w:hAnsi="Arial"/>
          <w:color w:val="000000" w:themeColor="text1"/>
          <w:szCs w:val="20"/>
        </w:rPr>
        <w:t>ousehold incomes before and after deducting housing costs (BHC and AHC)</w:t>
      </w:r>
    </w:p>
    <w:p w14:paraId="7FEF90CF" w14:textId="2507FC5C" w:rsidR="00235E71" w:rsidRPr="0068014C" w:rsidRDefault="008C4FA0">
      <w:pPr>
        <w:pStyle w:val="ListParagraph"/>
        <w:numPr>
          <w:ilvl w:val="0"/>
          <w:numId w:val="43"/>
        </w:numPr>
        <w:spacing w:after="60" w:line="240" w:lineRule="auto"/>
        <w:contextualSpacing w:val="0"/>
        <w:rPr>
          <w:rFonts w:ascii="Arial" w:hAnsi="Arial"/>
          <w:color w:val="000000" w:themeColor="text1"/>
          <w:szCs w:val="20"/>
        </w:rPr>
      </w:pPr>
      <w:r w:rsidRPr="0068014C">
        <w:rPr>
          <w:rFonts w:ascii="Arial" w:hAnsi="Arial"/>
          <w:color w:val="000000" w:themeColor="text1"/>
          <w:szCs w:val="20"/>
        </w:rPr>
        <w:t xml:space="preserve">non-income measures / non-monetary indicators and the associated indices created </w:t>
      </w:r>
      <w:r w:rsidR="00F60B65">
        <w:rPr>
          <w:rFonts w:ascii="Arial" w:hAnsi="Arial"/>
          <w:color w:val="000000" w:themeColor="text1"/>
          <w:szCs w:val="20"/>
        </w:rPr>
        <w:t>by</w:t>
      </w:r>
      <w:r w:rsidRPr="0068014C">
        <w:rPr>
          <w:rFonts w:ascii="Arial" w:hAnsi="Arial"/>
          <w:color w:val="000000" w:themeColor="text1"/>
          <w:szCs w:val="20"/>
        </w:rPr>
        <w:t xml:space="preserve"> using </w:t>
      </w:r>
      <w:r w:rsidR="00F60B65">
        <w:rPr>
          <w:rFonts w:ascii="Arial" w:hAnsi="Arial"/>
          <w:color w:val="000000" w:themeColor="text1"/>
          <w:szCs w:val="20"/>
        </w:rPr>
        <w:t>selections</w:t>
      </w:r>
      <w:r w:rsidRPr="0068014C">
        <w:rPr>
          <w:rFonts w:ascii="Arial" w:hAnsi="Arial"/>
          <w:color w:val="000000" w:themeColor="text1"/>
          <w:szCs w:val="20"/>
        </w:rPr>
        <w:t xml:space="preserve"> of these items together</w:t>
      </w:r>
    </w:p>
    <w:p w14:paraId="09BF5E6C" w14:textId="3A8AF0CE" w:rsidR="008C4FA0" w:rsidRPr="0068014C" w:rsidRDefault="008C4FA0">
      <w:pPr>
        <w:pStyle w:val="ListParagraph"/>
        <w:numPr>
          <w:ilvl w:val="0"/>
          <w:numId w:val="43"/>
        </w:numPr>
        <w:spacing w:after="0" w:line="240" w:lineRule="auto"/>
        <w:rPr>
          <w:rFonts w:ascii="Arial" w:hAnsi="Arial"/>
          <w:color w:val="000000" w:themeColor="text1"/>
          <w:szCs w:val="20"/>
        </w:rPr>
      </w:pPr>
      <w:r w:rsidRPr="0068014C">
        <w:rPr>
          <w:rFonts w:ascii="Arial" w:hAnsi="Arial"/>
          <w:color w:val="000000" w:themeColor="text1"/>
          <w:szCs w:val="20"/>
        </w:rPr>
        <w:t>using both income and non-income measures together in a hybrid.</w:t>
      </w:r>
    </w:p>
    <w:p w14:paraId="7FD31349" w14:textId="77777777" w:rsidR="001C39B2" w:rsidRPr="0068014C" w:rsidRDefault="001C39B2">
      <w:pPr>
        <w:spacing w:after="0" w:line="240" w:lineRule="auto"/>
        <w:rPr>
          <w:rFonts w:ascii="Arial" w:hAnsi="Arial"/>
          <w:color w:val="000000" w:themeColor="text1"/>
          <w:szCs w:val="20"/>
        </w:rPr>
      </w:pPr>
    </w:p>
    <w:p w14:paraId="63FD9BC9" w14:textId="756B249A" w:rsidR="001C39B2" w:rsidRPr="0068014C" w:rsidRDefault="008C4FA0">
      <w:pPr>
        <w:spacing w:after="0" w:line="240" w:lineRule="auto"/>
        <w:rPr>
          <w:rFonts w:ascii="Arial" w:hAnsi="Arial"/>
          <w:color w:val="000000" w:themeColor="text1"/>
          <w:szCs w:val="20"/>
        </w:rPr>
      </w:pPr>
      <w:r w:rsidRPr="0068014C">
        <w:rPr>
          <w:rFonts w:ascii="Arial" w:hAnsi="Arial"/>
          <w:color w:val="000000" w:themeColor="text1"/>
          <w:szCs w:val="20"/>
        </w:rPr>
        <w:t xml:space="preserve">Whatever measure is used, judgment calls are needed to set poverty thresholds. This matter is discussed next. </w:t>
      </w:r>
    </w:p>
    <w:p w14:paraId="484661A4" w14:textId="77777777" w:rsidR="001C39B2" w:rsidRPr="0068014C" w:rsidRDefault="001C39B2">
      <w:pPr>
        <w:spacing w:after="0" w:line="240" w:lineRule="auto"/>
        <w:rPr>
          <w:rFonts w:ascii="Arial" w:hAnsi="Arial"/>
          <w:color w:val="000000" w:themeColor="text1"/>
          <w:szCs w:val="20"/>
        </w:rPr>
      </w:pPr>
    </w:p>
    <w:p w14:paraId="1BED6396" w14:textId="61B6535B" w:rsidR="001C39B2" w:rsidRPr="0068014C" w:rsidRDefault="008C4FA0">
      <w:pPr>
        <w:spacing w:after="0" w:line="240" w:lineRule="auto"/>
        <w:rPr>
          <w:rFonts w:ascii="Arial" w:hAnsi="Arial"/>
          <w:color w:val="000000" w:themeColor="text1"/>
          <w:szCs w:val="20"/>
        </w:rPr>
      </w:pPr>
      <w:r w:rsidRPr="0068014C">
        <w:rPr>
          <w:rFonts w:ascii="Arial" w:hAnsi="Arial"/>
          <w:color w:val="000000" w:themeColor="text1"/>
          <w:szCs w:val="20"/>
        </w:rPr>
        <w:t xml:space="preserve">A decision has to also be made as to how to update the </w:t>
      </w:r>
      <w:r w:rsidR="00F60B65">
        <w:rPr>
          <w:rFonts w:ascii="Arial" w:hAnsi="Arial"/>
          <w:color w:val="000000" w:themeColor="text1"/>
          <w:szCs w:val="20"/>
        </w:rPr>
        <w:t xml:space="preserve">low-income </w:t>
      </w:r>
      <w:r w:rsidRPr="0068014C">
        <w:rPr>
          <w:rFonts w:ascii="Arial" w:hAnsi="Arial"/>
          <w:color w:val="000000" w:themeColor="text1"/>
          <w:szCs w:val="20"/>
        </w:rPr>
        <w:t>thresholds over time. What is the threshold to be anchored to? Past standards held fixed in real terms or to the middle household</w:t>
      </w:r>
      <w:r w:rsidR="006B71CB">
        <w:rPr>
          <w:rFonts w:ascii="Arial" w:hAnsi="Arial"/>
          <w:color w:val="000000" w:themeColor="text1"/>
          <w:szCs w:val="20"/>
        </w:rPr>
        <w:t xml:space="preserve"> in the survey year</w:t>
      </w:r>
      <w:r w:rsidRPr="0068014C">
        <w:rPr>
          <w:rFonts w:ascii="Arial" w:hAnsi="Arial"/>
          <w:color w:val="000000" w:themeColor="text1"/>
          <w:szCs w:val="20"/>
        </w:rPr>
        <w:t>?</w:t>
      </w:r>
    </w:p>
    <w:p w14:paraId="6A4C7CE0" w14:textId="77777777" w:rsidR="001C39B2" w:rsidRPr="0068014C" w:rsidRDefault="001C39B2">
      <w:pPr>
        <w:spacing w:after="0" w:line="240" w:lineRule="auto"/>
        <w:rPr>
          <w:rFonts w:ascii="Arial" w:hAnsi="Arial"/>
          <w:color w:val="000000" w:themeColor="text1"/>
          <w:szCs w:val="20"/>
        </w:rPr>
      </w:pPr>
    </w:p>
    <w:p w14:paraId="58D061A8" w14:textId="4EAF4E38" w:rsidR="001C39B2" w:rsidRPr="0068014C" w:rsidRDefault="008C4FA0">
      <w:pPr>
        <w:spacing w:after="0" w:line="240" w:lineRule="auto"/>
        <w:rPr>
          <w:rFonts w:ascii="Arial" w:hAnsi="Arial"/>
          <w:color w:val="000000" w:themeColor="text1"/>
          <w:szCs w:val="20"/>
        </w:rPr>
      </w:pPr>
      <w:r w:rsidRPr="0068014C">
        <w:rPr>
          <w:rFonts w:ascii="Arial" w:hAnsi="Arial"/>
          <w:color w:val="000000" w:themeColor="text1"/>
          <w:szCs w:val="20"/>
        </w:rPr>
        <w:t>To give the resulting numbers meaning, reference points are needed. The report uses international comparisons, trends over time</w:t>
      </w:r>
      <w:r w:rsidR="006B71CB">
        <w:rPr>
          <w:rFonts w:ascii="Arial" w:hAnsi="Arial"/>
          <w:color w:val="000000" w:themeColor="text1"/>
          <w:szCs w:val="20"/>
        </w:rPr>
        <w:t>,</w:t>
      </w:r>
      <w:r w:rsidRPr="0068014C">
        <w:rPr>
          <w:rFonts w:ascii="Arial" w:hAnsi="Arial"/>
          <w:color w:val="000000" w:themeColor="text1"/>
          <w:szCs w:val="20"/>
        </w:rPr>
        <w:t xml:space="preserve"> comparisons among sub-groups</w:t>
      </w:r>
      <w:r w:rsidR="006B71CB">
        <w:rPr>
          <w:rFonts w:ascii="Arial" w:hAnsi="Arial"/>
          <w:color w:val="000000" w:themeColor="text1"/>
          <w:szCs w:val="20"/>
        </w:rPr>
        <w:t xml:space="preserve"> and descriptions of life below </w:t>
      </w:r>
      <w:r w:rsidR="004000B4">
        <w:rPr>
          <w:rFonts w:ascii="Arial" w:hAnsi="Arial"/>
          <w:color w:val="000000" w:themeColor="text1"/>
          <w:szCs w:val="20"/>
        </w:rPr>
        <w:t>selected thresholds using individual deprivation items.</w:t>
      </w:r>
    </w:p>
    <w:p w14:paraId="4DAF5BF7" w14:textId="77777777" w:rsidR="001C39B2" w:rsidRPr="0068014C" w:rsidRDefault="001C39B2">
      <w:pPr>
        <w:spacing w:after="0" w:line="240" w:lineRule="auto"/>
        <w:rPr>
          <w:rFonts w:ascii="Arial" w:hAnsi="Arial"/>
          <w:color w:val="000000" w:themeColor="text1"/>
          <w:szCs w:val="20"/>
        </w:rPr>
      </w:pPr>
    </w:p>
    <w:p w14:paraId="0305F374" w14:textId="2B0A3AAE" w:rsidR="00371221" w:rsidRPr="004820EC" w:rsidRDefault="00E72AE3">
      <w:pPr>
        <w:spacing w:after="0" w:line="240" w:lineRule="auto"/>
        <w:rPr>
          <w:rFonts w:ascii="Arial" w:hAnsi="Arial"/>
          <w:b/>
          <w:bCs/>
          <w:color w:val="000000" w:themeColor="text1"/>
          <w:sz w:val="28"/>
          <w:szCs w:val="28"/>
        </w:rPr>
      </w:pPr>
      <w:r>
        <w:rPr>
          <w:rFonts w:ascii="Arial" w:hAnsi="Arial"/>
          <w:b/>
          <w:bCs/>
          <w:noProof/>
          <w:color w:val="000000" w:themeColor="text1"/>
          <w:sz w:val="28"/>
          <w:szCs w:val="28"/>
        </w:rPr>
        <mc:AlternateContent>
          <mc:Choice Requires="wps">
            <w:drawing>
              <wp:anchor distT="0" distB="0" distL="114300" distR="114300" simplePos="0" relativeHeight="253170688" behindDoc="0" locked="0" layoutInCell="1" allowOverlap="1" wp14:anchorId="4279E2F4" wp14:editId="54181158">
                <wp:simplePos x="0" y="0"/>
                <wp:positionH relativeFrom="margin">
                  <wp:align>center</wp:align>
                </wp:positionH>
                <wp:positionV relativeFrom="paragraph">
                  <wp:posOffset>401955</wp:posOffset>
                </wp:positionV>
                <wp:extent cx="3175000" cy="450850"/>
                <wp:effectExtent l="0" t="0" r="25400" b="25400"/>
                <wp:wrapNone/>
                <wp:docPr id="258513720" name="Text Box 61"/>
                <wp:cNvGraphicFramePr/>
                <a:graphic xmlns:a="http://schemas.openxmlformats.org/drawingml/2006/main">
                  <a:graphicData uri="http://schemas.microsoft.com/office/word/2010/wordprocessingShape">
                    <wps:wsp>
                      <wps:cNvSpPr txBox="1"/>
                      <wps:spPr>
                        <a:xfrm>
                          <a:off x="0" y="0"/>
                          <a:ext cx="3175000" cy="450850"/>
                        </a:xfrm>
                        <a:prstGeom prst="rect">
                          <a:avLst/>
                        </a:prstGeom>
                        <a:solidFill>
                          <a:schemeClr val="lt1"/>
                        </a:solidFill>
                        <a:ln w="6350">
                          <a:solidFill>
                            <a:prstClr val="black"/>
                          </a:solidFill>
                        </a:ln>
                      </wps:spPr>
                      <wps:txbx>
                        <w:txbxContent>
                          <w:p w14:paraId="70BEE2D0" w14:textId="4608946F" w:rsidR="00E72AE3" w:rsidRPr="007345A3" w:rsidRDefault="00E72AE3" w:rsidP="00E72AE3">
                            <w:pPr>
                              <w:jc w:val="center"/>
                              <w:rPr>
                                <w:rFonts w:ascii="Arial" w:hAnsi="Arial"/>
                                <w:szCs w:val="20"/>
                              </w:rPr>
                            </w:pPr>
                            <w:r w:rsidRPr="007345A3">
                              <w:rPr>
                                <w:rFonts w:ascii="Arial" w:hAnsi="Arial"/>
                                <w:szCs w:val="20"/>
                              </w:rPr>
                              <w:t>For those wishing to go straight to the charts and tables</w:t>
                            </w:r>
                            <w:r w:rsidR="008E06FF" w:rsidRPr="007345A3">
                              <w:rPr>
                                <w:rFonts w:ascii="Arial" w:hAnsi="Arial"/>
                                <w:szCs w:val="20"/>
                              </w:rPr>
                              <w:t xml:space="preserve"> </w:t>
                            </w:r>
                            <w:r w:rsidR="00A7427A" w:rsidRPr="007345A3">
                              <w:rPr>
                                <w:rFonts w:ascii="Arial" w:eastAsia="Times New Roman" w:hAnsi="Arial" w:cs="Times New Roman"/>
                                <w:color w:val="000000" w:themeColor="text1"/>
                                <w:sz w:val="16"/>
                                <w:szCs w:val="16"/>
                                <w:lang w:val="en-GB"/>
                              </w:rPr>
                              <w:t>–</w:t>
                            </w:r>
                            <w:r w:rsidRPr="007345A3">
                              <w:rPr>
                                <w:rFonts w:ascii="Arial" w:hAnsi="Arial"/>
                                <w:szCs w:val="20"/>
                              </w:rPr>
                              <w:t xml:space="preserve"> they begin in Section C (page </w:t>
                            </w:r>
                            <w:r w:rsidR="00606C16">
                              <w:rPr>
                                <w:rFonts w:ascii="Arial" w:hAnsi="Arial"/>
                                <w:szCs w:val="20"/>
                              </w:rPr>
                              <w:t>29</w:t>
                            </w:r>
                            <w:r w:rsidRPr="007345A3">
                              <w:rPr>
                                <w:rFonts w:ascii="Arial" w:hAnsi="Arial"/>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9E2F4" id="Text Box 61" o:spid="_x0000_s1027" type="#_x0000_t202" style="position:absolute;margin-left:0;margin-top:31.65pt;width:250pt;height:35.5pt;z-index:253170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" fillcolor="white [3201]" strokeweight=".5pt">
                <v:textbox>
                  <w:txbxContent>
                    <w:p w14:paraId="70BEE2D0" w14:textId="4608946F" w:rsidR="00E72AE3" w:rsidRPr="007345A3" w:rsidRDefault="00E72AE3" w:rsidP="00E72AE3">
                      <w:pPr>
                        <w:jc w:val="center"/>
                        <w:rPr>
                          <w:rFonts w:ascii="Arial" w:hAnsi="Arial"/>
                          <w:szCs w:val="20"/>
                        </w:rPr>
                      </w:pPr>
                      <w:r w:rsidRPr="007345A3">
                        <w:rPr>
                          <w:rFonts w:ascii="Arial" w:hAnsi="Arial"/>
                          <w:szCs w:val="20"/>
                        </w:rPr>
                        <w:t>For those wishing to go straight to the charts and tables</w:t>
                      </w:r>
                      <w:r w:rsidR="008E06FF" w:rsidRPr="007345A3">
                        <w:rPr>
                          <w:rFonts w:ascii="Arial" w:hAnsi="Arial"/>
                          <w:szCs w:val="20"/>
                        </w:rPr>
                        <w:t xml:space="preserve"> </w:t>
                      </w:r>
                      <w:r w:rsidR="00A7427A" w:rsidRPr="007345A3">
                        <w:rPr>
                          <w:rFonts w:ascii="Arial" w:eastAsia="Times New Roman" w:hAnsi="Arial" w:cs="Times New Roman"/>
                          <w:color w:val="000000" w:themeColor="text1"/>
                          <w:sz w:val="16"/>
                          <w:szCs w:val="16"/>
                          <w:lang w:val="en-GB"/>
                        </w:rPr>
                        <w:t>–</w:t>
                      </w:r>
                      <w:r w:rsidRPr="007345A3">
                        <w:rPr>
                          <w:rFonts w:ascii="Arial" w:hAnsi="Arial"/>
                          <w:szCs w:val="20"/>
                        </w:rPr>
                        <w:t xml:space="preserve"> they begin in Section C (page </w:t>
                      </w:r>
                      <w:r w:rsidR="00606C16">
                        <w:rPr>
                          <w:rFonts w:ascii="Arial" w:hAnsi="Arial"/>
                          <w:szCs w:val="20"/>
                        </w:rPr>
                        <w:t>29</w:t>
                      </w:r>
                      <w:r w:rsidRPr="007345A3">
                        <w:rPr>
                          <w:rFonts w:ascii="Arial" w:hAnsi="Arial"/>
                          <w:szCs w:val="20"/>
                        </w:rPr>
                        <w:t>).</w:t>
                      </w:r>
                    </w:p>
                  </w:txbxContent>
                </v:textbox>
                <w10:wrap anchorx="margin"/>
              </v:shape>
            </w:pict>
          </mc:Fallback>
        </mc:AlternateContent>
      </w:r>
      <w:r w:rsidR="00371221" w:rsidRPr="004820EC">
        <w:rPr>
          <w:rFonts w:ascii="Arial" w:hAnsi="Arial"/>
          <w:b/>
          <w:bCs/>
          <w:color w:val="000000" w:themeColor="text1"/>
          <w:sz w:val="28"/>
          <w:szCs w:val="28"/>
        </w:rPr>
        <w:br w:type="page"/>
      </w:r>
    </w:p>
    <w:p w14:paraId="5FD27A0A" w14:textId="77777777" w:rsidR="008E7E03" w:rsidRPr="008E7E03" w:rsidRDefault="008E7E03" w:rsidP="008E7E03">
      <w:pPr>
        <w:spacing w:after="0" w:line="240" w:lineRule="auto"/>
        <w:rPr>
          <w:rFonts w:ascii="Arial" w:hAnsi="Arial"/>
          <w:b/>
          <w:bCs/>
          <w:color w:val="000000"/>
          <w:sz w:val="22"/>
          <w:szCs w:val="24"/>
        </w:rPr>
      </w:pPr>
      <w:r w:rsidRPr="008E7E03">
        <w:rPr>
          <w:rFonts w:ascii="Arial" w:hAnsi="Arial"/>
          <w:b/>
          <w:bCs/>
          <w:color w:val="000000"/>
          <w:sz w:val="22"/>
          <w:szCs w:val="24"/>
        </w:rPr>
        <w:lastRenderedPageBreak/>
        <w:t>The income-wealth-consumption framework used in the MSD reports</w:t>
      </w:r>
    </w:p>
    <w:p w14:paraId="28A0B0A5" w14:textId="77777777" w:rsidR="008E7E03" w:rsidRPr="008E7E03" w:rsidRDefault="008E7E03" w:rsidP="008E7E03">
      <w:pPr>
        <w:spacing w:after="0" w:line="240" w:lineRule="auto"/>
        <w:rPr>
          <w:rFonts w:ascii="Arial" w:hAnsi="Arial"/>
          <w:color w:val="000000"/>
        </w:rPr>
      </w:pPr>
    </w:p>
    <w:p w14:paraId="37A569B5" w14:textId="7BDB074B" w:rsidR="008E7E03" w:rsidRPr="008E7E03" w:rsidRDefault="008E7E03" w:rsidP="008E7E03">
      <w:pPr>
        <w:spacing w:after="0" w:line="240" w:lineRule="auto"/>
        <w:rPr>
          <w:rFonts w:ascii="Arial" w:eastAsia="Times New Roman" w:hAnsi="Arial"/>
          <w:color w:val="000000"/>
          <w:szCs w:val="20"/>
          <w:lang w:val="en-GB"/>
        </w:rPr>
      </w:pPr>
      <w:r w:rsidRPr="008E7E03">
        <w:rPr>
          <w:rFonts w:ascii="Arial" w:eastAsia="Times New Roman" w:hAnsi="Arial"/>
          <w:color w:val="000000"/>
          <w:szCs w:val="20"/>
          <w:lang w:val="en-GB"/>
        </w:rPr>
        <w:t>MSD’s reports use the framework outlined</w:t>
      </w:r>
      <w:r w:rsidRPr="008E7E03">
        <w:rPr>
          <w:rFonts w:ascii="Arial" w:eastAsia="Times New Roman" w:hAnsi="Arial"/>
          <w:b/>
          <w:color w:val="000000"/>
          <w:szCs w:val="20"/>
          <w:lang w:val="en-GB"/>
        </w:rPr>
        <w:t xml:space="preserve"> </w:t>
      </w:r>
      <w:r w:rsidRPr="008E7E03">
        <w:rPr>
          <w:rFonts w:ascii="Arial" w:eastAsia="Times New Roman" w:hAnsi="Arial"/>
          <w:color w:val="000000"/>
          <w:szCs w:val="20"/>
          <w:lang w:val="en-GB"/>
        </w:rPr>
        <w:t xml:space="preserve">in </w:t>
      </w:r>
      <w:r w:rsidRPr="008E7E03">
        <w:rPr>
          <w:rFonts w:ascii="Arial" w:eastAsia="Times New Roman" w:hAnsi="Arial"/>
          <w:b/>
          <w:color w:val="000000"/>
          <w:szCs w:val="20"/>
          <w:lang w:val="en-GB"/>
        </w:rPr>
        <w:t xml:space="preserve">Figure </w:t>
      </w:r>
      <w:r w:rsidR="003E7907">
        <w:rPr>
          <w:rFonts w:ascii="Arial" w:eastAsia="Times New Roman" w:hAnsi="Arial"/>
          <w:b/>
          <w:color w:val="000000"/>
          <w:szCs w:val="20"/>
          <w:lang w:val="en-GB"/>
        </w:rPr>
        <w:t>A</w:t>
      </w:r>
      <w:r>
        <w:rPr>
          <w:rFonts w:ascii="Arial" w:eastAsia="Times New Roman" w:hAnsi="Arial"/>
          <w:b/>
          <w:color w:val="000000"/>
          <w:szCs w:val="20"/>
          <w:lang w:val="en-GB"/>
        </w:rPr>
        <w:t>.</w:t>
      </w:r>
      <w:r w:rsidRPr="008E7E03">
        <w:rPr>
          <w:rFonts w:ascii="Arial" w:eastAsia="Times New Roman" w:hAnsi="Arial"/>
          <w:b/>
          <w:color w:val="000000"/>
          <w:szCs w:val="20"/>
          <w:lang w:val="en-GB"/>
        </w:rPr>
        <w:t xml:space="preserve">1 </w:t>
      </w:r>
      <w:r w:rsidRPr="008E7E03">
        <w:rPr>
          <w:rFonts w:ascii="Arial" w:eastAsia="Times New Roman" w:hAnsi="Arial"/>
          <w:bCs/>
          <w:color w:val="000000"/>
          <w:szCs w:val="20"/>
          <w:lang w:val="en-GB"/>
        </w:rPr>
        <w:t>below</w:t>
      </w:r>
      <w:r w:rsidRPr="008E7E03">
        <w:rPr>
          <w:rFonts w:ascii="Arial" w:eastAsia="Times New Roman" w:hAnsi="Arial"/>
          <w:b/>
          <w:color w:val="000000"/>
          <w:szCs w:val="20"/>
          <w:lang w:val="en-GB"/>
        </w:rPr>
        <w:t xml:space="preserve"> </w:t>
      </w:r>
      <w:r w:rsidRPr="008E7E03">
        <w:rPr>
          <w:rFonts w:ascii="Arial" w:eastAsia="Times New Roman" w:hAnsi="Arial"/>
          <w:color w:val="000000"/>
          <w:szCs w:val="20"/>
          <w:lang w:val="en-GB"/>
        </w:rPr>
        <w:t xml:space="preserve">for thinking through the relationship between material wellbeing (or living standards), household income, financial and physical assets, and other factors. </w:t>
      </w:r>
    </w:p>
    <w:p w14:paraId="5FD50E55" w14:textId="77777777" w:rsidR="008E7E03" w:rsidRPr="008E7E03" w:rsidRDefault="008E7E03">
      <w:pPr>
        <w:numPr>
          <w:ilvl w:val="0"/>
          <w:numId w:val="94"/>
        </w:numPr>
        <w:spacing w:before="120" w:after="0" w:line="240" w:lineRule="auto"/>
        <w:ind w:left="567" w:hanging="283"/>
        <w:rPr>
          <w:rFonts w:ascii="Arial" w:eastAsia="Times New Roman" w:hAnsi="Arial"/>
          <w:color w:val="000000"/>
          <w:szCs w:val="20"/>
        </w:rPr>
      </w:pPr>
      <w:r w:rsidRPr="008E7E03">
        <w:rPr>
          <w:rFonts w:ascii="Arial" w:eastAsia="Times New Roman" w:hAnsi="Arial"/>
          <w:color w:val="000000"/>
          <w:szCs w:val="20"/>
        </w:rPr>
        <w:t>‘Current’ household income</w:t>
      </w:r>
      <w:r w:rsidRPr="008E7E03">
        <w:rPr>
          <w:rFonts w:ascii="Arial" w:eastAsia="Times New Roman" w:hAnsi="Arial"/>
          <w:color w:val="000000"/>
          <w:szCs w:val="20"/>
          <w:vertAlign w:val="superscript"/>
        </w:rPr>
        <w:footnoteReference w:id="8"/>
      </w:r>
      <w:r w:rsidRPr="008E7E03">
        <w:rPr>
          <w:rFonts w:ascii="Arial" w:eastAsia="Times New Roman" w:hAnsi="Arial"/>
          <w:color w:val="000000"/>
          <w:szCs w:val="20"/>
        </w:rPr>
        <w:t xml:space="preserve"> and financial and physical assets together largely determine the economic resources available to most households to support their consumption of goods and services and therefore their material standard of living.</w:t>
      </w:r>
    </w:p>
    <w:p w14:paraId="0B93BAF5" w14:textId="15D019BC" w:rsidR="008E7E03" w:rsidRPr="008E7E03" w:rsidRDefault="008E7E03">
      <w:pPr>
        <w:numPr>
          <w:ilvl w:val="0"/>
          <w:numId w:val="94"/>
        </w:numPr>
        <w:spacing w:before="120" w:after="0" w:line="240" w:lineRule="auto"/>
        <w:ind w:left="567" w:hanging="283"/>
        <w:rPr>
          <w:rFonts w:ascii="Arial" w:eastAsia="Times New Roman" w:hAnsi="Arial"/>
          <w:color w:val="000000"/>
          <w:szCs w:val="20"/>
          <w:lang w:val="en-GB"/>
        </w:rPr>
      </w:pPr>
      <w:r w:rsidRPr="008E7E03">
        <w:rPr>
          <w:rFonts w:ascii="Arial" w:eastAsia="Times New Roman" w:hAnsi="Arial"/>
          <w:color w:val="000000"/>
          <w:szCs w:val="20"/>
          <w:lang w:val="en-GB"/>
        </w:rPr>
        <w:t xml:space="preserve">For low-income households that have very limited or no financial assets, income is the main resource available to generate their standard of living (along with the stock of physical assets such as furniture, </w:t>
      </w:r>
      <w:r w:rsidR="00D669E5">
        <w:rPr>
          <w:rFonts w:ascii="Arial" w:eastAsia="Times New Roman" w:hAnsi="Arial"/>
          <w:color w:val="000000"/>
          <w:szCs w:val="20"/>
          <w:lang w:val="en-GB"/>
        </w:rPr>
        <w:t xml:space="preserve">whiteware and other </w:t>
      </w:r>
      <w:r w:rsidRPr="008E7E03">
        <w:rPr>
          <w:rFonts w:ascii="Arial" w:eastAsia="Times New Roman" w:hAnsi="Arial"/>
          <w:color w:val="000000"/>
          <w:szCs w:val="20"/>
          <w:lang w:val="en-GB"/>
        </w:rPr>
        <w:t xml:space="preserve">consumer durables). Such households struggle in varying degrees to meet basic needs, and are also very vulnerable to the negative impacts of ‘shocks’, such as even a small drop in income or an unexpected expense. </w:t>
      </w:r>
    </w:p>
    <w:p w14:paraId="3D7807F2" w14:textId="77777777" w:rsidR="008E7E03" w:rsidRDefault="008E7E03">
      <w:pPr>
        <w:numPr>
          <w:ilvl w:val="0"/>
          <w:numId w:val="94"/>
        </w:numPr>
        <w:spacing w:before="120" w:after="0" w:line="240" w:lineRule="auto"/>
        <w:ind w:left="567" w:hanging="283"/>
        <w:rPr>
          <w:rFonts w:ascii="Arial" w:eastAsia="Times New Roman" w:hAnsi="Arial"/>
          <w:color w:val="000000"/>
          <w:szCs w:val="20"/>
        </w:rPr>
      </w:pPr>
      <w:r w:rsidRPr="008E7E03">
        <w:rPr>
          <w:rFonts w:ascii="Arial" w:eastAsia="Times New Roman" w:hAnsi="Arial"/>
          <w:color w:val="000000"/>
          <w:szCs w:val="20"/>
        </w:rPr>
        <w:t xml:space="preserve">The framework recognises that factors other than current income and assets can also impact on material wellbeing. These factors are especially relevant for low-income / low-asset households, and can make the difference between ‘poverty/hardship’ and ‘just getting by’. </w:t>
      </w:r>
    </w:p>
    <w:p w14:paraId="3B927AB3" w14:textId="7E6133B4" w:rsidR="008F5938" w:rsidRPr="008E7E03" w:rsidRDefault="008F5938">
      <w:pPr>
        <w:numPr>
          <w:ilvl w:val="0"/>
          <w:numId w:val="94"/>
        </w:numPr>
        <w:spacing w:before="120" w:after="0" w:line="240" w:lineRule="auto"/>
        <w:ind w:left="567" w:hanging="283"/>
        <w:rPr>
          <w:rFonts w:ascii="Arial" w:eastAsia="Times New Roman" w:hAnsi="Arial"/>
          <w:color w:val="000000"/>
          <w:szCs w:val="20"/>
        </w:rPr>
      </w:pPr>
      <w:r>
        <w:rPr>
          <w:rFonts w:ascii="Arial" w:eastAsia="Times New Roman" w:hAnsi="Arial"/>
          <w:color w:val="000000"/>
          <w:szCs w:val="20"/>
        </w:rPr>
        <w:t>Current physical and financial assets are a product of previous income, special demands on the household budget and budgeting decisions, gifts from outside the household, and so on</w:t>
      </w:r>
      <w:r w:rsidR="00BB2ADD">
        <w:rPr>
          <w:rFonts w:ascii="Arial" w:eastAsia="Times New Roman" w:hAnsi="Arial"/>
          <w:color w:val="000000"/>
          <w:szCs w:val="20"/>
        </w:rPr>
        <w:t>;</w:t>
      </w:r>
      <w:r>
        <w:rPr>
          <w:rFonts w:ascii="Arial" w:eastAsia="Times New Roman" w:hAnsi="Arial"/>
          <w:color w:val="000000"/>
          <w:szCs w:val="20"/>
        </w:rPr>
        <w:t xml:space="preserve"> and </w:t>
      </w:r>
      <w:r w:rsidR="00BB2ADD">
        <w:rPr>
          <w:rFonts w:ascii="Arial" w:eastAsia="Times New Roman" w:hAnsi="Arial"/>
          <w:color w:val="000000"/>
          <w:szCs w:val="20"/>
        </w:rPr>
        <w:t xml:space="preserve"> also </w:t>
      </w:r>
      <w:r>
        <w:rPr>
          <w:rFonts w:ascii="Arial" w:eastAsia="Times New Roman" w:hAnsi="Arial"/>
          <w:color w:val="000000"/>
          <w:szCs w:val="20"/>
        </w:rPr>
        <w:t>the history of the household itself in terms of dissolutions and re-formations involving current household members.</w:t>
      </w:r>
      <w:r w:rsidR="00BB2ADD">
        <w:rPr>
          <w:rFonts w:ascii="Arial" w:eastAsia="Times New Roman" w:hAnsi="Arial"/>
          <w:color w:val="000000"/>
          <w:szCs w:val="20"/>
        </w:rPr>
        <w:t xml:space="preserve"> The framework can be used in both static and dynamic contexts.</w:t>
      </w:r>
    </w:p>
    <w:p w14:paraId="40D59892" w14:textId="77777777" w:rsidR="008E7E03" w:rsidRPr="008E7E03" w:rsidRDefault="008E7E03" w:rsidP="008E7E03">
      <w:pPr>
        <w:spacing w:after="0" w:line="240" w:lineRule="auto"/>
        <w:jc w:val="both"/>
        <w:rPr>
          <w:rFonts w:ascii="Arial" w:eastAsia="Times New Roman" w:hAnsi="Arial"/>
          <w:color w:val="000000"/>
          <w:szCs w:val="20"/>
        </w:rPr>
      </w:pPr>
    </w:p>
    <w:p w14:paraId="5D4AE1B8" w14:textId="34F5F9F1" w:rsidR="008E7E03" w:rsidRPr="008E7E03" w:rsidRDefault="008E7E03" w:rsidP="008E7E03">
      <w:pPr>
        <w:spacing w:after="0" w:line="240" w:lineRule="auto"/>
        <w:jc w:val="center"/>
        <w:rPr>
          <w:rFonts w:ascii="Arial" w:eastAsia="Times New Roman" w:hAnsi="Arial"/>
          <w:b/>
          <w:color w:val="000000"/>
          <w:sz w:val="18"/>
          <w:szCs w:val="20"/>
        </w:rPr>
      </w:pPr>
      <w:r w:rsidRPr="008E7E03">
        <w:rPr>
          <w:rFonts w:ascii="Arial" w:eastAsia="Times New Roman" w:hAnsi="Arial"/>
          <w:b/>
          <w:color w:val="000000"/>
          <w:sz w:val="18"/>
          <w:szCs w:val="20"/>
        </w:rPr>
        <w:t xml:space="preserve">Figure </w:t>
      </w:r>
      <w:r w:rsidR="003E7907">
        <w:rPr>
          <w:rFonts w:ascii="Arial" w:eastAsia="Times New Roman" w:hAnsi="Arial"/>
          <w:b/>
          <w:color w:val="000000"/>
          <w:sz w:val="18"/>
          <w:szCs w:val="20"/>
        </w:rPr>
        <w:t>A</w:t>
      </w:r>
      <w:r>
        <w:rPr>
          <w:rFonts w:ascii="Arial" w:eastAsia="Times New Roman" w:hAnsi="Arial"/>
          <w:b/>
          <w:color w:val="000000"/>
          <w:sz w:val="18"/>
          <w:szCs w:val="20"/>
        </w:rPr>
        <w:t>.1</w:t>
      </w:r>
    </w:p>
    <w:p w14:paraId="1CC23107" w14:textId="77777777" w:rsidR="008E7E03" w:rsidRPr="008E7E03" w:rsidRDefault="008E7E03" w:rsidP="008E7E03">
      <w:pPr>
        <w:spacing w:after="0" w:line="240" w:lineRule="auto"/>
        <w:jc w:val="center"/>
        <w:rPr>
          <w:rFonts w:ascii="Arial" w:eastAsia="Times New Roman" w:hAnsi="Arial"/>
          <w:b/>
          <w:color w:val="000000"/>
          <w:sz w:val="18"/>
          <w:szCs w:val="20"/>
        </w:rPr>
      </w:pPr>
      <w:r w:rsidRPr="008E7E03">
        <w:rPr>
          <w:rFonts w:ascii="Arial" w:eastAsia="Times New Roman" w:hAnsi="Arial"/>
          <w:b/>
          <w:color w:val="000000"/>
          <w:sz w:val="18"/>
          <w:szCs w:val="20"/>
        </w:rPr>
        <w:t>The income-wealth-consumption framework used in the MSD reports</w:t>
      </w:r>
    </w:p>
    <w:p w14:paraId="60DFA392" w14:textId="5A8934EE" w:rsidR="008E7E03" w:rsidRPr="008E7E03" w:rsidRDefault="008E7E03" w:rsidP="008E7E03">
      <w:pPr>
        <w:spacing w:after="0" w:line="240" w:lineRule="auto"/>
        <w:ind w:left="-62"/>
        <w:jc w:val="both"/>
        <w:rPr>
          <w:rFonts w:ascii="Arial" w:eastAsia="Times New Roman" w:hAnsi="Arial"/>
          <w:color w:val="000000"/>
          <w:lang w:eastAsia="en-GB"/>
        </w:rPr>
      </w:pPr>
      <w:r w:rsidRPr="008E7E03">
        <w:rPr>
          <w:noProof/>
        </w:rPr>
        <mc:AlternateContent>
          <mc:Choice Requires="wps">
            <w:drawing>
              <wp:anchor distT="0" distB="0" distL="114300" distR="114300" simplePos="0" relativeHeight="253103104" behindDoc="0" locked="0" layoutInCell="1" allowOverlap="1" wp14:anchorId="05D1A511" wp14:editId="6D462A7D">
                <wp:simplePos x="0" y="0"/>
                <wp:positionH relativeFrom="column">
                  <wp:posOffset>2057400</wp:posOffset>
                </wp:positionH>
                <wp:positionV relativeFrom="paragraph">
                  <wp:posOffset>253365</wp:posOffset>
                </wp:positionV>
                <wp:extent cx="914400" cy="1228725"/>
                <wp:effectExtent l="0" t="0" r="19050" b="28575"/>
                <wp:wrapNone/>
                <wp:docPr id="23000447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28725"/>
                        </a:xfrm>
                        <a:prstGeom prst="ellipse">
                          <a:avLst/>
                        </a:prstGeom>
                        <a:noFill/>
                        <a:ln w="63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4E27E" id="Oval 18" o:spid="_x0000_s1026" style="position:absolute;margin-left:162pt;margin-top:19.95pt;width:1in;height:96.7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" filled="f" strokecolor="windowText" strokeweight=".5pt">
                <v:path arrowok="t"/>
              </v:oval>
            </w:pict>
          </mc:Fallback>
        </mc:AlternateContent>
      </w:r>
      <w:r w:rsidRPr="008E7E03">
        <w:rPr>
          <w:noProof/>
        </w:rPr>
        <mc:AlternateContent>
          <mc:Choice Requires="wps">
            <w:drawing>
              <wp:anchor distT="0" distB="0" distL="114300" distR="114300" simplePos="0" relativeHeight="253104128" behindDoc="0" locked="0" layoutInCell="1" allowOverlap="1" wp14:anchorId="23A3C8CD" wp14:editId="5D5B3870">
                <wp:simplePos x="0" y="0"/>
                <wp:positionH relativeFrom="column">
                  <wp:posOffset>533400</wp:posOffset>
                </wp:positionH>
                <wp:positionV relativeFrom="paragraph">
                  <wp:posOffset>936625</wp:posOffset>
                </wp:positionV>
                <wp:extent cx="1066800" cy="723900"/>
                <wp:effectExtent l="0" t="0" r="19050" b="19050"/>
                <wp:wrapNone/>
                <wp:docPr id="18394954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723900"/>
                        </a:xfrm>
                        <a:prstGeom prst="rect">
                          <a:avLst/>
                        </a:prstGeom>
                        <a:solidFill>
                          <a:srgbClr val="FFFF99"/>
                        </a:solidFill>
                        <a:ln w="6350">
                          <a:solidFill>
                            <a:srgbClr val="000000"/>
                          </a:solidFill>
                          <a:miter lim="800000"/>
                          <a:headEnd/>
                          <a:tailEnd/>
                        </a:ln>
                      </wps:spPr>
                      <wps:txbx>
                        <w:txbxContent>
                          <w:p w14:paraId="35D26EF5" w14:textId="77777777" w:rsidR="008E7E03" w:rsidRDefault="008E7E03" w:rsidP="008E7E03">
                            <w:pPr>
                              <w:spacing w:before="60" w:line="264" w:lineRule="auto"/>
                              <w:jc w:val="center"/>
                              <w:rPr>
                                <w:rFonts w:ascii="Arial" w:hAnsi="Arial"/>
                                <w:b/>
                                <w:sz w:val="16"/>
                              </w:rPr>
                            </w:pPr>
                            <w:r>
                              <w:rPr>
                                <w:rFonts w:ascii="Arial" w:hAnsi="Arial"/>
                                <w:b/>
                                <w:sz w:val="16"/>
                              </w:rPr>
                              <w:t>Financial and physical assets (in part reflecting previous income)</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A3C8CD" id="Text Box 17" o:spid="_x0000_s1028" type="#_x0000_t202" style="position:absolute;left:0;text-align:left;margin-left:42pt;margin-top:73.75pt;width:84pt;height:57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" fillcolor="#ff9" strokeweight=".5pt">
                <v:textbox>
                  <w:txbxContent>
                    <w:p w14:paraId="35D26EF5" w14:textId="77777777" w:rsidR="008E7E03" w:rsidRDefault="008E7E03" w:rsidP="008E7E03">
                      <w:pPr>
                        <w:spacing w:before="60" w:line="264" w:lineRule="auto"/>
                        <w:jc w:val="center"/>
                        <w:rPr>
                          <w:rFonts w:ascii="Arial" w:hAnsi="Arial"/>
                          <w:b/>
                          <w:sz w:val="16"/>
                        </w:rPr>
                      </w:pPr>
                      <w:r>
                        <w:rPr>
                          <w:rFonts w:ascii="Arial" w:hAnsi="Arial"/>
                          <w:b/>
                          <w:sz w:val="16"/>
                        </w:rPr>
                        <w:t>Financial and physical assets (in part reflecting previous income)</w:t>
                      </w:r>
                    </w:p>
                  </w:txbxContent>
                </v:textbox>
              </v:shape>
            </w:pict>
          </mc:Fallback>
        </mc:AlternateContent>
      </w:r>
      <w:r w:rsidRPr="008E7E03">
        <w:rPr>
          <w:noProof/>
        </w:rPr>
        <mc:AlternateContent>
          <mc:Choice Requires="wps">
            <w:drawing>
              <wp:anchor distT="0" distB="0" distL="114294" distR="114294" simplePos="0" relativeHeight="253105152" behindDoc="0" locked="0" layoutInCell="1" allowOverlap="1" wp14:anchorId="0F9103F9" wp14:editId="49520E6B">
                <wp:simplePos x="0" y="0"/>
                <wp:positionH relativeFrom="column">
                  <wp:posOffset>1052195</wp:posOffset>
                </wp:positionH>
                <wp:positionV relativeFrom="paragraph">
                  <wp:posOffset>551180</wp:posOffset>
                </wp:positionV>
                <wp:extent cx="0" cy="342900"/>
                <wp:effectExtent l="76200" t="38100" r="76200" b="57150"/>
                <wp:wrapNone/>
                <wp:docPr id="19368593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ysClr val="windowText" lastClr="000000"/>
                          </a:solidFill>
                          <a:prstDash val="solid"/>
                          <a:headEnd type="stealth" w="med" len="med"/>
                          <a:tailEnd type="stealth" w="med" len="med"/>
                        </a:ln>
                        <a:effectLst/>
                      </wps:spPr>
                      <wps:bodyPr/>
                    </wps:wsp>
                  </a:graphicData>
                </a:graphic>
                <wp14:sizeRelH relativeFrom="page">
                  <wp14:pctWidth>0</wp14:pctWidth>
                </wp14:sizeRelH>
                <wp14:sizeRelV relativeFrom="margin">
                  <wp14:pctHeight>0</wp14:pctHeight>
                </wp14:sizeRelV>
              </wp:anchor>
            </w:drawing>
          </mc:Choice>
          <mc:Fallback>
            <w:pict>
              <v:shapetype w14:anchorId="117D8DA7" id="_x0000_t32" coordsize="21600,21600" o:spt="32" o:oned="t" path="m,l21600,21600e" filled="f">
                <v:path arrowok="t" fillok="f" o:connecttype="none"/>
                <o:lock v:ext="edit" shapetype="t"/>
              </v:shapetype>
              <v:shape id="Straight Arrow Connector 11" o:spid="_x0000_s1026" type="#_x0000_t32" style="position:absolute;margin-left:82.85pt;margin-top:43.4pt;width:0;height:27pt;z-index:25310515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" strokecolor="windowText">
                <v:stroke startarrow="classic" endarrow="classic"/>
                <o:lock v:ext="edit" shapetype="f"/>
              </v:shape>
            </w:pict>
          </mc:Fallback>
        </mc:AlternateContent>
      </w:r>
      <w:r w:rsidRPr="008E7E03">
        <w:rPr>
          <w:noProof/>
        </w:rPr>
        <mc:AlternateContent>
          <mc:Choice Requires="wps">
            <w:drawing>
              <wp:anchor distT="4294967290" distB="4294967290" distL="114300" distR="114300" simplePos="0" relativeHeight="253108224" behindDoc="0" locked="0" layoutInCell="1" allowOverlap="1" wp14:anchorId="6C000A17" wp14:editId="589011C9">
                <wp:simplePos x="0" y="0"/>
                <wp:positionH relativeFrom="column">
                  <wp:posOffset>3053715</wp:posOffset>
                </wp:positionH>
                <wp:positionV relativeFrom="paragraph">
                  <wp:posOffset>926465</wp:posOffset>
                </wp:positionV>
                <wp:extent cx="314325" cy="0"/>
                <wp:effectExtent l="0" t="76200" r="9525" b="95250"/>
                <wp:wrapNone/>
                <wp:docPr id="332812017" name="Straight Arrow Connector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0"/>
                        </a:xfrm>
                        <a:prstGeom prst="straightConnector1">
                          <a:avLst/>
                        </a:prstGeom>
                        <a:noFill/>
                        <a:ln w="19050"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171D901A" id="Straight Arrow Connector 280" o:spid="_x0000_s1026" type="#_x0000_t32" style="position:absolute;margin-left:240.45pt;margin-top:72.95pt;width:24.75pt;height:0;z-index:25310822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" strokecolor="windowText" strokeweight="1.5pt">
                <v:stroke endarrow="classic"/>
                <o:lock v:ext="edit" shapetype="f"/>
              </v:shape>
            </w:pict>
          </mc:Fallback>
        </mc:AlternateContent>
      </w:r>
      <w:r w:rsidRPr="008E7E03">
        <w:rPr>
          <w:noProof/>
        </w:rPr>
        <mc:AlternateContent>
          <mc:Choice Requires="wps">
            <w:drawing>
              <wp:anchor distT="0" distB="0" distL="114300" distR="114300" simplePos="0" relativeHeight="253112320" behindDoc="0" locked="0" layoutInCell="1" allowOverlap="1" wp14:anchorId="2A07288F" wp14:editId="6FABB5EF">
                <wp:simplePos x="0" y="0"/>
                <wp:positionH relativeFrom="column">
                  <wp:posOffset>2054860</wp:posOffset>
                </wp:positionH>
                <wp:positionV relativeFrom="paragraph">
                  <wp:posOffset>618490</wp:posOffset>
                </wp:positionV>
                <wp:extent cx="971550" cy="495300"/>
                <wp:effectExtent l="0" t="0" r="0" b="0"/>
                <wp:wrapNone/>
                <wp:docPr id="92455191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495300"/>
                        </a:xfrm>
                        <a:prstGeom prst="rect">
                          <a:avLst/>
                        </a:prstGeom>
                        <a:noFill/>
                        <a:ln w="6350">
                          <a:noFill/>
                        </a:ln>
                        <a:effectLst/>
                      </wps:spPr>
                      <wps:txbx>
                        <w:txbxContent>
                          <w:p w14:paraId="64F78D96" w14:textId="77777777" w:rsidR="008E7E03" w:rsidRDefault="008E7E03" w:rsidP="008E7E03">
                            <w:pPr>
                              <w:spacing w:line="264" w:lineRule="auto"/>
                              <w:jc w:val="center"/>
                              <w:rPr>
                                <w:rFonts w:ascii="Arial" w:hAnsi="Arial"/>
                                <w:b/>
                                <w:sz w:val="16"/>
                                <w:szCs w:val="16"/>
                              </w:rPr>
                            </w:pPr>
                            <w:r>
                              <w:rPr>
                                <w:rFonts w:ascii="Arial" w:hAnsi="Arial"/>
                                <w:b/>
                                <w:sz w:val="16"/>
                                <w:szCs w:val="16"/>
                              </w:rPr>
                              <w:t>Resources  available for consumption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7288F" id="Text Box 274" o:spid="_x0000_s1029" type="#_x0000_t202" style="position:absolute;left:0;text-align:left;margin-left:161.8pt;margin-top:48.7pt;width:76.5pt;height:39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" filled="f" stroked="f" strokeweight=".5pt">
                <v:textbox>
                  <w:txbxContent>
                    <w:p w14:paraId="64F78D96" w14:textId="77777777" w:rsidR="008E7E03" w:rsidRDefault="008E7E03" w:rsidP="008E7E03">
                      <w:pPr>
                        <w:spacing w:line="264" w:lineRule="auto"/>
                        <w:jc w:val="center"/>
                        <w:rPr>
                          <w:rFonts w:ascii="Arial" w:hAnsi="Arial"/>
                          <w:b/>
                          <w:sz w:val="16"/>
                          <w:szCs w:val="16"/>
                        </w:rPr>
                      </w:pPr>
                      <w:r>
                        <w:rPr>
                          <w:rFonts w:ascii="Arial" w:hAnsi="Arial"/>
                          <w:b/>
                          <w:sz w:val="16"/>
                          <w:szCs w:val="16"/>
                        </w:rPr>
                        <w:t>Resources  available for consumption</w:t>
                      </w:r>
                    </w:p>
                  </w:txbxContent>
                </v:textbox>
              </v:shape>
            </w:pict>
          </mc:Fallback>
        </mc:AlternateContent>
      </w:r>
      <w:r w:rsidRPr="008E7E03">
        <w:rPr>
          <w:noProof/>
        </w:rPr>
        <mc:AlternateContent>
          <mc:Choice Requires="wps">
            <w:drawing>
              <wp:anchor distT="0" distB="0" distL="114300" distR="114300" simplePos="0" relativeHeight="253113344" behindDoc="0" locked="0" layoutInCell="1" allowOverlap="1" wp14:anchorId="296F96AC" wp14:editId="38F42046">
                <wp:simplePos x="0" y="0"/>
                <wp:positionH relativeFrom="column">
                  <wp:posOffset>1524000</wp:posOffset>
                </wp:positionH>
                <wp:positionV relativeFrom="paragraph">
                  <wp:posOffset>400685</wp:posOffset>
                </wp:positionV>
                <wp:extent cx="444500" cy="238125"/>
                <wp:effectExtent l="0" t="0" r="69850" b="47625"/>
                <wp:wrapNone/>
                <wp:docPr id="1427845391" name="Straight Arrow Connector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0" cy="23812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05A698A2" id="Straight Arrow Connector 279" o:spid="_x0000_s1026" type="#_x0000_t32" style="position:absolute;margin-left:120pt;margin-top:31.55pt;width:35pt;height:18.75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" strokecolor="windowText">
                <v:stroke endarrow="classic"/>
                <o:lock v:ext="edit" shapetype="f"/>
              </v:shape>
            </w:pict>
          </mc:Fallback>
        </mc:AlternateContent>
      </w:r>
      <w:r w:rsidRPr="008E7E03">
        <w:rPr>
          <w:noProof/>
        </w:rPr>
        <mc:AlternateContent>
          <mc:Choice Requires="wps">
            <w:drawing>
              <wp:anchor distT="0" distB="0" distL="114300" distR="114300" simplePos="0" relativeHeight="253114368" behindDoc="0" locked="0" layoutInCell="1" allowOverlap="1" wp14:anchorId="0886E477" wp14:editId="39F76433">
                <wp:simplePos x="0" y="0"/>
                <wp:positionH relativeFrom="column">
                  <wp:posOffset>1654175</wp:posOffset>
                </wp:positionH>
                <wp:positionV relativeFrom="paragraph">
                  <wp:posOffset>1068070</wp:posOffset>
                </wp:positionV>
                <wp:extent cx="361950" cy="170815"/>
                <wp:effectExtent l="0" t="38100" r="57150" b="19685"/>
                <wp:wrapNone/>
                <wp:docPr id="197853099" name="Straight Arrow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170815"/>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1C191D26" id="Straight Arrow Connector 283" o:spid="_x0000_s1026" type="#_x0000_t32" style="position:absolute;margin-left:130.25pt;margin-top:84.1pt;width:28.5pt;height:13.45pt;flip:y;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" strokecolor="windowText">
                <v:stroke endarrow="classic"/>
                <o:lock v:ext="edit" shapetype="f"/>
              </v:shape>
            </w:pict>
          </mc:Fallback>
        </mc:AlternateContent>
      </w:r>
      <w:r w:rsidRPr="008E7E03">
        <w:rPr>
          <w:noProof/>
        </w:rPr>
        <mc:AlternateContent>
          <mc:Choice Requires="wps">
            <w:drawing>
              <wp:anchor distT="0" distB="0" distL="114300" distR="114300" simplePos="0" relativeHeight="253115392" behindDoc="0" locked="0" layoutInCell="1" allowOverlap="1" wp14:anchorId="62CBD07E" wp14:editId="400A550E">
                <wp:simplePos x="0" y="0"/>
                <wp:positionH relativeFrom="column">
                  <wp:posOffset>533400</wp:posOffset>
                </wp:positionH>
                <wp:positionV relativeFrom="paragraph">
                  <wp:posOffset>140970</wp:posOffset>
                </wp:positionV>
                <wp:extent cx="920750" cy="405765"/>
                <wp:effectExtent l="0" t="0" r="12700" b="13335"/>
                <wp:wrapNone/>
                <wp:docPr id="1124191890"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05765"/>
                        </a:xfrm>
                        <a:prstGeom prst="rect">
                          <a:avLst/>
                        </a:prstGeom>
                        <a:solidFill>
                          <a:srgbClr val="1F497D">
                            <a:lumMod val="20000"/>
                            <a:lumOff val="80000"/>
                          </a:srgbClr>
                        </a:solidFill>
                        <a:ln w="6350">
                          <a:solidFill>
                            <a:srgbClr val="000000"/>
                          </a:solidFill>
                          <a:miter lim="800000"/>
                          <a:headEnd/>
                          <a:tailEnd/>
                        </a:ln>
                      </wps:spPr>
                      <wps:txbx>
                        <w:txbxContent>
                          <w:p w14:paraId="07FF9281" w14:textId="77777777" w:rsidR="008E7E03" w:rsidRDefault="008E7E03" w:rsidP="008E7E03">
                            <w:pPr>
                              <w:spacing w:before="60" w:line="264" w:lineRule="auto"/>
                              <w:jc w:val="center"/>
                              <w:rPr>
                                <w:rFonts w:ascii="Arial" w:hAnsi="Arial"/>
                                <w:b/>
                                <w:sz w:val="16"/>
                              </w:rPr>
                            </w:pPr>
                            <w:r>
                              <w:rPr>
                                <w:rFonts w:ascii="Arial" w:hAnsi="Arial"/>
                                <w:b/>
                                <w:sz w:val="16"/>
                              </w:rPr>
                              <w:t>Household income (equiv)</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2CBD07E" id="Text Box 231" o:spid="_x0000_s1030" type="#_x0000_t202" style="position:absolute;left:0;text-align:left;margin-left:42pt;margin-top:11.1pt;width:72.5pt;height:31.95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" fillcolor="#c6d9f1" strokeweight=".5pt">
                <v:textbox>
                  <w:txbxContent>
                    <w:p w14:paraId="07FF9281" w14:textId="77777777" w:rsidR="008E7E03" w:rsidRDefault="008E7E03" w:rsidP="008E7E03">
                      <w:pPr>
                        <w:spacing w:before="60" w:line="264" w:lineRule="auto"/>
                        <w:jc w:val="center"/>
                        <w:rPr>
                          <w:rFonts w:ascii="Arial" w:hAnsi="Arial"/>
                          <w:b/>
                          <w:sz w:val="16"/>
                        </w:rPr>
                      </w:pPr>
                      <w:r>
                        <w:rPr>
                          <w:rFonts w:ascii="Arial" w:hAnsi="Arial"/>
                          <w:b/>
                          <w:sz w:val="16"/>
                        </w:rPr>
                        <w:t>Household income (equiv)</w:t>
                      </w:r>
                    </w:p>
                  </w:txbxContent>
                </v:textbox>
              </v:shape>
            </w:pict>
          </mc:Fallback>
        </mc:AlternateContent>
      </w:r>
      <w:r w:rsidRPr="008E7E03">
        <w:rPr>
          <w:noProof/>
        </w:rPr>
        <mc:AlternateContent>
          <mc:Choice Requires="wps">
            <w:drawing>
              <wp:anchor distT="0" distB="0" distL="114300" distR="114300" simplePos="0" relativeHeight="253107200" behindDoc="0" locked="0" layoutInCell="1" allowOverlap="1" wp14:anchorId="47463805" wp14:editId="5C1ECF84">
                <wp:simplePos x="0" y="0"/>
                <wp:positionH relativeFrom="column">
                  <wp:posOffset>3435350</wp:posOffset>
                </wp:positionH>
                <wp:positionV relativeFrom="paragraph">
                  <wp:posOffset>948055</wp:posOffset>
                </wp:positionV>
                <wp:extent cx="1047750" cy="514350"/>
                <wp:effectExtent l="0" t="0" r="19050" b="19050"/>
                <wp:wrapNone/>
                <wp:docPr id="166170214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C0504D">
                            <a:lumMod val="20000"/>
                            <a:lumOff val="80000"/>
                          </a:srgbClr>
                        </a:solidFill>
                        <a:ln w="6350">
                          <a:solidFill>
                            <a:srgbClr val="000000"/>
                          </a:solidFill>
                          <a:miter lim="800000"/>
                          <a:headEnd/>
                          <a:tailEnd/>
                        </a:ln>
                      </wps:spPr>
                      <wps:txbx>
                        <w:txbxContent>
                          <w:p w14:paraId="01360468" w14:textId="77777777" w:rsidR="008E7E03" w:rsidRDefault="008E7E03" w:rsidP="008E7E03">
                            <w:pPr>
                              <w:spacing w:before="120" w:line="264" w:lineRule="auto"/>
                              <w:jc w:val="center"/>
                              <w:rPr>
                                <w:rFonts w:ascii="Arial" w:hAnsi="Arial"/>
                                <w:b/>
                                <w:sz w:val="16"/>
                              </w:rPr>
                            </w:pPr>
                            <w:r>
                              <w:rPr>
                                <w:rFonts w:ascii="Arial" w:hAnsi="Arial"/>
                                <w:b/>
                                <w:sz w:val="16"/>
                              </w:rPr>
                              <w:t>Basic needs / essentials</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7463805" id="Text Box 238" o:spid="_x0000_s1031" type="#_x0000_t202" style="position:absolute;left:0;text-align:left;margin-left:270.5pt;margin-top:74.65pt;width:82.5pt;height:40.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" fillcolor="#f2dcdb" strokeweight=".5pt">
                <v:textbox>
                  <w:txbxContent>
                    <w:p w14:paraId="01360468" w14:textId="77777777" w:rsidR="008E7E03" w:rsidRDefault="008E7E03" w:rsidP="008E7E03">
                      <w:pPr>
                        <w:spacing w:before="120" w:line="264" w:lineRule="auto"/>
                        <w:jc w:val="center"/>
                        <w:rPr>
                          <w:rFonts w:ascii="Arial" w:hAnsi="Arial"/>
                          <w:b/>
                          <w:sz w:val="16"/>
                        </w:rPr>
                      </w:pPr>
                      <w:r>
                        <w:rPr>
                          <w:rFonts w:ascii="Arial" w:hAnsi="Arial"/>
                          <w:b/>
                          <w:sz w:val="16"/>
                        </w:rPr>
                        <w:t>Basic needs / essentials</w:t>
                      </w:r>
                    </w:p>
                  </w:txbxContent>
                </v:textbox>
              </v:shape>
            </w:pict>
          </mc:Fallback>
        </mc:AlternateContent>
      </w:r>
      <w:r w:rsidRPr="008E7E03">
        <w:rPr>
          <w:noProof/>
        </w:rPr>
        <mc:AlternateContent>
          <mc:Choice Requires="wps">
            <w:drawing>
              <wp:anchor distT="0" distB="0" distL="114300" distR="114300" simplePos="0" relativeHeight="253109248" behindDoc="0" locked="0" layoutInCell="1" allowOverlap="1" wp14:anchorId="07D97C22" wp14:editId="0CB34F54">
                <wp:simplePos x="0" y="0"/>
                <wp:positionH relativeFrom="column">
                  <wp:posOffset>3435350</wp:posOffset>
                </wp:positionH>
                <wp:positionV relativeFrom="paragraph">
                  <wp:posOffset>329565</wp:posOffset>
                </wp:positionV>
                <wp:extent cx="1047750" cy="619125"/>
                <wp:effectExtent l="0" t="0" r="19050" b="28575"/>
                <wp:wrapNone/>
                <wp:docPr id="1605615326"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619125"/>
                        </a:xfrm>
                        <a:prstGeom prst="rect">
                          <a:avLst/>
                        </a:prstGeom>
                        <a:solidFill>
                          <a:srgbClr val="9BBB59">
                            <a:lumMod val="40000"/>
                            <a:lumOff val="60000"/>
                          </a:srgbClr>
                        </a:solidFill>
                        <a:ln w="6350">
                          <a:solidFill>
                            <a:srgbClr val="000000"/>
                          </a:solidFill>
                          <a:miter lim="800000"/>
                          <a:headEnd/>
                          <a:tailEnd/>
                        </a:ln>
                      </wps:spPr>
                      <wps:txbx>
                        <w:txbxContent>
                          <w:p w14:paraId="1053B04C" w14:textId="77777777" w:rsidR="008E7E03" w:rsidRDefault="008E7E03" w:rsidP="008E7E03">
                            <w:pPr>
                              <w:spacing w:before="120" w:line="264" w:lineRule="auto"/>
                              <w:jc w:val="center"/>
                              <w:rPr>
                                <w:rFonts w:ascii="Arial" w:hAnsi="Arial"/>
                                <w:b/>
                                <w:sz w:val="16"/>
                              </w:rPr>
                            </w:pPr>
                            <w:r>
                              <w:rPr>
                                <w:rFonts w:ascii="Arial" w:hAnsi="Arial"/>
                                <w:b/>
                                <w:sz w:val="16"/>
                              </w:rPr>
                              <w:t>Discretionary spend / desirable non-essentials</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D97C22" id="Text Box 252" o:spid="_x0000_s1032" type="#_x0000_t202" style="position:absolute;left:0;text-align:left;margin-left:270.5pt;margin-top:25.95pt;width:82.5pt;height:48.7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" fillcolor="#d7e4bd" strokeweight=".5pt">
                <v:textbox>
                  <w:txbxContent>
                    <w:p w14:paraId="1053B04C" w14:textId="77777777" w:rsidR="008E7E03" w:rsidRDefault="008E7E03" w:rsidP="008E7E03">
                      <w:pPr>
                        <w:spacing w:before="120" w:line="264" w:lineRule="auto"/>
                        <w:jc w:val="center"/>
                        <w:rPr>
                          <w:rFonts w:ascii="Arial" w:hAnsi="Arial"/>
                          <w:b/>
                          <w:sz w:val="16"/>
                        </w:rPr>
                      </w:pPr>
                      <w:r>
                        <w:rPr>
                          <w:rFonts w:ascii="Arial" w:hAnsi="Arial"/>
                          <w:b/>
                          <w:sz w:val="16"/>
                        </w:rPr>
                        <w:t>Discretionary spend / desirable non-essentials</w:t>
                      </w:r>
                    </w:p>
                  </w:txbxContent>
                </v:textbox>
              </v:shape>
            </w:pict>
          </mc:Fallback>
        </mc:AlternateContent>
      </w:r>
    </w:p>
    <w:p w14:paraId="7E93038F" w14:textId="77777777" w:rsidR="008E7E03" w:rsidRPr="008E7E03" w:rsidRDefault="008E7E03" w:rsidP="008E7E03">
      <w:pPr>
        <w:spacing w:after="0" w:line="240" w:lineRule="auto"/>
        <w:ind w:left="360" w:hanging="360"/>
        <w:jc w:val="both"/>
        <w:rPr>
          <w:rFonts w:ascii="Arial" w:eastAsia="Times New Roman" w:hAnsi="Arial"/>
          <w:color w:val="000000"/>
        </w:rPr>
      </w:pPr>
    </w:p>
    <w:p w14:paraId="68FC77E3" w14:textId="52DEC0C8" w:rsidR="008E7E03" w:rsidRPr="008E7E03" w:rsidRDefault="008E7E03" w:rsidP="008E7E03">
      <w:pPr>
        <w:spacing w:after="0" w:line="240" w:lineRule="auto"/>
        <w:ind w:left="360" w:hanging="360"/>
        <w:jc w:val="both"/>
        <w:rPr>
          <w:rFonts w:ascii="Arial" w:eastAsia="Times New Roman" w:hAnsi="Arial"/>
          <w:b/>
          <w:color w:val="000000"/>
          <w:sz w:val="22"/>
          <w:szCs w:val="20"/>
        </w:rPr>
      </w:pPr>
      <w:r w:rsidRPr="008E7E03">
        <w:rPr>
          <w:noProof/>
        </w:rPr>
        <mc:AlternateContent>
          <mc:Choice Requires="wps">
            <w:drawing>
              <wp:anchor distT="0" distB="0" distL="114300" distR="114300" simplePos="0" relativeHeight="253118464" behindDoc="0" locked="0" layoutInCell="1" allowOverlap="1" wp14:anchorId="2233FAE5" wp14:editId="07D777F9">
                <wp:simplePos x="0" y="0"/>
                <wp:positionH relativeFrom="column">
                  <wp:posOffset>5155565</wp:posOffset>
                </wp:positionH>
                <wp:positionV relativeFrom="paragraph">
                  <wp:posOffset>78105</wp:posOffset>
                </wp:positionV>
                <wp:extent cx="152400" cy="1133475"/>
                <wp:effectExtent l="0" t="0" r="19050" b="28575"/>
                <wp:wrapNone/>
                <wp:docPr id="825059989" name="Right Brac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1133475"/>
                        </a:xfrm>
                        <a:prstGeom prst="rightBrace">
                          <a:avLst>
                            <a:gd name="adj1" fmla="val 61979"/>
                            <a:gd name="adj2" fmla="val 50000"/>
                          </a:avLst>
                        </a:prstGeom>
                        <a:no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D12FA" id="Right Brace 277" o:spid="_x0000_s1026" type="#_x0000_t88" style="position:absolute;margin-left:405.95pt;margin-top:6.15pt;width:12pt;height:89.25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"/>
            </w:pict>
          </mc:Fallback>
        </mc:AlternateContent>
      </w:r>
    </w:p>
    <w:p w14:paraId="389031E2" w14:textId="77777777"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0ED66C98" w14:textId="25A09561"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5310AD41" w14:textId="19954B99" w:rsidR="008E7E03" w:rsidRPr="008E7E03" w:rsidRDefault="00867F12" w:rsidP="008E7E03">
      <w:pPr>
        <w:spacing w:after="0" w:line="240" w:lineRule="auto"/>
        <w:ind w:left="360" w:hanging="360"/>
        <w:jc w:val="both"/>
        <w:rPr>
          <w:rFonts w:ascii="Arial" w:eastAsia="Times New Roman" w:hAnsi="Arial"/>
          <w:b/>
          <w:color w:val="000000"/>
          <w:sz w:val="22"/>
          <w:szCs w:val="20"/>
        </w:rPr>
      </w:pPr>
      <w:r w:rsidRPr="008E7E03">
        <w:rPr>
          <w:noProof/>
        </w:rPr>
        <mc:AlternateContent>
          <mc:Choice Requires="wps">
            <w:drawing>
              <wp:anchor distT="0" distB="0" distL="114300" distR="114300" simplePos="0" relativeHeight="253119488" behindDoc="0" locked="0" layoutInCell="1" allowOverlap="1" wp14:anchorId="3825796C" wp14:editId="3E97C760">
                <wp:simplePos x="0" y="0"/>
                <wp:positionH relativeFrom="column">
                  <wp:posOffset>4552950</wp:posOffset>
                </wp:positionH>
                <wp:positionV relativeFrom="paragraph">
                  <wp:posOffset>120650</wp:posOffset>
                </wp:positionV>
                <wp:extent cx="133350" cy="565150"/>
                <wp:effectExtent l="0" t="0" r="19050" b="25400"/>
                <wp:wrapNone/>
                <wp:docPr id="322146526" name="Right Brac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565150"/>
                        </a:xfrm>
                        <a:prstGeom prst="rightBrace">
                          <a:avLst>
                            <a:gd name="adj1" fmla="val 28125"/>
                            <a:gd name="adj2" fmla="val 50000"/>
                          </a:avLst>
                        </a:prstGeom>
                        <a:noFill/>
                        <a:ln w="9525">
                          <a:solidFill>
                            <a:srgbClr val="000000"/>
                          </a:solidFill>
                          <a:round/>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0E65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8" o:spid="_x0000_s1026" type="#_x0000_t88" style="position:absolute;margin-left:358.5pt;margin-top:9.5pt;width:10.5pt;height:44.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" adj="1433"/>
            </w:pict>
          </mc:Fallback>
        </mc:AlternateContent>
      </w:r>
      <w:r w:rsidR="008E7E03" w:rsidRPr="008E7E03">
        <w:rPr>
          <w:noProof/>
        </w:rPr>
        <mc:AlternateContent>
          <mc:Choice Requires="wps">
            <w:drawing>
              <wp:anchor distT="0" distB="0" distL="114300" distR="114300" simplePos="0" relativeHeight="253117440" behindDoc="0" locked="0" layoutInCell="1" allowOverlap="1" wp14:anchorId="1A7BEF62" wp14:editId="300F6BFB">
                <wp:simplePos x="0" y="0"/>
                <wp:positionH relativeFrom="column">
                  <wp:posOffset>5265420</wp:posOffset>
                </wp:positionH>
                <wp:positionV relativeFrom="paragraph">
                  <wp:posOffset>51435</wp:posOffset>
                </wp:positionV>
                <wp:extent cx="432435" cy="255270"/>
                <wp:effectExtent l="0" t="0" r="5715" b="0"/>
                <wp:wrapNone/>
                <wp:docPr id="49446429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55270"/>
                        </a:xfrm>
                        <a:prstGeom prst="rect">
                          <a:avLst/>
                        </a:prstGeom>
                        <a:solidFill>
                          <a:srgbClr val="FFFFFF"/>
                        </a:solidFill>
                        <a:ln>
                          <a:noFill/>
                        </a:ln>
                      </wps:spPr>
                      <wps:txbx>
                        <w:txbxContent>
                          <w:p w14:paraId="1D37D012" w14:textId="77777777" w:rsidR="008E7E03" w:rsidRDefault="008E7E03" w:rsidP="008E7E03">
                            <w:pPr>
                              <w:rPr>
                                <w:rFonts w:ascii="Arial" w:hAnsi="Arial"/>
                                <w:b/>
                                <w:sz w:val="16"/>
                                <w:szCs w:val="16"/>
                              </w:rPr>
                            </w:pPr>
                            <w:r>
                              <w:rPr>
                                <w:rFonts w:ascii="Arial" w:hAnsi="Arial"/>
                                <w:b/>
                                <w:sz w:val="16"/>
                                <w:szCs w:val="16"/>
                              </w:rPr>
                              <w:t>MWI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BEF62" id="Text Box 276" o:spid="_x0000_s1033" type="#_x0000_t202" style="position:absolute;left:0;text-align:left;margin-left:414.6pt;margin-top:4.05pt;width:34.05pt;height:20.1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" stroked="f">
                <v:textbox>
                  <w:txbxContent>
                    <w:p w14:paraId="1D37D012" w14:textId="77777777" w:rsidR="008E7E03" w:rsidRDefault="008E7E03" w:rsidP="008E7E03">
                      <w:pPr>
                        <w:rPr>
                          <w:rFonts w:ascii="Arial" w:hAnsi="Arial"/>
                          <w:b/>
                          <w:sz w:val="16"/>
                          <w:szCs w:val="16"/>
                        </w:rPr>
                      </w:pPr>
                      <w:r>
                        <w:rPr>
                          <w:rFonts w:ascii="Arial" w:hAnsi="Arial"/>
                          <w:b/>
                          <w:sz w:val="16"/>
                          <w:szCs w:val="16"/>
                        </w:rPr>
                        <w:t>MWI</w:t>
                      </w:r>
                    </w:p>
                  </w:txbxContent>
                </v:textbox>
              </v:shape>
            </w:pict>
          </mc:Fallback>
        </mc:AlternateContent>
      </w:r>
    </w:p>
    <w:p w14:paraId="41D36CA2" w14:textId="1479A400" w:rsidR="008E7E03" w:rsidRPr="008E7E03" w:rsidRDefault="008E7E03" w:rsidP="008E7E03">
      <w:pPr>
        <w:spacing w:after="0" w:line="240" w:lineRule="auto"/>
        <w:ind w:left="360" w:hanging="360"/>
        <w:jc w:val="both"/>
        <w:rPr>
          <w:rFonts w:ascii="Arial" w:eastAsia="Times New Roman" w:hAnsi="Arial"/>
          <w:b/>
          <w:color w:val="000000"/>
          <w:sz w:val="22"/>
          <w:szCs w:val="20"/>
        </w:rPr>
      </w:pPr>
      <w:r w:rsidRPr="008E7E03">
        <w:rPr>
          <w:noProof/>
        </w:rPr>
        <mc:AlternateContent>
          <mc:Choice Requires="wps">
            <w:drawing>
              <wp:anchor distT="0" distB="0" distL="114300" distR="114300" simplePos="0" relativeHeight="253116416" behindDoc="0" locked="0" layoutInCell="1" allowOverlap="1" wp14:anchorId="6F69D736" wp14:editId="685ADEA3">
                <wp:simplePos x="0" y="0"/>
                <wp:positionH relativeFrom="column">
                  <wp:posOffset>4654550</wp:posOffset>
                </wp:positionH>
                <wp:positionV relativeFrom="paragraph">
                  <wp:posOffset>69850</wp:posOffset>
                </wp:positionV>
                <wp:extent cx="609600" cy="342900"/>
                <wp:effectExtent l="0" t="0" r="0" b="0"/>
                <wp:wrapNone/>
                <wp:docPr id="401866006"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solidFill>
                          <a:srgbClr val="FFFFFF"/>
                        </a:solidFill>
                        <a:ln>
                          <a:noFill/>
                        </a:ln>
                      </wps:spPr>
                      <wps:txbx>
                        <w:txbxContent>
                          <w:p w14:paraId="72A41EA0" w14:textId="29590D21" w:rsidR="008E7E03" w:rsidRDefault="008E7E03" w:rsidP="008E7E03">
                            <w:pPr>
                              <w:rPr>
                                <w:rFonts w:ascii="Arial" w:hAnsi="Arial"/>
                                <w:b/>
                                <w:sz w:val="16"/>
                                <w:szCs w:val="16"/>
                              </w:rPr>
                            </w:pPr>
                            <w:r>
                              <w:rPr>
                                <w:rFonts w:ascii="Arial" w:hAnsi="Arial"/>
                                <w:b/>
                                <w:sz w:val="16"/>
                                <w:szCs w:val="16"/>
                              </w:rPr>
                              <w:t>DEP-17 MH-18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9D736" id="Text Box 275" o:spid="_x0000_s1034" type="#_x0000_t202" style="position:absolute;left:0;text-align:left;margin-left:366.5pt;margin-top:5.5pt;width:48pt;height:27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" stroked="f">
                <v:textbox>
                  <w:txbxContent>
                    <w:p w14:paraId="72A41EA0" w14:textId="29590D21" w:rsidR="008E7E03" w:rsidRDefault="008E7E03" w:rsidP="008E7E03">
                      <w:pPr>
                        <w:rPr>
                          <w:rFonts w:ascii="Arial" w:hAnsi="Arial"/>
                          <w:b/>
                          <w:sz w:val="16"/>
                          <w:szCs w:val="16"/>
                        </w:rPr>
                      </w:pPr>
                      <w:r>
                        <w:rPr>
                          <w:rFonts w:ascii="Arial" w:hAnsi="Arial"/>
                          <w:b/>
                          <w:sz w:val="16"/>
                          <w:szCs w:val="16"/>
                        </w:rPr>
                        <w:t>DEP-17 MH-18</w:t>
                      </w:r>
                    </w:p>
                  </w:txbxContent>
                </v:textbox>
              </v:shape>
            </w:pict>
          </mc:Fallback>
        </mc:AlternateContent>
      </w:r>
    </w:p>
    <w:p w14:paraId="66FB4A68" w14:textId="77777777"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51626387" w14:textId="77777777"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46911386" w14:textId="21FE332A" w:rsidR="008E7E03" w:rsidRPr="008E7E03" w:rsidRDefault="00C35141" w:rsidP="008E7E03">
      <w:pPr>
        <w:spacing w:after="0" w:line="240" w:lineRule="auto"/>
        <w:ind w:left="360" w:hanging="360"/>
        <w:jc w:val="both"/>
        <w:rPr>
          <w:rFonts w:ascii="Arial" w:eastAsia="Times New Roman" w:hAnsi="Arial"/>
          <w:b/>
          <w:color w:val="000000"/>
          <w:sz w:val="22"/>
          <w:szCs w:val="20"/>
        </w:rPr>
      </w:pPr>
      <w:r w:rsidRPr="008E7E03">
        <w:rPr>
          <w:noProof/>
        </w:rPr>
        <mc:AlternateContent>
          <mc:Choice Requires="wps">
            <w:drawing>
              <wp:anchor distT="0" distB="0" distL="114299" distR="114299" simplePos="0" relativeHeight="253110272" behindDoc="0" locked="0" layoutInCell="1" allowOverlap="1" wp14:anchorId="7C468755" wp14:editId="387819ED">
                <wp:simplePos x="0" y="0"/>
                <wp:positionH relativeFrom="column">
                  <wp:posOffset>4311650</wp:posOffset>
                </wp:positionH>
                <wp:positionV relativeFrom="paragraph">
                  <wp:posOffset>113030</wp:posOffset>
                </wp:positionV>
                <wp:extent cx="387350" cy="254000"/>
                <wp:effectExtent l="38100" t="38100" r="31750" b="31750"/>
                <wp:wrapNone/>
                <wp:docPr id="1230666684"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87350" cy="254000"/>
                        </a:xfrm>
                        <a:prstGeom prst="straightConnector1">
                          <a:avLst/>
                        </a:prstGeom>
                        <a:noFill/>
                        <a:ln w="9525" cap="flat" cmpd="sng" algn="ctr">
                          <a:solidFill>
                            <a:sysClr val="windowText" lastClr="000000"/>
                          </a:solidFill>
                          <a:prstDash val="solid"/>
                          <a:tailEnd type="stealth"/>
                        </a:ln>
                        <a:effectLst/>
                      </wps:spPr>
                      <wps:bodyPr/>
                    </wps:wsp>
                  </a:graphicData>
                </a:graphic>
                <wp14:sizeRelH relativeFrom="page">
                  <wp14:pctWidth>0</wp14:pctWidth>
                </wp14:sizeRelH>
                <wp14:sizeRelV relativeFrom="margin">
                  <wp14:pctHeight>0</wp14:pctHeight>
                </wp14:sizeRelV>
              </wp:anchor>
            </w:drawing>
          </mc:Choice>
          <mc:Fallback>
            <w:pict>
              <v:shapetype w14:anchorId="4712FB40" id="_x0000_t32" coordsize="21600,21600" o:spt="32" o:oned="t" path="m,l21600,21600e" filled="f">
                <v:path arrowok="t" fillok="f" o:connecttype="none"/>
                <o:lock v:ext="edit" shapetype="t"/>
              </v:shapetype>
              <v:shape id="Straight Arrow Connector 266" o:spid="_x0000_s1026" type="#_x0000_t32" style="position:absolute;margin-left:339.5pt;margin-top:8.9pt;width:30.5pt;height:20pt;flip:x y;z-index:253110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" strokecolor="windowText">
                <v:stroke endarrow="classic"/>
                <o:lock v:ext="edit" shapetype="f"/>
              </v:shape>
            </w:pict>
          </mc:Fallback>
        </mc:AlternateContent>
      </w:r>
    </w:p>
    <w:p w14:paraId="46A6E195" w14:textId="77777777"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0B28EC2C" w14:textId="42500290" w:rsidR="008E7E03" w:rsidRPr="008E7E03" w:rsidRDefault="00C35141" w:rsidP="008E7E03">
      <w:pPr>
        <w:spacing w:after="0" w:line="240" w:lineRule="auto"/>
        <w:ind w:left="360" w:hanging="360"/>
        <w:jc w:val="both"/>
        <w:rPr>
          <w:rFonts w:ascii="Arial" w:eastAsia="Times New Roman" w:hAnsi="Arial"/>
          <w:b/>
          <w:color w:val="000000"/>
          <w:sz w:val="22"/>
          <w:szCs w:val="20"/>
        </w:rPr>
      </w:pPr>
      <w:r w:rsidRPr="008E7E03">
        <w:rPr>
          <w:noProof/>
        </w:rPr>
        <mc:AlternateContent>
          <mc:Choice Requires="wps">
            <w:drawing>
              <wp:anchor distT="0" distB="0" distL="114300" distR="114300" simplePos="0" relativeHeight="253111296" behindDoc="0" locked="0" layoutInCell="1" allowOverlap="1" wp14:anchorId="2077A25A" wp14:editId="3445458E">
                <wp:simplePos x="0" y="0"/>
                <wp:positionH relativeFrom="margin">
                  <wp:posOffset>4677410</wp:posOffset>
                </wp:positionH>
                <wp:positionV relativeFrom="paragraph">
                  <wp:posOffset>6350</wp:posOffset>
                </wp:positionV>
                <wp:extent cx="1219200" cy="357505"/>
                <wp:effectExtent l="0" t="0" r="0" b="4445"/>
                <wp:wrapNone/>
                <wp:docPr id="1391184206"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57505"/>
                        </a:xfrm>
                        <a:prstGeom prst="rect">
                          <a:avLst/>
                        </a:prstGeom>
                        <a:solidFill>
                          <a:srgbClr val="FFFFFF"/>
                        </a:solidFill>
                        <a:ln w="9525">
                          <a:noFill/>
                          <a:miter lim="800000"/>
                          <a:headEnd/>
                          <a:tailEnd/>
                        </a:ln>
                      </wps:spPr>
                      <wps:txbx>
                        <w:txbxContent>
                          <w:p w14:paraId="4FCAE57B" w14:textId="77777777" w:rsidR="008E7E03" w:rsidRDefault="008E7E03" w:rsidP="008E7E03">
                            <w:pPr>
                              <w:jc w:val="center"/>
                              <w:rPr>
                                <w:rFonts w:ascii="Arial" w:hAnsi="Arial"/>
                                <w:b/>
                                <w:sz w:val="16"/>
                                <w:szCs w:val="18"/>
                              </w:rPr>
                            </w:pPr>
                            <w:r>
                              <w:rPr>
                                <w:rFonts w:ascii="Arial" w:hAnsi="Arial"/>
                                <w:b/>
                                <w:sz w:val="16"/>
                                <w:szCs w:val="18"/>
                              </w:rPr>
                              <w:t>Material wellbeing or living standards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7A25A" id="Text Box 272" o:spid="_x0000_s1035" type="#_x0000_t202" style="position:absolute;left:0;text-align:left;margin-left:368.3pt;margin-top:.5pt;width:96pt;height:28.15pt;z-index:25311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" stroked="f">
                <v:textbox>
                  <w:txbxContent>
                    <w:p w14:paraId="4FCAE57B" w14:textId="77777777" w:rsidR="008E7E03" w:rsidRDefault="008E7E03" w:rsidP="008E7E03">
                      <w:pPr>
                        <w:jc w:val="center"/>
                        <w:rPr>
                          <w:rFonts w:ascii="Arial" w:hAnsi="Arial"/>
                          <w:b/>
                          <w:sz w:val="16"/>
                          <w:szCs w:val="18"/>
                        </w:rPr>
                      </w:pPr>
                      <w:r>
                        <w:rPr>
                          <w:rFonts w:ascii="Arial" w:hAnsi="Arial"/>
                          <w:b/>
                          <w:sz w:val="16"/>
                          <w:szCs w:val="18"/>
                        </w:rPr>
                        <w:t>Material wellbeing or living standards</w:t>
                      </w:r>
                    </w:p>
                  </w:txbxContent>
                </v:textbox>
                <w10:wrap anchorx="margin"/>
              </v:shape>
            </w:pict>
          </mc:Fallback>
        </mc:AlternateContent>
      </w:r>
    </w:p>
    <w:p w14:paraId="3BF8FBB2" w14:textId="2E0BE6B4" w:rsidR="008E7E03" w:rsidRPr="008E7E03" w:rsidRDefault="00867F12" w:rsidP="008E7E03">
      <w:pPr>
        <w:spacing w:after="0" w:line="240" w:lineRule="auto"/>
        <w:ind w:left="360" w:hanging="360"/>
        <w:jc w:val="both"/>
        <w:rPr>
          <w:rFonts w:ascii="Arial" w:eastAsia="Times New Roman" w:hAnsi="Arial"/>
          <w:b/>
          <w:color w:val="000000"/>
          <w:sz w:val="22"/>
          <w:szCs w:val="20"/>
        </w:rPr>
      </w:pPr>
      <w:r w:rsidRPr="008E7E03">
        <w:rPr>
          <w:noProof/>
        </w:rPr>
        <mc:AlternateContent>
          <mc:Choice Requires="wps">
            <w:drawing>
              <wp:anchor distT="0" distB="0" distL="114300" distR="114300" simplePos="0" relativeHeight="253106176" behindDoc="0" locked="0" layoutInCell="1" allowOverlap="1" wp14:anchorId="5BA41032" wp14:editId="4913AD4D">
                <wp:simplePos x="0" y="0"/>
                <wp:positionH relativeFrom="column">
                  <wp:posOffset>647700</wp:posOffset>
                </wp:positionH>
                <wp:positionV relativeFrom="paragraph">
                  <wp:posOffset>5715</wp:posOffset>
                </wp:positionV>
                <wp:extent cx="1822450" cy="996950"/>
                <wp:effectExtent l="0" t="0" r="25400" b="12700"/>
                <wp:wrapNone/>
                <wp:docPr id="1912209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996950"/>
                        </a:xfrm>
                        <a:prstGeom prst="rect">
                          <a:avLst/>
                        </a:prstGeom>
                        <a:solidFill>
                          <a:sysClr val="window" lastClr="FFFFFF">
                            <a:lumMod val="95000"/>
                          </a:sysClr>
                        </a:solidFill>
                        <a:ln w="6350">
                          <a:solidFill>
                            <a:srgbClr val="000000"/>
                          </a:solidFill>
                          <a:miter lim="800000"/>
                          <a:headEnd/>
                          <a:tailEnd/>
                        </a:ln>
                      </wps:spPr>
                      <wps:txbx>
                        <w:txbxContent>
                          <w:p w14:paraId="362A56BE" w14:textId="101B52F9" w:rsidR="008E7E03" w:rsidRDefault="003844CF" w:rsidP="008E7E03">
                            <w:pPr>
                              <w:spacing w:before="60" w:after="0"/>
                              <w:jc w:val="center"/>
                              <w:rPr>
                                <w:rFonts w:ascii="Arial" w:hAnsi="Arial"/>
                                <w:b/>
                                <w:sz w:val="16"/>
                              </w:rPr>
                            </w:pPr>
                            <w:r>
                              <w:rPr>
                                <w:rFonts w:ascii="Arial" w:hAnsi="Arial"/>
                                <w:b/>
                                <w:sz w:val="16"/>
                              </w:rPr>
                              <w:t>F</w:t>
                            </w:r>
                            <w:r w:rsidR="008E7E03">
                              <w:rPr>
                                <w:rFonts w:ascii="Arial" w:hAnsi="Arial"/>
                                <w:b/>
                                <w:sz w:val="16"/>
                              </w:rPr>
                              <w:t>actors</w:t>
                            </w:r>
                            <w:r w:rsidR="00280E94">
                              <w:rPr>
                                <w:rFonts w:ascii="Arial" w:hAnsi="Arial"/>
                                <w:b/>
                                <w:sz w:val="16"/>
                              </w:rPr>
                              <w:t xml:space="preserve"> that may reduce MH</w:t>
                            </w:r>
                            <w:r>
                              <w:rPr>
                                <w:rFonts w:ascii="Arial" w:hAnsi="Arial"/>
                                <w:b/>
                                <w:sz w:val="16"/>
                              </w:rPr>
                              <w:t xml:space="preserve"> for a given income</w:t>
                            </w:r>
                            <w:r w:rsidR="008F5938">
                              <w:rPr>
                                <w:rFonts w:ascii="Arial" w:hAnsi="Arial"/>
                                <w:b/>
                                <w:sz w:val="16"/>
                              </w:rPr>
                              <w:t xml:space="preserve"> and asset level</w:t>
                            </w:r>
                          </w:p>
                          <w:p w14:paraId="114E81BB" w14:textId="69320784" w:rsidR="008E7E03" w:rsidRDefault="008E7E03" w:rsidP="008E7E03">
                            <w:pPr>
                              <w:spacing w:line="240" w:lineRule="auto"/>
                              <w:jc w:val="center"/>
                              <w:rPr>
                                <w:rFonts w:ascii="Arial" w:hAnsi="Arial"/>
                                <w:sz w:val="16"/>
                                <w:szCs w:val="16"/>
                              </w:rPr>
                            </w:pPr>
                            <w:r>
                              <w:rPr>
                                <w:rFonts w:ascii="Arial" w:hAnsi="Arial"/>
                                <w:sz w:val="16"/>
                                <w:szCs w:val="16"/>
                              </w:rPr>
                              <w:t>assistance from outside the household (family, friends, community, state),</w:t>
                            </w:r>
                            <w:r w:rsidR="003844CF">
                              <w:rPr>
                                <w:rFonts w:ascii="Arial" w:hAnsi="Arial"/>
                                <w:sz w:val="16"/>
                                <w:szCs w:val="16"/>
                              </w:rPr>
                              <w:t xml:space="preserve"> good stock of consumer durables</w:t>
                            </w:r>
                            <w:r>
                              <w:rPr>
                                <w:rFonts w:ascii="Arial" w:hAnsi="Arial"/>
                                <w:sz w:val="16"/>
                                <w:szCs w:val="16"/>
                              </w:rPr>
                              <w:t xml:space="preserve"> </w:t>
                            </w:r>
                          </w:p>
                          <w:p w14:paraId="0BD39A16" w14:textId="77777777" w:rsidR="008E7E03" w:rsidRDefault="008E7E03" w:rsidP="008E7E03">
                            <w:pPr>
                              <w:jc w:val="center"/>
                              <w:rPr>
                                <w:rFonts w:ascii="Arial" w:hAnsi="Arial"/>
                                <w:sz w:val="16"/>
                                <w:szCs w:val="16"/>
                              </w:rPr>
                            </w:pP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A41032" id="Text Box 8" o:spid="_x0000_s1036" type="#_x0000_t202" style="position:absolute;left:0;text-align:left;margin-left:51pt;margin-top:.45pt;width:143.5pt;height:78.5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" fillcolor="#f2f2f2" strokeweight=".5pt">
                <v:textbox>
                  <w:txbxContent>
                    <w:p w14:paraId="362A56BE" w14:textId="101B52F9" w:rsidR="008E7E03" w:rsidRDefault="003844CF" w:rsidP="008E7E03">
                      <w:pPr>
                        <w:spacing w:before="60" w:after="0"/>
                        <w:jc w:val="center"/>
                        <w:rPr>
                          <w:rFonts w:ascii="Arial" w:hAnsi="Arial"/>
                          <w:b/>
                          <w:sz w:val="16"/>
                        </w:rPr>
                      </w:pPr>
                      <w:r>
                        <w:rPr>
                          <w:rFonts w:ascii="Arial" w:hAnsi="Arial"/>
                          <w:b/>
                          <w:sz w:val="16"/>
                        </w:rPr>
                        <w:t>F</w:t>
                      </w:r>
                      <w:r w:rsidR="008E7E03">
                        <w:rPr>
                          <w:rFonts w:ascii="Arial" w:hAnsi="Arial"/>
                          <w:b/>
                          <w:sz w:val="16"/>
                        </w:rPr>
                        <w:t>actors</w:t>
                      </w:r>
                      <w:r w:rsidR="00280E94">
                        <w:rPr>
                          <w:rFonts w:ascii="Arial" w:hAnsi="Arial"/>
                          <w:b/>
                          <w:sz w:val="16"/>
                        </w:rPr>
                        <w:t xml:space="preserve"> that may reduce MH</w:t>
                      </w:r>
                      <w:r>
                        <w:rPr>
                          <w:rFonts w:ascii="Arial" w:hAnsi="Arial"/>
                          <w:b/>
                          <w:sz w:val="16"/>
                        </w:rPr>
                        <w:t xml:space="preserve"> for a given income</w:t>
                      </w:r>
                      <w:r w:rsidR="008F5938">
                        <w:rPr>
                          <w:rFonts w:ascii="Arial" w:hAnsi="Arial"/>
                          <w:b/>
                          <w:sz w:val="16"/>
                        </w:rPr>
                        <w:t xml:space="preserve"> and asset level</w:t>
                      </w:r>
                    </w:p>
                    <w:p w14:paraId="114E81BB" w14:textId="69320784" w:rsidR="008E7E03" w:rsidRDefault="008E7E03" w:rsidP="008E7E03">
                      <w:pPr>
                        <w:spacing w:line="240" w:lineRule="auto"/>
                        <w:jc w:val="center"/>
                        <w:rPr>
                          <w:rFonts w:ascii="Arial" w:hAnsi="Arial"/>
                          <w:sz w:val="16"/>
                          <w:szCs w:val="16"/>
                        </w:rPr>
                      </w:pPr>
                      <w:r>
                        <w:rPr>
                          <w:rFonts w:ascii="Arial" w:hAnsi="Arial"/>
                          <w:sz w:val="16"/>
                          <w:szCs w:val="16"/>
                        </w:rPr>
                        <w:t>assistance from outside the household (family, friends, community, state),</w:t>
                      </w:r>
                      <w:r w:rsidR="003844CF">
                        <w:rPr>
                          <w:rFonts w:ascii="Arial" w:hAnsi="Arial"/>
                          <w:sz w:val="16"/>
                          <w:szCs w:val="16"/>
                        </w:rPr>
                        <w:t xml:space="preserve"> good stock of consumer durables</w:t>
                      </w:r>
                      <w:r>
                        <w:rPr>
                          <w:rFonts w:ascii="Arial" w:hAnsi="Arial"/>
                          <w:sz w:val="16"/>
                          <w:szCs w:val="16"/>
                        </w:rPr>
                        <w:t xml:space="preserve"> </w:t>
                      </w:r>
                    </w:p>
                    <w:p w14:paraId="0BD39A16" w14:textId="77777777" w:rsidR="008E7E03" w:rsidRDefault="008E7E03" w:rsidP="008E7E03">
                      <w:pPr>
                        <w:jc w:val="center"/>
                        <w:rPr>
                          <w:rFonts w:ascii="Arial" w:hAnsi="Arial"/>
                          <w:sz w:val="16"/>
                          <w:szCs w:val="16"/>
                        </w:rPr>
                      </w:pPr>
                    </w:p>
                  </w:txbxContent>
                </v:textbox>
              </v:shape>
            </w:pict>
          </mc:Fallback>
        </mc:AlternateContent>
      </w:r>
      <w:r w:rsidR="003844CF" w:rsidRPr="008E7E03">
        <w:rPr>
          <w:noProof/>
        </w:rPr>
        <mc:AlternateContent>
          <mc:Choice Requires="wps">
            <w:drawing>
              <wp:anchor distT="0" distB="0" distL="114300" distR="114300" simplePos="0" relativeHeight="253132800" behindDoc="0" locked="0" layoutInCell="1" allowOverlap="1" wp14:anchorId="02F01CD0" wp14:editId="08F5FAA9">
                <wp:simplePos x="0" y="0"/>
                <wp:positionH relativeFrom="column">
                  <wp:posOffset>2705100</wp:posOffset>
                </wp:positionH>
                <wp:positionV relativeFrom="paragraph">
                  <wp:posOffset>7620</wp:posOffset>
                </wp:positionV>
                <wp:extent cx="1949450" cy="1003300"/>
                <wp:effectExtent l="0" t="0" r="12700" b="25400"/>
                <wp:wrapNone/>
                <wp:docPr id="845592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solidFill>
                          <a:sysClr val="window" lastClr="FFFFFF">
                            <a:lumMod val="95000"/>
                          </a:sysClr>
                        </a:solidFill>
                        <a:ln w="6350">
                          <a:solidFill>
                            <a:srgbClr val="000000"/>
                          </a:solidFill>
                          <a:miter lim="800000"/>
                          <a:headEnd/>
                          <a:tailEnd/>
                        </a:ln>
                      </wps:spPr>
                      <wps:txbx>
                        <w:txbxContent>
                          <w:p w14:paraId="4C069471" w14:textId="6663CB69" w:rsidR="008E7E03" w:rsidRDefault="003844CF" w:rsidP="008E7E03">
                            <w:pPr>
                              <w:spacing w:before="60" w:after="0"/>
                              <w:jc w:val="center"/>
                              <w:rPr>
                                <w:rFonts w:ascii="Arial" w:hAnsi="Arial"/>
                                <w:b/>
                                <w:sz w:val="16"/>
                              </w:rPr>
                            </w:pPr>
                            <w:r>
                              <w:rPr>
                                <w:rFonts w:ascii="Arial" w:hAnsi="Arial"/>
                                <w:b/>
                                <w:sz w:val="16"/>
                              </w:rPr>
                              <w:t>F</w:t>
                            </w:r>
                            <w:r w:rsidR="008E7E03">
                              <w:rPr>
                                <w:rFonts w:ascii="Arial" w:hAnsi="Arial"/>
                                <w:b/>
                                <w:sz w:val="16"/>
                              </w:rPr>
                              <w:t>actors</w:t>
                            </w:r>
                            <w:r w:rsidR="00280E94">
                              <w:rPr>
                                <w:rFonts w:ascii="Arial" w:hAnsi="Arial"/>
                                <w:b/>
                                <w:sz w:val="16"/>
                              </w:rPr>
                              <w:t xml:space="preserve"> that may increase MH</w:t>
                            </w:r>
                            <w:r>
                              <w:rPr>
                                <w:rFonts w:ascii="Arial" w:hAnsi="Arial"/>
                                <w:b/>
                                <w:sz w:val="16"/>
                              </w:rPr>
                              <w:t xml:space="preserve"> for a given income</w:t>
                            </w:r>
                            <w:r w:rsidR="008F5938">
                              <w:rPr>
                                <w:rFonts w:ascii="Arial" w:hAnsi="Arial"/>
                                <w:b/>
                                <w:sz w:val="16"/>
                              </w:rPr>
                              <w:t xml:space="preserve"> and asset level</w:t>
                            </w:r>
                          </w:p>
                          <w:p w14:paraId="3379889F" w14:textId="76EC4262" w:rsidR="008E7E03" w:rsidRDefault="003844CF" w:rsidP="008E7E03">
                            <w:pPr>
                              <w:spacing w:line="240" w:lineRule="auto"/>
                              <w:jc w:val="center"/>
                              <w:rPr>
                                <w:rFonts w:ascii="Arial" w:hAnsi="Arial"/>
                                <w:sz w:val="16"/>
                                <w:szCs w:val="16"/>
                              </w:rPr>
                            </w:pPr>
                            <w:r>
                              <w:rPr>
                                <w:rFonts w:ascii="Arial" w:hAnsi="Arial"/>
                                <w:sz w:val="16"/>
                                <w:szCs w:val="16"/>
                              </w:rPr>
                              <w:t>high</w:t>
                            </w:r>
                            <w:r w:rsidR="008E7E03">
                              <w:rPr>
                                <w:rFonts w:ascii="Arial" w:hAnsi="Arial"/>
                                <w:sz w:val="16"/>
                                <w:szCs w:val="16"/>
                              </w:rPr>
                              <w:t xml:space="preserve"> housing costs</w:t>
                            </w:r>
                            <w:r>
                              <w:rPr>
                                <w:rFonts w:ascii="Arial" w:hAnsi="Arial"/>
                                <w:sz w:val="16"/>
                                <w:szCs w:val="16"/>
                              </w:rPr>
                              <w:t>,</w:t>
                            </w:r>
                            <w:r w:rsidR="008E7E03">
                              <w:rPr>
                                <w:rFonts w:ascii="Arial" w:hAnsi="Arial"/>
                                <w:sz w:val="16"/>
                                <w:szCs w:val="16"/>
                              </w:rPr>
                              <w:t xml:space="preserve"> </w:t>
                            </w:r>
                            <w:r>
                              <w:rPr>
                                <w:rFonts w:ascii="Arial" w:hAnsi="Arial"/>
                                <w:sz w:val="16"/>
                                <w:szCs w:val="16"/>
                              </w:rPr>
                              <w:t xml:space="preserve">high </w:t>
                            </w:r>
                            <w:r w:rsidR="008E7E03">
                              <w:rPr>
                                <w:rFonts w:ascii="Arial" w:hAnsi="Arial"/>
                                <w:sz w:val="16"/>
                                <w:szCs w:val="16"/>
                              </w:rPr>
                              <w:t>employment-related costs (eg childcare</w:t>
                            </w:r>
                            <w:r>
                              <w:rPr>
                                <w:rFonts w:ascii="Arial" w:hAnsi="Arial"/>
                                <w:sz w:val="16"/>
                                <w:szCs w:val="16"/>
                              </w:rPr>
                              <w:t>, transport</w:t>
                            </w:r>
                            <w:r w:rsidR="008E7E03">
                              <w:rPr>
                                <w:rFonts w:ascii="Arial" w:hAnsi="Arial"/>
                                <w:sz w:val="16"/>
                                <w:szCs w:val="16"/>
                              </w:rPr>
                              <w:t xml:space="preserve">), high or unexpected health or debt servicing costs, disability that incurs extra costs </w:t>
                            </w:r>
                          </w:p>
                          <w:p w14:paraId="587AFFDF" w14:textId="77777777" w:rsidR="008E7E03" w:rsidRDefault="008E7E03" w:rsidP="008E7E03">
                            <w:pPr>
                              <w:jc w:val="center"/>
                              <w:rPr>
                                <w:rFonts w:ascii="Arial" w:hAnsi="Arial"/>
                                <w:sz w:val="16"/>
                                <w:szCs w:val="16"/>
                              </w:rPr>
                            </w:pP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F01CD0" id="_x0000_s1037" type="#_x0000_t202" style="position:absolute;left:0;text-align:left;margin-left:213pt;margin-top:.6pt;width:153.5pt;height:79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" fillcolor="#f2f2f2" strokeweight=".5pt">
                <v:textbox>
                  <w:txbxContent>
                    <w:p w14:paraId="4C069471" w14:textId="6663CB69" w:rsidR="008E7E03" w:rsidRDefault="003844CF" w:rsidP="008E7E03">
                      <w:pPr>
                        <w:spacing w:before="60" w:after="0"/>
                        <w:jc w:val="center"/>
                        <w:rPr>
                          <w:rFonts w:ascii="Arial" w:hAnsi="Arial"/>
                          <w:b/>
                          <w:sz w:val="16"/>
                        </w:rPr>
                      </w:pPr>
                      <w:r>
                        <w:rPr>
                          <w:rFonts w:ascii="Arial" w:hAnsi="Arial"/>
                          <w:b/>
                          <w:sz w:val="16"/>
                        </w:rPr>
                        <w:t>F</w:t>
                      </w:r>
                      <w:r w:rsidR="008E7E03">
                        <w:rPr>
                          <w:rFonts w:ascii="Arial" w:hAnsi="Arial"/>
                          <w:b/>
                          <w:sz w:val="16"/>
                        </w:rPr>
                        <w:t>actors</w:t>
                      </w:r>
                      <w:r w:rsidR="00280E94">
                        <w:rPr>
                          <w:rFonts w:ascii="Arial" w:hAnsi="Arial"/>
                          <w:b/>
                          <w:sz w:val="16"/>
                        </w:rPr>
                        <w:t xml:space="preserve"> that may increase MH</w:t>
                      </w:r>
                      <w:r>
                        <w:rPr>
                          <w:rFonts w:ascii="Arial" w:hAnsi="Arial"/>
                          <w:b/>
                          <w:sz w:val="16"/>
                        </w:rPr>
                        <w:t xml:space="preserve"> for a given income</w:t>
                      </w:r>
                      <w:r w:rsidR="008F5938">
                        <w:rPr>
                          <w:rFonts w:ascii="Arial" w:hAnsi="Arial"/>
                          <w:b/>
                          <w:sz w:val="16"/>
                        </w:rPr>
                        <w:t xml:space="preserve"> and asset level</w:t>
                      </w:r>
                    </w:p>
                    <w:p w14:paraId="3379889F" w14:textId="76EC4262" w:rsidR="008E7E03" w:rsidRDefault="003844CF" w:rsidP="008E7E03">
                      <w:pPr>
                        <w:spacing w:line="240" w:lineRule="auto"/>
                        <w:jc w:val="center"/>
                        <w:rPr>
                          <w:rFonts w:ascii="Arial" w:hAnsi="Arial"/>
                          <w:sz w:val="16"/>
                          <w:szCs w:val="16"/>
                        </w:rPr>
                      </w:pPr>
                      <w:r>
                        <w:rPr>
                          <w:rFonts w:ascii="Arial" w:hAnsi="Arial"/>
                          <w:sz w:val="16"/>
                          <w:szCs w:val="16"/>
                        </w:rPr>
                        <w:t>high</w:t>
                      </w:r>
                      <w:r w:rsidR="008E7E03">
                        <w:rPr>
                          <w:rFonts w:ascii="Arial" w:hAnsi="Arial"/>
                          <w:sz w:val="16"/>
                          <w:szCs w:val="16"/>
                        </w:rPr>
                        <w:t xml:space="preserve"> housing costs</w:t>
                      </w:r>
                      <w:r>
                        <w:rPr>
                          <w:rFonts w:ascii="Arial" w:hAnsi="Arial"/>
                          <w:sz w:val="16"/>
                          <w:szCs w:val="16"/>
                        </w:rPr>
                        <w:t>,</w:t>
                      </w:r>
                      <w:r w:rsidR="008E7E03">
                        <w:rPr>
                          <w:rFonts w:ascii="Arial" w:hAnsi="Arial"/>
                          <w:sz w:val="16"/>
                          <w:szCs w:val="16"/>
                        </w:rPr>
                        <w:t xml:space="preserve"> </w:t>
                      </w:r>
                      <w:r>
                        <w:rPr>
                          <w:rFonts w:ascii="Arial" w:hAnsi="Arial"/>
                          <w:sz w:val="16"/>
                          <w:szCs w:val="16"/>
                        </w:rPr>
                        <w:t xml:space="preserve">high </w:t>
                      </w:r>
                      <w:r w:rsidR="008E7E03">
                        <w:rPr>
                          <w:rFonts w:ascii="Arial" w:hAnsi="Arial"/>
                          <w:sz w:val="16"/>
                          <w:szCs w:val="16"/>
                        </w:rPr>
                        <w:t>employment-related costs (eg childcare</w:t>
                      </w:r>
                      <w:r>
                        <w:rPr>
                          <w:rFonts w:ascii="Arial" w:hAnsi="Arial"/>
                          <w:sz w:val="16"/>
                          <w:szCs w:val="16"/>
                        </w:rPr>
                        <w:t>, transport</w:t>
                      </w:r>
                      <w:r w:rsidR="008E7E03">
                        <w:rPr>
                          <w:rFonts w:ascii="Arial" w:hAnsi="Arial"/>
                          <w:sz w:val="16"/>
                          <w:szCs w:val="16"/>
                        </w:rPr>
                        <w:t xml:space="preserve">), high or unexpected health or debt servicing costs, disability that incurs extra costs </w:t>
                      </w:r>
                    </w:p>
                    <w:p w14:paraId="587AFFDF" w14:textId="77777777" w:rsidR="008E7E03" w:rsidRDefault="008E7E03" w:rsidP="008E7E03">
                      <w:pPr>
                        <w:jc w:val="center"/>
                        <w:rPr>
                          <w:rFonts w:ascii="Arial" w:hAnsi="Arial"/>
                          <w:sz w:val="16"/>
                          <w:szCs w:val="16"/>
                        </w:rPr>
                      </w:pPr>
                    </w:p>
                  </w:txbxContent>
                </v:textbox>
              </v:shape>
            </w:pict>
          </mc:Fallback>
        </mc:AlternateContent>
      </w:r>
    </w:p>
    <w:p w14:paraId="59DCBFD8" w14:textId="77777777"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04B895B1" w14:textId="7DFE16F9"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38536112" w14:textId="77777777" w:rsidR="008E7E03" w:rsidRPr="008E7E03" w:rsidRDefault="008E7E03" w:rsidP="008E7E03">
      <w:pPr>
        <w:spacing w:after="0" w:line="240" w:lineRule="auto"/>
        <w:ind w:left="360" w:hanging="360"/>
        <w:jc w:val="both"/>
        <w:rPr>
          <w:rFonts w:ascii="Arial" w:eastAsia="Times New Roman" w:hAnsi="Arial"/>
          <w:b/>
          <w:color w:val="000000"/>
          <w:sz w:val="22"/>
          <w:szCs w:val="20"/>
        </w:rPr>
      </w:pPr>
    </w:p>
    <w:p w14:paraId="71BFCB19" w14:textId="77777777" w:rsidR="008E7E03" w:rsidRPr="008E7E03" w:rsidRDefault="008E7E03" w:rsidP="008E7E03">
      <w:pPr>
        <w:spacing w:after="0" w:line="240" w:lineRule="auto"/>
        <w:jc w:val="center"/>
        <w:rPr>
          <w:rFonts w:ascii="Arial" w:eastAsia="Times New Roman" w:hAnsi="Arial"/>
          <w:b/>
          <w:color w:val="000000"/>
          <w:sz w:val="18"/>
          <w:szCs w:val="18"/>
        </w:rPr>
      </w:pPr>
    </w:p>
    <w:p w14:paraId="65DF7CEF" w14:textId="77777777" w:rsidR="008E7E03" w:rsidRPr="008E7E03" w:rsidRDefault="008E7E03" w:rsidP="008E7E03">
      <w:pPr>
        <w:spacing w:after="0" w:line="240" w:lineRule="auto"/>
        <w:rPr>
          <w:rFonts w:ascii="Arial" w:eastAsia="Times New Roman" w:hAnsi="Arial"/>
          <w:b/>
          <w:color w:val="000000"/>
          <w:szCs w:val="20"/>
          <w:lang w:val="en-GB" w:eastAsia="en-GB"/>
        </w:rPr>
      </w:pPr>
    </w:p>
    <w:p w14:paraId="24E3F5E9" w14:textId="4D4C2565" w:rsidR="00C35141" w:rsidRDefault="003844CF" w:rsidP="008E7E03">
      <w:pPr>
        <w:spacing w:after="0" w:line="240" w:lineRule="auto"/>
        <w:rPr>
          <w:rFonts w:ascii="Arial" w:hAnsi="Arial"/>
          <w:color w:val="000000"/>
          <w:szCs w:val="20"/>
        </w:rPr>
      </w:pPr>
      <w:r w:rsidRPr="008E7E03">
        <w:rPr>
          <w:noProof/>
        </w:rPr>
        <mc:AlternateContent>
          <mc:Choice Requires="wps">
            <w:drawing>
              <wp:anchor distT="0" distB="0" distL="114300" distR="114300" simplePos="0" relativeHeight="253134848" behindDoc="0" locked="0" layoutInCell="1" allowOverlap="1" wp14:anchorId="337BFD47" wp14:editId="293919B8">
                <wp:simplePos x="0" y="0"/>
                <wp:positionH relativeFrom="margin">
                  <wp:posOffset>1219200</wp:posOffset>
                </wp:positionH>
                <wp:positionV relativeFrom="paragraph">
                  <wp:posOffset>147955</wp:posOffset>
                </wp:positionV>
                <wp:extent cx="2984500" cy="260350"/>
                <wp:effectExtent l="0" t="0" r="25400" b="25400"/>
                <wp:wrapNone/>
                <wp:docPr id="952394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260350"/>
                        </a:xfrm>
                        <a:prstGeom prst="rect">
                          <a:avLst/>
                        </a:prstGeom>
                        <a:solidFill>
                          <a:sysClr val="window" lastClr="FFFFFF">
                            <a:lumMod val="95000"/>
                          </a:sysClr>
                        </a:solidFill>
                        <a:ln w="6350">
                          <a:solidFill>
                            <a:srgbClr val="000000"/>
                          </a:solidFill>
                          <a:miter lim="800000"/>
                          <a:headEnd/>
                          <a:tailEnd/>
                        </a:ln>
                      </wps:spPr>
                      <wps:txbx>
                        <w:txbxContent>
                          <w:p w14:paraId="74650B01" w14:textId="4DC12042" w:rsidR="00C35141" w:rsidRDefault="00C35141" w:rsidP="003844CF">
                            <w:pPr>
                              <w:spacing w:line="240" w:lineRule="auto"/>
                              <w:jc w:val="center"/>
                              <w:rPr>
                                <w:rFonts w:ascii="Arial" w:hAnsi="Arial"/>
                                <w:sz w:val="16"/>
                                <w:szCs w:val="16"/>
                              </w:rPr>
                            </w:pPr>
                            <w:r>
                              <w:rPr>
                                <w:rFonts w:ascii="Arial" w:hAnsi="Arial"/>
                                <w:sz w:val="16"/>
                                <w:szCs w:val="16"/>
                              </w:rPr>
                              <w:t>. Ability to convert</w:t>
                            </w:r>
                            <w:r w:rsidR="005512F9">
                              <w:rPr>
                                <w:rFonts w:ascii="Arial" w:hAnsi="Arial"/>
                                <w:sz w:val="16"/>
                                <w:szCs w:val="16"/>
                              </w:rPr>
                              <w:t xml:space="preserve"> </w:t>
                            </w:r>
                            <w:r w:rsidR="003844CF">
                              <w:rPr>
                                <w:rFonts w:ascii="Arial" w:hAnsi="Arial"/>
                                <w:sz w:val="16"/>
                                <w:szCs w:val="16"/>
                              </w:rPr>
                              <w:t>given resources</w:t>
                            </w:r>
                            <w:r w:rsidR="005512F9">
                              <w:rPr>
                                <w:rFonts w:ascii="Arial" w:hAnsi="Arial"/>
                                <w:sz w:val="16"/>
                                <w:szCs w:val="16"/>
                              </w:rPr>
                              <w:t xml:space="preserve"> into valued </w:t>
                            </w:r>
                            <w:r w:rsidR="003844CF">
                              <w:rPr>
                                <w:rFonts w:ascii="Arial" w:hAnsi="Arial"/>
                                <w:sz w:val="16"/>
                                <w:szCs w:val="16"/>
                              </w:rPr>
                              <w:t>consumption</w:t>
                            </w:r>
                          </w:p>
                        </w:txbxContent>
                      </wps:txbx>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7BFD47" id="_x0000_s1038" type="#_x0000_t202" style="position:absolute;margin-left:96pt;margin-top:11.65pt;width:235pt;height:20.5pt;z-index:2531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" fillcolor="#f2f2f2" strokeweight=".5pt">
                <v:textbox>
                  <w:txbxContent>
                    <w:p w14:paraId="74650B01" w14:textId="4DC12042" w:rsidR="00C35141" w:rsidRDefault="00C35141" w:rsidP="003844CF">
                      <w:pPr>
                        <w:spacing w:line="240" w:lineRule="auto"/>
                        <w:jc w:val="center"/>
                        <w:rPr>
                          <w:rFonts w:ascii="Arial" w:hAnsi="Arial"/>
                          <w:sz w:val="16"/>
                          <w:szCs w:val="16"/>
                        </w:rPr>
                      </w:pPr>
                      <w:r>
                        <w:rPr>
                          <w:rFonts w:ascii="Arial" w:hAnsi="Arial"/>
                          <w:sz w:val="16"/>
                          <w:szCs w:val="16"/>
                        </w:rPr>
                        <w:t>. Ability to convert</w:t>
                      </w:r>
                      <w:r w:rsidR="005512F9">
                        <w:rPr>
                          <w:rFonts w:ascii="Arial" w:hAnsi="Arial"/>
                          <w:sz w:val="16"/>
                          <w:szCs w:val="16"/>
                        </w:rPr>
                        <w:t xml:space="preserve"> </w:t>
                      </w:r>
                      <w:r w:rsidR="003844CF">
                        <w:rPr>
                          <w:rFonts w:ascii="Arial" w:hAnsi="Arial"/>
                          <w:sz w:val="16"/>
                          <w:szCs w:val="16"/>
                        </w:rPr>
                        <w:t>given resources</w:t>
                      </w:r>
                      <w:r w:rsidR="005512F9">
                        <w:rPr>
                          <w:rFonts w:ascii="Arial" w:hAnsi="Arial"/>
                          <w:sz w:val="16"/>
                          <w:szCs w:val="16"/>
                        </w:rPr>
                        <w:t xml:space="preserve"> into valued </w:t>
                      </w:r>
                      <w:r w:rsidR="003844CF">
                        <w:rPr>
                          <w:rFonts w:ascii="Arial" w:hAnsi="Arial"/>
                          <w:sz w:val="16"/>
                          <w:szCs w:val="16"/>
                        </w:rPr>
                        <w:t>consumption</w:t>
                      </w:r>
                    </w:p>
                  </w:txbxContent>
                </v:textbox>
                <w10:wrap anchorx="margin"/>
              </v:shape>
            </w:pict>
          </mc:Fallback>
        </mc:AlternateContent>
      </w:r>
    </w:p>
    <w:p w14:paraId="1FCCFEF7" w14:textId="5C553E84" w:rsidR="00C35141" w:rsidRDefault="00C35141" w:rsidP="008E7E03">
      <w:pPr>
        <w:spacing w:after="0" w:line="240" w:lineRule="auto"/>
        <w:rPr>
          <w:rFonts w:ascii="Arial" w:hAnsi="Arial"/>
          <w:color w:val="000000"/>
          <w:szCs w:val="20"/>
        </w:rPr>
      </w:pPr>
    </w:p>
    <w:p w14:paraId="3B04D1BB" w14:textId="0CA5CD9D" w:rsidR="00C35141" w:rsidRDefault="00C35141" w:rsidP="008E7E03">
      <w:pPr>
        <w:spacing w:after="0" w:line="240" w:lineRule="auto"/>
        <w:rPr>
          <w:rFonts w:ascii="Arial" w:hAnsi="Arial"/>
          <w:color w:val="000000"/>
          <w:szCs w:val="20"/>
        </w:rPr>
      </w:pPr>
    </w:p>
    <w:p w14:paraId="5C1ED187" w14:textId="77777777" w:rsidR="00C35141" w:rsidRDefault="00C35141" w:rsidP="008E7E03">
      <w:pPr>
        <w:spacing w:after="0" w:line="240" w:lineRule="auto"/>
        <w:rPr>
          <w:rFonts w:ascii="Arial" w:hAnsi="Arial"/>
          <w:color w:val="000000"/>
          <w:szCs w:val="20"/>
        </w:rPr>
      </w:pPr>
    </w:p>
    <w:p w14:paraId="61DDF5F4" w14:textId="77777777" w:rsidR="00C35141" w:rsidRDefault="00C35141" w:rsidP="008E7E03">
      <w:pPr>
        <w:spacing w:after="0" w:line="240" w:lineRule="auto"/>
        <w:rPr>
          <w:rFonts w:ascii="Arial" w:hAnsi="Arial"/>
          <w:color w:val="000000"/>
          <w:szCs w:val="20"/>
        </w:rPr>
      </w:pPr>
    </w:p>
    <w:p w14:paraId="4A652CEF" w14:textId="77777777" w:rsidR="00F86B6D" w:rsidRDefault="008E7E03" w:rsidP="003844CF">
      <w:pPr>
        <w:spacing w:after="0" w:line="240" w:lineRule="auto"/>
        <w:rPr>
          <w:rFonts w:ascii="Arial" w:hAnsi="Arial"/>
          <w:color w:val="000000"/>
        </w:rPr>
      </w:pPr>
      <w:r w:rsidRPr="008E7E03">
        <w:rPr>
          <w:rFonts w:ascii="Arial" w:hAnsi="Arial"/>
          <w:color w:val="000000"/>
          <w:szCs w:val="20"/>
        </w:rPr>
        <w:t xml:space="preserve">In line with the above, a key theme of this report and MSD’s main Household Incomes and Material Wellbeing reports is that </w:t>
      </w:r>
      <w:r w:rsidRPr="008E7E03">
        <w:rPr>
          <w:rFonts w:ascii="Arial" w:hAnsi="Arial"/>
          <w:i/>
          <w:iCs/>
          <w:color w:val="000000"/>
          <w:szCs w:val="20"/>
        </w:rPr>
        <w:t>‘not all households with low incomes are in hardship, and not all in hardship have low incomes’</w:t>
      </w:r>
      <w:r w:rsidRPr="008E7E03">
        <w:rPr>
          <w:rFonts w:ascii="Arial" w:hAnsi="Arial"/>
          <w:color w:val="000000"/>
          <w:szCs w:val="20"/>
        </w:rPr>
        <w:t>.</w:t>
      </w:r>
      <w:r w:rsidRPr="008E7E03">
        <w:rPr>
          <w:rFonts w:ascii="Arial" w:hAnsi="Arial"/>
          <w:color w:val="000000"/>
        </w:rPr>
        <w:t xml:space="preserve"> The overlap between material hardship and income-based measures is limited, typically of the order of 45%, and as low as 30%, depending on the low-income measure used. Factoring this into our reading of the figures is critical for understanding and interpreting child poverty statistics.</w:t>
      </w:r>
    </w:p>
    <w:p w14:paraId="10F201DD" w14:textId="77777777" w:rsidR="008E7E03" w:rsidRDefault="008E7E03">
      <w:pPr>
        <w:spacing w:after="0" w:line="240" w:lineRule="auto"/>
        <w:rPr>
          <w:rFonts w:ascii="Arial" w:hAnsi="Arial"/>
          <w:b/>
          <w:bCs/>
          <w:color w:val="000000" w:themeColor="text1"/>
          <w:sz w:val="24"/>
          <w:szCs w:val="24"/>
        </w:rPr>
      </w:pPr>
      <w:r>
        <w:rPr>
          <w:rFonts w:ascii="Arial" w:hAnsi="Arial"/>
          <w:b/>
          <w:bCs/>
          <w:color w:val="000000" w:themeColor="text1"/>
          <w:sz w:val="24"/>
          <w:szCs w:val="24"/>
        </w:rPr>
        <w:br w:type="page"/>
      </w:r>
    </w:p>
    <w:p w14:paraId="625BBD2F" w14:textId="7FECDB3C" w:rsidR="00FA6074" w:rsidRPr="00D669E5" w:rsidRDefault="008C4DA0" w:rsidP="003E7907">
      <w:pPr>
        <w:spacing w:after="0" w:line="240" w:lineRule="auto"/>
        <w:rPr>
          <w:rFonts w:ascii="Arial" w:hAnsi="Arial"/>
          <w:color w:val="000000" w:themeColor="text1"/>
          <w:szCs w:val="20"/>
        </w:rPr>
      </w:pPr>
      <w:r w:rsidRPr="00D669E5">
        <w:rPr>
          <w:rFonts w:ascii="Arial" w:hAnsi="Arial"/>
          <w:color w:val="000000" w:themeColor="text1"/>
          <w:szCs w:val="20"/>
        </w:rPr>
        <w:lastRenderedPageBreak/>
        <w:t>For</w:t>
      </w:r>
      <w:r w:rsidRPr="00D669E5">
        <w:rPr>
          <w:rFonts w:ascii="Arial" w:hAnsi="Arial"/>
          <w:b/>
          <w:bCs/>
          <w:color w:val="000000" w:themeColor="text1"/>
          <w:szCs w:val="20"/>
        </w:rPr>
        <w:t xml:space="preserve"> </w:t>
      </w:r>
      <w:r w:rsidR="00231A8F" w:rsidRPr="00D669E5">
        <w:rPr>
          <w:rFonts w:ascii="Arial" w:hAnsi="Arial"/>
          <w:b/>
          <w:bCs/>
          <w:color w:val="000000" w:themeColor="text1"/>
          <w:szCs w:val="20"/>
        </w:rPr>
        <w:t xml:space="preserve">Figure A.2 </w:t>
      </w:r>
      <w:r w:rsidRPr="00D669E5">
        <w:rPr>
          <w:rFonts w:ascii="Arial" w:hAnsi="Arial"/>
          <w:color w:val="000000" w:themeColor="text1"/>
          <w:szCs w:val="20"/>
        </w:rPr>
        <w:t>and the associated table individual children within each AHC household income quintile are ranked on the level of liquid assets of their respective households, then split into three equal groups.</w:t>
      </w:r>
      <w:r w:rsidR="00FA6074" w:rsidRPr="00D669E5">
        <w:rPr>
          <w:rFonts w:ascii="Arial" w:hAnsi="Arial"/>
          <w:color w:val="000000" w:themeColor="text1"/>
          <w:szCs w:val="20"/>
        </w:rPr>
        <w:t xml:space="preserve"> The right-hand third within each quintile ha</w:t>
      </w:r>
      <w:r w:rsidR="00D669E5">
        <w:rPr>
          <w:rFonts w:ascii="Arial" w:hAnsi="Arial"/>
          <w:color w:val="000000" w:themeColor="text1"/>
          <w:szCs w:val="20"/>
        </w:rPr>
        <w:t>s</w:t>
      </w:r>
      <w:r w:rsidR="00FA6074" w:rsidRPr="00D669E5">
        <w:rPr>
          <w:rFonts w:ascii="Arial" w:hAnsi="Arial"/>
          <w:color w:val="000000" w:themeColor="text1"/>
          <w:szCs w:val="20"/>
        </w:rPr>
        <w:t xml:space="preserve"> the highest level of liquid assets.</w:t>
      </w:r>
      <w:r w:rsidRPr="00D669E5">
        <w:rPr>
          <w:rFonts w:ascii="Arial" w:hAnsi="Arial"/>
          <w:color w:val="000000" w:themeColor="text1"/>
          <w:szCs w:val="20"/>
        </w:rPr>
        <w:t xml:space="preserve"> (‘Liquid assets’ refers in the main to savings and accessible investments.) </w:t>
      </w:r>
    </w:p>
    <w:p w14:paraId="5CEEDA63" w14:textId="77777777" w:rsidR="00FA6074" w:rsidRPr="00D669E5" w:rsidRDefault="00FA6074" w:rsidP="003E7907">
      <w:pPr>
        <w:spacing w:after="0" w:line="240" w:lineRule="auto"/>
        <w:rPr>
          <w:rFonts w:ascii="Arial" w:hAnsi="Arial"/>
          <w:color w:val="000000" w:themeColor="text1"/>
          <w:szCs w:val="20"/>
        </w:rPr>
      </w:pPr>
    </w:p>
    <w:p w14:paraId="4EAADE7A" w14:textId="778FA2B0" w:rsidR="008C4DA0" w:rsidRPr="00D669E5" w:rsidRDefault="00FA6074" w:rsidP="003E7907">
      <w:pPr>
        <w:spacing w:after="0" w:line="240" w:lineRule="auto"/>
        <w:rPr>
          <w:rFonts w:ascii="Arial" w:hAnsi="Arial"/>
          <w:color w:val="000000" w:themeColor="text1"/>
          <w:szCs w:val="20"/>
        </w:rPr>
      </w:pPr>
      <w:r w:rsidRPr="00D669E5">
        <w:rPr>
          <w:rFonts w:ascii="Arial" w:hAnsi="Arial"/>
          <w:color w:val="000000" w:themeColor="text1"/>
          <w:szCs w:val="20"/>
        </w:rPr>
        <w:t>The results show</w:t>
      </w:r>
      <w:r w:rsidR="003E7907" w:rsidRPr="00D669E5">
        <w:rPr>
          <w:rFonts w:ascii="Arial" w:hAnsi="Arial"/>
          <w:color w:val="000000" w:themeColor="text1"/>
          <w:szCs w:val="20"/>
        </w:rPr>
        <w:t xml:space="preserve"> that for households with similar incomes (after deducting housing costs), higher levels of liquid financial assets </w:t>
      </w:r>
      <w:r w:rsidRPr="00D669E5">
        <w:rPr>
          <w:rFonts w:ascii="Arial" w:hAnsi="Arial"/>
          <w:color w:val="000000" w:themeColor="text1"/>
          <w:szCs w:val="20"/>
        </w:rPr>
        <w:t>go with</w:t>
      </w:r>
      <w:r w:rsidR="003E7907" w:rsidRPr="00D669E5">
        <w:rPr>
          <w:rFonts w:ascii="Arial" w:hAnsi="Arial"/>
          <w:color w:val="000000" w:themeColor="text1"/>
          <w:szCs w:val="20"/>
        </w:rPr>
        <w:t xml:space="preserve"> lower levels of material hardship. This is hardly a surprising finding, but it is not often </w:t>
      </w:r>
      <w:r w:rsidR="009430BC">
        <w:rPr>
          <w:rFonts w:ascii="Arial" w:hAnsi="Arial"/>
          <w:color w:val="000000" w:themeColor="text1"/>
          <w:szCs w:val="20"/>
        </w:rPr>
        <w:t xml:space="preserve">explicitly </w:t>
      </w:r>
      <w:r w:rsidR="003E7907" w:rsidRPr="00D669E5">
        <w:rPr>
          <w:rFonts w:ascii="Arial" w:hAnsi="Arial"/>
          <w:color w:val="000000" w:themeColor="text1"/>
          <w:szCs w:val="20"/>
        </w:rPr>
        <w:t>to the fore in discussion and debate, in part because it is rare for a single dataset to have the three pieces of information needed to enable the analysis to be done (</w:t>
      </w:r>
      <w:r w:rsidR="008C4DA0" w:rsidRPr="00D669E5">
        <w:rPr>
          <w:rFonts w:ascii="Arial" w:hAnsi="Arial"/>
          <w:color w:val="000000" w:themeColor="text1"/>
          <w:szCs w:val="20"/>
        </w:rPr>
        <w:t>income, liquid assets such as savings and accessible investments, and material hardship).</w:t>
      </w:r>
    </w:p>
    <w:p w14:paraId="5ED6EBA1" w14:textId="77777777" w:rsidR="00FA6074" w:rsidRPr="00D669E5" w:rsidRDefault="00FA6074" w:rsidP="003E7907">
      <w:pPr>
        <w:spacing w:after="0" w:line="240" w:lineRule="auto"/>
        <w:rPr>
          <w:rFonts w:ascii="Arial" w:hAnsi="Arial"/>
          <w:color w:val="000000" w:themeColor="text1"/>
          <w:szCs w:val="20"/>
        </w:rPr>
      </w:pPr>
    </w:p>
    <w:p w14:paraId="6E8DDE68" w14:textId="16EC7DAE" w:rsidR="00FA6074" w:rsidRPr="00D669E5" w:rsidRDefault="00FA6074" w:rsidP="003E7907">
      <w:pPr>
        <w:spacing w:after="0" w:line="240" w:lineRule="auto"/>
        <w:rPr>
          <w:rFonts w:ascii="Arial" w:hAnsi="Arial"/>
          <w:color w:val="000000" w:themeColor="text1"/>
          <w:szCs w:val="20"/>
        </w:rPr>
      </w:pPr>
      <w:r w:rsidRPr="00D669E5">
        <w:rPr>
          <w:rFonts w:ascii="Arial" w:hAnsi="Arial"/>
          <w:color w:val="000000" w:themeColor="text1"/>
          <w:szCs w:val="20"/>
        </w:rPr>
        <w:t>The table shows that, within each AHC income quintile, households with higher liquid asset levels also have higher levels of non-vehicle consumer durables (whiteware, other kitchen appliances, furniture, bedding, electronics including televisions, audio systems and so on). These too are resources that contribute to the material wellbeing of the household</w:t>
      </w:r>
      <w:r w:rsidR="00D669E5" w:rsidRPr="00D669E5">
        <w:rPr>
          <w:rFonts w:ascii="Arial" w:hAnsi="Arial"/>
          <w:color w:val="000000" w:themeColor="text1"/>
          <w:szCs w:val="20"/>
        </w:rPr>
        <w:t>.</w:t>
      </w:r>
    </w:p>
    <w:p w14:paraId="66D82065" w14:textId="77777777" w:rsidR="00231A8F" w:rsidRDefault="00231A8F" w:rsidP="00E143FB">
      <w:pPr>
        <w:spacing w:after="0" w:line="240" w:lineRule="auto"/>
        <w:jc w:val="center"/>
        <w:rPr>
          <w:rFonts w:ascii="Arial" w:hAnsi="Arial"/>
          <w:b/>
          <w:bCs/>
          <w:color w:val="000000" w:themeColor="text1"/>
          <w:sz w:val="18"/>
          <w:szCs w:val="18"/>
        </w:rPr>
      </w:pPr>
    </w:p>
    <w:p w14:paraId="7D74D7B9" w14:textId="53E3CCDA" w:rsidR="00E143FB" w:rsidRPr="00FB4DCB" w:rsidRDefault="00E143FB" w:rsidP="00E143FB">
      <w:pPr>
        <w:spacing w:after="0" w:line="240" w:lineRule="auto"/>
        <w:jc w:val="center"/>
        <w:rPr>
          <w:rFonts w:ascii="Arial" w:hAnsi="Arial"/>
          <w:b/>
          <w:bCs/>
          <w:color w:val="000000" w:themeColor="text1"/>
          <w:sz w:val="18"/>
          <w:szCs w:val="18"/>
        </w:rPr>
      </w:pPr>
      <w:r w:rsidRPr="00FB4DCB">
        <w:rPr>
          <w:rFonts w:ascii="Arial" w:hAnsi="Arial"/>
          <w:b/>
          <w:bCs/>
          <w:color w:val="000000" w:themeColor="text1"/>
          <w:sz w:val="18"/>
          <w:szCs w:val="18"/>
        </w:rPr>
        <w:t>Figure</w:t>
      </w:r>
      <w:r w:rsidR="008D55DC">
        <w:rPr>
          <w:rFonts w:ascii="Arial" w:hAnsi="Arial"/>
          <w:b/>
          <w:bCs/>
          <w:color w:val="000000" w:themeColor="text1"/>
          <w:sz w:val="18"/>
          <w:szCs w:val="18"/>
        </w:rPr>
        <w:t xml:space="preserve"> </w:t>
      </w:r>
      <w:r w:rsidR="003E7907">
        <w:rPr>
          <w:rFonts w:ascii="Arial" w:hAnsi="Arial"/>
          <w:b/>
          <w:bCs/>
          <w:color w:val="000000" w:themeColor="text1"/>
          <w:sz w:val="18"/>
          <w:szCs w:val="18"/>
        </w:rPr>
        <w:t>A</w:t>
      </w:r>
      <w:r>
        <w:rPr>
          <w:rFonts w:ascii="Arial" w:hAnsi="Arial"/>
          <w:b/>
          <w:bCs/>
          <w:color w:val="000000" w:themeColor="text1"/>
          <w:sz w:val="18"/>
          <w:szCs w:val="18"/>
        </w:rPr>
        <w:t>.2</w:t>
      </w:r>
    </w:p>
    <w:p w14:paraId="0684C4AE" w14:textId="77777777" w:rsidR="00E143FB" w:rsidRPr="00FB4DCB" w:rsidRDefault="00E143FB" w:rsidP="00E143FB">
      <w:pPr>
        <w:spacing w:after="0" w:line="240" w:lineRule="auto"/>
        <w:jc w:val="center"/>
        <w:rPr>
          <w:rFonts w:ascii="Arial" w:hAnsi="Arial"/>
          <w:b/>
          <w:bCs/>
          <w:color w:val="000000" w:themeColor="text1"/>
          <w:sz w:val="18"/>
          <w:szCs w:val="18"/>
        </w:rPr>
      </w:pPr>
      <w:r w:rsidRPr="008C72F4">
        <w:rPr>
          <w:noProof/>
        </w:rPr>
        <w:drawing>
          <wp:anchor distT="0" distB="0" distL="114300" distR="114300" simplePos="0" relativeHeight="253169664" behindDoc="0" locked="0" layoutInCell="1" allowOverlap="1" wp14:anchorId="4AD5767E" wp14:editId="7A2FAE11">
            <wp:simplePos x="0" y="0"/>
            <wp:positionH relativeFrom="margin">
              <wp:align>center</wp:align>
            </wp:positionH>
            <wp:positionV relativeFrom="paragraph">
              <wp:posOffset>184785</wp:posOffset>
            </wp:positionV>
            <wp:extent cx="3355975" cy="2068195"/>
            <wp:effectExtent l="0" t="0" r="0" b="8255"/>
            <wp:wrapTopAndBottom/>
            <wp:docPr id="574521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52189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355975" cy="2068195"/>
                    </a:xfrm>
                    <a:prstGeom prst="rect">
                      <a:avLst/>
                    </a:prstGeom>
                  </pic:spPr>
                </pic:pic>
              </a:graphicData>
            </a:graphic>
            <wp14:sizeRelH relativeFrom="page">
              <wp14:pctWidth>0</wp14:pctWidth>
            </wp14:sizeRelH>
            <wp14:sizeRelV relativeFrom="page">
              <wp14:pctHeight>0</wp14:pctHeight>
            </wp14:sizeRelV>
          </wp:anchor>
        </w:drawing>
      </w:r>
      <w:r w:rsidRPr="00FB4DCB">
        <w:rPr>
          <w:rFonts w:ascii="Arial" w:hAnsi="Arial"/>
          <w:b/>
          <w:bCs/>
          <w:color w:val="000000" w:themeColor="text1"/>
          <w:sz w:val="18"/>
          <w:szCs w:val="18"/>
        </w:rPr>
        <w:t>Material hardship rates depend on the level of liquids assets as well as on household income</w:t>
      </w:r>
    </w:p>
    <w:p w14:paraId="2E79ED0D" w14:textId="521D9E00" w:rsidR="00E143FB" w:rsidRPr="002C3EA2" w:rsidRDefault="00E143FB" w:rsidP="00E143FB">
      <w:pPr>
        <w:spacing w:before="40" w:after="0" w:line="240" w:lineRule="auto"/>
        <w:ind w:left="1985" w:right="1371"/>
        <w:rPr>
          <w:rFonts w:ascii="Arial" w:hAnsi="Arial"/>
          <w:color w:val="000000"/>
          <w:sz w:val="16"/>
          <w:szCs w:val="18"/>
        </w:rPr>
      </w:pPr>
      <w:r w:rsidRPr="002C3EA2">
        <w:rPr>
          <w:rFonts w:ascii="Arial" w:hAnsi="Arial"/>
          <w:color w:val="000000"/>
          <w:sz w:val="16"/>
          <w:szCs w:val="18"/>
        </w:rPr>
        <w:t xml:space="preserve">Reading notes for Figure </w:t>
      </w:r>
      <w:r>
        <w:rPr>
          <w:rFonts w:ascii="Arial" w:hAnsi="Arial"/>
          <w:color w:val="000000"/>
          <w:sz w:val="16"/>
          <w:szCs w:val="18"/>
        </w:rPr>
        <w:t>A.2</w:t>
      </w:r>
      <w:r w:rsidRPr="002C3EA2">
        <w:rPr>
          <w:rFonts w:ascii="Arial" w:hAnsi="Arial"/>
          <w:color w:val="000000"/>
          <w:sz w:val="16"/>
          <w:szCs w:val="18"/>
        </w:rPr>
        <w:t xml:space="preserve"> and associated table below: </w:t>
      </w:r>
    </w:p>
    <w:p w14:paraId="1687DB26" w14:textId="77777777" w:rsidR="00E143FB" w:rsidRDefault="00E143FB">
      <w:pPr>
        <w:numPr>
          <w:ilvl w:val="0"/>
          <w:numId w:val="86"/>
        </w:numPr>
        <w:spacing w:before="40" w:after="0" w:line="240" w:lineRule="auto"/>
        <w:ind w:left="2268" w:right="1371" w:hanging="141"/>
        <w:rPr>
          <w:rFonts w:ascii="Arial" w:hAnsi="Arial"/>
          <w:color w:val="000000"/>
          <w:sz w:val="16"/>
          <w:szCs w:val="18"/>
        </w:rPr>
      </w:pPr>
      <w:r w:rsidRPr="002C3EA2">
        <w:rPr>
          <w:rFonts w:ascii="Arial" w:hAnsi="Arial"/>
          <w:color w:val="000000"/>
          <w:sz w:val="16"/>
          <w:szCs w:val="18"/>
        </w:rPr>
        <w:t>The five quintiles are quintiles of AHC household income – Q1 is the lowest quintile and so on.</w:t>
      </w:r>
    </w:p>
    <w:p w14:paraId="74EF08F5" w14:textId="77777777" w:rsidR="00E143FB" w:rsidRPr="002C3EA2" w:rsidRDefault="00E143FB">
      <w:pPr>
        <w:numPr>
          <w:ilvl w:val="0"/>
          <w:numId w:val="86"/>
        </w:numPr>
        <w:spacing w:before="40" w:after="0" w:line="240" w:lineRule="auto"/>
        <w:ind w:left="2268" w:right="1371" w:hanging="141"/>
        <w:rPr>
          <w:rFonts w:ascii="Arial" w:hAnsi="Arial"/>
          <w:color w:val="000000"/>
          <w:sz w:val="16"/>
          <w:szCs w:val="18"/>
        </w:rPr>
      </w:pPr>
      <w:r w:rsidRPr="00354A9D">
        <w:rPr>
          <w:rFonts w:ascii="Arial" w:hAnsi="Arial"/>
          <w:color w:val="000000"/>
          <w:sz w:val="16"/>
          <w:szCs w:val="18"/>
        </w:rPr>
        <w:t>The quintiles are whole population quintiles so the subgroup (</w:t>
      </w:r>
      <w:r>
        <w:rPr>
          <w:rFonts w:ascii="Arial" w:hAnsi="Arial"/>
          <w:color w:val="000000"/>
          <w:sz w:val="16"/>
          <w:szCs w:val="18"/>
        </w:rPr>
        <w:t>0-17s</w:t>
      </w:r>
      <w:r w:rsidRPr="00354A9D">
        <w:rPr>
          <w:rFonts w:ascii="Arial" w:hAnsi="Arial"/>
          <w:color w:val="000000"/>
          <w:sz w:val="16"/>
          <w:szCs w:val="18"/>
        </w:rPr>
        <w:t xml:space="preserve">) is not evenly spread across the quintiles - see bottom row in table below. </w:t>
      </w:r>
      <w:r w:rsidRPr="002C3EA2">
        <w:rPr>
          <w:rFonts w:ascii="Arial" w:hAnsi="Arial"/>
          <w:color w:val="000000"/>
          <w:sz w:val="16"/>
          <w:szCs w:val="18"/>
        </w:rPr>
        <w:t xml:space="preserve"> </w:t>
      </w:r>
    </w:p>
    <w:p w14:paraId="11379C23" w14:textId="77777777" w:rsidR="00E143FB" w:rsidRPr="002C3EA2" w:rsidRDefault="00E143FB">
      <w:pPr>
        <w:numPr>
          <w:ilvl w:val="0"/>
          <w:numId w:val="86"/>
        </w:numPr>
        <w:spacing w:before="40" w:after="0" w:line="240" w:lineRule="auto"/>
        <w:ind w:left="2268" w:right="1371" w:hanging="141"/>
        <w:rPr>
          <w:rFonts w:ascii="Arial" w:hAnsi="Arial"/>
          <w:color w:val="000000"/>
          <w:sz w:val="16"/>
          <w:szCs w:val="18"/>
        </w:rPr>
      </w:pPr>
      <w:r w:rsidRPr="002C3EA2">
        <w:rPr>
          <w:rFonts w:ascii="Arial" w:hAnsi="Arial"/>
          <w:color w:val="000000"/>
          <w:sz w:val="16"/>
          <w:szCs w:val="18"/>
        </w:rPr>
        <w:t xml:space="preserve">Individuals within each household income quintile are ranked by their household’s level of liquid assets, then split into three equal-sized groups. </w:t>
      </w:r>
    </w:p>
    <w:p w14:paraId="1D6DAB61" w14:textId="77777777" w:rsidR="00E143FB" w:rsidRPr="002C3EA2" w:rsidRDefault="00E143FB" w:rsidP="00E143FB">
      <w:pPr>
        <w:spacing w:after="0" w:line="240" w:lineRule="auto"/>
        <w:rPr>
          <w:rFonts w:ascii="Times New Roman" w:eastAsia="Times New Roman" w:hAnsi="Times New Roman" w:cs="Times New Roman"/>
          <w:color w:val="000000"/>
          <w:sz w:val="16"/>
          <w:szCs w:val="16"/>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0"/>
        <w:gridCol w:w="571"/>
        <w:gridCol w:w="567"/>
        <w:gridCol w:w="567"/>
        <w:gridCol w:w="567"/>
        <w:gridCol w:w="567"/>
        <w:gridCol w:w="567"/>
        <w:gridCol w:w="567"/>
        <w:gridCol w:w="567"/>
        <w:gridCol w:w="567"/>
      </w:tblGrid>
      <w:tr w:rsidR="00E143FB" w:rsidRPr="002C3EA2" w14:paraId="75CB4615" w14:textId="77777777" w:rsidTr="00AB176F">
        <w:trPr>
          <w:jc w:val="center"/>
        </w:trPr>
        <w:tc>
          <w:tcPr>
            <w:tcW w:w="3110" w:type="dxa"/>
            <w:tcBorders>
              <w:right w:val="single" w:sz="8" w:space="0" w:color="auto"/>
            </w:tcBorders>
            <w:tcMar>
              <w:left w:w="28" w:type="dxa"/>
              <w:right w:w="85" w:type="dxa"/>
            </w:tcMar>
          </w:tcPr>
          <w:p w14:paraId="2AA7BB1B" w14:textId="77777777" w:rsidR="00E143FB" w:rsidRPr="002C3EA2" w:rsidRDefault="00E143FB" w:rsidP="00AB176F">
            <w:pPr>
              <w:spacing w:before="40" w:after="40" w:line="240" w:lineRule="auto"/>
              <w:jc w:val="center"/>
              <w:rPr>
                <w:rFonts w:ascii="Arial" w:eastAsia="Times New Roman" w:hAnsi="Arial"/>
                <w:b/>
                <w:color w:val="000000"/>
                <w:sz w:val="14"/>
                <w:szCs w:val="14"/>
              </w:rPr>
            </w:pPr>
            <w:r>
              <w:rPr>
                <w:rFonts w:ascii="Arial" w:hAnsi="Arial"/>
                <w:color w:val="000000" w:themeColor="text1"/>
              </w:rPr>
              <w:br w:type="page"/>
            </w:r>
            <w:bookmarkStart w:id="5" w:name="_Hlk112451169"/>
            <w:r w:rsidRPr="002C3EA2">
              <w:rPr>
                <w:rFonts w:ascii="Times New Roman" w:eastAsia="Times New Roman" w:hAnsi="Times New Roman" w:cs="Times New Roman"/>
                <w:color w:val="000000"/>
                <w:sz w:val="24"/>
                <w:szCs w:val="24"/>
              </w:rPr>
              <w:br w:type="page"/>
            </w:r>
            <w:r w:rsidRPr="002C3EA2">
              <w:rPr>
                <w:rFonts w:ascii="Times New Roman" w:eastAsia="Times New Roman" w:hAnsi="Times New Roman" w:cs="Times New Roman"/>
                <w:color w:val="000000"/>
                <w:sz w:val="24"/>
                <w:szCs w:val="24"/>
              </w:rPr>
              <w:br w:type="page"/>
            </w:r>
            <w:r w:rsidRPr="002C3EA2">
              <w:rPr>
                <w:rFonts w:ascii="Times New Roman" w:eastAsia="Times New Roman" w:hAnsi="Times New Roman" w:cs="Times New Roman"/>
                <w:color w:val="000000"/>
                <w:sz w:val="24"/>
                <w:szCs w:val="24"/>
              </w:rPr>
              <w:br w:type="page"/>
            </w:r>
            <w:r>
              <w:rPr>
                <w:rFonts w:ascii="Arial" w:eastAsia="Times New Roman" w:hAnsi="Arial"/>
                <w:b/>
                <w:color w:val="000000"/>
                <w:sz w:val="14"/>
                <w:szCs w:val="14"/>
              </w:rPr>
              <w:t>HES</w:t>
            </w:r>
            <w:r w:rsidRPr="002C3EA2">
              <w:rPr>
                <w:rFonts w:ascii="Arial" w:eastAsia="Times New Roman" w:hAnsi="Arial"/>
                <w:b/>
                <w:color w:val="000000"/>
                <w:sz w:val="14"/>
                <w:szCs w:val="14"/>
              </w:rPr>
              <w:t xml:space="preserve"> 20</w:t>
            </w:r>
            <w:r>
              <w:rPr>
                <w:rFonts w:ascii="Arial" w:eastAsia="Times New Roman" w:hAnsi="Arial"/>
                <w:b/>
                <w:color w:val="000000"/>
                <w:sz w:val="14"/>
                <w:szCs w:val="14"/>
              </w:rPr>
              <w:t>23</w:t>
            </w:r>
            <w:r w:rsidRPr="002C3EA2">
              <w:rPr>
                <w:rFonts w:ascii="Arial" w:eastAsia="Times New Roman" w:hAnsi="Arial"/>
                <w:b/>
                <w:color w:val="000000"/>
                <w:sz w:val="14"/>
                <w:szCs w:val="14"/>
              </w:rPr>
              <w:t>-</w:t>
            </w:r>
            <w:r>
              <w:rPr>
                <w:rFonts w:ascii="Arial" w:eastAsia="Times New Roman" w:hAnsi="Arial"/>
                <w:b/>
                <w:color w:val="000000"/>
                <w:sz w:val="14"/>
                <w:szCs w:val="14"/>
              </w:rPr>
              <w:t>24</w:t>
            </w:r>
          </w:p>
        </w:tc>
        <w:tc>
          <w:tcPr>
            <w:tcW w:w="1705" w:type="dxa"/>
            <w:gridSpan w:val="3"/>
            <w:tcBorders>
              <w:left w:val="single" w:sz="8" w:space="0" w:color="auto"/>
              <w:right w:val="single" w:sz="8" w:space="0" w:color="auto"/>
            </w:tcBorders>
            <w:tcMar>
              <w:left w:w="28" w:type="dxa"/>
              <w:right w:w="85" w:type="dxa"/>
            </w:tcMar>
          </w:tcPr>
          <w:p w14:paraId="7FC1BE3E" w14:textId="77777777" w:rsidR="00E143FB" w:rsidRPr="002C3EA2" w:rsidRDefault="00E143FB" w:rsidP="00AB176F">
            <w:pPr>
              <w:spacing w:before="40" w:after="40" w:line="240" w:lineRule="auto"/>
              <w:jc w:val="center"/>
              <w:rPr>
                <w:rFonts w:ascii="Arial" w:eastAsia="Times New Roman" w:hAnsi="Arial"/>
                <w:b/>
                <w:color w:val="000000"/>
                <w:sz w:val="14"/>
                <w:szCs w:val="14"/>
              </w:rPr>
            </w:pPr>
            <w:r w:rsidRPr="002C3EA2">
              <w:rPr>
                <w:rFonts w:ascii="Arial" w:eastAsia="Times New Roman" w:hAnsi="Arial"/>
                <w:b/>
                <w:color w:val="000000"/>
                <w:sz w:val="14"/>
                <w:szCs w:val="14"/>
              </w:rPr>
              <w:t>Q1</w:t>
            </w:r>
          </w:p>
        </w:tc>
        <w:tc>
          <w:tcPr>
            <w:tcW w:w="1701" w:type="dxa"/>
            <w:gridSpan w:val="3"/>
            <w:tcBorders>
              <w:left w:val="single" w:sz="8" w:space="0" w:color="auto"/>
              <w:right w:val="single" w:sz="8" w:space="0" w:color="auto"/>
            </w:tcBorders>
            <w:tcMar>
              <w:left w:w="28" w:type="dxa"/>
              <w:right w:w="85" w:type="dxa"/>
            </w:tcMar>
          </w:tcPr>
          <w:p w14:paraId="46AC3CA5" w14:textId="77777777" w:rsidR="00E143FB" w:rsidRPr="002C3EA2" w:rsidRDefault="00E143FB" w:rsidP="00AB176F">
            <w:pPr>
              <w:spacing w:before="40" w:after="40" w:line="240" w:lineRule="auto"/>
              <w:jc w:val="center"/>
              <w:rPr>
                <w:rFonts w:ascii="Arial" w:eastAsia="Times New Roman" w:hAnsi="Arial"/>
                <w:b/>
                <w:color w:val="000000"/>
                <w:sz w:val="14"/>
                <w:szCs w:val="14"/>
              </w:rPr>
            </w:pPr>
            <w:r w:rsidRPr="002C3EA2">
              <w:rPr>
                <w:rFonts w:ascii="Arial" w:eastAsia="Times New Roman" w:hAnsi="Arial"/>
                <w:b/>
                <w:color w:val="000000"/>
                <w:sz w:val="14"/>
                <w:szCs w:val="14"/>
              </w:rPr>
              <w:t>Q2</w:t>
            </w:r>
          </w:p>
        </w:tc>
        <w:tc>
          <w:tcPr>
            <w:tcW w:w="1701" w:type="dxa"/>
            <w:gridSpan w:val="3"/>
            <w:tcBorders>
              <w:left w:val="single" w:sz="8" w:space="0" w:color="auto"/>
            </w:tcBorders>
            <w:tcMar>
              <w:left w:w="28" w:type="dxa"/>
              <w:right w:w="85" w:type="dxa"/>
            </w:tcMar>
          </w:tcPr>
          <w:p w14:paraId="589F63FA" w14:textId="77777777" w:rsidR="00E143FB" w:rsidRPr="002C3EA2" w:rsidRDefault="00E143FB" w:rsidP="00AB176F">
            <w:pPr>
              <w:spacing w:before="40" w:after="40" w:line="240" w:lineRule="auto"/>
              <w:jc w:val="center"/>
              <w:rPr>
                <w:rFonts w:ascii="Arial" w:eastAsia="Times New Roman" w:hAnsi="Arial"/>
                <w:b/>
                <w:color w:val="000000"/>
                <w:sz w:val="14"/>
                <w:szCs w:val="14"/>
              </w:rPr>
            </w:pPr>
            <w:r w:rsidRPr="002C3EA2">
              <w:rPr>
                <w:rFonts w:ascii="Arial" w:eastAsia="Times New Roman" w:hAnsi="Arial"/>
                <w:b/>
                <w:color w:val="000000"/>
                <w:sz w:val="14"/>
                <w:szCs w:val="14"/>
              </w:rPr>
              <w:t>Q3</w:t>
            </w:r>
          </w:p>
        </w:tc>
      </w:tr>
      <w:tr w:rsidR="00E143FB" w:rsidRPr="002C3EA2" w14:paraId="16E40A98" w14:textId="77777777" w:rsidTr="00AB176F">
        <w:trPr>
          <w:jc w:val="center"/>
        </w:trPr>
        <w:tc>
          <w:tcPr>
            <w:tcW w:w="3110" w:type="dxa"/>
            <w:tcBorders>
              <w:right w:val="single" w:sz="8" w:space="0" w:color="auto"/>
            </w:tcBorders>
            <w:tcMar>
              <w:left w:w="85" w:type="dxa"/>
              <w:right w:w="85" w:type="dxa"/>
            </w:tcMar>
            <w:vAlign w:val="center"/>
          </w:tcPr>
          <w:p w14:paraId="124C92C9" w14:textId="77777777" w:rsidR="00E143FB" w:rsidRPr="002C3EA2" w:rsidRDefault="00E143FB" w:rsidP="00AB176F">
            <w:pPr>
              <w:spacing w:before="40" w:after="40" w:line="240" w:lineRule="auto"/>
              <w:rPr>
                <w:rFonts w:ascii="Arial" w:eastAsia="Times New Roman" w:hAnsi="Arial"/>
                <w:color w:val="000000"/>
                <w:sz w:val="14"/>
                <w:szCs w:val="18"/>
              </w:rPr>
            </w:pPr>
            <w:r>
              <w:rPr>
                <w:rFonts w:ascii="Arial" w:hAnsi="Arial"/>
                <w:color w:val="000000"/>
                <w:sz w:val="14"/>
                <w:szCs w:val="14"/>
              </w:rPr>
              <w:t xml:space="preserve">avg AHC household income (equivalised) </w:t>
            </w:r>
          </w:p>
        </w:tc>
        <w:tc>
          <w:tcPr>
            <w:tcW w:w="571" w:type="dxa"/>
            <w:tcBorders>
              <w:left w:val="single" w:sz="8" w:space="0" w:color="auto"/>
            </w:tcBorders>
            <w:shd w:val="clear" w:color="auto" w:fill="E5B8B7"/>
            <w:tcMar>
              <w:left w:w="28" w:type="dxa"/>
              <w:right w:w="57" w:type="dxa"/>
            </w:tcMar>
            <w:vAlign w:val="center"/>
          </w:tcPr>
          <w:p w14:paraId="1EA7E5F0"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16,000</w:t>
            </w:r>
          </w:p>
        </w:tc>
        <w:tc>
          <w:tcPr>
            <w:tcW w:w="567" w:type="dxa"/>
            <w:shd w:val="clear" w:color="auto" w:fill="F8E0A4"/>
            <w:tcMar>
              <w:left w:w="28" w:type="dxa"/>
              <w:right w:w="57" w:type="dxa"/>
            </w:tcMar>
            <w:vAlign w:val="center"/>
          </w:tcPr>
          <w:p w14:paraId="2A2CF584"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15,000</w:t>
            </w:r>
          </w:p>
        </w:tc>
        <w:tc>
          <w:tcPr>
            <w:tcW w:w="567" w:type="dxa"/>
            <w:tcBorders>
              <w:right w:val="single" w:sz="8" w:space="0" w:color="auto"/>
            </w:tcBorders>
            <w:shd w:val="clear" w:color="auto" w:fill="D6E3BC"/>
            <w:tcMar>
              <w:left w:w="28" w:type="dxa"/>
              <w:right w:w="57" w:type="dxa"/>
            </w:tcMar>
            <w:vAlign w:val="center"/>
          </w:tcPr>
          <w:p w14:paraId="19D38DD1"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14,000</w:t>
            </w:r>
          </w:p>
        </w:tc>
        <w:tc>
          <w:tcPr>
            <w:tcW w:w="567" w:type="dxa"/>
            <w:tcBorders>
              <w:left w:val="single" w:sz="8" w:space="0" w:color="auto"/>
            </w:tcBorders>
            <w:shd w:val="clear" w:color="auto" w:fill="E5B8B7"/>
            <w:tcMar>
              <w:left w:w="28" w:type="dxa"/>
              <w:right w:w="57" w:type="dxa"/>
            </w:tcMar>
            <w:vAlign w:val="center"/>
          </w:tcPr>
          <w:p w14:paraId="63F43BA1"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28,000</w:t>
            </w:r>
          </w:p>
        </w:tc>
        <w:tc>
          <w:tcPr>
            <w:tcW w:w="567" w:type="dxa"/>
            <w:shd w:val="clear" w:color="auto" w:fill="F8E0A4"/>
            <w:tcMar>
              <w:left w:w="28" w:type="dxa"/>
              <w:right w:w="57" w:type="dxa"/>
            </w:tcMar>
            <w:vAlign w:val="center"/>
          </w:tcPr>
          <w:p w14:paraId="2BA06BE0"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28,000</w:t>
            </w:r>
          </w:p>
        </w:tc>
        <w:tc>
          <w:tcPr>
            <w:tcW w:w="567" w:type="dxa"/>
            <w:tcBorders>
              <w:right w:val="single" w:sz="8" w:space="0" w:color="auto"/>
            </w:tcBorders>
            <w:shd w:val="clear" w:color="auto" w:fill="D6E3BC"/>
            <w:tcMar>
              <w:left w:w="28" w:type="dxa"/>
              <w:right w:w="57" w:type="dxa"/>
            </w:tcMar>
            <w:vAlign w:val="center"/>
          </w:tcPr>
          <w:p w14:paraId="445748CA"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29,000</w:t>
            </w:r>
          </w:p>
        </w:tc>
        <w:tc>
          <w:tcPr>
            <w:tcW w:w="567" w:type="dxa"/>
            <w:tcBorders>
              <w:left w:val="single" w:sz="8" w:space="0" w:color="auto"/>
            </w:tcBorders>
            <w:shd w:val="clear" w:color="auto" w:fill="E5B8B7"/>
            <w:tcMar>
              <w:left w:w="28" w:type="dxa"/>
              <w:right w:w="57" w:type="dxa"/>
            </w:tcMar>
            <w:vAlign w:val="center"/>
          </w:tcPr>
          <w:p w14:paraId="6390541C"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40,000</w:t>
            </w:r>
          </w:p>
        </w:tc>
        <w:tc>
          <w:tcPr>
            <w:tcW w:w="567" w:type="dxa"/>
            <w:shd w:val="clear" w:color="auto" w:fill="F8E0A4"/>
            <w:tcMar>
              <w:left w:w="28" w:type="dxa"/>
              <w:right w:w="57" w:type="dxa"/>
            </w:tcMar>
            <w:vAlign w:val="center"/>
          </w:tcPr>
          <w:p w14:paraId="32F79123"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40,000</w:t>
            </w:r>
          </w:p>
        </w:tc>
        <w:tc>
          <w:tcPr>
            <w:tcW w:w="567" w:type="dxa"/>
            <w:shd w:val="clear" w:color="auto" w:fill="D6E3BC"/>
            <w:tcMar>
              <w:left w:w="28" w:type="dxa"/>
              <w:right w:w="57" w:type="dxa"/>
            </w:tcMar>
            <w:vAlign w:val="center"/>
          </w:tcPr>
          <w:p w14:paraId="5E87B2D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40,000</w:t>
            </w:r>
          </w:p>
        </w:tc>
      </w:tr>
      <w:tr w:rsidR="00E143FB" w:rsidRPr="002C3EA2" w14:paraId="725F355A" w14:textId="77777777" w:rsidTr="00AB176F">
        <w:trPr>
          <w:jc w:val="center"/>
        </w:trPr>
        <w:tc>
          <w:tcPr>
            <w:tcW w:w="3110" w:type="dxa"/>
            <w:tcBorders>
              <w:right w:val="single" w:sz="8" w:space="0" w:color="auto"/>
            </w:tcBorders>
            <w:tcMar>
              <w:left w:w="85" w:type="dxa"/>
              <w:right w:w="85" w:type="dxa"/>
            </w:tcMar>
            <w:vAlign w:val="center"/>
          </w:tcPr>
          <w:p w14:paraId="457716B3" w14:textId="77777777" w:rsidR="00E143FB" w:rsidRDefault="00E143FB" w:rsidP="00AB176F">
            <w:pPr>
              <w:spacing w:before="40" w:after="40" w:line="240" w:lineRule="auto"/>
              <w:rPr>
                <w:rFonts w:ascii="Arial" w:hAnsi="Arial"/>
                <w:color w:val="000000"/>
                <w:sz w:val="14"/>
                <w:szCs w:val="14"/>
              </w:rPr>
            </w:pPr>
            <w:r>
              <w:rPr>
                <w:rFonts w:ascii="Arial" w:hAnsi="Arial"/>
                <w:color w:val="000000"/>
                <w:sz w:val="14"/>
                <w:szCs w:val="14"/>
              </w:rPr>
              <w:t>median liquid assets ($)</w:t>
            </w:r>
          </w:p>
        </w:tc>
        <w:tc>
          <w:tcPr>
            <w:tcW w:w="571" w:type="dxa"/>
            <w:tcBorders>
              <w:left w:val="single" w:sz="8" w:space="0" w:color="auto"/>
            </w:tcBorders>
            <w:shd w:val="clear" w:color="auto" w:fill="E5B8B7"/>
            <w:tcMar>
              <w:left w:w="28" w:type="dxa"/>
              <w:right w:w="57" w:type="dxa"/>
            </w:tcMar>
            <w:vAlign w:val="center"/>
          </w:tcPr>
          <w:p w14:paraId="04AEB4B0"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0</w:t>
            </w:r>
          </w:p>
        </w:tc>
        <w:tc>
          <w:tcPr>
            <w:tcW w:w="567" w:type="dxa"/>
            <w:shd w:val="clear" w:color="auto" w:fill="F8E0A4"/>
            <w:tcMar>
              <w:left w:w="28" w:type="dxa"/>
              <w:right w:w="57" w:type="dxa"/>
            </w:tcMar>
            <w:vAlign w:val="center"/>
          </w:tcPr>
          <w:p w14:paraId="3D566761"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500</w:t>
            </w:r>
          </w:p>
        </w:tc>
        <w:tc>
          <w:tcPr>
            <w:tcW w:w="567" w:type="dxa"/>
            <w:tcBorders>
              <w:right w:val="single" w:sz="8" w:space="0" w:color="auto"/>
            </w:tcBorders>
            <w:shd w:val="clear" w:color="auto" w:fill="D6E3BC"/>
            <w:tcMar>
              <w:left w:w="28" w:type="dxa"/>
              <w:right w:w="57" w:type="dxa"/>
            </w:tcMar>
            <w:vAlign w:val="center"/>
          </w:tcPr>
          <w:p w14:paraId="36C8CADB"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11,000</w:t>
            </w:r>
          </w:p>
        </w:tc>
        <w:tc>
          <w:tcPr>
            <w:tcW w:w="567" w:type="dxa"/>
            <w:tcBorders>
              <w:left w:val="single" w:sz="8" w:space="0" w:color="auto"/>
            </w:tcBorders>
            <w:shd w:val="clear" w:color="auto" w:fill="E5B8B7"/>
            <w:tcMar>
              <w:left w:w="28" w:type="dxa"/>
              <w:right w:w="57" w:type="dxa"/>
            </w:tcMar>
            <w:vAlign w:val="center"/>
          </w:tcPr>
          <w:p w14:paraId="501B0C7F"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300</w:t>
            </w:r>
          </w:p>
        </w:tc>
        <w:tc>
          <w:tcPr>
            <w:tcW w:w="567" w:type="dxa"/>
            <w:shd w:val="clear" w:color="auto" w:fill="F8E0A4"/>
            <w:tcMar>
              <w:left w:w="28" w:type="dxa"/>
              <w:right w:w="57" w:type="dxa"/>
            </w:tcMar>
            <w:vAlign w:val="center"/>
          </w:tcPr>
          <w:p w14:paraId="38BB5547"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2,600</w:t>
            </w:r>
          </w:p>
        </w:tc>
        <w:tc>
          <w:tcPr>
            <w:tcW w:w="567" w:type="dxa"/>
            <w:tcBorders>
              <w:right w:val="single" w:sz="8" w:space="0" w:color="auto"/>
            </w:tcBorders>
            <w:shd w:val="clear" w:color="auto" w:fill="D6E3BC"/>
            <w:tcMar>
              <w:left w:w="28" w:type="dxa"/>
              <w:right w:w="57" w:type="dxa"/>
            </w:tcMar>
            <w:vAlign w:val="center"/>
          </w:tcPr>
          <w:p w14:paraId="05C36947"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23,300</w:t>
            </w:r>
          </w:p>
        </w:tc>
        <w:tc>
          <w:tcPr>
            <w:tcW w:w="567" w:type="dxa"/>
            <w:tcBorders>
              <w:left w:val="single" w:sz="8" w:space="0" w:color="auto"/>
            </w:tcBorders>
            <w:shd w:val="clear" w:color="auto" w:fill="E5B8B7"/>
            <w:tcMar>
              <w:left w:w="28" w:type="dxa"/>
              <w:right w:w="57" w:type="dxa"/>
            </w:tcMar>
            <w:vAlign w:val="center"/>
          </w:tcPr>
          <w:p w14:paraId="34AA6C29"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600</w:t>
            </w:r>
          </w:p>
        </w:tc>
        <w:tc>
          <w:tcPr>
            <w:tcW w:w="567" w:type="dxa"/>
            <w:shd w:val="clear" w:color="auto" w:fill="F8E0A4"/>
            <w:tcMar>
              <w:left w:w="28" w:type="dxa"/>
              <w:right w:w="57" w:type="dxa"/>
            </w:tcMar>
            <w:vAlign w:val="center"/>
          </w:tcPr>
          <w:p w14:paraId="0904308C"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5,900</w:t>
            </w:r>
          </w:p>
        </w:tc>
        <w:tc>
          <w:tcPr>
            <w:tcW w:w="567" w:type="dxa"/>
            <w:shd w:val="clear" w:color="auto" w:fill="D6E3BC"/>
            <w:tcMar>
              <w:left w:w="28" w:type="dxa"/>
              <w:right w:w="57" w:type="dxa"/>
            </w:tcMar>
            <w:vAlign w:val="center"/>
          </w:tcPr>
          <w:p w14:paraId="00C72190"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32,600</w:t>
            </w:r>
          </w:p>
        </w:tc>
      </w:tr>
      <w:tr w:rsidR="00E143FB" w:rsidRPr="002C3EA2" w14:paraId="1FF10362" w14:textId="77777777" w:rsidTr="00AB176F">
        <w:trPr>
          <w:jc w:val="center"/>
        </w:trPr>
        <w:tc>
          <w:tcPr>
            <w:tcW w:w="3110" w:type="dxa"/>
            <w:tcBorders>
              <w:right w:val="single" w:sz="8" w:space="0" w:color="auto"/>
            </w:tcBorders>
            <w:tcMar>
              <w:left w:w="85" w:type="dxa"/>
              <w:right w:w="85" w:type="dxa"/>
            </w:tcMar>
            <w:vAlign w:val="center"/>
          </w:tcPr>
          <w:p w14:paraId="498EA5B2" w14:textId="77777777" w:rsidR="00E143FB" w:rsidRPr="002C3EA2" w:rsidRDefault="00E143FB" w:rsidP="00AB176F">
            <w:pPr>
              <w:spacing w:before="40" w:after="40" w:line="240" w:lineRule="auto"/>
              <w:rPr>
                <w:rFonts w:ascii="Arial" w:eastAsia="Times New Roman" w:hAnsi="Arial"/>
                <w:color w:val="000000"/>
                <w:sz w:val="14"/>
                <w:szCs w:val="18"/>
              </w:rPr>
            </w:pPr>
            <w:r>
              <w:rPr>
                <w:rFonts w:ascii="Arial" w:hAnsi="Arial"/>
                <w:color w:val="000000"/>
                <w:sz w:val="14"/>
                <w:szCs w:val="14"/>
              </w:rPr>
              <w:t>median consumer durables (excl vehicles) ($)</w:t>
            </w:r>
          </w:p>
        </w:tc>
        <w:tc>
          <w:tcPr>
            <w:tcW w:w="571" w:type="dxa"/>
            <w:tcBorders>
              <w:left w:val="single" w:sz="8" w:space="0" w:color="auto"/>
            </w:tcBorders>
            <w:shd w:val="clear" w:color="auto" w:fill="E5B8B7"/>
            <w:tcMar>
              <w:left w:w="28" w:type="dxa"/>
              <w:right w:w="57" w:type="dxa"/>
            </w:tcMar>
            <w:vAlign w:val="center"/>
          </w:tcPr>
          <w:p w14:paraId="0077878B"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8,000</w:t>
            </w:r>
          </w:p>
        </w:tc>
        <w:tc>
          <w:tcPr>
            <w:tcW w:w="567" w:type="dxa"/>
            <w:shd w:val="clear" w:color="auto" w:fill="F8E0A4"/>
            <w:tcMar>
              <w:left w:w="28" w:type="dxa"/>
              <w:right w:w="57" w:type="dxa"/>
            </w:tcMar>
            <w:vAlign w:val="center"/>
          </w:tcPr>
          <w:p w14:paraId="049785DD"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15,000</w:t>
            </w:r>
          </w:p>
        </w:tc>
        <w:tc>
          <w:tcPr>
            <w:tcW w:w="567" w:type="dxa"/>
            <w:tcBorders>
              <w:right w:val="single" w:sz="8" w:space="0" w:color="auto"/>
            </w:tcBorders>
            <w:shd w:val="clear" w:color="auto" w:fill="D6E3BC"/>
            <w:tcMar>
              <w:left w:w="28" w:type="dxa"/>
              <w:right w:w="57" w:type="dxa"/>
            </w:tcMar>
            <w:vAlign w:val="center"/>
          </w:tcPr>
          <w:p w14:paraId="43F722C3"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25,000</w:t>
            </w:r>
          </w:p>
        </w:tc>
        <w:tc>
          <w:tcPr>
            <w:tcW w:w="567" w:type="dxa"/>
            <w:tcBorders>
              <w:left w:val="single" w:sz="8" w:space="0" w:color="auto"/>
            </w:tcBorders>
            <w:shd w:val="clear" w:color="auto" w:fill="E5B8B7"/>
            <w:tcMar>
              <w:left w:w="28" w:type="dxa"/>
              <w:right w:w="57" w:type="dxa"/>
            </w:tcMar>
            <w:vAlign w:val="center"/>
          </w:tcPr>
          <w:p w14:paraId="7AFD7001"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18,000</w:t>
            </w:r>
          </w:p>
        </w:tc>
        <w:tc>
          <w:tcPr>
            <w:tcW w:w="567" w:type="dxa"/>
            <w:shd w:val="clear" w:color="auto" w:fill="F8E0A4"/>
            <w:tcMar>
              <w:left w:w="28" w:type="dxa"/>
              <w:right w:w="57" w:type="dxa"/>
            </w:tcMar>
            <w:vAlign w:val="center"/>
          </w:tcPr>
          <w:p w14:paraId="67BEDD28"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35,000</w:t>
            </w:r>
          </w:p>
        </w:tc>
        <w:tc>
          <w:tcPr>
            <w:tcW w:w="567" w:type="dxa"/>
            <w:tcBorders>
              <w:right w:val="single" w:sz="8" w:space="0" w:color="auto"/>
            </w:tcBorders>
            <w:shd w:val="clear" w:color="auto" w:fill="D6E3BC"/>
            <w:tcMar>
              <w:left w:w="28" w:type="dxa"/>
              <w:right w:w="57" w:type="dxa"/>
            </w:tcMar>
            <w:vAlign w:val="center"/>
          </w:tcPr>
          <w:p w14:paraId="20373F0B"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35,000</w:t>
            </w:r>
          </w:p>
        </w:tc>
        <w:tc>
          <w:tcPr>
            <w:tcW w:w="567" w:type="dxa"/>
            <w:tcBorders>
              <w:left w:val="single" w:sz="8" w:space="0" w:color="auto"/>
            </w:tcBorders>
            <w:shd w:val="clear" w:color="auto" w:fill="E5B8B7"/>
            <w:tcMar>
              <w:left w:w="28" w:type="dxa"/>
              <w:right w:w="57" w:type="dxa"/>
            </w:tcMar>
            <w:vAlign w:val="center"/>
          </w:tcPr>
          <w:p w14:paraId="027A57F9"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25,000</w:t>
            </w:r>
          </w:p>
        </w:tc>
        <w:tc>
          <w:tcPr>
            <w:tcW w:w="567" w:type="dxa"/>
            <w:shd w:val="clear" w:color="auto" w:fill="F8E0A4"/>
            <w:tcMar>
              <w:left w:w="28" w:type="dxa"/>
              <w:right w:w="57" w:type="dxa"/>
            </w:tcMar>
            <w:vAlign w:val="center"/>
          </w:tcPr>
          <w:p w14:paraId="2A8DB02B"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49,000</w:t>
            </w:r>
          </w:p>
        </w:tc>
        <w:tc>
          <w:tcPr>
            <w:tcW w:w="567" w:type="dxa"/>
            <w:shd w:val="clear" w:color="auto" w:fill="D6E3BC"/>
            <w:tcMar>
              <w:left w:w="28" w:type="dxa"/>
              <w:right w:w="57" w:type="dxa"/>
            </w:tcMar>
            <w:vAlign w:val="center"/>
          </w:tcPr>
          <w:p w14:paraId="18AC2AC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64,000</w:t>
            </w:r>
          </w:p>
        </w:tc>
      </w:tr>
      <w:tr w:rsidR="00E143FB" w:rsidRPr="002C3EA2" w14:paraId="4DD4F87A" w14:textId="77777777" w:rsidTr="00AB176F">
        <w:trPr>
          <w:jc w:val="center"/>
        </w:trPr>
        <w:tc>
          <w:tcPr>
            <w:tcW w:w="3110" w:type="dxa"/>
            <w:tcBorders>
              <w:right w:val="single" w:sz="8" w:space="0" w:color="auto"/>
            </w:tcBorders>
            <w:tcMar>
              <w:left w:w="85" w:type="dxa"/>
              <w:right w:w="85" w:type="dxa"/>
            </w:tcMar>
            <w:vAlign w:val="center"/>
          </w:tcPr>
          <w:p w14:paraId="7C1B9533" w14:textId="77777777" w:rsidR="00E143FB" w:rsidRPr="002C3EA2" w:rsidRDefault="00E143FB" w:rsidP="00AB176F">
            <w:pPr>
              <w:spacing w:before="40" w:after="40" w:line="240" w:lineRule="auto"/>
              <w:rPr>
                <w:rFonts w:ascii="Arial" w:eastAsia="Times New Roman" w:hAnsi="Arial"/>
                <w:color w:val="000000"/>
                <w:sz w:val="14"/>
                <w:szCs w:val="14"/>
              </w:rPr>
            </w:pPr>
            <w:r>
              <w:rPr>
                <w:rFonts w:ascii="Arial" w:hAnsi="Arial"/>
                <w:color w:val="000000"/>
                <w:sz w:val="14"/>
                <w:szCs w:val="14"/>
              </w:rPr>
              <w:t>self-assessed income adequacy – ‘not enough’</w:t>
            </w:r>
          </w:p>
        </w:tc>
        <w:tc>
          <w:tcPr>
            <w:tcW w:w="571" w:type="dxa"/>
            <w:tcBorders>
              <w:left w:val="single" w:sz="8" w:space="0" w:color="auto"/>
            </w:tcBorders>
            <w:shd w:val="clear" w:color="auto" w:fill="E5B8B7"/>
            <w:tcMar>
              <w:left w:w="28" w:type="dxa"/>
              <w:right w:w="57" w:type="dxa"/>
            </w:tcMar>
            <w:vAlign w:val="center"/>
          </w:tcPr>
          <w:p w14:paraId="4937B41F"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30</w:t>
            </w:r>
          </w:p>
        </w:tc>
        <w:tc>
          <w:tcPr>
            <w:tcW w:w="567" w:type="dxa"/>
            <w:shd w:val="clear" w:color="auto" w:fill="F8E0A4"/>
            <w:tcMar>
              <w:left w:w="28" w:type="dxa"/>
              <w:right w:w="57" w:type="dxa"/>
            </w:tcMar>
            <w:vAlign w:val="center"/>
          </w:tcPr>
          <w:p w14:paraId="7905E6FE"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27</w:t>
            </w:r>
          </w:p>
        </w:tc>
        <w:tc>
          <w:tcPr>
            <w:tcW w:w="567" w:type="dxa"/>
            <w:tcBorders>
              <w:right w:val="single" w:sz="8" w:space="0" w:color="auto"/>
            </w:tcBorders>
            <w:shd w:val="clear" w:color="auto" w:fill="D6E3BC"/>
            <w:tcMar>
              <w:left w:w="28" w:type="dxa"/>
              <w:right w:w="57" w:type="dxa"/>
            </w:tcMar>
            <w:vAlign w:val="center"/>
          </w:tcPr>
          <w:p w14:paraId="727BA764"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18</w:t>
            </w:r>
          </w:p>
        </w:tc>
        <w:tc>
          <w:tcPr>
            <w:tcW w:w="567" w:type="dxa"/>
            <w:tcBorders>
              <w:left w:val="single" w:sz="8" w:space="0" w:color="auto"/>
            </w:tcBorders>
            <w:shd w:val="clear" w:color="auto" w:fill="E5B8B7"/>
            <w:tcMar>
              <w:left w:w="28" w:type="dxa"/>
              <w:right w:w="57" w:type="dxa"/>
            </w:tcMar>
            <w:vAlign w:val="center"/>
          </w:tcPr>
          <w:p w14:paraId="0CD190C1"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26</w:t>
            </w:r>
          </w:p>
        </w:tc>
        <w:tc>
          <w:tcPr>
            <w:tcW w:w="567" w:type="dxa"/>
            <w:shd w:val="clear" w:color="auto" w:fill="F8E0A4"/>
            <w:tcMar>
              <w:left w:w="28" w:type="dxa"/>
              <w:right w:w="57" w:type="dxa"/>
            </w:tcMar>
            <w:vAlign w:val="center"/>
          </w:tcPr>
          <w:p w14:paraId="5EAB0577"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16</w:t>
            </w:r>
          </w:p>
        </w:tc>
        <w:tc>
          <w:tcPr>
            <w:tcW w:w="567" w:type="dxa"/>
            <w:tcBorders>
              <w:right w:val="single" w:sz="8" w:space="0" w:color="auto"/>
            </w:tcBorders>
            <w:shd w:val="clear" w:color="auto" w:fill="D6E3BC"/>
            <w:tcMar>
              <w:left w:w="28" w:type="dxa"/>
              <w:right w:w="57" w:type="dxa"/>
            </w:tcMar>
            <w:vAlign w:val="center"/>
          </w:tcPr>
          <w:p w14:paraId="61FD9FC3"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9</w:t>
            </w:r>
          </w:p>
        </w:tc>
        <w:tc>
          <w:tcPr>
            <w:tcW w:w="567" w:type="dxa"/>
            <w:tcBorders>
              <w:left w:val="single" w:sz="8" w:space="0" w:color="auto"/>
            </w:tcBorders>
            <w:shd w:val="clear" w:color="auto" w:fill="E5B8B7"/>
            <w:tcMar>
              <w:left w:w="28" w:type="dxa"/>
              <w:right w:w="57" w:type="dxa"/>
            </w:tcMar>
            <w:vAlign w:val="center"/>
          </w:tcPr>
          <w:p w14:paraId="59E6ED81"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13</w:t>
            </w:r>
          </w:p>
        </w:tc>
        <w:tc>
          <w:tcPr>
            <w:tcW w:w="567" w:type="dxa"/>
            <w:shd w:val="clear" w:color="auto" w:fill="F8E0A4"/>
            <w:tcMar>
              <w:left w:w="28" w:type="dxa"/>
              <w:right w:w="57" w:type="dxa"/>
            </w:tcMar>
            <w:vAlign w:val="center"/>
          </w:tcPr>
          <w:p w14:paraId="0B325CC3"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5</w:t>
            </w:r>
          </w:p>
        </w:tc>
        <w:tc>
          <w:tcPr>
            <w:tcW w:w="567" w:type="dxa"/>
            <w:shd w:val="clear" w:color="auto" w:fill="D6E3BC"/>
            <w:tcMar>
              <w:left w:w="28" w:type="dxa"/>
              <w:right w:w="57" w:type="dxa"/>
            </w:tcMar>
            <w:vAlign w:val="center"/>
          </w:tcPr>
          <w:p w14:paraId="261D51B9"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11</w:t>
            </w:r>
          </w:p>
        </w:tc>
      </w:tr>
      <w:tr w:rsidR="00E143FB" w:rsidRPr="002C3EA2" w14:paraId="364710C8" w14:textId="77777777" w:rsidTr="00AB176F">
        <w:trPr>
          <w:jc w:val="center"/>
        </w:trPr>
        <w:tc>
          <w:tcPr>
            <w:tcW w:w="3110" w:type="dxa"/>
            <w:tcBorders>
              <w:right w:val="single" w:sz="8" w:space="0" w:color="auto"/>
            </w:tcBorders>
            <w:tcMar>
              <w:left w:w="85" w:type="dxa"/>
              <w:right w:w="85" w:type="dxa"/>
            </w:tcMar>
            <w:vAlign w:val="center"/>
          </w:tcPr>
          <w:p w14:paraId="7E4D4B17" w14:textId="77777777" w:rsidR="00E143FB" w:rsidRPr="002C3EA2" w:rsidRDefault="00E143FB" w:rsidP="00AB176F">
            <w:pPr>
              <w:spacing w:before="40" w:after="40" w:line="240" w:lineRule="auto"/>
              <w:rPr>
                <w:rFonts w:ascii="Arial" w:eastAsia="Times New Roman" w:hAnsi="Arial"/>
                <w:color w:val="000000"/>
                <w:sz w:val="14"/>
                <w:szCs w:val="14"/>
              </w:rPr>
            </w:pPr>
            <w:r>
              <w:rPr>
                <w:rFonts w:ascii="Arial" w:hAnsi="Arial"/>
                <w:color w:val="000000"/>
                <w:sz w:val="14"/>
                <w:szCs w:val="14"/>
              </w:rPr>
              <w:t>material hardship rate (%) (6+/17, DEP-17)</w:t>
            </w:r>
          </w:p>
        </w:tc>
        <w:tc>
          <w:tcPr>
            <w:tcW w:w="571" w:type="dxa"/>
            <w:tcBorders>
              <w:left w:val="single" w:sz="8" w:space="0" w:color="auto"/>
            </w:tcBorders>
            <w:shd w:val="clear" w:color="auto" w:fill="E5B8B7"/>
            <w:tcMar>
              <w:left w:w="28" w:type="dxa"/>
              <w:right w:w="57" w:type="dxa"/>
            </w:tcMar>
            <w:vAlign w:val="center"/>
          </w:tcPr>
          <w:p w14:paraId="7646AB56"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43</w:t>
            </w:r>
          </w:p>
        </w:tc>
        <w:tc>
          <w:tcPr>
            <w:tcW w:w="567" w:type="dxa"/>
            <w:shd w:val="clear" w:color="auto" w:fill="F8E0A4"/>
            <w:tcMar>
              <w:left w:w="28" w:type="dxa"/>
              <w:right w:w="57" w:type="dxa"/>
            </w:tcMar>
            <w:vAlign w:val="center"/>
          </w:tcPr>
          <w:p w14:paraId="1027F75C"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25</w:t>
            </w:r>
          </w:p>
        </w:tc>
        <w:tc>
          <w:tcPr>
            <w:tcW w:w="567" w:type="dxa"/>
            <w:tcBorders>
              <w:right w:val="single" w:sz="8" w:space="0" w:color="auto"/>
            </w:tcBorders>
            <w:shd w:val="clear" w:color="auto" w:fill="D6E3BC"/>
            <w:tcMar>
              <w:left w:w="28" w:type="dxa"/>
              <w:right w:w="57" w:type="dxa"/>
            </w:tcMar>
            <w:vAlign w:val="center"/>
          </w:tcPr>
          <w:p w14:paraId="6849344D"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13</w:t>
            </w:r>
          </w:p>
        </w:tc>
        <w:tc>
          <w:tcPr>
            <w:tcW w:w="567" w:type="dxa"/>
            <w:tcBorders>
              <w:left w:val="single" w:sz="8" w:space="0" w:color="auto"/>
            </w:tcBorders>
            <w:shd w:val="clear" w:color="auto" w:fill="E5B8B7"/>
            <w:tcMar>
              <w:left w:w="28" w:type="dxa"/>
              <w:right w:w="57" w:type="dxa"/>
            </w:tcMar>
            <w:vAlign w:val="center"/>
          </w:tcPr>
          <w:p w14:paraId="5B684A6F"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20</w:t>
            </w:r>
          </w:p>
        </w:tc>
        <w:tc>
          <w:tcPr>
            <w:tcW w:w="567" w:type="dxa"/>
            <w:shd w:val="clear" w:color="auto" w:fill="F8E0A4"/>
            <w:tcMar>
              <w:left w:w="28" w:type="dxa"/>
              <w:right w:w="57" w:type="dxa"/>
            </w:tcMar>
            <w:vAlign w:val="center"/>
          </w:tcPr>
          <w:p w14:paraId="4AFC63B5"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9</w:t>
            </w:r>
          </w:p>
        </w:tc>
        <w:tc>
          <w:tcPr>
            <w:tcW w:w="567" w:type="dxa"/>
            <w:tcBorders>
              <w:right w:val="single" w:sz="8" w:space="0" w:color="auto"/>
            </w:tcBorders>
            <w:shd w:val="clear" w:color="auto" w:fill="D6E3BC"/>
            <w:tcMar>
              <w:left w:w="28" w:type="dxa"/>
              <w:right w:w="57" w:type="dxa"/>
            </w:tcMar>
            <w:vAlign w:val="center"/>
          </w:tcPr>
          <w:p w14:paraId="4F89F95C"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12</w:t>
            </w:r>
          </w:p>
        </w:tc>
        <w:tc>
          <w:tcPr>
            <w:tcW w:w="567" w:type="dxa"/>
            <w:tcBorders>
              <w:left w:val="single" w:sz="8" w:space="0" w:color="auto"/>
            </w:tcBorders>
            <w:shd w:val="clear" w:color="auto" w:fill="E5B8B7"/>
            <w:tcMar>
              <w:left w:w="28" w:type="dxa"/>
              <w:right w:w="57" w:type="dxa"/>
            </w:tcMar>
            <w:vAlign w:val="center"/>
          </w:tcPr>
          <w:p w14:paraId="7B3019C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16</w:t>
            </w:r>
          </w:p>
        </w:tc>
        <w:tc>
          <w:tcPr>
            <w:tcW w:w="567" w:type="dxa"/>
            <w:shd w:val="clear" w:color="auto" w:fill="F8E0A4"/>
            <w:tcMar>
              <w:left w:w="28" w:type="dxa"/>
              <w:right w:w="57" w:type="dxa"/>
            </w:tcMar>
            <w:vAlign w:val="center"/>
          </w:tcPr>
          <w:p w14:paraId="7F59116C"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5</w:t>
            </w:r>
          </w:p>
        </w:tc>
        <w:tc>
          <w:tcPr>
            <w:tcW w:w="567" w:type="dxa"/>
            <w:shd w:val="clear" w:color="auto" w:fill="D6E3BC"/>
            <w:tcMar>
              <w:left w:w="28" w:type="dxa"/>
              <w:right w:w="57" w:type="dxa"/>
            </w:tcMar>
            <w:vAlign w:val="center"/>
          </w:tcPr>
          <w:p w14:paraId="16FE567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w:t>
            </w:r>
          </w:p>
        </w:tc>
      </w:tr>
      <w:tr w:rsidR="00E143FB" w:rsidRPr="002C3EA2" w14:paraId="2CAF2C57" w14:textId="77777777" w:rsidTr="009430BC">
        <w:trPr>
          <w:trHeight w:val="57"/>
          <w:jc w:val="center"/>
        </w:trPr>
        <w:tc>
          <w:tcPr>
            <w:tcW w:w="3110" w:type="dxa"/>
            <w:tcBorders>
              <w:right w:val="single" w:sz="8" w:space="0" w:color="auto"/>
            </w:tcBorders>
            <w:tcMar>
              <w:left w:w="85" w:type="dxa"/>
              <w:right w:w="85" w:type="dxa"/>
            </w:tcMar>
            <w:vAlign w:val="center"/>
          </w:tcPr>
          <w:p w14:paraId="5F5B996D" w14:textId="77777777" w:rsidR="00E143FB" w:rsidRPr="002C3EA2" w:rsidRDefault="00E143FB" w:rsidP="009430BC">
            <w:pPr>
              <w:spacing w:after="0" w:line="240" w:lineRule="auto"/>
              <w:rPr>
                <w:rFonts w:ascii="Arial" w:eastAsia="Times New Roman" w:hAnsi="Arial"/>
                <w:color w:val="000000"/>
                <w:sz w:val="14"/>
                <w:szCs w:val="18"/>
              </w:rPr>
            </w:pPr>
            <w:r>
              <w:rPr>
                <w:rFonts w:ascii="Arial" w:hAnsi="Arial"/>
                <w:color w:val="000000"/>
                <w:sz w:val="14"/>
                <w:szCs w:val="14"/>
              </w:rPr>
              <w:t> </w:t>
            </w:r>
          </w:p>
        </w:tc>
        <w:tc>
          <w:tcPr>
            <w:tcW w:w="571" w:type="dxa"/>
            <w:tcBorders>
              <w:left w:val="single" w:sz="8" w:space="0" w:color="auto"/>
            </w:tcBorders>
            <w:shd w:val="clear" w:color="auto" w:fill="E5B8B7"/>
            <w:tcMar>
              <w:left w:w="28" w:type="dxa"/>
              <w:right w:w="57" w:type="dxa"/>
            </w:tcMar>
            <w:vAlign w:val="center"/>
          </w:tcPr>
          <w:p w14:paraId="5819E375"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shd w:val="clear" w:color="auto" w:fill="F8E0A4"/>
            <w:tcMar>
              <w:left w:w="28" w:type="dxa"/>
              <w:right w:w="57" w:type="dxa"/>
            </w:tcMar>
            <w:vAlign w:val="center"/>
          </w:tcPr>
          <w:p w14:paraId="7437D8D1"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tcBorders>
              <w:right w:val="single" w:sz="8" w:space="0" w:color="auto"/>
            </w:tcBorders>
            <w:shd w:val="clear" w:color="auto" w:fill="D6E3BC"/>
            <w:tcMar>
              <w:left w:w="28" w:type="dxa"/>
              <w:right w:w="57" w:type="dxa"/>
            </w:tcMar>
            <w:vAlign w:val="center"/>
          </w:tcPr>
          <w:p w14:paraId="1D85B78C"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tcBorders>
              <w:left w:val="single" w:sz="8" w:space="0" w:color="auto"/>
            </w:tcBorders>
            <w:shd w:val="clear" w:color="auto" w:fill="E5B8B7"/>
            <w:tcMar>
              <w:left w:w="28" w:type="dxa"/>
              <w:right w:w="57" w:type="dxa"/>
            </w:tcMar>
            <w:vAlign w:val="center"/>
          </w:tcPr>
          <w:p w14:paraId="2DDF45CF"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shd w:val="clear" w:color="auto" w:fill="F8E0A4"/>
            <w:tcMar>
              <w:left w:w="28" w:type="dxa"/>
              <w:right w:w="57" w:type="dxa"/>
            </w:tcMar>
            <w:vAlign w:val="center"/>
          </w:tcPr>
          <w:p w14:paraId="6985E8C5"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tcBorders>
              <w:right w:val="single" w:sz="8" w:space="0" w:color="auto"/>
            </w:tcBorders>
            <w:shd w:val="clear" w:color="auto" w:fill="D6E3BC"/>
            <w:tcMar>
              <w:left w:w="28" w:type="dxa"/>
              <w:right w:w="57" w:type="dxa"/>
            </w:tcMar>
            <w:vAlign w:val="center"/>
          </w:tcPr>
          <w:p w14:paraId="513FADD9"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tcBorders>
              <w:left w:val="single" w:sz="8" w:space="0" w:color="auto"/>
            </w:tcBorders>
            <w:shd w:val="clear" w:color="auto" w:fill="E5B8B7"/>
            <w:tcMar>
              <w:left w:w="28" w:type="dxa"/>
              <w:right w:w="57" w:type="dxa"/>
            </w:tcMar>
            <w:vAlign w:val="center"/>
          </w:tcPr>
          <w:p w14:paraId="12FD4756"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shd w:val="clear" w:color="auto" w:fill="F8E0A4"/>
            <w:tcMar>
              <w:left w:w="28" w:type="dxa"/>
              <w:right w:w="57" w:type="dxa"/>
            </w:tcMar>
            <w:vAlign w:val="center"/>
          </w:tcPr>
          <w:p w14:paraId="19A65821"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c>
          <w:tcPr>
            <w:tcW w:w="567" w:type="dxa"/>
            <w:shd w:val="clear" w:color="auto" w:fill="D6E3BC"/>
            <w:tcMar>
              <w:left w:w="28" w:type="dxa"/>
              <w:right w:w="57" w:type="dxa"/>
            </w:tcMar>
            <w:vAlign w:val="center"/>
          </w:tcPr>
          <w:p w14:paraId="1D8FB212" w14:textId="77777777" w:rsidR="00E143FB" w:rsidRPr="002C3EA2" w:rsidRDefault="00E143FB" w:rsidP="009430BC">
            <w:pPr>
              <w:spacing w:after="0" w:line="240" w:lineRule="auto"/>
              <w:jc w:val="center"/>
              <w:rPr>
                <w:rFonts w:ascii="Arial" w:eastAsia="Times New Roman" w:hAnsi="Arial"/>
                <w:color w:val="000000"/>
                <w:sz w:val="14"/>
                <w:szCs w:val="14"/>
              </w:rPr>
            </w:pPr>
            <w:r>
              <w:rPr>
                <w:rFonts w:ascii="Arial" w:hAnsi="Arial"/>
                <w:color w:val="000000"/>
                <w:sz w:val="14"/>
                <w:szCs w:val="14"/>
              </w:rPr>
              <w:t> </w:t>
            </w:r>
          </w:p>
        </w:tc>
      </w:tr>
      <w:tr w:rsidR="00E143FB" w:rsidRPr="002C3EA2" w14:paraId="5BE8C1EE" w14:textId="77777777" w:rsidTr="00AB176F">
        <w:trPr>
          <w:jc w:val="center"/>
        </w:trPr>
        <w:tc>
          <w:tcPr>
            <w:tcW w:w="3110" w:type="dxa"/>
            <w:tcBorders>
              <w:right w:val="single" w:sz="8" w:space="0" w:color="auto"/>
            </w:tcBorders>
            <w:tcMar>
              <w:left w:w="85" w:type="dxa"/>
              <w:right w:w="85" w:type="dxa"/>
            </w:tcMar>
            <w:vAlign w:val="center"/>
          </w:tcPr>
          <w:p w14:paraId="5744CA3D" w14:textId="77777777" w:rsidR="00E143FB" w:rsidRPr="002C3EA2" w:rsidRDefault="00E143FB" w:rsidP="00AB176F">
            <w:pPr>
              <w:spacing w:before="40" w:after="40" w:line="240" w:lineRule="auto"/>
              <w:rPr>
                <w:rFonts w:ascii="Arial" w:eastAsia="Times New Roman" w:hAnsi="Arial"/>
                <w:color w:val="000000"/>
                <w:sz w:val="14"/>
                <w:szCs w:val="18"/>
              </w:rPr>
            </w:pPr>
            <w:r>
              <w:rPr>
                <w:rFonts w:ascii="Arial Mäori" w:hAnsi="Arial Mäori"/>
                <w:color w:val="000000"/>
                <w:sz w:val="14"/>
                <w:szCs w:val="14"/>
              </w:rPr>
              <w:t>put up with cold ‘a lot’ to save on costs (%)</w:t>
            </w:r>
          </w:p>
        </w:tc>
        <w:tc>
          <w:tcPr>
            <w:tcW w:w="571" w:type="dxa"/>
            <w:tcBorders>
              <w:left w:val="single" w:sz="8" w:space="0" w:color="auto"/>
            </w:tcBorders>
            <w:shd w:val="clear" w:color="auto" w:fill="E5B8B7"/>
            <w:tcMar>
              <w:left w:w="28" w:type="dxa"/>
              <w:right w:w="57" w:type="dxa"/>
            </w:tcMar>
            <w:vAlign w:val="center"/>
          </w:tcPr>
          <w:p w14:paraId="050F6EB0"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16</w:t>
            </w:r>
          </w:p>
        </w:tc>
        <w:tc>
          <w:tcPr>
            <w:tcW w:w="567" w:type="dxa"/>
            <w:shd w:val="clear" w:color="auto" w:fill="F8E0A4"/>
            <w:tcMar>
              <w:left w:w="28" w:type="dxa"/>
              <w:right w:w="57" w:type="dxa"/>
            </w:tcMar>
            <w:vAlign w:val="center"/>
          </w:tcPr>
          <w:p w14:paraId="3C161853"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9</w:t>
            </w:r>
          </w:p>
        </w:tc>
        <w:tc>
          <w:tcPr>
            <w:tcW w:w="567" w:type="dxa"/>
            <w:tcBorders>
              <w:right w:val="single" w:sz="8" w:space="0" w:color="auto"/>
            </w:tcBorders>
            <w:shd w:val="clear" w:color="auto" w:fill="D6E3BC"/>
            <w:tcMar>
              <w:left w:w="28" w:type="dxa"/>
              <w:right w:w="57" w:type="dxa"/>
            </w:tcMar>
            <w:vAlign w:val="center"/>
          </w:tcPr>
          <w:p w14:paraId="36AFFF7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7</w:t>
            </w:r>
          </w:p>
        </w:tc>
        <w:tc>
          <w:tcPr>
            <w:tcW w:w="567" w:type="dxa"/>
            <w:tcBorders>
              <w:left w:val="single" w:sz="8" w:space="0" w:color="auto"/>
            </w:tcBorders>
            <w:shd w:val="clear" w:color="auto" w:fill="E5B8B7"/>
            <w:tcMar>
              <w:left w:w="28" w:type="dxa"/>
              <w:right w:w="57" w:type="dxa"/>
            </w:tcMar>
            <w:vAlign w:val="center"/>
          </w:tcPr>
          <w:p w14:paraId="18E78358"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19</w:t>
            </w:r>
          </w:p>
        </w:tc>
        <w:tc>
          <w:tcPr>
            <w:tcW w:w="567" w:type="dxa"/>
            <w:shd w:val="clear" w:color="auto" w:fill="F8E0A4"/>
            <w:tcMar>
              <w:left w:w="28" w:type="dxa"/>
              <w:right w:w="57" w:type="dxa"/>
            </w:tcMar>
            <w:vAlign w:val="center"/>
          </w:tcPr>
          <w:p w14:paraId="04A69306"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5</w:t>
            </w:r>
          </w:p>
        </w:tc>
        <w:tc>
          <w:tcPr>
            <w:tcW w:w="567" w:type="dxa"/>
            <w:tcBorders>
              <w:right w:val="single" w:sz="8" w:space="0" w:color="auto"/>
            </w:tcBorders>
            <w:shd w:val="clear" w:color="auto" w:fill="D6E3BC"/>
            <w:tcMar>
              <w:left w:w="28" w:type="dxa"/>
              <w:right w:w="57" w:type="dxa"/>
            </w:tcMar>
            <w:vAlign w:val="center"/>
          </w:tcPr>
          <w:p w14:paraId="05630EAC"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7</w:t>
            </w:r>
          </w:p>
        </w:tc>
        <w:tc>
          <w:tcPr>
            <w:tcW w:w="567" w:type="dxa"/>
            <w:tcBorders>
              <w:left w:val="single" w:sz="8" w:space="0" w:color="auto"/>
            </w:tcBorders>
            <w:shd w:val="clear" w:color="auto" w:fill="E5B8B7"/>
            <w:tcMar>
              <w:left w:w="28" w:type="dxa"/>
              <w:right w:w="57" w:type="dxa"/>
            </w:tcMar>
            <w:vAlign w:val="center"/>
          </w:tcPr>
          <w:p w14:paraId="44368685"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7</w:t>
            </w:r>
          </w:p>
        </w:tc>
        <w:tc>
          <w:tcPr>
            <w:tcW w:w="567" w:type="dxa"/>
            <w:shd w:val="clear" w:color="auto" w:fill="F8E0A4"/>
            <w:tcMar>
              <w:left w:w="28" w:type="dxa"/>
              <w:right w:w="57" w:type="dxa"/>
            </w:tcMar>
            <w:vAlign w:val="center"/>
          </w:tcPr>
          <w:p w14:paraId="7AD37255"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3</w:t>
            </w:r>
          </w:p>
        </w:tc>
        <w:tc>
          <w:tcPr>
            <w:tcW w:w="567" w:type="dxa"/>
            <w:shd w:val="clear" w:color="auto" w:fill="D6E3BC"/>
            <w:tcMar>
              <w:left w:w="28" w:type="dxa"/>
              <w:right w:w="57" w:type="dxa"/>
            </w:tcMar>
            <w:vAlign w:val="center"/>
          </w:tcPr>
          <w:p w14:paraId="1CD614CD"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2</w:t>
            </w:r>
          </w:p>
        </w:tc>
      </w:tr>
      <w:tr w:rsidR="00E143FB" w:rsidRPr="002C3EA2" w14:paraId="4330DC83" w14:textId="77777777" w:rsidTr="00AB176F">
        <w:trPr>
          <w:jc w:val="center"/>
        </w:trPr>
        <w:tc>
          <w:tcPr>
            <w:tcW w:w="3110" w:type="dxa"/>
            <w:tcBorders>
              <w:right w:val="single" w:sz="8" w:space="0" w:color="auto"/>
            </w:tcBorders>
            <w:tcMar>
              <w:left w:w="85" w:type="dxa"/>
              <w:right w:w="85" w:type="dxa"/>
            </w:tcMar>
            <w:vAlign w:val="center"/>
          </w:tcPr>
          <w:p w14:paraId="0B64AFEA" w14:textId="77777777" w:rsidR="00E143FB" w:rsidRPr="002C3EA2" w:rsidRDefault="00E143FB" w:rsidP="00AB176F">
            <w:pPr>
              <w:spacing w:before="40" w:after="40" w:line="240" w:lineRule="auto"/>
              <w:rPr>
                <w:rFonts w:ascii="Arial" w:eastAsia="Times New Roman" w:hAnsi="Arial"/>
                <w:color w:val="000000"/>
                <w:sz w:val="14"/>
                <w:szCs w:val="18"/>
              </w:rPr>
            </w:pPr>
            <w:r>
              <w:rPr>
                <w:rFonts w:ascii="Arial Mäori" w:hAnsi="Arial Mäori"/>
                <w:color w:val="000000"/>
                <w:sz w:val="14"/>
                <w:szCs w:val="14"/>
              </w:rPr>
              <w:t>used a foodbank more than once in previous 12 months (%)</w:t>
            </w:r>
          </w:p>
        </w:tc>
        <w:tc>
          <w:tcPr>
            <w:tcW w:w="571" w:type="dxa"/>
            <w:tcBorders>
              <w:left w:val="single" w:sz="8" w:space="0" w:color="auto"/>
            </w:tcBorders>
            <w:shd w:val="clear" w:color="auto" w:fill="E5B8B7"/>
            <w:tcMar>
              <w:left w:w="28" w:type="dxa"/>
              <w:right w:w="57" w:type="dxa"/>
            </w:tcMar>
            <w:vAlign w:val="center"/>
          </w:tcPr>
          <w:p w14:paraId="30BD5F6D"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32</w:t>
            </w:r>
          </w:p>
        </w:tc>
        <w:tc>
          <w:tcPr>
            <w:tcW w:w="567" w:type="dxa"/>
            <w:shd w:val="clear" w:color="auto" w:fill="F8E0A4"/>
            <w:tcMar>
              <w:left w:w="28" w:type="dxa"/>
              <w:right w:w="57" w:type="dxa"/>
            </w:tcMar>
            <w:vAlign w:val="center"/>
          </w:tcPr>
          <w:p w14:paraId="6C02B40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15</w:t>
            </w:r>
          </w:p>
        </w:tc>
        <w:tc>
          <w:tcPr>
            <w:tcW w:w="567" w:type="dxa"/>
            <w:tcBorders>
              <w:right w:val="single" w:sz="8" w:space="0" w:color="auto"/>
            </w:tcBorders>
            <w:shd w:val="clear" w:color="auto" w:fill="D6E3BC"/>
            <w:tcMar>
              <w:left w:w="28" w:type="dxa"/>
              <w:right w:w="57" w:type="dxa"/>
            </w:tcMar>
            <w:vAlign w:val="center"/>
          </w:tcPr>
          <w:p w14:paraId="3EC0A1A5"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w:t>
            </w:r>
          </w:p>
        </w:tc>
        <w:tc>
          <w:tcPr>
            <w:tcW w:w="567" w:type="dxa"/>
            <w:tcBorders>
              <w:left w:val="single" w:sz="8" w:space="0" w:color="auto"/>
            </w:tcBorders>
            <w:shd w:val="clear" w:color="auto" w:fill="E5B8B7"/>
            <w:tcMar>
              <w:left w:w="28" w:type="dxa"/>
              <w:right w:w="57" w:type="dxa"/>
            </w:tcMar>
            <w:vAlign w:val="center"/>
          </w:tcPr>
          <w:p w14:paraId="7F060696"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15</w:t>
            </w:r>
          </w:p>
        </w:tc>
        <w:tc>
          <w:tcPr>
            <w:tcW w:w="567" w:type="dxa"/>
            <w:shd w:val="clear" w:color="auto" w:fill="F8E0A4"/>
            <w:tcMar>
              <w:left w:w="28" w:type="dxa"/>
              <w:right w:w="57" w:type="dxa"/>
            </w:tcMar>
            <w:vAlign w:val="center"/>
          </w:tcPr>
          <w:p w14:paraId="2537ABEB"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10</w:t>
            </w:r>
          </w:p>
        </w:tc>
        <w:tc>
          <w:tcPr>
            <w:tcW w:w="567" w:type="dxa"/>
            <w:tcBorders>
              <w:right w:val="single" w:sz="8" w:space="0" w:color="auto"/>
            </w:tcBorders>
            <w:shd w:val="clear" w:color="auto" w:fill="D6E3BC"/>
            <w:tcMar>
              <w:left w:w="28" w:type="dxa"/>
              <w:right w:w="57" w:type="dxa"/>
            </w:tcMar>
            <w:vAlign w:val="center"/>
          </w:tcPr>
          <w:p w14:paraId="63CB20EC"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6</w:t>
            </w:r>
          </w:p>
        </w:tc>
        <w:tc>
          <w:tcPr>
            <w:tcW w:w="567" w:type="dxa"/>
            <w:tcBorders>
              <w:left w:val="single" w:sz="8" w:space="0" w:color="auto"/>
            </w:tcBorders>
            <w:shd w:val="clear" w:color="auto" w:fill="E5B8B7"/>
            <w:tcMar>
              <w:left w:w="28" w:type="dxa"/>
              <w:right w:w="57" w:type="dxa"/>
            </w:tcMar>
            <w:vAlign w:val="center"/>
          </w:tcPr>
          <w:p w14:paraId="02BAF3AD"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11</w:t>
            </w:r>
          </w:p>
        </w:tc>
        <w:tc>
          <w:tcPr>
            <w:tcW w:w="567" w:type="dxa"/>
            <w:shd w:val="clear" w:color="auto" w:fill="F8E0A4"/>
            <w:tcMar>
              <w:left w:w="28" w:type="dxa"/>
              <w:right w:w="57" w:type="dxa"/>
            </w:tcMar>
            <w:vAlign w:val="center"/>
          </w:tcPr>
          <w:p w14:paraId="5922E393"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w:t>
            </w:r>
          </w:p>
        </w:tc>
        <w:tc>
          <w:tcPr>
            <w:tcW w:w="567" w:type="dxa"/>
            <w:shd w:val="clear" w:color="auto" w:fill="D6E3BC"/>
            <w:tcMar>
              <w:left w:w="28" w:type="dxa"/>
              <w:right w:w="57" w:type="dxa"/>
            </w:tcMar>
            <w:vAlign w:val="center"/>
          </w:tcPr>
          <w:p w14:paraId="2A81734B"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w:t>
            </w:r>
          </w:p>
        </w:tc>
      </w:tr>
      <w:tr w:rsidR="00E143FB" w:rsidRPr="002C3EA2" w14:paraId="21AA85C7" w14:textId="77777777" w:rsidTr="00AB176F">
        <w:trPr>
          <w:jc w:val="center"/>
        </w:trPr>
        <w:tc>
          <w:tcPr>
            <w:tcW w:w="3110" w:type="dxa"/>
            <w:tcBorders>
              <w:right w:val="single" w:sz="8" w:space="0" w:color="auto"/>
            </w:tcBorders>
            <w:tcMar>
              <w:left w:w="85" w:type="dxa"/>
              <w:right w:w="85" w:type="dxa"/>
            </w:tcMar>
            <w:vAlign w:val="center"/>
          </w:tcPr>
          <w:p w14:paraId="44886661" w14:textId="77777777" w:rsidR="00E143FB" w:rsidRPr="002C3EA2" w:rsidRDefault="00E143FB" w:rsidP="00AB176F">
            <w:pPr>
              <w:spacing w:before="40" w:after="40" w:line="240" w:lineRule="auto"/>
              <w:rPr>
                <w:rFonts w:ascii="Arial" w:eastAsia="Times New Roman" w:hAnsi="Arial"/>
                <w:color w:val="000000"/>
                <w:sz w:val="14"/>
                <w:szCs w:val="18"/>
              </w:rPr>
            </w:pPr>
            <w:r>
              <w:rPr>
                <w:rFonts w:ascii="Arial Mäori" w:hAnsi="Arial Mäori"/>
                <w:color w:val="000000"/>
                <w:sz w:val="14"/>
                <w:szCs w:val="14"/>
              </w:rPr>
              <w:t>borrowed from fam/friends more than once in previous 12 months to pay for basics (%)</w:t>
            </w:r>
          </w:p>
        </w:tc>
        <w:tc>
          <w:tcPr>
            <w:tcW w:w="571" w:type="dxa"/>
            <w:tcBorders>
              <w:left w:val="single" w:sz="8" w:space="0" w:color="auto"/>
            </w:tcBorders>
            <w:shd w:val="clear" w:color="auto" w:fill="E5B8B7"/>
            <w:tcMar>
              <w:left w:w="28" w:type="dxa"/>
              <w:right w:w="57" w:type="dxa"/>
            </w:tcMar>
            <w:vAlign w:val="center"/>
          </w:tcPr>
          <w:p w14:paraId="3FCC7A7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36</w:t>
            </w:r>
          </w:p>
        </w:tc>
        <w:tc>
          <w:tcPr>
            <w:tcW w:w="567" w:type="dxa"/>
            <w:shd w:val="clear" w:color="auto" w:fill="F8E0A4"/>
            <w:tcMar>
              <w:left w:w="28" w:type="dxa"/>
              <w:right w:w="57" w:type="dxa"/>
            </w:tcMar>
            <w:vAlign w:val="center"/>
          </w:tcPr>
          <w:p w14:paraId="22822DC6"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13</w:t>
            </w:r>
          </w:p>
        </w:tc>
        <w:tc>
          <w:tcPr>
            <w:tcW w:w="567" w:type="dxa"/>
            <w:tcBorders>
              <w:right w:val="single" w:sz="8" w:space="0" w:color="auto"/>
            </w:tcBorders>
            <w:shd w:val="clear" w:color="auto" w:fill="D6E3BC"/>
            <w:tcMar>
              <w:left w:w="28" w:type="dxa"/>
              <w:right w:w="57" w:type="dxa"/>
            </w:tcMar>
            <w:vAlign w:val="center"/>
          </w:tcPr>
          <w:p w14:paraId="7722CDE8"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w:t>
            </w:r>
          </w:p>
        </w:tc>
        <w:tc>
          <w:tcPr>
            <w:tcW w:w="567" w:type="dxa"/>
            <w:tcBorders>
              <w:left w:val="single" w:sz="8" w:space="0" w:color="auto"/>
            </w:tcBorders>
            <w:shd w:val="clear" w:color="auto" w:fill="E5B8B7"/>
            <w:tcMar>
              <w:left w:w="28" w:type="dxa"/>
              <w:right w:w="57" w:type="dxa"/>
            </w:tcMar>
            <w:vAlign w:val="center"/>
          </w:tcPr>
          <w:p w14:paraId="0D423A57"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19</w:t>
            </w:r>
          </w:p>
        </w:tc>
        <w:tc>
          <w:tcPr>
            <w:tcW w:w="567" w:type="dxa"/>
            <w:shd w:val="clear" w:color="auto" w:fill="F8E0A4"/>
            <w:tcMar>
              <w:left w:w="28" w:type="dxa"/>
              <w:right w:w="57" w:type="dxa"/>
            </w:tcMar>
            <w:vAlign w:val="center"/>
          </w:tcPr>
          <w:p w14:paraId="40C4D53A"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12</w:t>
            </w:r>
          </w:p>
        </w:tc>
        <w:tc>
          <w:tcPr>
            <w:tcW w:w="567" w:type="dxa"/>
            <w:tcBorders>
              <w:right w:val="single" w:sz="8" w:space="0" w:color="auto"/>
            </w:tcBorders>
            <w:shd w:val="clear" w:color="auto" w:fill="D6E3BC"/>
            <w:tcMar>
              <w:left w:w="28" w:type="dxa"/>
              <w:right w:w="57" w:type="dxa"/>
            </w:tcMar>
            <w:vAlign w:val="center"/>
          </w:tcPr>
          <w:p w14:paraId="5A34DFB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10</w:t>
            </w:r>
          </w:p>
        </w:tc>
        <w:tc>
          <w:tcPr>
            <w:tcW w:w="567" w:type="dxa"/>
            <w:tcBorders>
              <w:left w:val="single" w:sz="8" w:space="0" w:color="auto"/>
            </w:tcBorders>
            <w:shd w:val="clear" w:color="auto" w:fill="E5B8B7"/>
            <w:tcMar>
              <w:left w:w="28" w:type="dxa"/>
              <w:right w:w="57" w:type="dxa"/>
            </w:tcMar>
            <w:vAlign w:val="center"/>
          </w:tcPr>
          <w:p w14:paraId="39769066"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14</w:t>
            </w:r>
          </w:p>
        </w:tc>
        <w:tc>
          <w:tcPr>
            <w:tcW w:w="567" w:type="dxa"/>
            <w:shd w:val="clear" w:color="auto" w:fill="F8E0A4"/>
            <w:tcMar>
              <w:left w:w="28" w:type="dxa"/>
              <w:right w:w="57" w:type="dxa"/>
            </w:tcMar>
            <w:vAlign w:val="center"/>
          </w:tcPr>
          <w:p w14:paraId="148E5FA4"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6</w:t>
            </w:r>
          </w:p>
        </w:tc>
        <w:tc>
          <w:tcPr>
            <w:tcW w:w="567" w:type="dxa"/>
            <w:shd w:val="clear" w:color="auto" w:fill="D6E3BC"/>
            <w:tcMar>
              <w:left w:w="28" w:type="dxa"/>
              <w:right w:w="57" w:type="dxa"/>
            </w:tcMar>
            <w:vAlign w:val="center"/>
          </w:tcPr>
          <w:p w14:paraId="34F7CE1A"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1</w:t>
            </w:r>
          </w:p>
        </w:tc>
      </w:tr>
      <w:tr w:rsidR="00E143FB" w:rsidRPr="002C3EA2" w14:paraId="287BC13B" w14:textId="77777777" w:rsidTr="00AB176F">
        <w:trPr>
          <w:jc w:val="center"/>
        </w:trPr>
        <w:tc>
          <w:tcPr>
            <w:tcW w:w="3110" w:type="dxa"/>
            <w:tcBorders>
              <w:right w:val="single" w:sz="8" w:space="0" w:color="auto"/>
            </w:tcBorders>
            <w:tcMar>
              <w:left w:w="85" w:type="dxa"/>
              <w:right w:w="85" w:type="dxa"/>
            </w:tcMar>
            <w:vAlign w:val="center"/>
          </w:tcPr>
          <w:p w14:paraId="25DADDF7" w14:textId="77777777" w:rsidR="00E143FB" w:rsidRPr="002C3EA2" w:rsidRDefault="00E143FB" w:rsidP="00AB176F">
            <w:pPr>
              <w:spacing w:before="40" w:after="40" w:line="240" w:lineRule="auto"/>
              <w:rPr>
                <w:rFonts w:ascii="Arial" w:eastAsia="Times New Roman" w:hAnsi="Arial"/>
                <w:color w:val="000000"/>
                <w:sz w:val="14"/>
                <w:szCs w:val="18"/>
              </w:rPr>
            </w:pPr>
            <w:r>
              <w:rPr>
                <w:rFonts w:ascii="Arial" w:hAnsi="Arial"/>
                <w:color w:val="000000"/>
                <w:sz w:val="14"/>
                <w:szCs w:val="14"/>
              </w:rPr>
              <w:t>can pay an unexpected + essential $500 bill within a month without borrowing (%)</w:t>
            </w:r>
          </w:p>
        </w:tc>
        <w:tc>
          <w:tcPr>
            <w:tcW w:w="571" w:type="dxa"/>
            <w:tcBorders>
              <w:left w:val="single" w:sz="8" w:space="0" w:color="auto"/>
            </w:tcBorders>
            <w:shd w:val="clear" w:color="auto" w:fill="E5B8B7"/>
            <w:tcMar>
              <w:left w:w="28" w:type="dxa"/>
              <w:right w:w="57" w:type="dxa"/>
            </w:tcMar>
            <w:vAlign w:val="center"/>
          </w:tcPr>
          <w:p w14:paraId="588208D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42</w:t>
            </w:r>
          </w:p>
        </w:tc>
        <w:tc>
          <w:tcPr>
            <w:tcW w:w="567" w:type="dxa"/>
            <w:shd w:val="clear" w:color="auto" w:fill="F8E0A4"/>
            <w:tcMar>
              <w:left w:w="28" w:type="dxa"/>
              <w:right w:w="57" w:type="dxa"/>
            </w:tcMar>
            <w:vAlign w:val="center"/>
          </w:tcPr>
          <w:p w14:paraId="0F99540E"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62</w:t>
            </w:r>
          </w:p>
        </w:tc>
        <w:tc>
          <w:tcPr>
            <w:tcW w:w="567" w:type="dxa"/>
            <w:tcBorders>
              <w:right w:val="single" w:sz="8" w:space="0" w:color="auto"/>
            </w:tcBorders>
            <w:shd w:val="clear" w:color="auto" w:fill="D6E3BC"/>
            <w:tcMar>
              <w:left w:w="28" w:type="dxa"/>
              <w:right w:w="57" w:type="dxa"/>
            </w:tcMar>
            <w:vAlign w:val="center"/>
          </w:tcPr>
          <w:p w14:paraId="083A68EB"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89</w:t>
            </w:r>
          </w:p>
        </w:tc>
        <w:tc>
          <w:tcPr>
            <w:tcW w:w="567" w:type="dxa"/>
            <w:tcBorders>
              <w:left w:val="single" w:sz="8" w:space="0" w:color="auto"/>
            </w:tcBorders>
            <w:shd w:val="clear" w:color="auto" w:fill="E5B8B7"/>
            <w:tcMar>
              <w:left w:w="28" w:type="dxa"/>
              <w:right w:w="57" w:type="dxa"/>
            </w:tcMar>
            <w:vAlign w:val="center"/>
          </w:tcPr>
          <w:p w14:paraId="43D7ABF4"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59</w:t>
            </w:r>
          </w:p>
        </w:tc>
        <w:tc>
          <w:tcPr>
            <w:tcW w:w="567" w:type="dxa"/>
            <w:shd w:val="clear" w:color="auto" w:fill="F8E0A4"/>
            <w:tcMar>
              <w:left w:w="28" w:type="dxa"/>
              <w:right w:w="57" w:type="dxa"/>
            </w:tcMar>
            <w:vAlign w:val="center"/>
          </w:tcPr>
          <w:p w14:paraId="43EC8C67"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84</w:t>
            </w:r>
          </w:p>
        </w:tc>
        <w:tc>
          <w:tcPr>
            <w:tcW w:w="567" w:type="dxa"/>
            <w:tcBorders>
              <w:right w:val="single" w:sz="8" w:space="0" w:color="auto"/>
            </w:tcBorders>
            <w:shd w:val="clear" w:color="auto" w:fill="D6E3BC"/>
            <w:tcMar>
              <w:left w:w="28" w:type="dxa"/>
              <w:right w:w="57" w:type="dxa"/>
            </w:tcMar>
            <w:vAlign w:val="center"/>
          </w:tcPr>
          <w:p w14:paraId="64D3204F"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87</w:t>
            </w:r>
          </w:p>
        </w:tc>
        <w:tc>
          <w:tcPr>
            <w:tcW w:w="567" w:type="dxa"/>
            <w:tcBorders>
              <w:left w:val="single" w:sz="8" w:space="0" w:color="auto"/>
            </w:tcBorders>
            <w:shd w:val="clear" w:color="auto" w:fill="E5B8B7"/>
            <w:tcMar>
              <w:left w:w="28" w:type="dxa"/>
              <w:right w:w="57" w:type="dxa"/>
            </w:tcMar>
            <w:vAlign w:val="center"/>
          </w:tcPr>
          <w:p w14:paraId="128B6F30"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78</w:t>
            </w:r>
          </w:p>
        </w:tc>
        <w:tc>
          <w:tcPr>
            <w:tcW w:w="567" w:type="dxa"/>
            <w:shd w:val="clear" w:color="auto" w:fill="F8E0A4"/>
            <w:tcMar>
              <w:left w:w="28" w:type="dxa"/>
              <w:right w:w="57" w:type="dxa"/>
            </w:tcMar>
            <w:vAlign w:val="center"/>
          </w:tcPr>
          <w:p w14:paraId="0A353AEA"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91</w:t>
            </w:r>
          </w:p>
        </w:tc>
        <w:tc>
          <w:tcPr>
            <w:tcW w:w="567" w:type="dxa"/>
            <w:shd w:val="clear" w:color="auto" w:fill="D6E3BC"/>
            <w:tcMar>
              <w:left w:w="28" w:type="dxa"/>
              <w:right w:w="57" w:type="dxa"/>
            </w:tcMar>
            <w:vAlign w:val="center"/>
          </w:tcPr>
          <w:p w14:paraId="3721D882" w14:textId="77777777" w:rsidR="00E143FB" w:rsidRPr="002C3EA2" w:rsidRDefault="00E143FB" w:rsidP="00AB176F">
            <w:pPr>
              <w:spacing w:after="0" w:line="240" w:lineRule="auto"/>
              <w:jc w:val="center"/>
              <w:rPr>
                <w:rFonts w:ascii="Arial" w:eastAsia="Times New Roman" w:hAnsi="Arial"/>
                <w:color w:val="000000"/>
                <w:sz w:val="14"/>
                <w:szCs w:val="14"/>
              </w:rPr>
            </w:pPr>
            <w:r>
              <w:rPr>
                <w:rFonts w:ascii="Arial" w:hAnsi="Arial"/>
                <w:color w:val="000000"/>
                <w:sz w:val="14"/>
                <w:szCs w:val="14"/>
              </w:rPr>
              <w:t>94</w:t>
            </w:r>
          </w:p>
        </w:tc>
      </w:tr>
      <w:tr w:rsidR="00E143FB" w:rsidRPr="002C3EA2" w14:paraId="57D8F9AE" w14:textId="77777777" w:rsidTr="009430BC">
        <w:trPr>
          <w:trHeight w:val="113"/>
          <w:jc w:val="center"/>
        </w:trPr>
        <w:tc>
          <w:tcPr>
            <w:tcW w:w="3110" w:type="dxa"/>
            <w:tcBorders>
              <w:right w:val="single" w:sz="8" w:space="0" w:color="auto"/>
            </w:tcBorders>
            <w:tcMar>
              <w:left w:w="85" w:type="dxa"/>
              <w:right w:w="85" w:type="dxa"/>
            </w:tcMar>
            <w:vAlign w:val="center"/>
          </w:tcPr>
          <w:p w14:paraId="2EB0AB48" w14:textId="77777777" w:rsidR="00E143FB" w:rsidRDefault="00E143FB" w:rsidP="009430BC">
            <w:pPr>
              <w:spacing w:after="0" w:line="240" w:lineRule="auto"/>
              <w:rPr>
                <w:rFonts w:ascii="Arial" w:hAnsi="Arial"/>
                <w:color w:val="000000"/>
                <w:sz w:val="14"/>
                <w:szCs w:val="14"/>
              </w:rPr>
            </w:pPr>
          </w:p>
        </w:tc>
        <w:tc>
          <w:tcPr>
            <w:tcW w:w="571" w:type="dxa"/>
            <w:tcBorders>
              <w:left w:val="single" w:sz="8" w:space="0" w:color="auto"/>
            </w:tcBorders>
            <w:shd w:val="clear" w:color="auto" w:fill="E5B8B7"/>
            <w:tcMar>
              <w:left w:w="28" w:type="dxa"/>
              <w:right w:w="57" w:type="dxa"/>
            </w:tcMar>
            <w:vAlign w:val="center"/>
          </w:tcPr>
          <w:p w14:paraId="4AA7C17F" w14:textId="77777777" w:rsidR="00E143FB" w:rsidRDefault="00E143FB" w:rsidP="00AB176F">
            <w:pPr>
              <w:spacing w:after="0" w:line="240" w:lineRule="auto"/>
              <w:jc w:val="center"/>
              <w:rPr>
                <w:rFonts w:ascii="Arial" w:hAnsi="Arial"/>
                <w:color w:val="000000"/>
                <w:sz w:val="14"/>
                <w:szCs w:val="14"/>
              </w:rPr>
            </w:pPr>
          </w:p>
        </w:tc>
        <w:tc>
          <w:tcPr>
            <w:tcW w:w="567" w:type="dxa"/>
            <w:shd w:val="clear" w:color="auto" w:fill="F8E0A4"/>
            <w:tcMar>
              <w:left w:w="28" w:type="dxa"/>
              <w:right w:w="57" w:type="dxa"/>
            </w:tcMar>
            <w:vAlign w:val="center"/>
          </w:tcPr>
          <w:p w14:paraId="20B704E6" w14:textId="77777777" w:rsidR="00E143FB" w:rsidRDefault="00E143FB" w:rsidP="00AB176F">
            <w:pPr>
              <w:spacing w:after="0" w:line="240" w:lineRule="auto"/>
              <w:jc w:val="center"/>
              <w:rPr>
                <w:rFonts w:ascii="Arial" w:hAnsi="Arial"/>
                <w:color w:val="000000"/>
                <w:sz w:val="14"/>
                <w:szCs w:val="14"/>
              </w:rPr>
            </w:pPr>
          </w:p>
        </w:tc>
        <w:tc>
          <w:tcPr>
            <w:tcW w:w="567" w:type="dxa"/>
            <w:tcBorders>
              <w:right w:val="single" w:sz="8" w:space="0" w:color="auto"/>
            </w:tcBorders>
            <w:shd w:val="clear" w:color="auto" w:fill="D6E3BC"/>
            <w:tcMar>
              <w:left w:w="28" w:type="dxa"/>
              <w:right w:w="57" w:type="dxa"/>
            </w:tcMar>
            <w:vAlign w:val="center"/>
          </w:tcPr>
          <w:p w14:paraId="2843A447" w14:textId="77777777" w:rsidR="00E143FB" w:rsidRDefault="00E143FB" w:rsidP="00AB176F">
            <w:pPr>
              <w:spacing w:after="0" w:line="240" w:lineRule="auto"/>
              <w:jc w:val="center"/>
              <w:rPr>
                <w:rFonts w:ascii="Arial" w:hAnsi="Arial"/>
                <w:color w:val="000000"/>
                <w:sz w:val="14"/>
                <w:szCs w:val="14"/>
              </w:rPr>
            </w:pPr>
          </w:p>
        </w:tc>
        <w:tc>
          <w:tcPr>
            <w:tcW w:w="567" w:type="dxa"/>
            <w:tcBorders>
              <w:left w:val="single" w:sz="8" w:space="0" w:color="auto"/>
            </w:tcBorders>
            <w:shd w:val="clear" w:color="auto" w:fill="E5B8B7"/>
            <w:tcMar>
              <w:left w:w="28" w:type="dxa"/>
              <w:right w:w="57" w:type="dxa"/>
            </w:tcMar>
            <w:vAlign w:val="center"/>
          </w:tcPr>
          <w:p w14:paraId="4601FE86" w14:textId="77777777" w:rsidR="00E143FB" w:rsidRDefault="00E143FB" w:rsidP="00AB176F">
            <w:pPr>
              <w:spacing w:after="0" w:line="240" w:lineRule="auto"/>
              <w:jc w:val="center"/>
              <w:rPr>
                <w:rFonts w:ascii="Arial" w:hAnsi="Arial"/>
                <w:color w:val="000000"/>
                <w:sz w:val="14"/>
                <w:szCs w:val="14"/>
              </w:rPr>
            </w:pPr>
          </w:p>
        </w:tc>
        <w:tc>
          <w:tcPr>
            <w:tcW w:w="567" w:type="dxa"/>
            <w:shd w:val="clear" w:color="auto" w:fill="F8E0A4"/>
            <w:tcMar>
              <w:left w:w="28" w:type="dxa"/>
              <w:right w:w="57" w:type="dxa"/>
            </w:tcMar>
            <w:vAlign w:val="center"/>
          </w:tcPr>
          <w:p w14:paraId="558E4680" w14:textId="77777777" w:rsidR="00E143FB" w:rsidRDefault="00E143FB" w:rsidP="00AB176F">
            <w:pPr>
              <w:spacing w:after="0" w:line="240" w:lineRule="auto"/>
              <w:jc w:val="center"/>
              <w:rPr>
                <w:rFonts w:ascii="Arial" w:hAnsi="Arial"/>
                <w:color w:val="000000"/>
                <w:sz w:val="14"/>
                <w:szCs w:val="14"/>
              </w:rPr>
            </w:pPr>
          </w:p>
        </w:tc>
        <w:tc>
          <w:tcPr>
            <w:tcW w:w="567" w:type="dxa"/>
            <w:tcBorders>
              <w:right w:val="single" w:sz="8" w:space="0" w:color="auto"/>
            </w:tcBorders>
            <w:shd w:val="clear" w:color="auto" w:fill="D6E3BC"/>
            <w:tcMar>
              <w:left w:w="28" w:type="dxa"/>
              <w:right w:w="57" w:type="dxa"/>
            </w:tcMar>
            <w:vAlign w:val="center"/>
          </w:tcPr>
          <w:p w14:paraId="4E3384F3" w14:textId="77777777" w:rsidR="00E143FB" w:rsidRDefault="00E143FB" w:rsidP="00AB176F">
            <w:pPr>
              <w:spacing w:after="0" w:line="240" w:lineRule="auto"/>
              <w:jc w:val="center"/>
              <w:rPr>
                <w:rFonts w:ascii="Arial" w:hAnsi="Arial"/>
                <w:color w:val="000000"/>
                <w:sz w:val="14"/>
                <w:szCs w:val="14"/>
              </w:rPr>
            </w:pPr>
          </w:p>
        </w:tc>
        <w:tc>
          <w:tcPr>
            <w:tcW w:w="567" w:type="dxa"/>
            <w:tcBorders>
              <w:left w:val="single" w:sz="8" w:space="0" w:color="auto"/>
            </w:tcBorders>
            <w:shd w:val="clear" w:color="auto" w:fill="E5B8B7"/>
            <w:tcMar>
              <w:left w:w="28" w:type="dxa"/>
              <w:right w:w="57" w:type="dxa"/>
            </w:tcMar>
            <w:vAlign w:val="center"/>
          </w:tcPr>
          <w:p w14:paraId="2980400F" w14:textId="77777777" w:rsidR="00E143FB" w:rsidRDefault="00E143FB" w:rsidP="00AB176F">
            <w:pPr>
              <w:spacing w:after="0" w:line="240" w:lineRule="auto"/>
              <w:jc w:val="center"/>
              <w:rPr>
                <w:rFonts w:ascii="Arial" w:hAnsi="Arial"/>
                <w:color w:val="000000"/>
                <w:sz w:val="14"/>
                <w:szCs w:val="14"/>
              </w:rPr>
            </w:pPr>
          </w:p>
        </w:tc>
        <w:tc>
          <w:tcPr>
            <w:tcW w:w="567" w:type="dxa"/>
            <w:shd w:val="clear" w:color="auto" w:fill="F8E0A4"/>
            <w:tcMar>
              <w:left w:w="28" w:type="dxa"/>
              <w:right w:w="57" w:type="dxa"/>
            </w:tcMar>
            <w:vAlign w:val="center"/>
          </w:tcPr>
          <w:p w14:paraId="38265ADD" w14:textId="77777777" w:rsidR="00E143FB" w:rsidRDefault="00E143FB" w:rsidP="00AB176F">
            <w:pPr>
              <w:spacing w:after="0" w:line="240" w:lineRule="auto"/>
              <w:jc w:val="center"/>
              <w:rPr>
                <w:rFonts w:ascii="Arial" w:hAnsi="Arial"/>
                <w:color w:val="000000"/>
                <w:sz w:val="14"/>
                <w:szCs w:val="14"/>
              </w:rPr>
            </w:pPr>
          </w:p>
        </w:tc>
        <w:tc>
          <w:tcPr>
            <w:tcW w:w="567" w:type="dxa"/>
            <w:shd w:val="clear" w:color="auto" w:fill="D6E3BC"/>
            <w:tcMar>
              <w:left w:w="28" w:type="dxa"/>
              <w:right w:w="57" w:type="dxa"/>
            </w:tcMar>
            <w:vAlign w:val="center"/>
          </w:tcPr>
          <w:p w14:paraId="32789AD7" w14:textId="77777777" w:rsidR="00E143FB" w:rsidRDefault="00E143FB" w:rsidP="00AB176F">
            <w:pPr>
              <w:spacing w:after="0" w:line="240" w:lineRule="auto"/>
              <w:jc w:val="center"/>
              <w:rPr>
                <w:rFonts w:ascii="Arial" w:hAnsi="Arial"/>
                <w:color w:val="000000"/>
                <w:sz w:val="14"/>
                <w:szCs w:val="14"/>
              </w:rPr>
            </w:pPr>
          </w:p>
        </w:tc>
      </w:tr>
      <w:tr w:rsidR="00E143FB" w:rsidRPr="002C3EA2" w14:paraId="14905990" w14:textId="77777777" w:rsidTr="00AB176F">
        <w:trPr>
          <w:jc w:val="center"/>
        </w:trPr>
        <w:tc>
          <w:tcPr>
            <w:tcW w:w="3110" w:type="dxa"/>
            <w:tcBorders>
              <w:right w:val="single" w:sz="8" w:space="0" w:color="auto"/>
            </w:tcBorders>
            <w:tcMar>
              <w:left w:w="85" w:type="dxa"/>
              <w:right w:w="85" w:type="dxa"/>
            </w:tcMar>
            <w:vAlign w:val="center"/>
          </w:tcPr>
          <w:p w14:paraId="39EF5E4E" w14:textId="77777777" w:rsidR="00E143FB" w:rsidRDefault="00E143FB" w:rsidP="00AB176F">
            <w:pPr>
              <w:spacing w:before="40" w:after="40" w:line="240" w:lineRule="auto"/>
              <w:rPr>
                <w:rFonts w:ascii="Arial" w:hAnsi="Arial"/>
                <w:color w:val="000000"/>
                <w:sz w:val="14"/>
                <w:szCs w:val="14"/>
              </w:rPr>
            </w:pPr>
            <w:r>
              <w:rPr>
                <w:rFonts w:ascii="Arial" w:hAnsi="Arial"/>
                <w:color w:val="000000"/>
                <w:sz w:val="14"/>
                <w:szCs w:val="14"/>
              </w:rPr>
              <w:t>All 0-17s</w:t>
            </w:r>
          </w:p>
        </w:tc>
        <w:tc>
          <w:tcPr>
            <w:tcW w:w="571" w:type="dxa"/>
            <w:tcBorders>
              <w:left w:val="single" w:sz="8" w:space="0" w:color="auto"/>
            </w:tcBorders>
            <w:shd w:val="clear" w:color="auto" w:fill="E5B8B7"/>
            <w:tcMar>
              <w:left w:w="28" w:type="dxa"/>
              <w:right w:w="57" w:type="dxa"/>
            </w:tcMar>
            <w:vAlign w:val="center"/>
          </w:tcPr>
          <w:p w14:paraId="2F01A4DD"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98,000</w:t>
            </w:r>
          </w:p>
        </w:tc>
        <w:tc>
          <w:tcPr>
            <w:tcW w:w="567" w:type="dxa"/>
            <w:shd w:val="clear" w:color="auto" w:fill="F8E0A4"/>
            <w:tcMar>
              <w:left w:w="28" w:type="dxa"/>
              <w:right w:w="57" w:type="dxa"/>
            </w:tcMar>
            <w:vAlign w:val="center"/>
          </w:tcPr>
          <w:p w14:paraId="6D1E738C"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98,000</w:t>
            </w:r>
          </w:p>
        </w:tc>
        <w:tc>
          <w:tcPr>
            <w:tcW w:w="567" w:type="dxa"/>
            <w:tcBorders>
              <w:right w:val="single" w:sz="8" w:space="0" w:color="auto"/>
            </w:tcBorders>
            <w:shd w:val="clear" w:color="auto" w:fill="D6E3BC"/>
            <w:tcMar>
              <w:left w:w="28" w:type="dxa"/>
              <w:right w:w="57" w:type="dxa"/>
            </w:tcMar>
            <w:vAlign w:val="center"/>
          </w:tcPr>
          <w:p w14:paraId="4443A3B7"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99,000</w:t>
            </w:r>
          </w:p>
        </w:tc>
        <w:tc>
          <w:tcPr>
            <w:tcW w:w="567" w:type="dxa"/>
            <w:tcBorders>
              <w:left w:val="single" w:sz="8" w:space="0" w:color="auto"/>
            </w:tcBorders>
            <w:shd w:val="clear" w:color="auto" w:fill="E5B8B7"/>
            <w:tcMar>
              <w:left w:w="28" w:type="dxa"/>
              <w:right w:w="57" w:type="dxa"/>
            </w:tcMar>
            <w:vAlign w:val="center"/>
          </w:tcPr>
          <w:p w14:paraId="71EC8602"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89,000</w:t>
            </w:r>
          </w:p>
        </w:tc>
        <w:tc>
          <w:tcPr>
            <w:tcW w:w="567" w:type="dxa"/>
            <w:shd w:val="clear" w:color="auto" w:fill="F8E0A4"/>
            <w:tcMar>
              <w:left w:w="28" w:type="dxa"/>
              <w:right w:w="57" w:type="dxa"/>
            </w:tcMar>
            <w:vAlign w:val="center"/>
          </w:tcPr>
          <w:p w14:paraId="19DDF576"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89,000</w:t>
            </w:r>
          </w:p>
        </w:tc>
        <w:tc>
          <w:tcPr>
            <w:tcW w:w="567" w:type="dxa"/>
            <w:tcBorders>
              <w:right w:val="single" w:sz="8" w:space="0" w:color="auto"/>
            </w:tcBorders>
            <w:shd w:val="clear" w:color="auto" w:fill="D6E3BC"/>
            <w:tcMar>
              <w:left w:w="28" w:type="dxa"/>
              <w:right w:w="57" w:type="dxa"/>
            </w:tcMar>
            <w:vAlign w:val="center"/>
          </w:tcPr>
          <w:p w14:paraId="731E77B8"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90,000</w:t>
            </w:r>
          </w:p>
        </w:tc>
        <w:tc>
          <w:tcPr>
            <w:tcW w:w="567" w:type="dxa"/>
            <w:tcBorders>
              <w:left w:val="single" w:sz="8" w:space="0" w:color="auto"/>
            </w:tcBorders>
            <w:shd w:val="clear" w:color="auto" w:fill="E5B8B7"/>
            <w:tcMar>
              <w:left w:w="28" w:type="dxa"/>
              <w:right w:w="57" w:type="dxa"/>
            </w:tcMar>
            <w:vAlign w:val="center"/>
          </w:tcPr>
          <w:p w14:paraId="72E3D576"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79,000</w:t>
            </w:r>
          </w:p>
        </w:tc>
        <w:tc>
          <w:tcPr>
            <w:tcW w:w="567" w:type="dxa"/>
            <w:shd w:val="clear" w:color="auto" w:fill="F8E0A4"/>
            <w:tcMar>
              <w:left w:w="28" w:type="dxa"/>
              <w:right w:w="57" w:type="dxa"/>
            </w:tcMar>
            <w:vAlign w:val="center"/>
          </w:tcPr>
          <w:p w14:paraId="29810761"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79,000</w:t>
            </w:r>
          </w:p>
        </w:tc>
        <w:tc>
          <w:tcPr>
            <w:tcW w:w="567" w:type="dxa"/>
            <w:shd w:val="clear" w:color="auto" w:fill="D6E3BC"/>
            <w:tcMar>
              <w:left w:w="28" w:type="dxa"/>
              <w:right w:w="57" w:type="dxa"/>
            </w:tcMar>
            <w:vAlign w:val="center"/>
          </w:tcPr>
          <w:p w14:paraId="5604E349" w14:textId="77777777" w:rsidR="00E143FB" w:rsidRDefault="00E143FB" w:rsidP="00AB176F">
            <w:pPr>
              <w:spacing w:after="0" w:line="240" w:lineRule="auto"/>
              <w:jc w:val="center"/>
              <w:rPr>
                <w:rFonts w:ascii="Arial" w:hAnsi="Arial"/>
                <w:color w:val="000000"/>
                <w:sz w:val="14"/>
                <w:szCs w:val="14"/>
              </w:rPr>
            </w:pPr>
            <w:r>
              <w:rPr>
                <w:rFonts w:ascii="Arial" w:hAnsi="Arial"/>
                <w:color w:val="000000"/>
                <w:sz w:val="14"/>
                <w:szCs w:val="14"/>
              </w:rPr>
              <w:t>80,000</w:t>
            </w:r>
          </w:p>
        </w:tc>
      </w:tr>
      <w:bookmarkEnd w:id="5"/>
    </w:tbl>
    <w:p w14:paraId="00C8AE53" w14:textId="77777777" w:rsidR="00E143FB" w:rsidRDefault="00E143FB" w:rsidP="00E143FB"/>
    <w:p w14:paraId="3880F724" w14:textId="77777777" w:rsidR="00D669E5" w:rsidRPr="007345A3" w:rsidRDefault="00D669E5" w:rsidP="007345A3">
      <w:pPr>
        <w:spacing w:after="0" w:line="264" w:lineRule="auto"/>
        <w:rPr>
          <w:rFonts w:ascii="Arial" w:eastAsia="Times New Roman" w:hAnsi="Arial" w:cs="Times New Roman"/>
          <w:color w:val="000000" w:themeColor="text1"/>
          <w:sz w:val="18"/>
          <w:szCs w:val="18"/>
        </w:rPr>
      </w:pPr>
      <w:r w:rsidRPr="00BF2CF5">
        <w:rPr>
          <w:rFonts w:ascii="Arial" w:eastAsia="Times New Roman" w:hAnsi="Arial"/>
          <w:color w:val="000000" w:themeColor="text1"/>
          <w:sz w:val="18"/>
          <w:szCs w:val="18"/>
          <w:lang w:val="en-GB" w:eastAsia="en-GB"/>
        </w:rPr>
        <w:t>[</w:t>
      </w:r>
      <w:r w:rsidRPr="007345A3">
        <w:rPr>
          <w:rFonts w:ascii="Arial" w:eastAsia="Times New Roman" w:hAnsi="Arial"/>
          <w:color w:val="000000" w:themeColor="text1"/>
          <w:sz w:val="18"/>
          <w:szCs w:val="18"/>
          <w:lang w:val="en-GB" w:eastAsia="en-GB"/>
        </w:rPr>
        <w:t xml:space="preserve">As an aside, it is worth noting that in the table above the self-assessed income adequacy responses are clearly </w:t>
      </w:r>
      <w:r w:rsidRPr="007345A3">
        <w:rPr>
          <w:rFonts w:ascii="Arial" w:eastAsia="Times New Roman" w:hAnsi="Arial" w:cs="Times New Roman"/>
          <w:color w:val="000000" w:themeColor="text1"/>
          <w:sz w:val="18"/>
          <w:szCs w:val="18"/>
        </w:rPr>
        <w:t xml:space="preserve">contextualised ones about the adequacy of household income </w:t>
      </w:r>
      <w:r w:rsidRPr="007345A3">
        <w:rPr>
          <w:rFonts w:ascii="Arial" w:eastAsia="Times New Roman" w:hAnsi="Arial" w:cs="Times New Roman"/>
          <w:color w:val="000000" w:themeColor="text1"/>
          <w:sz w:val="18"/>
          <w:szCs w:val="18"/>
          <w:u w:val="single"/>
        </w:rPr>
        <w:t>given their particular household circumstances</w:t>
      </w:r>
      <w:r w:rsidRPr="007345A3">
        <w:rPr>
          <w:rFonts w:ascii="Arial" w:eastAsia="Times New Roman" w:hAnsi="Arial" w:cs="Times New Roman"/>
          <w:color w:val="000000" w:themeColor="text1"/>
          <w:sz w:val="18"/>
          <w:szCs w:val="18"/>
        </w:rPr>
        <w:t>. They follow the material hardship rates reasonably closely, indicating that in their self-assessments respondents take account of the full range of household circumstances, not just income.]</w:t>
      </w:r>
    </w:p>
    <w:p w14:paraId="630F89D7" w14:textId="342BD70C" w:rsidR="002C3EA2" w:rsidRPr="00C22AEF" w:rsidRDefault="00E143FB" w:rsidP="002C3EA2">
      <w:pPr>
        <w:spacing w:after="0" w:line="240" w:lineRule="auto"/>
        <w:rPr>
          <w:rFonts w:ascii="Arial" w:hAnsi="Arial"/>
          <w:b/>
          <w:bCs/>
          <w:color w:val="000000" w:themeColor="text1"/>
          <w:sz w:val="24"/>
          <w:szCs w:val="24"/>
        </w:rPr>
      </w:pPr>
      <w:r>
        <w:rPr>
          <w:rFonts w:ascii="Arial" w:hAnsi="Arial"/>
          <w:color w:val="000000" w:themeColor="text1"/>
        </w:rPr>
        <w:br w:type="page"/>
      </w:r>
      <w:r w:rsidR="00C22AEF" w:rsidRPr="00C22AEF">
        <w:rPr>
          <w:rFonts w:ascii="Arial" w:hAnsi="Arial"/>
          <w:b/>
          <w:bCs/>
          <w:color w:val="000000" w:themeColor="text1"/>
          <w:sz w:val="24"/>
          <w:szCs w:val="24"/>
        </w:rPr>
        <w:lastRenderedPageBreak/>
        <w:t>‘Poverty’ in this report</w:t>
      </w:r>
    </w:p>
    <w:p w14:paraId="6627E0FC" w14:textId="77777777" w:rsidR="002C3EA2" w:rsidRPr="00C72964" w:rsidRDefault="002C3EA2" w:rsidP="002C3EA2">
      <w:pPr>
        <w:spacing w:after="0" w:line="240" w:lineRule="auto"/>
        <w:jc w:val="both"/>
        <w:rPr>
          <w:rFonts w:ascii="Arial" w:eastAsia="Times New Roman" w:hAnsi="Arial"/>
          <w:color w:val="000000" w:themeColor="text1"/>
          <w:sz w:val="18"/>
          <w:szCs w:val="18"/>
          <w:lang w:val="en-GB"/>
        </w:rPr>
      </w:pPr>
    </w:p>
    <w:p w14:paraId="520D7476" w14:textId="409C10ED" w:rsidR="009D1C54" w:rsidRPr="00773157" w:rsidRDefault="002C3EA2" w:rsidP="009D1C54">
      <w:pPr>
        <w:spacing w:after="0" w:line="240" w:lineRule="auto"/>
        <w:jc w:val="both"/>
        <w:rPr>
          <w:rFonts w:ascii="Arial" w:eastAsia="Times New Roman" w:hAnsi="Arial"/>
          <w:color w:val="000000" w:themeColor="text1"/>
          <w:szCs w:val="20"/>
          <w:lang w:val="en-GB"/>
        </w:rPr>
      </w:pPr>
      <w:r w:rsidRPr="00773157">
        <w:rPr>
          <w:rFonts w:ascii="Arial" w:eastAsia="Times New Roman" w:hAnsi="Arial"/>
          <w:color w:val="000000" w:themeColor="text1"/>
          <w:szCs w:val="20"/>
          <w:lang w:val="en-GB"/>
        </w:rPr>
        <w:t xml:space="preserve">Poverty in this report and in the measures specified in the </w:t>
      </w:r>
      <w:r w:rsidR="00C14472" w:rsidRPr="00773157">
        <w:rPr>
          <w:rFonts w:ascii="Arial" w:eastAsia="Times New Roman" w:hAnsi="Arial"/>
          <w:color w:val="000000" w:themeColor="text1"/>
          <w:szCs w:val="20"/>
          <w:lang w:val="en-GB"/>
        </w:rPr>
        <w:t>Child Poverty Reduction Act (</w:t>
      </w:r>
      <w:r w:rsidRPr="00773157">
        <w:rPr>
          <w:rFonts w:ascii="Arial" w:eastAsia="Times New Roman" w:hAnsi="Arial"/>
          <w:color w:val="000000" w:themeColor="text1"/>
          <w:szCs w:val="20"/>
          <w:lang w:val="en-GB"/>
        </w:rPr>
        <w:t>CPR</w:t>
      </w:r>
      <w:r w:rsidR="00FB1E00" w:rsidRPr="00773157">
        <w:rPr>
          <w:rFonts w:ascii="Arial" w:eastAsia="Times New Roman" w:hAnsi="Arial"/>
          <w:color w:val="000000" w:themeColor="text1"/>
          <w:szCs w:val="20"/>
          <w:lang w:val="en-GB"/>
        </w:rPr>
        <w:t>A</w:t>
      </w:r>
      <w:r w:rsidR="00C14472" w:rsidRPr="00773157">
        <w:rPr>
          <w:rFonts w:ascii="Arial" w:eastAsia="Times New Roman" w:hAnsi="Arial"/>
          <w:color w:val="000000" w:themeColor="text1"/>
          <w:szCs w:val="20"/>
          <w:lang w:val="en-GB"/>
        </w:rPr>
        <w:t>)</w:t>
      </w:r>
      <w:r w:rsidRPr="00773157">
        <w:rPr>
          <w:rFonts w:ascii="Arial" w:eastAsia="Times New Roman" w:hAnsi="Arial"/>
          <w:color w:val="000000" w:themeColor="text1"/>
          <w:szCs w:val="20"/>
          <w:lang w:val="en-GB"/>
        </w:rPr>
        <w:t xml:space="preserve"> is essentially about household resources being insufficient to </w:t>
      </w:r>
      <w:r w:rsidR="00C9699D" w:rsidRPr="00773157">
        <w:rPr>
          <w:rFonts w:ascii="Arial" w:eastAsia="Times New Roman" w:hAnsi="Arial"/>
          <w:color w:val="000000" w:themeColor="text1"/>
          <w:szCs w:val="20"/>
          <w:lang w:val="en-GB"/>
        </w:rPr>
        <w:t xml:space="preserve">enable households to </w:t>
      </w:r>
      <w:r w:rsidRPr="00773157">
        <w:rPr>
          <w:rFonts w:ascii="Arial" w:eastAsia="Times New Roman" w:hAnsi="Arial"/>
          <w:color w:val="000000" w:themeColor="text1"/>
          <w:szCs w:val="20"/>
          <w:lang w:val="en-GB"/>
        </w:rPr>
        <w:t xml:space="preserve">meet basic </w:t>
      </w:r>
      <w:r w:rsidR="00AC5CD3" w:rsidRPr="00773157">
        <w:rPr>
          <w:rFonts w:ascii="Arial" w:eastAsia="Times New Roman" w:hAnsi="Arial"/>
          <w:color w:val="000000" w:themeColor="text1"/>
          <w:szCs w:val="20"/>
          <w:lang w:val="en-GB"/>
        </w:rPr>
        <w:t xml:space="preserve">household </w:t>
      </w:r>
      <w:r w:rsidRPr="00773157">
        <w:rPr>
          <w:rFonts w:ascii="Arial" w:eastAsia="Times New Roman" w:hAnsi="Arial"/>
          <w:color w:val="000000" w:themeColor="text1"/>
          <w:szCs w:val="20"/>
          <w:lang w:val="en-GB"/>
        </w:rPr>
        <w:t>needs</w:t>
      </w:r>
      <w:r w:rsidR="00E41C85" w:rsidRPr="00773157">
        <w:rPr>
          <w:rFonts w:ascii="Arial" w:eastAsia="Times New Roman" w:hAnsi="Arial"/>
          <w:color w:val="000000" w:themeColor="text1"/>
          <w:szCs w:val="20"/>
          <w:lang w:val="en-GB"/>
        </w:rPr>
        <w:t xml:space="preserve"> in a more economically developed country</w:t>
      </w:r>
      <w:r w:rsidR="00AC5CD3" w:rsidRPr="00773157">
        <w:rPr>
          <w:rFonts w:ascii="Arial" w:eastAsia="Times New Roman" w:hAnsi="Arial"/>
          <w:color w:val="000000" w:themeColor="text1"/>
          <w:szCs w:val="20"/>
          <w:lang w:val="en-GB"/>
        </w:rPr>
        <w:t xml:space="preserve"> </w:t>
      </w:r>
      <w:r w:rsidR="00E41C85" w:rsidRPr="00773157">
        <w:rPr>
          <w:rFonts w:ascii="Arial" w:eastAsia="Times New Roman" w:hAnsi="Arial"/>
          <w:color w:val="000000" w:themeColor="text1"/>
          <w:szCs w:val="20"/>
          <w:lang w:val="en-GB"/>
        </w:rPr>
        <w:t>(</w:t>
      </w:r>
      <w:r w:rsidR="00AC5CD3" w:rsidRPr="00773157">
        <w:rPr>
          <w:rFonts w:ascii="Arial" w:eastAsia="Times New Roman" w:hAnsi="Arial"/>
          <w:color w:val="000000" w:themeColor="text1"/>
          <w:szCs w:val="20"/>
          <w:lang w:val="en-GB"/>
        </w:rPr>
        <w:t xml:space="preserve">as in the </w:t>
      </w:r>
      <w:r w:rsidR="00E41C85" w:rsidRPr="00773157">
        <w:rPr>
          <w:rFonts w:ascii="Arial" w:eastAsia="Times New Roman" w:hAnsi="Arial"/>
          <w:color w:val="000000" w:themeColor="text1"/>
          <w:szCs w:val="20"/>
          <w:lang w:val="en-GB"/>
        </w:rPr>
        <w:t>OECD</w:t>
      </w:r>
      <w:r w:rsidR="00AC5CD3" w:rsidRPr="00773157">
        <w:rPr>
          <w:rFonts w:ascii="Arial" w:eastAsia="Times New Roman" w:hAnsi="Arial"/>
          <w:color w:val="000000" w:themeColor="text1"/>
          <w:szCs w:val="20"/>
          <w:lang w:val="en-GB"/>
        </w:rPr>
        <w:t xml:space="preserve"> or </w:t>
      </w:r>
      <w:r w:rsidR="00E41C85" w:rsidRPr="00773157">
        <w:rPr>
          <w:rFonts w:ascii="Arial" w:eastAsia="Times New Roman" w:hAnsi="Arial"/>
          <w:color w:val="000000" w:themeColor="text1"/>
          <w:szCs w:val="20"/>
          <w:lang w:val="en-GB"/>
        </w:rPr>
        <w:t>EU).</w:t>
      </w:r>
      <w:r w:rsidRPr="00773157">
        <w:rPr>
          <w:rFonts w:ascii="Arial" w:eastAsia="Times New Roman" w:hAnsi="Arial"/>
          <w:color w:val="000000" w:themeColor="text1"/>
          <w:szCs w:val="20"/>
          <w:lang w:val="en-GB"/>
        </w:rPr>
        <w:t xml:space="preserve"> </w:t>
      </w:r>
      <w:r w:rsidR="00AC5CD3" w:rsidRPr="00773157">
        <w:rPr>
          <w:rFonts w:ascii="Arial" w:eastAsia="Times New Roman" w:hAnsi="Arial"/>
          <w:color w:val="000000" w:themeColor="text1"/>
          <w:szCs w:val="20"/>
          <w:lang w:val="en-GB"/>
        </w:rPr>
        <w:t xml:space="preserve">Poverty </w:t>
      </w:r>
      <w:r w:rsidRPr="00773157">
        <w:rPr>
          <w:rFonts w:ascii="Arial" w:eastAsia="Times New Roman" w:hAnsi="Arial"/>
          <w:color w:val="000000" w:themeColor="text1"/>
          <w:szCs w:val="20"/>
          <w:lang w:val="en-GB"/>
        </w:rPr>
        <w:t xml:space="preserve">is understood as </w:t>
      </w:r>
      <w:r w:rsidRPr="00773157">
        <w:rPr>
          <w:rFonts w:ascii="Arial" w:hAnsi="Arial"/>
          <w:color w:val="000000" w:themeColor="text1"/>
        </w:rPr>
        <w:t>‘</w:t>
      </w:r>
      <w:r w:rsidRPr="00773157">
        <w:rPr>
          <w:rFonts w:ascii="Arial" w:hAnsi="Arial"/>
          <w:i/>
          <w:iCs/>
          <w:color w:val="000000" w:themeColor="text1"/>
        </w:rPr>
        <w:t>exclusion from the minimum acceptable way of life (standard of living) in one’s own society because of inadequate resources’</w:t>
      </w:r>
      <w:r w:rsidRPr="00773157">
        <w:rPr>
          <w:rFonts w:ascii="Arial" w:hAnsi="Arial"/>
          <w:color w:val="000000" w:themeColor="text1"/>
        </w:rPr>
        <w:t xml:space="preserve">. </w:t>
      </w:r>
      <w:r w:rsidR="009D1C54" w:rsidRPr="00773157">
        <w:rPr>
          <w:rFonts w:ascii="Arial" w:hAnsi="Arial"/>
          <w:color w:val="000000" w:themeColor="text1"/>
        </w:rPr>
        <w:t>It is in line with the EU definition which was first agreed at the 1975 EU Council of Ministers, and which was inspired by the work of Peter Townsend in the UK in the 1970s.</w:t>
      </w:r>
      <w:r w:rsidR="00CC50D1" w:rsidRPr="00773157">
        <w:rPr>
          <w:rStyle w:val="FootnoteReference"/>
          <w:rFonts w:ascii="Arial" w:hAnsi="Arial"/>
          <w:color w:val="000000" w:themeColor="text1"/>
        </w:rPr>
        <w:footnoteReference w:id="9"/>
      </w:r>
      <w:r w:rsidR="00F40511" w:rsidRPr="00773157">
        <w:rPr>
          <w:rFonts w:ascii="Arial" w:hAnsi="Arial"/>
          <w:color w:val="000000" w:themeColor="text1"/>
        </w:rPr>
        <w:t xml:space="preserve"> </w:t>
      </w:r>
    </w:p>
    <w:p w14:paraId="671346AA" w14:textId="77777777" w:rsidR="00705441" w:rsidRPr="00773157" w:rsidRDefault="00705441" w:rsidP="002C3EA2">
      <w:pPr>
        <w:spacing w:after="0" w:line="240" w:lineRule="auto"/>
        <w:jc w:val="both"/>
        <w:rPr>
          <w:rFonts w:ascii="Arial" w:hAnsi="Arial"/>
          <w:color w:val="000000" w:themeColor="text1"/>
        </w:rPr>
      </w:pPr>
    </w:p>
    <w:p w14:paraId="29EF8632" w14:textId="13529EF2" w:rsidR="00C9699D" w:rsidRPr="00773157" w:rsidRDefault="00C9699D" w:rsidP="002C3EA2">
      <w:pPr>
        <w:spacing w:after="0" w:line="240" w:lineRule="auto"/>
        <w:jc w:val="both"/>
        <w:rPr>
          <w:rFonts w:ascii="Arial" w:hAnsi="Arial"/>
          <w:color w:val="000000" w:themeColor="text1"/>
        </w:rPr>
      </w:pPr>
      <w:r w:rsidRPr="00773157">
        <w:rPr>
          <w:rFonts w:ascii="Arial" w:hAnsi="Arial"/>
          <w:color w:val="000000" w:themeColor="text1"/>
        </w:rPr>
        <w:t xml:space="preserve">It is </w:t>
      </w:r>
      <w:r w:rsidR="00490A33">
        <w:rPr>
          <w:rFonts w:ascii="Arial" w:hAnsi="Arial"/>
          <w:color w:val="000000" w:themeColor="text1"/>
        </w:rPr>
        <w:t>important to</w:t>
      </w:r>
      <w:r w:rsidRPr="00773157">
        <w:rPr>
          <w:rFonts w:ascii="Arial" w:hAnsi="Arial"/>
          <w:color w:val="000000" w:themeColor="text1"/>
        </w:rPr>
        <w:t xml:space="preserve"> keep in mind the distinction between t</w:t>
      </w:r>
      <w:r w:rsidR="002C3EA2" w:rsidRPr="00773157">
        <w:rPr>
          <w:rFonts w:ascii="Arial" w:hAnsi="Arial"/>
          <w:color w:val="000000" w:themeColor="text1"/>
        </w:rPr>
        <w:t xml:space="preserve">his </w:t>
      </w:r>
      <w:r w:rsidRPr="00773157">
        <w:rPr>
          <w:rFonts w:ascii="Arial" w:hAnsi="Arial"/>
          <w:color w:val="000000" w:themeColor="text1"/>
        </w:rPr>
        <w:t>conceptualisation of poverty and some others that are used. For example:</w:t>
      </w:r>
    </w:p>
    <w:p w14:paraId="6F47D40D" w14:textId="41D3791F" w:rsidR="00C9699D" w:rsidRPr="00773157" w:rsidRDefault="00E764D3">
      <w:pPr>
        <w:pStyle w:val="ListParagraph"/>
        <w:numPr>
          <w:ilvl w:val="0"/>
          <w:numId w:val="34"/>
        </w:numPr>
        <w:spacing w:after="0" w:line="240" w:lineRule="auto"/>
        <w:jc w:val="both"/>
        <w:rPr>
          <w:rFonts w:ascii="Arial" w:hAnsi="Arial"/>
          <w:color w:val="000000" w:themeColor="text1"/>
        </w:rPr>
      </w:pPr>
      <w:r w:rsidRPr="00773157">
        <w:rPr>
          <w:rFonts w:ascii="Arial" w:hAnsi="Arial"/>
          <w:color w:val="000000" w:themeColor="text1"/>
        </w:rPr>
        <w:t>i</w:t>
      </w:r>
      <w:r w:rsidR="00C9699D" w:rsidRPr="00773157">
        <w:rPr>
          <w:rFonts w:ascii="Arial" w:hAnsi="Arial"/>
          <w:color w:val="000000" w:themeColor="text1"/>
        </w:rPr>
        <w:t xml:space="preserve">t differs from </w:t>
      </w:r>
      <w:r w:rsidR="00E11B32" w:rsidRPr="00773157">
        <w:rPr>
          <w:rFonts w:ascii="Arial" w:hAnsi="Arial"/>
          <w:color w:val="000000" w:themeColor="text1"/>
        </w:rPr>
        <w:t>a subsistence definition</w:t>
      </w:r>
      <w:r w:rsidR="00C46931" w:rsidRPr="00773157">
        <w:rPr>
          <w:rFonts w:ascii="Arial" w:hAnsi="Arial"/>
          <w:color w:val="000000" w:themeColor="text1"/>
        </w:rPr>
        <w:t xml:space="preserve"> which focuses on the </w:t>
      </w:r>
      <w:r w:rsidR="00BF5F16" w:rsidRPr="00773157">
        <w:rPr>
          <w:rFonts w:ascii="Arial" w:hAnsi="Arial"/>
          <w:color w:val="000000" w:themeColor="text1"/>
        </w:rPr>
        <w:t xml:space="preserve">bare </w:t>
      </w:r>
      <w:r w:rsidR="00C46931" w:rsidRPr="00773157">
        <w:rPr>
          <w:rFonts w:ascii="Arial" w:hAnsi="Arial"/>
          <w:color w:val="000000" w:themeColor="text1"/>
        </w:rPr>
        <w:t>minimum needed</w:t>
      </w:r>
      <w:r w:rsidR="001D0830" w:rsidRPr="00773157">
        <w:rPr>
          <w:rFonts w:ascii="Arial" w:hAnsi="Arial"/>
          <w:color w:val="000000" w:themeColor="text1"/>
        </w:rPr>
        <w:t xml:space="preserve"> </w:t>
      </w:r>
      <w:r w:rsidR="00C46931" w:rsidRPr="00773157">
        <w:rPr>
          <w:rFonts w:ascii="Arial" w:hAnsi="Arial"/>
          <w:color w:val="000000" w:themeColor="text1"/>
        </w:rPr>
        <w:t>for</w:t>
      </w:r>
      <w:r w:rsidR="001D0830" w:rsidRPr="00773157">
        <w:rPr>
          <w:rFonts w:ascii="Arial" w:hAnsi="Arial"/>
          <w:color w:val="000000" w:themeColor="text1"/>
        </w:rPr>
        <w:t xml:space="preserve"> </w:t>
      </w:r>
      <w:r w:rsidR="00C46931" w:rsidRPr="00773157">
        <w:rPr>
          <w:rFonts w:ascii="Arial" w:hAnsi="Arial"/>
          <w:color w:val="000000" w:themeColor="text1"/>
        </w:rPr>
        <w:t>survival</w:t>
      </w:r>
      <w:r w:rsidR="00C9699D" w:rsidRPr="00773157">
        <w:rPr>
          <w:rFonts w:ascii="Arial" w:hAnsi="Arial"/>
          <w:color w:val="000000" w:themeColor="text1"/>
        </w:rPr>
        <w:t xml:space="preserve"> and which is used in discussing and measuring poverty in poorer countries</w:t>
      </w:r>
    </w:p>
    <w:p w14:paraId="22EF0242" w14:textId="1A5F3B55" w:rsidR="002C3EA2" w:rsidRPr="00773157" w:rsidRDefault="00C9699D">
      <w:pPr>
        <w:pStyle w:val="ListParagraph"/>
        <w:numPr>
          <w:ilvl w:val="0"/>
          <w:numId w:val="34"/>
        </w:numPr>
        <w:spacing w:after="0" w:line="240" w:lineRule="auto"/>
        <w:jc w:val="both"/>
        <w:rPr>
          <w:rFonts w:ascii="Arial" w:hAnsi="Arial"/>
          <w:color w:val="000000" w:themeColor="text1"/>
        </w:rPr>
      </w:pPr>
      <w:r w:rsidRPr="00773157">
        <w:rPr>
          <w:rFonts w:ascii="Arial" w:hAnsi="Arial"/>
          <w:color w:val="000000" w:themeColor="text1"/>
        </w:rPr>
        <w:t xml:space="preserve">it is </w:t>
      </w:r>
      <w:r w:rsidR="00CB5713" w:rsidRPr="00773157">
        <w:rPr>
          <w:rFonts w:ascii="Arial" w:hAnsi="Arial"/>
          <w:color w:val="000000" w:themeColor="text1"/>
        </w:rPr>
        <w:t xml:space="preserve">more narrowly focussed than are the </w:t>
      </w:r>
      <w:r w:rsidR="00E41C85" w:rsidRPr="00773157">
        <w:rPr>
          <w:rFonts w:ascii="Arial" w:hAnsi="Arial"/>
          <w:color w:val="000000" w:themeColor="text1"/>
        </w:rPr>
        <w:t>multi</w:t>
      </w:r>
      <w:r w:rsidR="00705441" w:rsidRPr="00773157">
        <w:rPr>
          <w:rFonts w:ascii="Arial" w:hAnsi="Arial"/>
          <w:color w:val="000000" w:themeColor="text1"/>
        </w:rPr>
        <w:t>-dimensional poverty and</w:t>
      </w:r>
      <w:r w:rsidR="00E41C85" w:rsidRPr="00773157">
        <w:rPr>
          <w:rFonts w:ascii="Arial" w:hAnsi="Arial"/>
          <w:color w:val="000000" w:themeColor="text1"/>
        </w:rPr>
        <w:t xml:space="preserve"> disadvantage </w:t>
      </w:r>
      <w:r w:rsidR="00705441" w:rsidRPr="00773157">
        <w:rPr>
          <w:rFonts w:ascii="Arial" w:hAnsi="Arial"/>
          <w:color w:val="000000" w:themeColor="text1"/>
        </w:rPr>
        <w:t xml:space="preserve">analyses </w:t>
      </w:r>
      <w:r w:rsidR="00E41C85" w:rsidRPr="00773157">
        <w:rPr>
          <w:rFonts w:ascii="Arial" w:hAnsi="Arial"/>
          <w:color w:val="000000" w:themeColor="text1"/>
        </w:rPr>
        <w:t xml:space="preserve">that </w:t>
      </w:r>
      <w:r w:rsidR="00705441" w:rsidRPr="00773157">
        <w:rPr>
          <w:rFonts w:ascii="Arial" w:hAnsi="Arial"/>
          <w:color w:val="000000" w:themeColor="text1"/>
        </w:rPr>
        <w:t>are</w:t>
      </w:r>
      <w:r w:rsidR="00E41C85" w:rsidRPr="00773157">
        <w:rPr>
          <w:rFonts w:ascii="Arial" w:hAnsi="Arial"/>
          <w:color w:val="000000" w:themeColor="text1"/>
        </w:rPr>
        <w:t xml:space="preserve"> becoming more common</w:t>
      </w:r>
      <w:r w:rsidR="00F427B4" w:rsidRPr="00773157">
        <w:rPr>
          <w:rStyle w:val="FootnoteReference"/>
          <w:rFonts w:ascii="Arial" w:hAnsi="Arial"/>
          <w:color w:val="000000" w:themeColor="text1"/>
        </w:rPr>
        <w:footnoteReference w:id="10"/>
      </w:r>
      <w:r w:rsidR="00BF5F16" w:rsidRPr="00773157">
        <w:rPr>
          <w:rFonts w:ascii="Arial" w:hAnsi="Arial"/>
          <w:color w:val="000000" w:themeColor="text1"/>
        </w:rPr>
        <w:t xml:space="preserve"> </w:t>
      </w:r>
    </w:p>
    <w:p w14:paraId="04A3C8E9" w14:textId="1AB1AC95" w:rsidR="00C9699D" w:rsidRPr="00051882" w:rsidRDefault="00C9699D">
      <w:pPr>
        <w:pStyle w:val="ListParagraph"/>
        <w:numPr>
          <w:ilvl w:val="0"/>
          <w:numId w:val="34"/>
        </w:numPr>
        <w:spacing w:after="0" w:line="240" w:lineRule="auto"/>
        <w:jc w:val="both"/>
        <w:rPr>
          <w:rFonts w:ascii="Arial" w:hAnsi="Arial"/>
          <w:color w:val="000000" w:themeColor="text1"/>
        </w:rPr>
      </w:pPr>
      <w:r w:rsidRPr="00051882">
        <w:rPr>
          <w:rFonts w:ascii="Arial" w:hAnsi="Arial"/>
          <w:color w:val="000000" w:themeColor="text1"/>
        </w:rPr>
        <w:t>it is more narrowly focussed too than the colloquial use of the term as a catch-all that refers to any serious disadvantage or cluster of disadvantages</w:t>
      </w:r>
      <w:r w:rsidR="00C80CA8" w:rsidRPr="00051882">
        <w:rPr>
          <w:rFonts w:ascii="Arial" w:hAnsi="Arial"/>
          <w:color w:val="000000" w:themeColor="text1"/>
        </w:rPr>
        <w:t xml:space="preserve"> experienced by individuals, households or geographical areas </w:t>
      </w:r>
    </w:p>
    <w:p w14:paraId="48787511" w14:textId="13183B96" w:rsidR="00E764D3" w:rsidRPr="00051882" w:rsidRDefault="00E764D3">
      <w:pPr>
        <w:pStyle w:val="ListParagraph"/>
        <w:numPr>
          <w:ilvl w:val="0"/>
          <w:numId w:val="34"/>
        </w:numPr>
        <w:spacing w:after="0" w:line="240" w:lineRule="auto"/>
        <w:jc w:val="both"/>
        <w:rPr>
          <w:rFonts w:ascii="Arial" w:hAnsi="Arial"/>
          <w:color w:val="000000" w:themeColor="text1"/>
        </w:rPr>
      </w:pPr>
      <w:r w:rsidRPr="00051882">
        <w:rPr>
          <w:rFonts w:ascii="Arial" w:hAnsi="Arial"/>
          <w:color w:val="000000" w:themeColor="text1"/>
        </w:rPr>
        <w:t>it is quite different from the more general notion of wellbeing</w:t>
      </w:r>
      <w:r w:rsidR="00C80CA8" w:rsidRPr="00051882">
        <w:rPr>
          <w:rFonts w:ascii="Arial" w:hAnsi="Arial"/>
          <w:color w:val="000000" w:themeColor="text1"/>
        </w:rPr>
        <w:t>, though it is related to it</w:t>
      </w:r>
    </w:p>
    <w:p w14:paraId="5E063E75" w14:textId="79FE35D3" w:rsidR="005D6399" w:rsidRPr="00051882" w:rsidRDefault="00C9699D">
      <w:pPr>
        <w:pStyle w:val="ListParagraph"/>
        <w:numPr>
          <w:ilvl w:val="0"/>
          <w:numId w:val="34"/>
        </w:numPr>
        <w:spacing w:after="0" w:line="240" w:lineRule="auto"/>
        <w:jc w:val="both"/>
        <w:rPr>
          <w:rFonts w:ascii="Arial" w:eastAsia="Times New Roman" w:hAnsi="Arial"/>
          <w:color w:val="000000" w:themeColor="text1"/>
          <w:szCs w:val="20"/>
          <w:lang w:val="en-GB"/>
        </w:rPr>
      </w:pPr>
      <w:r w:rsidRPr="00051882">
        <w:rPr>
          <w:rFonts w:ascii="Arial" w:hAnsi="Arial"/>
          <w:color w:val="000000" w:themeColor="text1"/>
        </w:rPr>
        <w:t>it can and ought to be clearly distinguished from the causes, correlates and consequences of the core issue (</w:t>
      </w:r>
      <w:r w:rsidR="00957FED" w:rsidRPr="00051882">
        <w:rPr>
          <w:rFonts w:ascii="Arial" w:hAnsi="Arial"/>
          <w:color w:val="000000" w:themeColor="text1"/>
        </w:rPr>
        <w:t xml:space="preserve">poverty as </w:t>
      </w:r>
      <w:r w:rsidRPr="00051882">
        <w:rPr>
          <w:rFonts w:ascii="Arial" w:hAnsi="Arial"/>
          <w:color w:val="000000" w:themeColor="text1"/>
        </w:rPr>
        <w:t xml:space="preserve">inadequate command over resources). </w:t>
      </w:r>
    </w:p>
    <w:p w14:paraId="7CB45242" w14:textId="77777777" w:rsidR="00C87A9B" w:rsidRDefault="00C87A9B" w:rsidP="00C87A9B">
      <w:pPr>
        <w:pStyle w:val="ListParagraph"/>
        <w:autoSpaceDE w:val="0"/>
        <w:autoSpaceDN w:val="0"/>
        <w:adjustRightInd w:val="0"/>
        <w:spacing w:after="0" w:line="240" w:lineRule="auto"/>
        <w:rPr>
          <w:rFonts w:ascii="TheSansSemiLight-Plain" w:hAnsi="TheSansSemiLight-Plain" w:cs="TheSansSemiLight-Plain"/>
          <w:color w:val="000000" w:themeColor="text1"/>
          <w:szCs w:val="20"/>
          <w:lang w:eastAsia="en-NZ"/>
        </w:rPr>
      </w:pPr>
    </w:p>
    <w:p w14:paraId="303D01CE" w14:textId="17792C1F" w:rsidR="008151B5" w:rsidRDefault="006418E2" w:rsidP="006418E2">
      <w:pPr>
        <w:pStyle w:val="ListParagraph"/>
        <w:autoSpaceDE w:val="0"/>
        <w:autoSpaceDN w:val="0"/>
        <w:adjustRightInd w:val="0"/>
        <w:spacing w:after="0" w:line="240" w:lineRule="auto"/>
        <w:ind w:left="0"/>
        <w:rPr>
          <w:rFonts w:ascii="Arial" w:hAnsi="Arial"/>
          <w:color w:val="000000" w:themeColor="text1"/>
          <w:szCs w:val="20"/>
          <w:lang w:eastAsia="en-NZ"/>
        </w:rPr>
      </w:pPr>
      <w:r w:rsidRPr="006418E2">
        <w:rPr>
          <w:rFonts w:ascii="Arial" w:hAnsi="Arial"/>
          <w:color w:val="000000" w:themeColor="text1"/>
          <w:szCs w:val="20"/>
          <w:lang w:eastAsia="en-NZ"/>
        </w:rPr>
        <w:t>The definition given above leaves open the question as to whether</w:t>
      </w:r>
      <w:r>
        <w:rPr>
          <w:rFonts w:ascii="Arial" w:hAnsi="Arial"/>
          <w:color w:val="000000" w:themeColor="text1"/>
          <w:szCs w:val="20"/>
          <w:lang w:eastAsia="en-NZ"/>
        </w:rPr>
        <w:t xml:space="preserve"> poverty should be measured using resources</w:t>
      </w:r>
      <w:r w:rsidR="008151B5">
        <w:rPr>
          <w:rFonts w:ascii="Arial" w:hAnsi="Arial"/>
          <w:color w:val="000000" w:themeColor="text1"/>
          <w:szCs w:val="20"/>
          <w:lang w:eastAsia="en-NZ"/>
        </w:rPr>
        <w:t>, more directly through a measure of standard of living as experienced in practice, or by using both approaches together - an ‘overlap’ approach. All three are used in the measures defined in the CPRA, and by governments and researchers in the richer nations (eg OECD / EU).</w:t>
      </w:r>
    </w:p>
    <w:p w14:paraId="0B981837" w14:textId="521CA6EF" w:rsidR="006418E2" w:rsidRPr="006418E2" w:rsidRDefault="008151B5" w:rsidP="006418E2">
      <w:pPr>
        <w:pStyle w:val="ListParagraph"/>
        <w:autoSpaceDE w:val="0"/>
        <w:autoSpaceDN w:val="0"/>
        <w:adjustRightInd w:val="0"/>
        <w:spacing w:after="0" w:line="240" w:lineRule="auto"/>
        <w:ind w:left="0"/>
        <w:rPr>
          <w:rFonts w:ascii="Arial" w:hAnsi="Arial"/>
          <w:color w:val="000000" w:themeColor="text1"/>
          <w:szCs w:val="20"/>
          <w:lang w:eastAsia="en-NZ"/>
        </w:rPr>
      </w:pPr>
      <w:r>
        <w:rPr>
          <w:rFonts w:ascii="Arial" w:hAnsi="Arial"/>
          <w:color w:val="000000" w:themeColor="text1"/>
          <w:szCs w:val="20"/>
          <w:lang w:eastAsia="en-NZ"/>
        </w:rPr>
        <w:t xml:space="preserve"> </w:t>
      </w:r>
    </w:p>
    <w:p w14:paraId="3C9F8CF4" w14:textId="2F7B7899" w:rsidR="009A1F04" w:rsidRPr="00051882" w:rsidRDefault="009A1F04" w:rsidP="002C3EA2">
      <w:pPr>
        <w:spacing w:after="0" w:line="240" w:lineRule="auto"/>
        <w:rPr>
          <w:rFonts w:ascii="Arial" w:hAnsi="Arial"/>
          <w:b/>
          <w:bCs/>
          <w:color w:val="000000" w:themeColor="text1"/>
        </w:rPr>
      </w:pPr>
      <w:r w:rsidRPr="00051882">
        <w:rPr>
          <w:rFonts w:ascii="Arial" w:hAnsi="Arial"/>
          <w:b/>
          <w:bCs/>
          <w:color w:val="000000" w:themeColor="text1"/>
        </w:rPr>
        <w:t xml:space="preserve">Using low household income to measure poverty </w:t>
      </w:r>
    </w:p>
    <w:p w14:paraId="2B5B383E" w14:textId="77777777" w:rsidR="009A1F04" w:rsidRPr="00051882" w:rsidRDefault="009A1F04" w:rsidP="002C3EA2">
      <w:pPr>
        <w:spacing w:after="0" w:line="240" w:lineRule="auto"/>
        <w:rPr>
          <w:rFonts w:ascii="Arial" w:hAnsi="Arial"/>
          <w:color w:val="000000" w:themeColor="text1"/>
          <w:sz w:val="16"/>
          <w:szCs w:val="18"/>
        </w:rPr>
      </w:pPr>
    </w:p>
    <w:p w14:paraId="30497980" w14:textId="1E264F91" w:rsidR="002C3EA2" w:rsidRPr="004C23AC" w:rsidRDefault="002C3EA2" w:rsidP="002C3EA2">
      <w:pPr>
        <w:spacing w:after="0" w:line="240" w:lineRule="auto"/>
        <w:rPr>
          <w:rFonts w:ascii="Arial" w:hAnsi="Arial"/>
          <w:color w:val="000000" w:themeColor="text1"/>
        </w:rPr>
      </w:pPr>
      <w:r w:rsidRPr="004C23AC">
        <w:rPr>
          <w:rFonts w:ascii="Arial" w:hAnsi="Arial"/>
          <w:color w:val="000000" w:themeColor="text1"/>
        </w:rPr>
        <w:t>Household income, adjusted for household size and composition</w:t>
      </w:r>
      <w:r w:rsidR="00E160AC" w:rsidRPr="004C23AC">
        <w:rPr>
          <w:rFonts w:ascii="Arial" w:hAnsi="Arial"/>
          <w:color w:val="000000" w:themeColor="text1"/>
        </w:rPr>
        <w:t xml:space="preserve"> (‘equivalised’)</w:t>
      </w:r>
      <w:r w:rsidRPr="004C23AC">
        <w:rPr>
          <w:rFonts w:ascii="Arial" w:hAnsi="Arial"/>
          <w:color w:val="000000" w:themeColor="text1"/>
        </w:rPr>
        <w:t xml:space="preserve">, has traditionally been used </w:t>
      </w:r>
      <w:r w:rsidR="00C46931" w:rsidRPr="004C23AC">
        <w:rPr>
          <w:rFonts w:ascii="Arial" w:hAnsi="Arial"/>
          <w:color w:val="000000" w:themeColor="text1"/>
        </w:rPr>
        <w:t xml:space="preserve">in the richer countries </w:t>
      </w:r>
      <w:r w:rsidRPr="004C23AC">
        <w:rPr>
          <w:rFonts w:ascii="Arial" w:hAnsi="Arial"/>
          <w:color w:val="000000" w:themeColor="text1"/>
        </w:rPr>
        <w:t>as a proxy measure of household resources. While this approach produces valuable information on</w:t>
      </w:r>
      <w:r w:rsidR="00953CD1" w:rsidRPr="004C23AC">
        <w:rPr>
          <w:rFonts w:ascii="Arial" w:hAnsi="Arial"/>
          <w:color w:val="000000" w:themeColor="text1"/>
        </w:rPr>
        <w:t xml:space="preserve"> the (changing) number of ‘low-income’ households and on </w:t>
      </w:r>
      <w:r w:rsidRPr="004C23AC">
        <w:rPr>
          <w:rFonts w:ascii="Arial" w:hAnsi="Arial"/>
          <w:color w:val="000000" w:themeColor="text1"/>
        </w:rPr>
        <w:t>income inequality</w:t>
      </w:r>
      <w:r w:rsidR="00953CD1" w:rsidRPr="004C23AC">
        <w:rPr>
          <w:rFonts w:ascii="Arial" w:hAnsi="Arial"/>
          <w:color w:val="000000" w:themeColor="text1"/>
        </w:rPr>
        <w:t xml:space="preserve"> in the lower half of the income distribution</w:t>
      </w:r>
      <w:r w:rsidR="004410BB" w:rsidRPr="004C23AC">
        <w:rPr>
          <w:rFonts w:ascii="Arial" w:hAnsi="Arial"/>
          <w:color w:val="000000" w:themeColor="text1"/>
        </w:rPr>
        <w:t xml:space="preserve">, </w:t>
      </w:r>
      <w:r w:rsidRPr="004C23AC">
        <w:rPr>
          <w:rFonts w:ascii="Arial" w:hAnsi="Arial"/>
          <w:color w:val="000000" w:themeColor="text1"/>
        </w:rPr>
        <w:t>it has several limitations as a poverty measure</w:t>
      </w:r>
      <w:r w:rsidR="00141766" w:rsidRPr="004C23AC">
        <w:rPr>
          <w:rFonts w:ascii="Arial" w:hAnsi="Arial"/>
          <w:color w:val="000000" w:themeColor="text1"/>
        </w:rPr>
        <w:t>.</w:t>
      </w:r>
      <w:r w:rsidR="00953CD1" w:rsidRPr="004C23AC">
        <w:rPr>
          <w:rFonts w:ascii="Arial" w:hAnsi="Arial"/>
          <w:color w:val="000000" w:themeColor="text1"/>
        </w:rPr>
        <w:t xml:space="preserve"> These shortcomings are all consistent with the conceptual and empirical matters presented in Figures </w:t>
      </w:r>
      <w:r w:rsidR="004C23AC" w:rsidRPr="004C23AC">
        <w:rPr>
          <w:rFonts w:ascii="Arial" w:hAnsi="Arial"/>
          <w:color w:val="000000" w:themeColor="text1"/>
        </w:rPr>
        <w:t>A</w:t>
      </w:r>
      <w:r w:rsidR="00953CD1" w:rsidRPr="004C23AC">
        <w:rPr>
          <w:rFonts w:ascii="Arial" w:hAnsi="Arial"/>
          <w:color w:val="000000" w:themeColor="text1"/>
        </w:rPr>
        <w:t xml:space="preserve">.1 and </w:t>
      </w:r>
      <w:r w:rsidR="004C23AC" w:rsidRPr="004C23AC">
        <w:rPr>
          <w:rFonts w:ascii="Arial" w:hAnsi="Arial"/>
          <w:color w:val="000000" w:themeColor="text1"/>
        </w:rPr>
        <w:t>A</w:t>
      </w:r>
      <w:r w:rsidR="00953CD1" w:rsidRPr="004C23AC">
        <w:rPr>
          <w:rFonts w:ascii="Arial" w:hAnsi="Arial"/>
          <w:color w:val="000000" w:themeColor="text1"/>
        </w:rPr>
        <w:t>.2 above.</w:t>
      </w:r>
      <w:r w:rsidR="004410BB" w:rsidRPr="004C23AC">
        <w:rPr>
          <w:rFonts w:ascii="Arial" w:hAnsi="Arial"/>
          <w:color w:val="000000" w:themeColor="text1"/>
        </w:rPr>
        <w:t xml:space="preserve"> </w:t>
      </w:r>
    </w:p>
    <w:p w14:paraId="0DC6E3B8" w14:textId="28D2561E" w:rsidR="002C3EA2" w:rsidRPr="004C23AC" w:rsidRDefault="002C3EA2">
      <w:pPr>
        <w:numPr>
          <w:ilvl w:val="0"/>
          <w:numId w:val="22"/>
        </w:numPr>
        <w:spacing w:before="120" w:after="0" w:line="240" w:lineRule="auto"/>
        <w:ind w:left="714" w:hanging="357"/>
        <w:rPr>
          <w:rFonts w:ascii="Arial" w:hAnsi="Arial"/>
          <w:color w:val="000000" w:themeColor="text1"/>
        </w:rPr>
      </w:pPr>
      <w:r w:rsidRPr="004C23AC">
        <w:rPr>
          <w:rFonts w:ascii="Arial" w:hAnsi="Arial"/>
          <w:color w:val="000000" w:themeColor="text1"/>
        </w:rPr>
        <w:t>Different households with very similar current income can have different levels of non-income resources, sometimes reflecting different income trajectories in previous years, sometimes the degree of assistance from outside the household</w:t>
      </w:r>
      <w:r w:rsidR="005E6286" w:rsidRPr="004C23AC">
        <w:rPr>
          <w:rFonts w:ascii="Arial" w:hAnsi="Arial"/>
          <w:color w:val="000000" w:themeColor="text1"/>
        </w:rPr>
        <w:t xml:space="preserve"> </w:t>
      </w:r>
      <w:r w:rsidR="005E6286" w:rsidRPr="004C23AC">
        <w:rPr>
          <w:rStyle w:val="cf01"/>
          <w:rFonts w:ascii="Arial" w:hAnsi="Arial" w:cs="Arial"/>
          <w:color w:val="000000" w:themeColor="text1"/>
          <w:sz w:val="20"/>
          <w:szCs w:val="20"/>
        </w:rPr>
        <w:t>(family/friends, communities, Government)</w:t>
      </w:r>
      <w:r w:rsidRPr="004C23AC">
        <w:rPr>
          <w:rFonts w:ascii="Arial" w:hAnsi="Arial"/>
          <w:color w:val="000000" w:themeColor="text1"/>
        </w:rPr>
        <w:t xml:space="preserve"> or the level of assistance given to other households. The differing non-income resources include the levels of </w:t>
      </w:r>
      <w:r w:rsidR="00551EC1" w:rsidRPr="004C23AC">
        <w:rPr>
          <w:rFonts w:ascii="Arial" w:hAnsi="Arial"/>
          <w:color w:val="000000" w:themeColor="text1"/>
        </w:rPr>
        <w:t>‘</w:t>
      </w:r>
      <w:r w:rsidR="00587158">
        <w:rPr>
          <w:rFonts w:ascii="Arial" w:hAnsi="Arial"/>
          <w:color w:val="000000" w:themeColor="text1"/>
        </w:rPr>
        <w:t>l</w:t>
      </w:r>
      <w:r w:rsidR="00551EC1" w:rsidRPr="004C23AC">
        <w:rPr>
          <w:rFonts w:ascii="Arial" w:hAnsi="Arial"/>
          <w:color w:val="000000" w:themeColor="text1"/>
        </w:rPr>
        <w:t xml:space="preserve">iquid </w:t>
      </w:r>
      <w:r w:rsidR="00587158">
        <w:rPr>
          <w:rFonts w:ascii="Arial" w:hAnsi="Arial"/>
          <w:color w:val="000000" w:themeColor="text1"/>
        </w:rPr>
        <w:t>a</w:t>
      </w:r>
      <w:r w:rsidR="00551EC1" w:rsidRPr="004C23AC">
        <w:rPr>
          <w:rFonts w:ascii="Arial" w:hAnsi="Arial"/>
          <w:color w:val="000000" w:themeColor="text1"/>
        </w:rPr>
        <w:t>ssets’ (cash savings and readily accessible investments)</w:t>
      </w:r>
      <w:r w:rsidRPr="004C23AC">
        <w:rPr>
          <w:rFonts w:ascii="Arial" w:hAnsi="Arial"/>
          <w:color w:val="000000" w:themeColor="text1"/>
        </w:rPr>
        <w:t>, and the quantity and quality of the stock of basic household items, especially durables.</w:t>
      </w:r>
      <w:r w:rsidR="00F8246A" w:rsidRPr="004C23AC">
        <w:rPr>
          <w:rStyle w:val="FootnoteReference"/>
          <w:rFonts w:ascii="Arial" w:hAnsi="Arial"/>
          <w:color w:val="000000" w:themeColor="text1"/>
        </w:rPr>
        <w:t xml:space="preserve"> </w:t>
      </w:r>
      <w:r w:rsidR="00F8246A" w:rsidRPr="004C23AC">
        <w:rPr>
          <w:rStyle w:val="FootnoteReference"/>
          <w:rFonts w:ascii="Arial" w:hAnsi="Arial"/>
          <w:color w:val="000000" w:themeColor="text1"/>
        </w:rPr>
        <w:footnoteReference w:id="11"/>
      </w:r>
      <w:r w:rsidR="00F8246A" w:rsidRPr="004C23AC">
        <w:rPr>
          <w:rFonts w:ascii="Arial" w:hAnsi="Arial"/>
          <w:color w:val="000000" w:themeColor="text1"/>
        </w:rPr>
        <w:t xml:space="preserve"> </w:t>
      </w:r>
      <w:r w:rsidRPr="004C23AC">
        <w:rPr>
          <w:rFonts w:ascii="Arial" w:hAnsi="Arial"/>
          <w:color w:val="000000" w:themeColor="text1"/>
        </w:rPr>
        <w:t xml:space="preserve"> </w:t>
      </w:r>
    </w:p>
    <w:p w14:paraId="221AB082" w14:textId="1C0E579F" w:rsidR="002C3EA2" w:rsidRPr="004C23AC" w:rsidRDefault="002C3EA2">
      <w:pPr>
        <w:numPr>
          <w:ilvl w:val="0"/>
          <w:numId w:val="22"/>
        </w:numPr>
        <w:spacing w:before="120" w:after="0" w:line="240" w:lineRule="auto"/>
        <w:ind w:left="714" w:hanging="357"/>
        <w:rPr>
          <w:rFonts w:ascii="Arial" w:hAnsi="Arial"/>
          <w:color w:val="000000" w:themeColor="text1"/>
        </w:rPr>
      </w:pPr>
      <w:r w:rsidRPr="004C23AC">
        <w:rPr>
          <w:rFonts w:ascii="Arial" w:hAnsi="Arial"/>
          <w:color w:val="000000" w:themeColor="text1"/>
        </w:rPr>
        <w:t>Different households with very similar current income can also have quite different basic needs. Some of these differences can be addressed: household income can be adjusted for household size and composition (‘equivalised’)</w:t>
      </w:r>
      <w:r w:rsidR="000A39FB" w:rsidRPr="004C23AC">
        <w:rPr>
          <w:rStyle w:val="FootnoteReference"/>
          <w:rFonts w:ascii="Arial" w:hAnsi="Arial"/>
          <w:color w:val="000000" w:themeColor="text1"/>
        </w:rPr>
        <w:footnoteReference w:id="12"/>
      </w:r>
      <w:r w:rsidRPr="004C23AC">
        <w:rPr>
          <w:rFonts w:ascii="Arial" w:hAnsi="Arial"/>
          <w:color w:val="000000" w:themeColor="text1"/>
        </w:rPr>
        <w:t>; the differing demands on the budget for differing housing costs can be addressed to a degree by using income after deducting housing costs (AHC income) to make comparisons more realistic. However, there are some differing demands on the household budget (ie differing needs) that cannot easily be adjusted for (eg special health</w:t>
      </w:r>
      <w:r w:rsidR="00FA5B8F" w:rsidRPr="004C23AC">
        <w:rPr>
          <w:rFonts w:ascii="Arial" w:hAnsi="Arial"/>
          <w:color w:val="000000" w:themeColor="text1"/>
        </w:rPr>
        <w:t>- or disability-related</w:t>
      </w:r>
      <w:r w:rsidRPr="004C23AC">
        <w:rPr>
          <w:rFonts w:ascii="Arial" w:hAnsi="Arial"/>
          <w:color w:val="000000" w:themeColor="text1"/>
        </w:rPr>
        <w:t xml:space="preserve"> costs, high debt servicing, </w:t>
      </w:r>
      <w:r w:rsidR="00285433" w:rsidRPr="004C23AC">
        <w:rPr>
          <w:rFonts w:ascii="Arial" w:hAnsi="Arial"/>
          <w:color w:val="000000" w:themeColor="text1"/>
        </w:rPr>
        <w:t xml:space="preserve">child-care costs, </w:t>
      </w:r>
      <w:r w:rsidRPr="004C23AC">
        <w:rPr>
          <w:rFonts w:ascii="Arial" w:hAnsi="Arial"/>
          <w:color w:val="000000" w:themeColor="text1"/>
        </w:rPr>
        <w:t>and so on). There is also variability in the ability of households to convert a given income into valuable consumption.</w:t>
      </w:r>
    </w:p>
    <w:p w14:paraId="74F23A93" w14:textId="77777777" w:rsidR="002C3EA2" w:rsidRPr="00773157" w:rsidRDefault="002C3EA2" w:rsidP="002C3EA2">
      <w:pPr>
        <w:spacing w:after="0" w:line="240" w:lineRule="auto"/>
        <w:rPr>
          <w:rFonts w:ascii="Arial" w:hAnsi="Arial"/>
          <w:color w:val="000000" w:themeColor="text1"/>
        </w:rPr>
      </w:pPr>
    </w:p>
    <w:p w14:paraId="0BBE00F5" w14:textId="1AE3DB76" w:rsidR="002C3EA2" w:rsidRPr="006A1680" w:rsidRDefault="002C3EA2" w:rsidP="002C3EA2">
      <w:pPr>
        <w:spacing w:after="0" w:line="240" w:lineRule="auto"/>
        <w:rPr>
          <w:rFonts w:ascii="Arial" w:hAnsi="Arial"/>
          <w:color w:val="FF0000"/>
        </w:rPr>
      </w:pPr>
      <w:r w:rsidRPr="00773157">
        <w:rPr>
          <w:rFonts w:ascii="Arial" w:hAnsi="Arial"/>
          <w:color w:val="000000" w:themeColor="text1"/>
        </w:rPr>
        <w:lastRenderedPageBreak/>
        <w:t xml:space="preserve">As a result, when using a given low-income threshold (‘income poverty line’), it is found that some of the low-income households do not experience financial </w:t>
      </w:r>
      <w:r w:rsidR="00441F8A" w:rsidRPr="00773157">
        <w:rPr>
          <w:rFonts w:ascii="Arial" w:hAnsi="Arial"/>
          <w:color w:val="000000" w:themeColor="text1"/>
        </w:rPr>
        <w:t xml:space="preserve">and material </w:t>
      </w:r>
      <w:r w:rsidRPr="00773157">
        <w:rPr>
          <w:rFonts w:ascii="Arial" w:hAnsi="Arial"/>
          <w:color w:val="000000" w:themeColor="text1"/>
        </w:rPr>
        <w:t xml:space="preserve">hardship, and others with incomes ‘above the line’ </w:t>
      </w:r>
      <w:r w:rsidRPr="003D7D36">
        <w:rPr>
          <w:rFonts w:ascii="Arial" w:hAnsi="Arial"/>
          <w:color w:val="000000" w:themeColor="text1"/>
        </w:rPr>
        <w:t>do.</w:t>
      </w:r>
      <w:r w:rsidR="00C91031" w:rsidRPr="003D7D36">
        <w:rPr>
          <w:rFonts w:ascii="Arial" w:hAnsi="Arial"/>
          <w:color w:val="000000" w:themeColor="text1"/>
        </w:rPr>
        <w:t xml:space="preserve"> </w:t>
      </w:r>
      <w:r w:rsidRPr="00773157">
        <w:rPr>
          <w:rFonts w:ascii="Arial" w:hAnsi="Arial"/>
          <w:color w:val="000000" w:themeColor="text1"/>
        </w:rPr>
        <w:t>Low income on its own</w:t>
      </w:r>
      <w:r w:rsidR="00441F8A" w:rsidRPr="00773157">
        <w:rPr>
          <w:rFonts w:ascii="Arial" w:hAnsi="Arial"/>
          <w:color w:val="000000" w:themeColor="text1"/>
        </w:rPr>
        <w:t>, even when accurately measured,</w:t>
      </w:r>
      <w:r w:rsidRPr="00773157">
        <w:rPr>
          <w:rFonts w:ascii="Arial" w:hAnsi="Arial"/>
          <w:color w:val="000000" w:themeColor="text1"/>
        </w:rPr>
        <w:t xml:space="preserve"> does not distinguish well between those with adequate resources to sustain a minimum acceptable standard of living and those without these</w:t>
      </w:r>
      <w:r w:rsidR="00C402DD">
        <w:rPr>
          <w:rFonts w:ascii="Arial" w:hAnsi="Arial"/>
          <w:color w:val="000000" w:themeColor="text1"/>
        </w:rPr>
        <w:t>.</w:t>
      </w:r>
    </w:p>
    <w:p w14:paraId="4C7C2778" w14:textId="77777777" w:rsidR="00E04B1C" w:rsidRDefault="00E04B1C" w:rsidP="003168C9">
      <w:pPr>
        <w:spacing w:after="0" w:line="240" w:lineRule="auto"/>
        <w:rPr>
          <w:rFonts w:ascii="Arial" w:hAnsi="Arial"/>
          <w:color w:val="000000" w:themeColor="text1"/>
        </w:rPr>
      </w:pPr>
    </w:p>
    <w:p w14:paraId="29D07383" w14:textId="3267A044" w:rsidR="003168C9" w:rsidRPr="00773157" w:rsidRDefault="003168C9" w:rsidP="003168C9">
      <w:pPr>
        <w:spacing w:after="0" w:line="240" w:lineRule="auto"/>
        <w:rPr>
          <w:rFonts w:ascii="Arial" w:hAnsi="Arial"/>
          <w:color w:val="000000" w:themeColor="text1"/>
        </w:rPr>
      </w:pPr>
      <w:r w:rsidRPr="00773157">
        <w:rPr>
          <w:rFonts w:ascii="Arial" w:hAnsi="Arial"/>
          <w:color w:val="000000" w:themeColor="text1"/>
        </w:rPr>
        <w:t>The limitations of household income as a reliable proxy measure of a household’s ‘command over resources’ and the resulting limitations of low-income measures for assessing levels and trends in poverty do not mean that income has little impact on the material wellbeing of individual households. For low</w:t>
      </w:r>
      <w:r w:rsidR="00E63129" w:rsidRPr="00773157">
        <w:rPr>
          <w:rFonts w:ascii="Arial" w:hAnsi="Arial"/>
          <w:color w:val="000000" w:themeColor="text1"/>
        </w:rPr>
        <w:t>er</w:t>
      </w:r>
      <w:r w:rsidRPr="00773157">
        <w:rPr>
          <w:rFonts w:ascii="Arial" w:hAnsi="Arial"/>
          <w:color w:val="000000" w:themeColor="text1"/>
        </w:rPr>
        <w:t xml:space="preserve">-income households especially, any increase in income will almost always make a positive difference. It is just that when it comes to measuring poverty (as defined above, ‘resources not enough to meet basic needs’), income on its own (especially BHC income) has some significant limitations as an identifier of those who are actually struggling to achieve a minimum acceptable material standard of living. The very clear impact of income changes on a given household’s material wellbeing is a quite different matter to the challenges of using household income as a measure of the level of and trends in poverty </w:t>
      </w:r>
      <w:r w:rsidR="00A83A0E" w:rsidRPr="00773157">
        <w:rPr>
          <w:rFonts w:ascii="Arial" w:hAnsi="Arial"/>
          <w:color w:val="000000" w:themeColor="text1"/>
        </w:rPr>
        <w:t>as defined above.</w:t>
      </w:r>
    </w:p>
    <w:p w14:paraId="17F894C2" w14:textId="77777777" w:rsidR="003168C9" w:rsidRPr="00773157" w:rsidRDefault="003168C9" w:rsidP="00194804">
      <w:pPr>
        <w:spacing w:after="0" w:line="240" w:lineRule="auto"/>
        <w:rPr>
          <w:rFonts w:ascii="Arial" w:hAnsi="Arial"/>
          <w:color w:val="000000" w:themeColor="text1"/>
        </w:rPr>
      </w:pPr>
    </w:p>
    <w:p w14:paraId="1A9E3E36" w14:textId="6578707B" w:rsidR="00222121" w:rsidRPr="00773157" w:rsidRDefault="009730AA" w:rsidP="00222121">
      <w:pPr>
        <w:spacing w:after="0" w:line="240" w:lineRule="auto"/>
        <w:rPr>
          <w:rFonts w:ascii="Arial" w:hAnsi="Arial"/>
          <w:color w:val="000000" w:themeColor="text1"/>
        </w:rPr>
      </w:pPr>
      <w:r w:rsidRPr="00773157">
        <w:rPr>
          <w:rFonts w:ascii="Arial" w:hAnsi="Arial"/>
          <w:color w:val="000000" w:themeColor="text1"/>
        </w:rPr>
        <w:t>While recognising the limitations of household income as an indicator of a household’s ‘command over resources’,</w:t>
      </w:r>
      <w:r w:rsidR="0078621F" w:rsidRPr="00773157">
        <w:rPr>
          <w:rFonts w:ascii="Arial" w:hAnsi="Arial"/>
          <w:color w:val="000000" w:themeColor="text1"/>
        </w:rPr>
        <w:t xml:space="preserve"> the monitoring of</w:t>
      </w:r>
      <w:r w:rsidR="00222121" w:rsidRPr="00773157">
        <w:rPr>
          <w:rFonts w:ascii="Arial" w:hAnsi="Arial"/>
          <w:color w:val="000000" w:themeColor="text1"/>
        </w:rPr>
        <w:t xml:space="preserve"> the</w:t>
      </w:r>
      <w:r w:rsidRPr="00773157">
        <w:rPr>
          <w:rFonts w:ascii="Arial" w:hAnsi="Arial"/>
          <w:color w:val="000000" w:themeColor="text1"/>
        </w:rPr>
        <w:t xml:space="preserve"> trends in household income</w:t>
      </w:r>
      <w:r w:rsidR="000E78BA" w:rsidRPr="00773157">
        <w:rPr>
          <w:rFonts w:ascii="Arial" w:hAnsi="Arial"/>
          <w:color w:val="000000" w:themeColor="text1"/>
        </w:rPr>
        <w:t xml:space="preserve"> for the population as a whole and for </w:t>
      </w:r>
      <w:r w:rsidR="0078621F" w:rsidRPr="00773157">
        <w:rPr>
          <w:rFonts w:ascii="Arial" w:hAnsi="Arial"/>
          <w:color w:val="000000" w:themeColor="text1"/>
        </w:rPr>
        <w:t xml:space="preserve">those in lower-income groups is nevertheless of considerable value for informing public discussion, policy advice and political decision-making. </w:t>
      </w:r>
      <w:r w:rsidR="007A6A33" w:rsidRPr="00773157">
        <w:rPr>
          <w:rFonts w:ascii="Arial" w:hAnsi="Arial"/>
          <w:color w:val="000000" w:themeColor="text1"/>
        </w:rPr>
        <w:t>For</w:t>
      </w:r>
      <w:r w:rsidR="00222121" w:rsidRPr="00773157">
        <w:rPr>
          <w:rFonts w:ascii="Arial" w:hAnsi="Arial"/>
          <w:color w:val="000000" w:themeColor="text1"/>
        </w:rPr>
        <w:t xml:space="preserve"> </w:t>
      </w:r>
      <w:r w:rsidRPr="00773157">
        <w:rPr>
          <w:rFonts w:ascii="Arial" w:hAnsi="Arial"/>
          <w:color w:val="000000" w:themeColor="text1"/>
        </w:rPr>
        <w:t>most low</w:t>
      </w:r>
      <w:r w:rsidR="00222121" w:rsidRPr="00773157">
        <w:rPr>
          <w:rFonts w:ascii="Arial" w:hAnsi="Arial"/>
          <w:color w:val="000000" w:themeColor="text1"/>
        </w:rPr>
        <w:t>er</w:t>
      </w:r>
      <w:r w:rsidRPr="00773157">
        <w:rPr>
          <w:rFonts w:ascii="Arial" w:hAnsi="Arial"/>
          <w:color w:val="000000" w:themeColor="text1"/>
        </w:rPr>
        <w:t>-income households, household income is the major resource</w:t>
      </w:r>
      <w:r w:rsidR="00222121" w:rsidRPr="00773157">
        <w:rPr>
          <w:rFonts w:ascii="Arial" w:hAnsi="Arial"/>
          <w:color w:val="000000" w:themeColor="text1"/>
        </w:rPr>
        <w:t xml:space="preserve"> available for meeting basic needs</w:t>
      </w:r>
      <w:r w:rsidRPr="00773157">
        <w:rPr>
          <w:rFonts w:ascii="Arial" w:hAnsi="Arial"/>
          <w:color w:val="000000" w:themeColor="text1"/>
        </w:rPr>
        <w:t xml:space="preserve"> and</w:t>
      </w:r>
      <w:r w:rsidR="0078621F" w:rsidRPr="00773157">
        <w:rPr>
          <w:rFonts w:ascii="Arial" w:hAnsi="Arial"/>
          <w:color w:val="000000" w:themeColor="text1"/>
        </w:rPr>
        <w:t>,</w:t>
      </w:r>
      <w:r w:rsidRPr="00773157">
        <w:rPr>
          <w:rFonts w:ascii="Arial" w:hAnsi="Arial"/>
          <w:color w:val="000000" w:themeColor="text1"/>
        </w:rPr>
        <w:t xml:space="preserve"> for governments in the richer OECD-type nations, policies impacting on household incomes are the main levers available for poverty reduction</w:t>
      </w:r>
      <w:r w:rsidR="00C17582">
        <w:rPr>
          <w:rFonts w:ascii="Arial" w:hAnsi="Arial"/>
          <w:color w:val="000000" w:themeColor="text1"/>
        </w:rPr>
        <w:t xml:space="preserve">. </w:t>
      </w:r>
    </w:p>
    <w:p w14:paraId="131F94B4" w14:textId="78A5E1ED" w:rsidR="002C3EA2" w:rsidRPr="00773157" w:rsidRDefault="002C3EA2" w:rsidP="002C3EA2">
      <w:pPr>
        <w:spacing w:after="0" w:line="240" w:lineRule="auto"/>
        <w:rPr>
          <w:rFonts w:ascii="Arial" w:eastAsia="Times New Roman" w:hAnsi="Arial"/>
          <w:color w:val="000000" w:themeColor="text1"/>
          <w:szCs w:val="20"/>
          <w:lang w:val="en-GB"/>
        </w:rPr>
      </w:pPr>
    </w:p>
    <w:p w14:paraId="6187F4B5" w14:textId="65FDEFD9" w:rsidR="009A1F04" w:rsidRPr="00773157" w:rsidRDefault="009A1F04" w:rsidP="002C3EA2">
      <w:pPr>
        <w:spacing w:after="0" w:line="240" w:lineRule="auto"/>
        <w:rPr>
          <w:rFonts w:ascii="Arial" w:eastAsia="Times New Roman" w:hAnsi="Arial"/>
          <w:b/>
          <w:bCs/>
          <w:color w:val="000000" w:themeColor="text1"/>
          <w:szCs w:val="20"/>
          <w:lang w:val="en-GB"/>
        </w:rPr>
      </w:pPr>
      <w:r w:rsidRPr="00773157">
        <w:rPr>
          <w:rFonts w:ascii="Arial" w:eastAsia="Times New Roman" w:hAnsi="Arial"/>
          <w:b/>
          <w:bCs/>
          <w:color w:val="000000" w:themeColor="text1"/>
          <w:szCs w:val="20"/>
          <w:lang w:val="en-GB"/>
        </w:rPr>
        <w:t>Using non-income measures to measure poverty – material hardship or deprivation indices</w:t>
      </w:r>
    </w:p>
    <w:p w14:paraId="6BDCC433" w14:textId="77777777" w:rsidR="009A1F04" w:rsidRPr="00773157" w:rsidRDefault="009A1F04" w:rsidP="002C3EA2">
      <w:pPr>
        <w:spacing w:after="0" w:line="240" w:lineRule="auto"/>
        <w:rPr>
          <w:rFonts w:ascii="Arial" w:eastAsia="Times New Roman" w:hAnsi="Arial"/>
          <w:color w:val="000000" w:themeColor="text1"/>
          <w:sz w:val="16"/>
          <w:szCs w:val="16"/>
          <w:lang w:val="en-GB"/>
        </w:rPr>
      </w:pPr>
    </w:p>
    <w:p w14:paraId="3D986B3F" w14:textId="24CF4D60" w:rsidR="002C3EA2" w:rsidRPr="00773157" w:rsidRDefault="002C3EA2" w:rsidP="002C3EA2">
      <w:pPr>
        <w:spacing w:after="0" w:line="240" w:lineRule="auto"/>
        <w:rPr>
          <w:rFonts w:ascii="Arial" w:hAnsi="Arial"/>
          <w:color w:val="000000" w:themeColor="text1"/>
        </w:rPr>
      </w:pPr>
      <w:r w:rsidRPr="00773157">
        <w:rPr>
          <w:rFonts w:ascii="Arial" w:eastAsia="Times New Roman" w:hAnsi="Arial"/>
          <w:color w:val="000000" w:themeColor="text1"/>
          <w:szCs w:val="20"/>
          <w:lang w:val="en-GB"/>
        </w:rPr>
        <w:t>Over the last t</w:t>
      </w:r>
      <w:r w:rsidR="009A1F04" w:rsidRPr="00773157">
        <w:rPr>
          <w:rFonts w:ascii="Arial" w:eastAsia="Times New Roman" w:hAnsi="Arial"/>
          <w:color w:val="000000" w:themeColor="text1"/>
          <w:szCs w:val="20"/>
          <w:lang w:val="en-GB"/>
        </w:rPr>
        <w:t xml:space="preserve">hree </w:t>
      </w:r>
      <w:r w:rsidRPr="00773157">
        <w:rPr>
          <w:rFonts w:ascii="Arial" w:eastAsia="Times New Roman" w:hAnsi="Arial"/>
          <w:color w:val="000000" w:themeColor="text1"/>
          <w:szCs w:val="20"/>
          <w:lang w:val="en-GB"/>
        </w:rPr>
        <w:t>decades growing use has been made of non-income measures</w:t>
      </w:r>
      <w:r w:rsidR="00E5159F" w:rsidRPr="00773157">
        <w:rPr>
          <w:rFonts w:ascii="Arial" w:eastAsia="Times New Roman" w:hAnsi="Arial"/>
          <w:color w:val="000000" w:themeColor="text1"/>
          <w:szCs w:val="20"/>
          <w:lang w:val="en-GB"/>
        </w:rPr>
        <w:t xml:space="preserve"> / non-monetary indicators</w:t>
      </w:r>
      <w:r w:rsidRPr="00773157">
        <w:rPr>
          <w:rFonts w:ascii="Arial" w:eastAsia="Times New Roman" w:hAnsi="Arial"/>
          <w:color w:val="000000" w:themeColor="text1"/>
          <w:szCs w:val="20"/>
          <w:lang w:val="en-GB"/>
        </w:rPr>
        <w:t xml:space="preserve"> to more directly measure material standard of living and material hardship. </w:t>
      </w:r>
      <w:r w:rsidRPr="00773157">
        <w:rPr>
          <w:rFonts w:ascii="Arial" w:hAnsi="Arial"/>
          <w:color w:val="000000" w:themeColor="text1"/>
        </w:rPr>
        <w:t xml:space="preserve">These measures use survey information about what basics and near-basics households can and cannot in practice afford. By using carefully selected items from the survey information, indices can be created to rank households across a spectrum from no hardship through to severe hardship. They </w:t>
      </w:r>
      <w:r w:rsidR="00472E53" w:rsidRPr="00773157">
        <w:rPr>
          <w:rFonts w:ascii="Arial" w:hAnsi="Arial"/>
          <w:color w:val="000000" w:themeColor="text1"/>
        </w:rPr>
        <w:t>enable</w:t>
      </w:r>
      <w:r w:rsidRPr="00773157">
        <w:rPr>
          <w:rFonts w:ascii="Arial" w:hAnsi="Arial"/>
          <w:color w:val="000000" w:themeColor="text1"/>
        </w:rPr>
        <w:t xml:space="preserve"> a more direct measurement of ‘minimum acceptable standard of living’ than household income does. </w:t>
      </w:r>
    </w:p>
    <w:p w14:paraId="1B573006" w14:textId="77777777" w:rsidR="002C3EA2" w:rsidRPr="00773157" w:rsidRDefault="002C3EA2" w:rsidP="002C3EA2">
      <w:pPr>
        <w:spacing w:after="0" w:line="240" w:lineRule="auto"/>
        <w:rPr>
          <w:rFonts w:ascii="Arial" w:eastAsia="Times New Roman" w:hAnsi="Arial"/>
          <w:color w:val="000000" w:themeColor="text1"/>
          <w:szCs w:val="20"/>
          <w:lang w:val="en-GB"/>
        </w:rPr>
      </w:pPr>
    </w:p>
    <w:p w14:paraId="37922193" w14:textId="22770268" w:rsidR="00277B30" w:rsidRPr="00773157" w:rsidRDefault="00B51634" w:rsidP="002C3EA2">
      <w:pPr>
        <w:spacing w:after="0" w:line="240" w:lineRule="auto"/>
        <w:rPr>
          <w:rFonts w:ascii="Arial" w:eastAsia="Times New Roman" w:hAnsi="Arial"/>
          <w:color w:val="000000" w:themeColor="text1"/>
          <w:szCs w:val="20"/>
          <w:lang w:val="en-GB"/>
        </w:rPr>
      </w:pPr>
      <w:r w:rsidRPr="00773157">
        <w:rPr>
          <w:rFonts w:ascii="Arial" w:eastAsia="Times New Roman" w:hAnsi="Arial"/>
          <w:color w:val="000000" w:themeColor="text1"/>
          <w:szCs w:val="20"/>
          <w:lang w:val="en-GB"/>
        </w:rPr>
        <w:t>In the early 2000s, MSD developed the Economic</w:t>
      </w:r>
      <w:r w:rsidR="00277B30" w:rsidRPr="00773157">
        <w:rPr>
          <w:rFonts w:ascii="Arial" w:eastAsia="Times New Roman" w:hAnsi="Arial"/>
          <w:color w:val="000000" w:themeColor="text1"/>
          <w:szCs w:val="20"/>
          <w:lang w:val="en-GB"/>
        </w:rPr>
        <w:t xml:space="preserve"> Living Standards Index (ELSI) which was further</w:t>
      </w:r>
      <w:r w:rsidR="009A1F04" w:rsidRPr="00773157">
        <w:rPr>
          <w:rFonts w:ascii="Arial" w:eastAsia="Times New Roman" w:hAnsi="Arial"/>
          <w:color w:val="000000" w:themeColor="text1"/>
          <w:szCs w:val="20"/>
          <w:lang w:val="en-GB"/>
        </w:rPr>
        <w:t xml:space="preserve"> developed in 2009 into the</w:t>
      </w:r>
      <w:r w:rsidR="00277B30" w:rsidRPr="00773157">
        <w:rPr>
          <w:rFonts w:ascii="Arial" w:eastAsia="Times New Roman" w:hAnsi="Arial"/>
          <w:color w:val="000000" w:themeColor="text1"/>
          <w:szCs w:val="20"/>
          <w:lang w:val="en-GB"/>
        </w:rPr>
        <w:t xml:space="preserve"> </w:t>
      </w:r>
      <w:r w:rsidRPr="00773157">
        <w:rPr>
          <w:rFonts w:ascii="Arial" w:eastAsia="Times New Roman" w:hAnsi="Arial"/>
          <w:color w:val="000000" w:themeColor="text1"/>
          <w:szCs w:val="20"/>
          <w:lang w:val="en-GB"/>
        </w:rPr>
        <w:t>24-item Material Wellbeing Index (MWI)</w:t>
      </w:r>
      <w:r w:rsidR="00277B30" w:rsidRPr="00773157">
        <w:rPr>
          <w:rFonts w:ascii="Arial" w:eastAsia="Times New Roman" w:hAnsi="Arial"/>
          <w:color w:val="000000" w:themeColor="text1"/>
          <w:szCs w:val="20"/>
          <w:lang w:val="en-GB"/>
        </w:rPr>
        <w:t xml:space="preserve">. These </w:t>
      </w:r>
      <w:r w:rsidR="009A1F04" w:rsidRPr="00773157">
        <w:rPr>
          <w:rFonts w:ascii="Arial" w:eastAsia="Times New Roman" w:hAnsi="Arial"/>
          <w:color w:val="000000" w:themeColor="text1"/>
          <w:szCs w:val="20"/>
          <w:lang w:val="en-GB"/>
        </w:rPr>
        <w:t xml:space="preserve">indices </w:t>
      </w:r>
      <w:r w:rsidR="00277B30" w:rsidRPr="00773157">
        <w:rPr>
          <w:rFonts w:ascii="Arial" w:eastAsia="Times New Roman" w:hAnsi="Arial"/>
          <w:color w:val="000000" w:themeColor="text1"/>
          <w:szCs w:val="20"/>
          <w:lang w:val="en-GB"/>
        </w:rPr>
        <w:t>rank</w:t>
      </w:r>
      <w:r w:rsidRPr="00773157">
        <w:rPr>
          <w:rFonts w:ascii="Arial" w:eastAsia="Times New Roman" w:hAnsi="Arial"/>
          <w:color w:val="000000" w:themeColor="text1"/>
          <w:szCs w:val="20"/>
          <w:lang w:val="en-GB"/>
        </w:rPr>
        <w:t xml:space="preserve"> households across the full material wellbeing spectrum from high to low, with greater sensitivity at the low end. In response to stakeholders asking for a simpler, more intuitive version which focused </w:t>
      </w:r>
      <w:r w:rsidR="000D3A59" w:rsidRPr="00773157">
        <w:rPr>
          <w:rFonts w:ascii="Arial" w:eastAsia="Times New Roman" w:hAnsi="Arial"/>
          <w:color w:val="000000" w:themeColor="text1"/>
          <w:szCs w:val="20"/>
          <w:lang w:val="en-GB"/>
        </w:rPr>
        <w:t xml:space="preserve">mainly </w:t>
      </w:r>
      <w:r w:rsidRPr="00773157">
        <w:rPr>
          <w:rFonts w:ascii="Arial" w:eastAsia="Times New Roman" w:hAnsi="Arial"/>
          <w:color w:val="000000" w:themeColor="text1"/>
          <w:szCs w:val="20"/>
          <w:lang w:val="en-GB"/>
        </w:rPr>
        <w:t>on the material hardship end, MSD developed a 17-item material deprivation index (DEP-17)</w:t>
      </w:r>
      <w:r w:rsidR="000D3A59" w:rsidRPr="00773157">
        <w:rPr>
          <w:rFonts w:ascii="Arial" w:eastAsia="Times New Roman" w:hAnsi="Arial"/>
          <w:color w:val="000000" w:themeColor="text1"/>
          <w:szCs w:val="20"/>
          <w:lang w:val="en-GB"/>
        </w:rPr>
        <w:t>.</w:t>
      </w:r>
      <w:r w:rsidRPr="00773157">
        <w:rPr>
          <w:rFonts w:ascii="Arial" w:eastAsia="Times New Roman" w:hAnsi="Arial"/>
          <w:color w:val="000000" w:themeColor="text1"/>
          <w:szCs w:val="20"/>
          <w:lang w:val="en-GB"/>
        </w:rPr>
        <w:t xml:space="preserve"> </w:t>
      </w:r>
      <w:r w:rsidR="000D3A59" w:rsidRPr="00773157">
        <w:rPr>
          <w:rFonts w:ascii="Arial" w:eastAsia="Times New Roman" w:hAnsi="Arial"/>
          <w:color w:val="000000" w:themeColor="text1"/>
          <w:szCs w:val="20"/>
          <w:lang w:val="en-GB"/>
        </w:rPr>
        <w:t>This index</w:t>
      </w:r>
      <w:r w:rsidRPr="00773157">
        <w:rPr>
          <w:rFonts w:ascii="Arial" w:eastAsia="Times New Roman" w:hAnsi="Arial"/>
          <w:color w:val="000000" w:themeColor="text1"/>
          <w:szCs w:val="20"/>
          <w:lang w:val="en-GB"/>
        </w:rPr>
        <w:t xml:space="preserve"> </w:t>
      </w:r>
      <w:r w:rsidR="00937E8A">
        <w:rPr>
          <w:rFonts w:ascii="Arial" w:eastAsia="Times New Roman" w:hAnsi="Arial"/>
          <w:color w:val="000000" w:themeColor="text1"/>
          <w:szCs w:val="20"/>
          <w:lang w:val="en-GB"/>
        </w:rPr>
        <w:t>and its revised version for use with HILS data (the MH-18 index) are</w:t>
      </w:r>
      <w:r w:rsidRPr="00773157">
        <w:rPr>
          <w:rFonts w:ascii="Arial" w:eastAsia="Times New Roman" w:hAnsi="Arial"/>
          <w:color w:val="000000" w:themeColor="text1"/>
          <w:szCs w:val="20"/>
          <w:lang w:val="en-GB"/>
        </w:rPr>
        <w:t xml:space="preserve"> now widely used, including in the CPRA suite of measures. DEP-17 can be used only from the </w:t>
      </w:r>
      <w:r w:rsidR="00FC0504" w:rsidRPr="00773157">
        <w:rPr>
          <w:rFonts w:ascii="Arial" w:eastAsia="Times New Roman" w:hAnsi="Arial"/>
          <w:color w:val="000000" w:themeColor="text1"/>
          <w:szCs w:val="20"/>
          <w:lang w:val="en-GB"/>
        </w:rPr>
        <w:t>2013</w:t>
      </w:r>
      <w:r w:rsidRPr="00773157">
        <w:rPr>
          <w:rFonts w:ascii="Arial" w:eastAsia="Times New Roman" w:hAnsi="Arial"/>
          <w:color w:val="000000" w:themeColor="text1"/>
          <w:szCs w:val="20"/>
          <w:lang w:val="en-GB"/>
        </w:rPr>
        <w:t xml:space="preserve"> HES and later, whereas the MWI and its </w:t>
      </w:r>
      <w:r w:rsidR="00277B30" w:rsidRPr="00773157">
        <w:rPr>
          <w:rFonts w:ascii="Arial" w:eastAsia="Times New Roman" w:hAnsi="Arial"/>
          <w:color w:val="000000" w:themeColor="text1"/>
          <w:szCs w:val="20"/>
          <w:lang w:val="en-GB"/>
        </w:rPr>
        <w:t xml:space="preserve">ELSI </w:t>
      </w:r>
      <w:r w:rsidRPr="00773157">
        <w:rPr>
          <w:rFonts w:ascii="Arial" w:eastAsia="Times New Roman" w:hAnsi="Arial"/>
          <w:color w:val="000000" w:themeColor="text1"/>
          <w:szCs w:val="20"/>
          <w:lang w:val="en-GB"/>
        </w:rPr>
        <w:t xml:space="preserve">predecessor </w:t>
      </w:r>
      <w:r w:rsidR="00277B30" w:rsidRPr="00773157">
        <w:rPr>
          <w:rFonts w:ascii="Arial" w:eastAsia="Times New Roman" w:hAnsi="Arial"/>
          <w:color w:val="000000" w:themeColor="text1"/>
          <w:szCs w:val="20"/>
          <w:lang w:val="en-GB"/>
        </w:rPr>
        <w:t xml:space="preserve">can go back to the </w:t>
      </w:r>
      <w:r w:rsidR="00FC0504" w:rsidRPr="00773157">
        <w:rPr>
          <w:rFonts w:ascii="Arial" w:eastAsia="Times New Roman" w:hAnsi="Arial"/>
          <w:color w:val="000000" w:themeColor="text1"/>
          <w:szCs w:val="20"/>
          <w:lang w:val="en-GB"/>
        </w:rPr>
        <w:t>2007</w:t>
      </w:r>
      <w:r w:rsidR="00277B30" w:rsidRPr="00773157">
        <w:rPr>
          <w:rFonts w:ascii="Arial" w:eastAsia="Times New Roman" w:hAnsi="Arial"/>
          <w:color w:val="000000" w:themeColor="text1"/>
          <w:szCs w:val="20"/>
          <w:lang w:val="en-GB"/>
        </w:rPr>
        <w:t xml:space="preserve"> HES.</w:t>
      </w:r>
      <w:r w:rsidR="00773157" w:rsidRPr="00773157">
        <w:rPr>
          <w:rStyle w:val="FootnoteReference"/>
          <w:rFonts w:ascii="Arial" w:eastAsia="Times New Roman" w:hAnsi="Arial"/>
          <w:color w:val="000000" w:themeColor="text1"/>
          <w:szCs w:val="20"/>
          <w:lang w:val="en-GB"/>
        </w:rPr>
        <w:footnoteReference w:id="13"/>
      </w:r>
      <w:r w:rsidR="00277B30" w:rsidRPr="00773157">
        <w:rPr>
          <w:rFonts w:ascii="Arial" w:eastAsia="Times New Roman" w:hAnsi="Arial"/>
          <w:color w:val="000000" w:themeColor="text1"/>
          <w:szCs w:val="20"/>
          <w:lang w:val="en-GB"/>
        </w:rPr>
        <w:t xml:space="preserve"> Their use in MSD’s reports enables longer material hardship time series to be</w:t>
      </w:r>
      <w:r w:rsidR="00FD620C" w:rsidRPr="00773157">
        <w:rPr>
          <w:rFonts w:ascii="Arial" w:eastAsia="Times New Roman" w:hAnsi="Arial"/>
          <w:color w:val="000000" w:themeColor="text1"/>
          <w:szCs w:val="20"/>
          <w:lang w:val="en-GB"/>
        </w:rPr>
        <w:t xml:space="preserve"> </w:t>
      </w:r>
      <w:r w:rsidR="00277B30" w:rsidRPr="00773157">
        <w:rPr>
          <w:rFonts w:ascii="Arial" w:eastAsia="Times New Roman" w:hAnsi="Arial"/>
          <w:color w:val="000000" w:themeColor="text1"/>
          <w:szCs w:val="20"/>
          <w:lang w:val="en-GB"/>
        </w:rPr>
        <w:t>produced</w:t>
      </w:r>
      <w:r w:rsidR="00FD620C" w:rsidRPr="00773157">
        <w:rPr>
          <w:rFonts w:ascii="Arial" w:eastAsia="Times New Roman" w:hAnsi="Arial"/>
          <w:color w:val="000000" w:themeColor="text1"/>
          <w:szCs w:val="20"/>
          <w:lang w:val="en-GB"/>
        </w:rPr>
        <w:t>, from 2007 to 202</w:t>
      </w:r>
      <w:r w:rsidR="00937E8A">
        <w:rPr>
          <w:rFonts w:ascii="Arial" w:eastAsia="Times New Roman" w:hAnsi="Arial"/>
          <w:color w:val="000000" w:themeColor="text1"/>
          <w:szCs w:val="20"/>
          <w:lang w:val="en-GB"/>
        </w:rPr>
        <w:t>5</w:t>
      </w:r>
      <w:r w:rsidR="00FD620C" w:rsidRPr="00773157">
        <w:rPr>
          <w:rFonts w:ascii="Arial" w:eastAsia="Times New Roman" w:hAnsi="Arial"/>
          <w:color w:val="000000" w:themeColor="text1"/>
          <w:szCs w:val="20"/>
          <w:lang w:val="en-GB"/>
        </w:rPr>
        <w:t>.</w:t>
      </w:r>
      <w:r w:rsidR="00277B30" w:rsidRPr="00773157">
        <w:rPr>
          <w:rFonts w:ascii="Arial" w:eastAsia="Times New Roman" w:hAnsi="Arial"/>
          <w:color w:val="000000" w:themeColor="text1"/>
          <w:szCs w:val="20"/>
          <w:lang w:val="en-GB"/>
        </w:rPr>
        <w:t xml:space="preserve"> For material hardship measurement, the MWI and DEP-17</w:t>
      </w:r>
      <w:r w:rsidR="00937E8A">
        <w:rPr>
          <w:rFonts w:ascii="Arial" w:eastAsia="Times New Roman" w:hAnsi="Arial"/>
          <w:color w:val="000000" w:themeColor="text1"/>
          <w:szCs w:val="20"/>
          <w:lang w:val="en-GB"/>
        </w:rPr>
        <w:t xml:space="preserve"> / MH-18</w:t>
      </w:r>
      <w:r w:rsidR="00277B30" w:rsidRPr="00773157">
        <w:rPr>
          <w:rFonts w:ascii="Arial" w:eastAsia="Times New Roman" w:hAnsi="Arial"/>
          <w:color w:val="000000" w:themeColor="text1"/>
          <w:szCs w:val="20"/>
          <w:lang w:val="en-GB"/>
        </w:rPr>
        <w:t xml:space="preserve"> give close to identical numbers from </w:t>
      </w:r>
      <w:r w:rsidR="00FC0504" w:rsidRPr="00773157">
        <w:rPr>
          <w:rFonts w:ascii="Arial" w:eastAsia="Times New Roman" w:hAnsi="Arial"/>
          <w:color w:val="000000" w:themeColor="text1"/>
          <w:szCs w:val="20"/>
          <w:lang w:val="en-GB"/>
        </w:rPr>
        <w:t>2013</w:t>
      </w:r>
      <w:r w:rsidR="00277B30" w:rsidRPr="00773157">
        <w:rPr>
          <w:rFonts w:ascii="Arial" w:eastAsia="Times New Roman" w:hAnsi="Arial"/>
          <w:color w:val="000000" w:themeColor="text1"/>
          <w:szCs w:val="20"/>
          <w:lang w:val="en-GB"/>
        </w:rPr>
        <w:t xml:space="preserve"> on</w:t>
      </w:r>
      <w:r w:rsidR="009A1F04" w:rsidRPr="00773157">
        <w:rPr>
          <w:rFonts w:ascii="Arial" w:eastAsia="Times New Roman" w:hAnsi="Arial"/>
          <w:color w:val="000000" w:themeColor="text1"/>
          <w:szCs w:val="20"/>
          <w:lang w:val="en-GB"/>
        </w:rPr>
        <w:t xml:space="preserve"> for both the whole population and for children.</w:t>
      </w:r>
      <w:r w:rsidR="00385857" w:rsidRPr="00773157">
        <w:rPr>
          <w:rStyle w:val="FootnoteReference"/>
          <w:rFonts w:ascii="Arial" w:eastAsia="Times New Roman" w:hAnsi="Arial"/>
          <w:color w:val="000000" w:themeColor="text1"/>
          <w:szCs w:val="20"/>
          <w:lang w:val="en-GB"/>
        </w:rPr>
        <w:footnoteReference w:id="14"/>
      </w:r>
      <w:r w:rsidR="00385857" w:rsidRPr="00773157">
        <w:rPr>
          <w:rFonts w:ascii="Arial" w:eastAsia="Times New Roman" w:hAnsi="Arial"/>
          <w:color w:val="000000" w:themeColor="text1"/>
          <w:szCs w:val="20"/>
          <w:lang w:val="en-GB"/>
        </w:rPr>
        <w:t xml:space="preserve"> </w:t>
      </w:r>
      <w:r w:rsidR="004F2FBC" w:rsidRPr="00773157">
        <w:rPr>
          <w:rStyle w:val="FootnoteReference"/>
          <w:rFonts w:ascii="Arial" w:hAnsi="Arial"/>
          <w:color w:val="000000" w:themeColor="text1"/>
          <w:szCs w:val="20"/>
        </w:rPr>
        <w:footnoteReference w:id="15"/>
      </w:r>
    </w:p>
    <w:p w14:paraId="43A60BB6" w14:textId="77777777" w:rsidR="00277B30" w:rsidRPr="00773157" w:rsidRDefault="00277B30" w:rsidP="002C3EA2">
      <w:pPr>
        <w:spacing w:after="0" w:line="240" w:lineRule="auto"/>
        <w:rPr>
          <w:rFonts w:ascii="Arial" w:eastAsia="Times New Roman" w:hAnsi="Arial"/>
          <w:color w:val="000000" w:themeColor="text1"/>
          <w:szCs w:val="20"/>
          <w:lang w:val="en-GB"/>
        </w:rPr>
      </w:pPr>
    </w:p>
    <w:p w14:paraId="3AE60349" w14:textId="732DAB15" w:rsidR="00C46DC9" w:rsidRPr="00773157" w:rsidRDefault="00277B30" w:rsidP="002C3EA2">
      <w:pPr>
        <w:spacing w:after="0" w:line="240" w:lineRule="auto"/>
        <w:rPr>
          <w:rFonts w:ascii="Arial" w:eastAsia="Times New Roman" w:hAnsi="Arial"/>
          <w:color w:val="000000" w:themeColor="text1"/>
          <w:szCs w:val="20"/>
        </w:rPr>
      </w:pPr>
      <w:r w:rsidRPr="00773157">
        <w:rPr>
          <w:rFonts w:ascii="Arial" w:eastAsia="Times New Roman" w:hAnsi="Arial"/>
          <w:color w:val="000000" w:themeColor="text1"/>
          <w:szCs w:val="20"/>
          <w:lang w:val="en-GB"/>
        </w:rPr>
        <w:t>T</w:t>
      </w:r>
      <w:r w:rsidR="002C3EA2" w:rsidRPr="00773157">
        <w:rPr>
          <w:rFonts w:ascii="Arial" w:eastAsia="Times New Roman" w:hAnsi="Arial"/>
          <w:color w:val="000000" w:themeColor="text1"/>
          <w:szCs w:val="20"/>
          <w:lang w:val="en-GB"/>
        </w:rPr>
        <w:t xml:space="preserve">he EU has formally adopted a 13-item material and social deprivation index (‘EU-13’ in this report) as one of its suite of social inclusion indicators. </w:t>
      </w:r>
      <w:r w:rsidRPr="00773157">
        <w:rPr>
          <w:rFonts w:ascii="Arial" w:eastAsia="Times New Roman" w:hAnsi="Arial"/>
          <w:color w:val="000000" w:themeColor="text1"/>
          <w:szCs w:val="20"/>
          <w:lang w:val="en-GB"/>
        </w:rPr>
        <w:t>Both EU-13 and DEP-17</w:t>
      </w:r>
      <w:r w:rsidR="002C3EA2" w:rsidRPr="00773157">
        <w:rPr>
          <w:rFonts w:ascii="Arial" w:eastAsia="Times New Roman" w:hAnsi="Arial"/>
          <w:color w:val="000000" w:themeColor="text1"/>
          <w:szCs w:val="20"/>
          <w:lang w:val="en-GB"/>
        </w:rPr>
        <w:t xml:space="preserve"> </w:t>
      </w:r>
      <w:r w:rsidR="00937E8A">
        <w:rPr>
          <w:rFonts w:ascii="Arial" w:eastAsia="Times New Roman" w:hAnsi="Arial"/>
          <w:color w:val="000000" w:themeColor="text1"/>
          <w:szCs w:val="20"/>
          <w:lang w:val="en-GB"/>
        </w:rPr>
        <w:t xml:space="preserve">(MH-18) </w:t>
      </w:r>
      <w:r w:rsidR="002C3EA2" w:rsidRPr="00773157">
        <w:rPr>
          <w:rFonts w:ascii="Arial" w:eastAsia="Times New Roman" w:hAnsi="Arial"/>
          <w:color w:val="000000" w:themeColor="text1"/>
          <w:szCs w:val="20"/>
        </w:rPr>
        <w:t>are designed as instruments to rank households by their differing degrees of material hardship, using a balanced set of indicators that cover a range of domains and degrees of depth of deprivation, reflect the same underlying concept (or ‘latent variable’), and which apply reasonably well to people in different age groups and household types.</w:t>
      </w:r>
      <w:r w:rsidR="00EB6695">
        <w:rPr>
          <w:rStyle w:val="FootnoteReference"/>
          <w:rFonts w:ascii="Arial" w:eastAsia="Times New Roman" w:hAnsi="Arial"/>
          <w:color w:val="000000" w:themeColor="text1"/>
          <w:szCs w:val="20"/>
        </w:rPr>
        <w:footnoteReference w:id="16"/>
      </w:r>
      <w:r w:rsidR="002C3EA2" w:rsidRPr="00773157">
        <w:rPr>
          <w:rFonts w:ascii="Arial" w:eastAsia="Times New Roman" w:hAnsi="Arial"/>
          <w:color w:val="000000" w:themeColor="text1"/>
          <w:szCs w:val="20"/>
        </w:rPr>
        <w:t xml:space="preserve"> </w:t>
      </w:r>
      <w:r w:rsidRPr="00773157">
        <w:rPr>
          <w:rFonts w:ascii="Arial" w:eastAsia="Times New Roman" w:hAnsi="Arial"/>
          <w:color w:val="000000" w:themeColor="text1"/>
          <w:szCs w:val="20"/>
        </w:rPr>
        <w:t>The two indices</w:t>
      </w:r>
      <w:r w:rsidR="00FD620C" w:rsidRPr="00773157">
        <w:rPr>
          <w:rFonts w:ascii="Arial" w:eastAsia="Times New Roman" w:hAnsi="Arial"/>
          <w:color w:val="000000" w:themeColor="text1"/>
          <w:szCs w:val="20"/>
        </w:rPr>
        <w:t xml:space="preserve"> use different sets of items, but give </w:t>
      </w:r>
      <w:r w:rsidR="00D37AAF" w:rsidRPr="00773157">
        <w:rPr>
          <w:rFonts w:ascii="Arial" w:eastAsia="Times New Roman" w:hAnsi="Arial"/>
          <w:color w:val="000000" w:themeColor="text1"/>
          <w:szCs w:val="20"/>
        </w:rPr>
        <w:t>the same trends</w:t>
      </w:r>
      <w:r w:rsidR="00FD620C" w:rsidRPr="00773157">
        <w:rPr>
          <w:rFonts w:ascii="Arial" w:eastAsia="Times New Roman" w:hAnsi="Arial"/>
          <w:color w:val="000000" w:themeColor="text1"/>
          <w:szCs w:val="20"/>
        </w:rPr>
        <w:t xml:space="preserve"> from </w:t>
      </w:r>
      <w:r w:rsidR="000D3A59" w:rsidRPr="00773157">
        <w:rPr>
          <w:rFonts w:ascii="Arial" w:eastAsia="Times New Roman" w:hAnsi="Arial"/>
          <w:color w:val="000000" w:themeColor="text1"/>
          <w:szCs w:val="20"/>
        </w:rPr>
        <w:t>2013</w:t>
      </w:r>
      <w:r w:rsidR="00FD620C" w:rsidRPr="00773157">
        <w:rPr>
          <w:rFonts w:ascii="Arial" w:eastAsia="Times New Roman" w:hAnsi="Arial"/>
          <w:color w:val="000000" w:themeColor="text1"/>
          <w:szCs w:val="20"/>
        </w:rPr>
        <w:t xml:space="preserve"> on</w:t>
      </w:r>
      <w:r w:rsidR="00D37AAF" w:rsidRPr="00773157">
        <w:rPr>
          <w:rFonts w:ascii="Arial" w:eastAsia="Times New Roman" w:hAnsi="Arial"/>
          <w:color w:val="000000" w:themeColor="text1"/>
          <w:szCs w:val="20"/>
        </w:rPr>
        <w:t>, and close to identical numbers especially in recent years</w:t>
      </w:r>
      <w:r w:rsidR="0017189F">
        <w:rPr>
          <w:rFonts w:ascii="Arial" w:eastAsia="Times New Roman" w:hAnsi="Arial"/>
          <w:color w:val="000000" w:themeColor="text1"/>
          <w:szCs w:val="20"/>
        </w:rPr>
        <w:t>.</w:t>
      </w:r>
    </w:p>
    <w:p w14:paraId="6849A639" w14:textId="77777777" w:rsidR="00507594" w:rsidRPr="00773157" w:rsidRDefault="00507594" w:rsidP="002C3EA2">
      <w:pPr>
        <w:spacing w:after="0" w:line="240" w:lineRule="auto"/>
        <w:rPr>
          <w:rFonts w:ascii="Arial" w:eastAsia="Times New Roman" w:hAnsi="Arial"/>
          <w:color w:val="000000" w:themeColor="text1"/>
          <w:szCs w:val="20"/>
        </w:rPr>
      </w:pPr>
    </w:p>
    <w:p w14:paraId="09B5F73C" w14:textId="62ED208B" w:rsidR="00507594" w:rsidRPr="00A66262" w:rsidRDefault="005A1421" w:rsidP="002C3EA2">
      <w:pPr>
        <w:spacing w:after="0" w:line="240" w:lineRule="auto"/>
        <w:rPr>
          <w:rFonts w:ascii="Arial" w:eastAsia="Times New Roman" w:hAnsi="Arial"/>
          <w:color w:val="000000" w:themeColor="text1"/>
          <w:szCs w:val="20"/>
        </w:rPr>
      </w:pPr>
      <w:r w:rsidRPr="00773157">
        <w:rPr>
          <w:rFonts w:ascii="Arial" w:eastAsia="Times New Roman" w:hAnsi="Arial"/>
          <w:color w:val="000000" w:themeColor="text1"/>
          <w:szCs w:val="20"/>
        </w:rPr>
        <w:t xml:space="preserve">While the </w:t>
      </w:r>
      <w:r w:rsidR="00091514" w:rsidRPr="00773157">
        <w:rPr>
          <w:rFonts w:ascii="Arial" w:eastAsia="Times New Roman" w:hAnsi="Arial"/>
          <w:color w:val="000000" w:themeColor="text1"/>
          <w:szCs w:val="20"/>
        </w:rPr>
        <w:t xml:space="preserve">development and increasing </w:t>
      </w:r>
      <w:r w:rsidRPr="00773157">
        <w:rPr>
          <w:rFonts w:ascii="Arial" w:eastAsia="Times New Roman" w:hAnsi="Arial"/>
          <w:color w:val="000000" w:themeColor="text1"/>
          <w:szCs w:val="20"/>
        </w:rPr>
        <w:t>use of material hardship indices is a valuable advance for poverty measurement, th</w:t>
      </w:r>
      <w:r w:rsidR="004632B1" w:rsidRPr="00773157">
        <w:rPr>
          <w:rFonts w:ascii="Arial" w:eastAsia="Times New Roman" w:hAnsi="Arial"/>
          <w:color w:val="000000" w:themeColor="text1"/>
          <w:szCs w:val="20"/>
        </w:rPr>
        <w:t>ey too have their own challenges. One is</w:t>
      </w:r>
      <w:r w:rsidR="00091514" w:rsidRPr="00773157">
        <w:rPr>
          <w:rFonts w:ascii="Arial" w:eastAsia="Times New Roman" w:hAnsi="Arial"/>
          <w:color w:val="000000" w:themeColor="text1"/>
          <w:szCs w:val="20"/>
        </w:rPr>
        <w:t xml:space="preserve"> that the information for the indices </w:t>
      </w:r>
      <w:r w:rsidR="00091514" w:rsidRPr="00773157">
        <w:rPr>
          <w:rFonts w:ascii="Arial" w:eastAsia="Times New Roman" w:hAnsi="Arial"/>
          <w:color w:val="000000" w:themeColor="text1"/>
          <w:szCs w:val="20"/>
        </w:rPr>
        <w:lastRenderedPageBreak/>
        <w:t>comes from surveys and some of the items have a subjective element</w:t>
      </w:r>
      <w:r w:rsidR="00436716" w:rsidRPr="00773157">
        <w:rPr>
          <w:rFonts w:ascii="Arial" w:eastAsia="Times New Roman" w:hAnsi="Arial"/>
          <w:color w:val="000000" w:themeColor="text1"/>
          <w:szCs w:val="20"/>
        </w:rPr>
        <w:t xml:space="preserve"> </w:t>
      </w:r>
      <w:r w:rsidR="00091514" w:rsidRPr="00773157">
        <w:rPr>
          <w:rFonts w:ascii="Arial" w:eastAsia="Times New Roman" w:hAnsi="Arial"/>
          <w:color w:val="000000" w:themeColor="text1"/>
          <w:szCs w:val="20"/>
        </w:rPr>
        <w:t xml:space="preserve">in their requirement for respondents to report the seriousness of the material or financial constraints they are experiencing. </w:t>
      </w:r>
      <w:r w:rsidR="00091514" w:rsidRPr="00773157">
        <w:rPr>
          <w:rFonts w:ascii="Arial" w:hAnsi="Arial"/>
          <w:color w:val="000000" w:themeColor="text1"/>
          <w:szCs w:val="20"/>
        </w:rPr>
        <w:t xml:space="preserve"> </w:t>
      </w:r>
      <w:r w:rsidR="00091514" w:rsidRPr="00A66262">
        <w:rPr>
          <w:rFonts w:ascii="Arial" w:hAnsi="Arial"/>
          <w:color w:val="000000" w:themeColor="text1"/>
          <w:szCs w:val="20"/>
        </w:rPr>
        <w:t>There is evidence</w:t>
      </w:r>
      <w:r w:rsidR="000D3A59" w:rsidRPr="00A66262">
        <w:rPr>
          <w:rFonts w:ascii="Arial" w:hAnsi="Arial"/>
          <w:color w:val="000000" w:themeColor="text1"/>
          <w:szCs w:val="20"/>
        </w:rPr>
        <w:t xml:space="preserve"> </w:t>
      </w:r>
      <w:r w:rsidR="00091514" w:rsidRPr="00A66262">
        <w:rPr>
          <w:rFonts w:ascii="Arial" w:hAnsi="Arial"/>
          <w:color w:val="000000" w:themeColor="text1"/>
          <w:szCs w:val="20"/>
        </w:rPr>
        <w:t>that some disadvantaged respondents compare themselves with others in similar</w:t>
      </w:r>
      <w:r w:rsidR="00436716" w:rsidRPr="00A66262">
        <w:rPr>
          <w:rFonts w:ascii="Arial" w:hAnsi="Arial"/>
          <w:color w:val="000000" w:themeColor="text1"/>
          <w:szCs w:val="20"/>
        </w:rPr>
        <w:t xml:space="preserve"> precarious</w:t>
      </w:r>
      <w:r w:rsidR="00091514" w:rsidRPr="00A66262">
        <w:rPr>
          <w:rFonts w:ascii="Arial" w:hAnsi="Arial"/>
          <w:color w:val="000000" w:themeColor="text1"/>
          <w:szCs w:val="20"/>
        </w:rPr>
        <w:t xml:space="preserve"> circumstances or even </w:t>
      </w:r>
      <w:r w:rsidR="00436716" w:rsidRPr="00A66262">
        <w:rPr>
          <w:rFonts w:ascii="Arial" w:hAnsi="Arial"/>
          <w:color w:val="000000" w:themeColor="text1"/>
          <w:szCs w:val="20"/>
        </w:rPr>
        <w:t xml:space="preserve">with those </w:t>
      </w:r>
      <w:r w:rsidR="00091514" w:rsidRPr="00A66262">
        <w:rPr>
          <w:rFonts w:ascii="Arial" w:hAnsi="Arial"/>
          <w:color w:val="000000" w:themeColor="text1"/>
          <w:szCs w:val="20"/>
        </w:rPr>
        <w:t>worse off than them</w:t>
      </w:r>
      <w:r w:rsidR="00436716" w:rsidRPr="00A66262">
        <w:rPr>
          <w:rFonts w:ascii="Arial" w:hAnsi="Arial"/>
          <w:color w:val="000000" w:themeColor="text1"/>
          <w:szCs w:val="20"/>
        </w:rPr>
        <w:t>selves</w:t>
      </w:r>
      <w:r w:rsidR="00091514" w:rsidRPr="00A66262">
        <w:rPr>
          <w:rFonts w:ascii="Arial" w:hAnsi="Arial"/>
          <w:color w:val="000000" w:themeColor="text1"/>
          <w:szCs w:val="20"/>
        </w:rPr>
        <w:t xml:space="preserve"> (rather than to an independently determined standard)</w:t>
      </w:r>
      <w:r w:rsidR="00261138">
        <w:rPr>
          <w:rFonts w:ascii="Arial" w:hAnsi="Arial"/>
          <w:color w:val="000000" w:themeColor="text1"/>
          <w:szCs w:val="20"/>
        </w:rPr>
        <w:t xml:space="preserve"> </w:t>
      </w:r>
      <w:r w:rsidR="00091514" w:rsidRPr="00A66262">
        <w:rPr>
          <w:rFonts w:ascii="Arial" w:hAnsi="Arial"/>
          <w:color w:val="000000" w:themeColor="text1"/>
          <w:szCs w:val="20"/>
        </w:rPr>
        <w:t>and adapt their expectations accordingly. This can lead to an under-estimate of material hardship rates</w:t>
      </w:r>
      <w:r w:rsidR="00472E53" w:rsidRPr="00A66262">
        <w:rPr>
          <w:rFonts w:ascii="Arial" w:hAnsi="Arial"/>
          <w:color w:val="000000" w:themeColor="text1"/>
          <w:szCs w:val="20"/>
        </w:rPr>
        <w:t>.</w:t>
      </w:r>
      <w:r w:rsidR="00B44A55" w:rsidRPr="00A66262">
        <w:rPr>
          <w:rFonts w:ascii="Arial" w:hAnsi="Arial"/>
          <w:color w:val="000000" w:themeColor="text1"/>
          <w:szCs w:val="20"/>
        </w:rPr>
        <w:t xml:space="preserve"> </w:t>
      </w:r>
      <w:r w:rsidR="00472E53" w:rsidRPr="00A66262">
        <w:rPr>
          <w:rFonts w:ascii="Arial" w:hAnsi="Arial"/>
          <w:color w:val="000000" w:themeColor="text1"/>
          <w:szCs w:val="20"/>
        </w:rPr>
        <w:t xml:space="preserve">Poorer </w:t>
      </w:r>
      <w:r w:rsidR="00B44A55" w:rsidRPr="00A66262">
        <w:rPr>
          <w:rFonts w:ascii="Arial" w:hAnsi="Arial"/>
          <w:color w:val="000000" w:themeColor="text1"/>
          <w:szCs w:val="20"/>
        </w:rPr>
        <w:t xml:space="preserve">respondents </w:t>
      </w:r>
      <w:r w:rsidR="00472E53" w:rsidRPr="00A66262">
        <w:rPr>
          <w:rFonts w:ascii="Arial" w:hAnsi="Arial"/>
          <w:color w:val="000000" w:themeColor="text1"/>
          <w:szCs w:val="20"/>
        </w:rPr>
        <w:t>may also</w:t>
      </w:r>
      <w:r w:rsidR="00B44A55" w:rsidRPr="00A66262">
        <w:rPr>
          <w:rFonts w:ascii="Arial" w:hAnsi="Arial"/>
          <w:color w:val="000000" w:themeColor="text1"/>
          <w:szCs w:val="20"/>
        </w:rPr>
        <w:t xml:space="preserve"> </w:t>
      </w:r>
      <w:r w:rsidR="00472E53" w:rsidRPr="00A66262">
        <w:rPr>
          <w:rFonts w:ascii="Arial" w:hAnsi="Arial"/>
          <w:color w:val="000000" w:themeColor="text1"/>
          <w:szCs w:val="20"/>
        </w:rPr>
        <w:t xml:space="preserve">(consciously or unconsciously) adopt a strategy that </w:t>
      </w:r>
      <w:r w:rsidR="00134B80" w:rsidRPr="00A66262">
        <w:rPr>
          <w:rFonts w:ascii="Arial" w:hAnsi="Arial"/>
          <w:color w:val="000000" w:themeColor="text1"/>
          <w:szCs w:val="20"/>
        </w:rPr>
        <w:t xml:space="preserve">to a degree </w:t>
      </w:r>
      <w:r w:rsidR="00472E53" w:rsidRPr="00A66262">
        <w:rPr>
          <w:rFonts w:ascii="Arial" w:hAnsi="Arial"/>
          <w:color w:val="000000" w:themeColor="text1"/>
          <w:szCs w:val="20"/>
        </w:rPr>
        <w:t>preserves their dignity by replying</w:t>
      </w:r>
      <w:r w:rsidR="00B44A55" w:rsidRPr="00A66262">
        <w:rPr>
          <w:rFonts w:ascii="Arial" w:hAnsi="Arial"/>
          <w:color w:val="000000" w:themeColor="text1"/>
          <w:szCs w:val="20"/>
        </w:rPr>
        <w:t xml:space="preserve"> “don’t have because don’t want” rather than “don’t have because of cost”</w:t>
      </w:r>
      <w:r w:rsidR="00472E53" w:rsidRPr="00A66262">
        <w:rPr>
          <w:rFonts w:ascii="Arial" w:hAnsi="Arial"/>
          <w:color w:val="000000" w:themeColor="text1"/>
          <w:szCs w:val="20"/>
        </w:rPr>
        <w:t xml:space="preserve"> </w:t>
      </w:r>
      <w:r w:rsidR="00B44A55" w:rsidRPr="00A66262">
        <w:rPr>
          <w:rFonts w:ascii="Arial" w:hAnsi="Arial"/>
          <w:color w:val="000000" w:themeColor="text1"/>
          <w:szCs w:val="20"/>
        </w:rPr>
        <w:t>– and only the latter response</w:t>
      </w:r>
      <w:r w:rsidR="00472E53" w:rsidRPr="00A66262">
        <w:rPr>
          <w:rFonts w:ascii="Arial" w:hAnsi="Arial"/>
          <w:color w:val="000000" w:themeColor="text1"/>
          <w:szCs w:val="20"/>
        </w:rPr>
        <w:t>s</w:t>
      </w:r>
      <w:r w:rsidR="00B44A55" w:rsidRPr="00A66262">
        <w:rPr>
          <w:rFonts w:ascii="Arial" w:hAnsi="Arial"/>
          <w:color w:val="000000" w:themeColor="text1"/>
          <w:szCs w:val="20"/>
        </w:rPr>
        <w:t xml:space="preserve"> get counted</w:t>
      </w:r>
      <w:r w:rsidR="00472E53" w:rsidRPr="00A66262">
        <w:rPr>
          <w:rFonts w:ascii="Arial" w:hAnsi="Arial"/>
          <w:color w:val="000000" w:themeColor="text1"/>
          <w:szCs w:val="20"/>
        </w:rPr>
        <w:t xml:space="preserve"> towards their deprivation or hardship score. </w:t>
      </w:r>
      <w:r w:rsidR="00EF2DED" w:rsidRPr="00A66262">
        <w:rPr>
          <w:rFonts w:ascii="Arial" w:hAnsi="Arial"/>
          <w:color w:val="000000" w:themeColor="text1"/>
          <w:szCs w:val="20"/>
        </w:rPr>
        <w:t xml:space="preserve">There is also a decision to be made on how to aggregate the number of reported deprivations into an index – is it just a simple count, or should it be </w:t>
      </w:r>
      <w:r w:rsidR="00175931" w:rsidRPr="00A66262">
        <w:rPr>
          <w:rFonts w:ascii="Arial" w:hAnsi="Arial"/>
          <w:color w:val="000000" w:themeColor="text1"/>
          <w:szCs w:val="20"/>
        </w:rPr>
        <w:t xml:space="preserve">a </w:t>
      </w:r>
      <w:r w:rsidR="00EF2DED" w:rsidRPr="00A66262">
        <w:rPr>
          <w:rFonts w:ascii="Arial" w:hAnsi="Arial"/>
          <w:color w:val="000000" w:themeColor="text1"/>
          <w:szCs w:val="20"/>
        </w:rPr>
        <w:t>weighted count with the greatest weight going to items deemed (by survey) to be</w:t>
      </w:r>
      <w:r w:rsidR="00370BD8" w:rsidRPr="00A66262">
        <w:rPr>
          <w:rFonts w:ascii="Arial" w:hAnsi="Arial"/>
          <w:color w:val="000000" w:themeColor="text1"/>
          <w:szCs w:val="20"/>
        </w:rPr>
        <w:t xml:space="preserve"> the most commonly possessed?</w:t>
      </w:r>
      <w:r w:rsidR="00175931" w:rsidRPr="00A66262">
        <w:rPr>
          <w:rFonts w:ascii="Arial" w:hAnsi="Arial"/>
          <w:color w:val="000000" w:themeColor="text1"/>
          <w:szCs w:val="20"/>
        </w:rPr>
        <w:t xml:space="preserve"> </w:t>
      </w:r>
      <w:r w:rsidR="00370BD8" w:rsidRPr="00A66262">
        <w:rPr>
          <w:rFonts w:ascii="Arial" w:hAnsi="Arial"/>
          <w:color w:val="000000" w:themeColor="text1"/>
          <w:szCs w:val="20"/>
        </w:rPr>
        <w:t>The rationale for the latter weighting is that it ‘hurts’ more to be deprived of those items that are more commonly possessed items than those less so.</w:t>
      </w:r>
    </w:p>
    <w:p w14:paraId="19F360BB" w14:textId="77777777" w:rsidR="002C3EA2" w:rsidRPr="00A66262" w:rsidRDefault="002C3EA2" w:rsidP="002C3EA2">
      <w:pPr>
        <w:spacing w:after="0" w:line="240" w:lineRule="auto"/>
        <w:rPr>
          <w:rFonts w:ascii="Arial" w:eastAsia="Times New Roman" w:hAnsi="Arial"/>
          <w:color w:val="000000" w:themeColor="text1"/>
          <w:szCs w:val="20"/>
          <w:lang w:val="en-GB"/>
        </w:rPr>
      </w:pPr>
    </w:p>
    <w:p w14:paraId="59BC4017" w14:textId="77777777" w:rsidR="00134B80" w:rsidRPr="00A66262" w:rsidRDefault="00134B80" w:rsidP="002C3EA2">
      <w:pPr>
        <w:spacing w:after="0" w:line="240" w:lineRule="auto"/>
        <w:rPr>
          <w:rFonts w:ascii="Arial" w:eastAsia="Times New Roman" w:hAnsi="Arial"/>
          <w:b/>
          <w:bCs/>
          <w:color w:val="000000" w:themeColor="text1"/>
          <w:szCs w:val="20"/>
          <w:lang w:val="en-GB"/>
        </w:rPr>
      </w:pPr>
      <w:r w:rsidRPr="00A66262">
        <w:rPr>
          <w:rFonts w:ascii="Arial" w:eastAsia="Times New Roman" w:hAnsi="Arial"/>
          <w:b/>
          <w:bCs/>
          <w:color w:val="000000" w:themeColor="text1"/>
          <w:szCs w:val="20"/>
          <w:lang w:val="en-GB"/>
        </w:rPr>
        <w:t>Combining household income and material hardship indices to measure poverty</w:t>
      </w:r>
    </w:p>
    <w:p w14:paraId="0D2AB6C2" w14:textId="77777777" w:rsidR="00134B80" w:rsidRPr="00A66262" w:rsidRDefault="00134B80" w:rsidP="002C3EA2">
      <w:pPr>
        <w:spacing w:after="0" w:line="240" w:lineRule="auto"/>
        <w:rPr>
          <w:rFonts w:ascii="Arial" w:eastAsia="Times New Roman" w:hAnsi="Arial"/>
          <w:color w:val="000000" w:themeColor="text1"/>
          <w:sz w:val="16"/>
          <w:szCs w:val="16"/>
          <w:lang w:val="en-GB"/>
        </w:rPr>
      </w:pPr>
    </w:p>
    <w:p w14:paraId="2736ACCB" w14:textId="5A982D5C" w:rsidR="006A0494" w:rsidRDefault="003F1AD3" w:rsidP="002C3EA2">
      <w:pPr>
        <w:spacing w:after="0" w:line="240" w:lineRule="auto"/>
        <w:rPr>
          <w:rFonts w:ascii="Arial" w:eastAsia="Times New Roman" w:hAnsi="Arial"/>
          <w:color w:val="000000" w:themeColor="text1"/>
          <w:szCs w:val="20"/>
          <w:lang w:val="en-GB"/>
        </w:rPr>
      </w:pPr>
      <w:r w:rsidRPr="00A66262">
        <w:rPr>
          <w:rFonts w:ascii="Arial" w:eastAsia="Times New Roman" w:hAnsi="Arial"/>
          <w:color w:val="000000" w:themeColor="text1"/>
          <w:szCs w:val="20"/>
          <w:lang w:val="en-GB"/>
        </w:rPr>
        <w:t xml:space="preserve">There is a good case for using </w:t>
      </w:r>
      <w:r w:rsidR="002C3EA2" w:rsidRPr="00A66262">
        <w:rPr>
          <w:rFonts w:ascii="Arial" w:eastAsia="Times New Roman" w:hAnsi="Arial"/>
          <w:color w:val="000000" w:themeColor="text1"/>
          <w:szCs w:val="20"/>
          <w:lang w:val="en-GB"/>
        </w:rPr>
        <w:t xml:space="preserve">a combination of both low income and material hardship as a poverty measure. </w:t>
      </w:r>
      <w:r w:rsidR="002C3EA2" w:rsidRPr="00A66262">
        <w:rPr>
          <w:rFonts w:ascii="Arial" w:hAnsi="Arial"/>
          <w:color w:val="000000" w:themeColor="text1"/>
        </w:rPr>
        <w:t>Ireland uses the combination method to measure what they call ‘consistent poverty’, as in their view this (overlap) group best fits the high-level definition which has both an input (resources) and outcome dimension (minimum acceptable material standard of living).</w:t>
      </w:r>
      <w:r w:rsidR="009B4F0D">
        <w:rPr>
          <w:rStyle w:val="FootnoteReference"/>
          <w:rFonts w:ascii="Arial" w:hAnsi="Arial"/>
          <w:color w:val="000000" w:themeColor="text1"/>
        </w:rPr>
        <w:footnoteReference w:id="17"/>
      </w:r>
      <w:r w:rsidR="002C3EA2" w:rsidRPr="00A66262">
        <w:rPr>
          <w:rFonts w:ascii="Arial" w:eastAsia="Times New Roman" w:hAnsi="Arial"/>
          <w:color w:val="000000" w:themeColor="text1"/>
          <w:szCs w:val="20"/>
          <w:lang w:val="en-GB"/>
        </w:rPr>
        <w:t xml:space="preserve"> </w:t>
      </w:r>
      <w:r w:rsidRPr="00A66262">
        <w:rPr>
          <w:rFonts w:ascii="Arial" w:eastAsia="Times New Roman" w:hAnsi="Arial"/>
          <w:color w:val="000000" w:themeColor="text1"/>
          <w:szCs w:val="20"/>
          <w:lang w:val="en-GB"/>
        </w:rPr>
        <w:t>It</w:t>
      </w:r>
      <w:r w:rsidR="00370BD8" w:rsidRPr="00A66262">
        <w:rPr>
          <w:rFonts w:ascii="Arial" w:eastAsia="Times New Roman" w:hAnsi="Arial"/>
          <w:color w:val="000000" w:themeColor="text1"/>
          <w:szCs w:val="20"/>
          <w:lang w:val="en-GB"/>
        </w:rPr>
        <w:t xml:space="preserve"> also</w:t>
      </w:r>
      <w:r w:rsidRPr="00A66262">
        <w:rPr>
          <w:rFonts w:ascii="Arial" w:eastAsia="Times New Roman" w:hAnsi="Arial"/>
          <w:color w:val="000000" w:themeColor="text1"/>
          <w:szCs w:val="20"/>
          <w:lang w:val="en-GB"/>
        </w:rPr>
        <w:t xml:space="preserve"> goes some way to addressing the mismatch issues identified above in the discussion of the use of household income alone</w:t>
      </w:r>
      <w:r w:rsidR="00112AB6">
        <w:rPr>
          <w:rFonts w:ascii="Arial" w:eastAsia="Times New Roman" w:hAnsi="Arial"/>
          <w:color w:val="000000" w:themeColor="text1"/>
          <w:szCs w:val="20"/>
          <w:lang w:val="en-GB"/>
        </w:rPr>
        <w:t xml:space="preserve">. </w:t>
      </w:r>
      <w:r w:rsidR="002C3EA2" w:rsidRPr="00A66262">
        <w:rPr>
          <w:rFonts w:ascii="Arial" w:eastAsia="Times New Roman" w:hAnsi="Arial"/>
          <w:color w:val="000000" w:themeColor="text1"/>
          <w:szCs w:val="20"/>
          <w:lang w:val="en-GB"/>
        </w:rPr>
        <w:t xml:space="preserve">MSD uses the combination method as one of the measures in its multi-measure multi-level approach. It is one of the specified measures in </w:t>
      </w:r>
      <w:r w:rsidR="002C3EA2" w:rsidRPr="00112AB6">
        <w:rPr>
          <w:rFonts w:ascii="Arial" w:eastAsia="Times New Roman" w:hAnsi="Arial"/>
          <w:color w:val="000000" w:themeColor="text1"/>
          <w:szCs w:val="20"/>
          <w:lang w:val="en-GB"/>
        </w:rPr>
        <w:t>the CPR</w:t>
      </w:r>
      <w:r w:rsidR="00FB1E00" w:rsidRPr="00112AB6">
        <w:rPr>
          <w:rFonts w:ascii="Arial" w:eastAsia="Times New Roman" w:hAnsi="Arial"/>
          <w:color w:val="000000" w:themeColor="text1"/>
          <w:szCs w:val="20"/>
          <w:lang w:val="en-GB"/>
        </w:rPr>
        <w:t>A</w:t>
      </w:r>
      <w:r w:rsidR="002C3EA2" w:rsidRPr="00112AB6">
        <w:rPr>
          <w:rFonts w:ascii="Arial" w:eastAsia="Times New Roman" w:hAnsi="Arial"/>
          <w:color w:val="000000" w:themeColor="text1"/>
          <w:szCs w:val="20"/>
          <w:lang w:val="en-GB"/>
        </w:rPr>
        <w:t xml:space="preserve"> suite</w:t>
      </w:r>
      <w:r w:rsidR="00F53C57">
        <w:rPr>
          <w:rFonts w:ascii="Arial" w:eastAsia="Times New Roman" w:hAnsi="Arial"/>
          <w:color w:val="000000" w:themeColor="text1"/>
          <w:szCs w:val="20"/>
          <w:lang w:val="en-GB"/>
        </w:rPr>
        <w:t>.</w:t>
      </w:r>
    </w:p>
    <w:p w14:paraId="73E233A0" w14:textId="77777777" w:rsidR="007D3E3A" w:rsidRDefault="007D3E3A" w:rsidP="002C3EA2">
      <w:pPr>
        <w:spacing w:after="0" w:line="240" w:lineRule="auto"/>
        <w:rPr>
          <w:rFonts w:ascii="Arial" w:eastAsia="Times New Roman" w:hAnsi="Arial"/>
          <w:color w:val="000000" w:themeColor="text1"/>
          <w:szCs w:val="20"/>
          <w:lang w:val="en-GB"/>
        </w:rPr>
      </w:pPr>
    </w:p>
    <w:p w14:paraId="21716813" w14:textId="2DEA914D" w:rsidR="00194804" w:rsidRPr="00C72964" w:rsidRDefault="00194804" w:rsidP="002C3EA2">
      <w:pPr>
        <w:spacing w:after="0" w:line="240" w:lineRule="auto"/>
        <w:rPr>
          <w:rFonts w:ascii="Arial" w:hAnsi="Arial"/>
          <w:color w:val="000000" w:themeColor="text1"/>
          <w:sz w:val="24"/>
          <w:szCs w:val="28"/>
        </w:rPr>
      </w:pPr>
      <w:r w:rsidRPr="00C72964">
        <w:rPr>
          <w:rFonts w:ascii="Arial" w:hAnsi="Arial"/>
          <w:b/>
          <w:bCs/>
          <w:color w:val="000000" w:themeColor="text1"/>
          <w:sz w:val="24"/>
          <w:szCs w:val="28"/>
        </w:rPr>
        <w:t>Setting thresholds</w:t>
      </w:r>
    </w:p>
    <w:p w14:paraId="743B4459" w14:textId="77777777" w:rsidR="00476B9B" w:rsidRPr="00C72964" w:rsidRDefault="00476B9B" w:rsidP="006935DC">
      <w:pPr>
        <w:spacing w:after="0" w:line="240" w:lineRule="auto"/>
        <w:rPr>
          <w:rFonts w:ascii="Arial" w:hAnsi="Arial"/>
          <w:bCs/>
          <w:color w:val="000000" w:themeColor="text1"/>
          <w:sz w:val="18"/>
          <w:szCs w:val="18"/>
        </w:rPr>
      </w:pPr>
    </w:p>
    <w:p w14:paraId="5DD0BECB" w14:textId="1AD7EB00" w:rsidR="0025316E" w:rsidRPr="00A66262" w:rsidRDefault="005C02E5" w:rsidP="00476B9B">
      <w:pPr>
        <w:spacing w:after="0" w:line="240" w:lineRule="auto"/>
        <w:rPr>
          <w:rFonts w:ascii="Arial" w:hAnsi="Arial"/>
          <w:bCs/>
          <w:color w:val="000000" w:themeColor="text1"/>
          <w:szCs w:val="20"/>
        </w:rPr>
      </w:pPr>
      <w:r w:rsidRPr="00A66262">
        <w:rPr>
          <w:rFonts w:ascii="Arial" w:hAnsi="Arial"/>
          <w:color w:val="000000" w:themeColor="text1"/>
          <w:szCs w:val="20"/>
        </w:rPr>
        <w:t xml:space="preserve">Whichever measurement approach is used – one of the household income measures or a </w:t>
      </w:r>
      <w:r w:rsidR="003F1AD3" w:rsidRPr="00A66262">
        <w:rPr>
          <w:rFonts w:ascii="Arial" w:hAnsi="Arial"/>
          <w:color w:val="000000" w:themeColor="text1"/>
          <w:szCs w:val="20"/>
        </w:rPr>
        <w:t xml:space="preserve">material hardship </w:t>
      </w:r>
      <w:r w:rsidRPr="00A66262">
        <w:rPr>
          <w:rFonts w:ascii="Arial" w:hAnsi="Arial"/>
          <w:color w:val="000000" w:themeColor="text1"/>
          <w:szCs w:val="20"/>
        </w:rPr>
        <w:t xml:space="preserve">index using </w:t>
      </w:r>
      <w:r w:rsidR="0094514D" w:rsidRPr="00A66262">
        <w:rPr>
          <w:rFonts w:ascii="Arial" w:hAnsi="Arial"/>
          <w:color w:val="000000" w:themeColor="text1"/>
          <w:szCs w:val="20"/>
        </w:rPr>
        <w:t>non-income measure</w:t>
      </w:r>
      <w:r w:rsidRPr="00A66262">
        <w:rPr>
          <w:rFonts w:ascii="Arial" w:hAnsi="Arial"/>
          <w:color w:val="000000" w:themeColor="text1"/>
          <w:szCs w:val="20"/>
        </w:rPr>
        <w:t>s</w:t>
      </w:r>
      <w:r w:rsidR="00D97AAD">
        <w:rPr>
          <w:rFonts w:ascii="Arial" w:hAnsi="Arial"/>
          <w:color w:val="000000" w:themeColor="text1"/>
          <w:szCs w:val="20"/>
        </w:rPr>
        <w:t xml:space="preserve"> or an overlap measure</w:t>
      </w:r>
      <w:r w:rsidRPr="00A66262">
        <w:rPr>
          <w:rFonts w:ascii="Arial" w:hAnsi="Arial"/>
          <w:color w:val="000000" w:themeColor="text1"/>
          <w:szCs w:val="20"/>
        </w:rPr>
        <w:t xml:space="preserve"> – value judgments are needed to decide on </w:t>
      </w:r>
      <w:r w:rsidR="00AD7734" w:rsidRPr="00A66262">
        <w:rPr>
          <w:rFonts w:ascii="Arial" w:hAnsi="Arial"/>
          <w:color w:val="000000" w:themeColor="text1"/>
          <w:szCs w:val="20"/>
        </w:rPr>
        <w:t>how to give practical effect to the</w:t>
      </w:r>
      <w:r w:rsidRPr="00A66262">
        <w:rPr>
          <w:rFonts w:ascii="Arial" w:hAnsi="Arial"/>
          <w:color w:val="000000" w:themeColor="text1"/>
          <w:szCs w:val="20"/>
        </w:rPr>
        <w:t xml:space="preserve"> ‘minimum acceptable’ </w:t>
      </w:r>
      <w:r w:rsidR="00AD7734" w:rsidRPr="00A66262">
        <w:rPr>
          <w:rFonts w:ascii="Arial" w:hAnsi="Arial"/>
          <w:color w:val="000000" w:themeColor="text1"/>
          <w:szCs w:val="20"/>
        </w:rPr>
        <w:t>and</w:t>
      </w:r>
      <w:r w:rsidRPr="00A66262">
        <w:rPr>
          <w:rFonts w:ascii="Arial" w:hAnsi="Arial"/>
          <w:color w:val="000000" w:themeColor="text1"/>
          <w:szCs w:val="20"/>
        </w:rPr>
        <w:t xml:space="preserve"> ‘</w:t>
      </w:r>
      <w:r w:rsidR="007A6A33" w:rsidRPr="00A66262">
        <w:rPr>
          <w:rFonts w:ascii="Arial" w:hAnsi="Arial"/>
          <w:color w:val="000000" w:themeColor="text1"/>
          <w:szCs w:val="20"/>
        </w:rPr>
        <w:t>in</w:t>
      </w:r>
      <w:r w:rsidRPr="00A66262">
        <w:rPr>
          <w:rFonts w:ascii="Arial" w:hAnsi="Arial"/>
          <w:color w:val="000000" w:themeColor="text1"/>
          <w:szCs w:val="20"/>
        </w:rPr>
        <w:t>adequate’</w:t>
      </w:r>
      <w:r w:rsidR="00AD7734" w:rsidRPr="00A66262">
        <w:rPr>
          <w:rFonts w:ascii="Arial" w:hAnsi="Arial"/>
          <w:color w:val="000000" w:themeColor="text1"/>
          <w:szCs w:val="20"/>
        </w:rPr>
        <w:t xml:space="preserve"> descriptors in the definition</w:t>
      </w:r>
      <w:r w:rsidRPr="00A66262">
        <w:rPr>
          <w:rFonts w:ascii="Arial" w:hAnsi="Arial"/>
          <w:color w:val="000000" w:themeColor="text1"/>
          <w:szCs w:val="20"/>
        </w:rPr>
        <w:t xml:space="preserve"> (ie </w:t>
      </w:r>
      <w:r w:rsidR="00AD7734" w:rsidRPr="00A66262">
        <w:rPr>
          <w:rFonts w:ascii="Arial" w:hAnsi="Arial"/>
          <w:color w:val="000000" w:themeColor="text1"/>
          <w:szCs w:val="20"/>
        </w:rPr>
        <w:t xml:space="preserve">what minimum standard of living is acceptable? </w:t>
      </w:r>
      <w:r w:rsidR="00112AB6">
        <w:rPr>
          <w:rFonts w:ascii="Arial" w:hAnsi="Arial"/>
          <w:color w:val="000000" w:themeColor="text1"/>
          <w:szCs w:val="20"/>
        </w:rPr>
        <w:t>…</w:t>
      </w:r>
      <w:r w:rsidR="00AD7734" w:rsidRPr="00A66262">
        <w:rPr>
          <w:rFonts w:ascii="Arial" w:hAnsi="Arial"/>
          <w:color w:val="000000" w:themeColor="text1"/>
          <w:szCs w:val="20"/>
        </w:rPr>
        <w:t xml:space="preserve"> </w:t>
      </w:r>
      <w:r w:rsidR="007A6A33" w:rsidRPr="00A66262">
        <w:rPr>
          <w:rFonts w:ascii="Arial" w:hAnsi="Arial"/>
          <w:color w:val="000000" w:themeColor="text1"/>
          <w:szCs w:val="20"/>
        </w:rPr>
        <w:t>at what level does income become too low to support this minimum acceptable standard of living? ie where to draw the poverty line?</w:t>
      </w:r>
      <w:r w:rsidR="006935DC" w:rsidRPr="00A66262">
        <w:rPr>
          <w:rFonts w:ascii="Arial" w:hAnsi="Arial"/>
          <w:color w:val="000000" w:themeColor="text1"/>
          <w:szCs w:val="20"/>
        </w:rPr>
        <w:t xml:space="preserve"> </w:t>
      </w:r>
      <w:r w:rsidR="00112AB6">
        <w:rPr>
          <w:rFonts w:ascii="Arial" w:hAnsi="Arial"/>
          <w:color w:val="000000" w:themeColor="text1"/>
          <w:szCs w:val="20"/>
        </w:rPr>
        <w:t xml:space="preserve">… </w:t>
      </w:r>
      <w:r w:rsidR="006935DC" w:rsidRPr="00A66262">
        <w:rPr>
          <w:rFonts w:ascii="Arial" w:hAnsi="Arial"/>
          <w:color w:val="000000" w:themeColor="text1"/>
          <w:szCs w:val="20"/>
        </w:rPr>
        <w:t>what rules to use for updating thresholds over time?)</w:t>
      </w:r>
      <w:r w:rsidRPr="00A66262">
        <w:rPr>
          <w:rFonts w:ascii="Arial" w:hAnsi="Arial"/>
          <w:color w:val="000000" w:themeColor="text1"/>
          <w:szCs w:val="20"/>
        </w:rPr>
        <w:t>.</w:t>
      </w:r>
      <w:r w:rsidR="006935DC" w:rsidRPr="00A66262">
        <w:rPr>
          <w:rFonts w:ascii="Arial" w:hAnsi="Arial"/>
          <w:color w:val="000000" w:themeColor="text1"/>
          <w:szCs w:val="20"/>
        </w:rPr>
        <w:t xml:space="preserve"> </w:t>
      </w:r>
      <w:r w:rsidR="0025316E" w:rsidRPr="00A66262">
        <w:rPr>
          <w:rFonts w:ascii="Arial" w:hAnsi="Arial"/>
          <w:color w:val="000000" w:themeColor="text1"/>
          <w:szCs w:val="20"/>
        </w:rPr>
        <w:t>These decisions are very influential on the resulting numbers and therefore on the overall perception of the size of the ‘poverty issue’</w:t>
      </w:r>
      <w:r w:rsidR="00D51FE7" w:rsidRPr="00A66262">
        <w:rPr>
          <w:rFonts w:ascii="Arial" w:hAnsi="Arial"/>
          <w:color w:val="000000" w:themeColor="text1"/>
          <w:szCs w:val="20"/>
        </w:rPr>
        <w:t>.</w:t>
      </w:r>
      <w:r w:rsidR="0025316E" w:rsidRPr="00A66262">
        <w:rPr>
          <w:rFonts w:ascii="Arial" w:hAnsi="Arial"/>
          <w:color w:val="000000" w:themeColor="text1"/>
          <w:szCs w:val="20"/>
        </w:rPr>
        <w:t xml:space="preserve"> </w:t>
      </w:r>
      <w:r w:rsidR="007A6A33" w:rsidRPr="00A66262">
        <w:rPr>
          <w:rFonts w:ascii="Arial" w:hAnsi="Arial"/>
          <w:color w:val="000000" w:themeColor="text1"/>
          <w:szCs w:val="20"/>
        </w:rPr>
        <w:t>Making these</w:t>
      </w:r>
      <w:r w:rsidR="00D51FE7" w:rsidRPr="00A66262">
        <w:rPr>
          <w:rFonts w:ascii="Arial" w:hAnsi="Arial"/>
          <w:color w:val="000000" w:themeColor="text1"/>
          <w:szCs w:val="20"/>
        </w:rPr>
        <w:t xml:space="preserve"> value judgments </w:t>
      </w:r>
      <w:r w:rsidR="00FF58A0">
        <w:rPr>
          <w:rFonts w:ascii="Arial" w:hAnsi="Arial"/>
          <w:color w:val="000000" w:themeColor="text1"/>
          <w:szCs w:val="20"/>
        </w:rPr>
        <w:t>is</w:t>
      </w:r>
      <w:r w:rsidRPr="00A66262">
        <w:rPr>
          <w:rFonts w:ascii="Arial" w:hAnsi="Arial"/>
          <w:color w:val="000000" w:themeColor="text1"/>
          <w:szCs w:val="20"/>
        </w:rPr>
        <w:t xml:space="preserve"> </w:t>
      </w:r>
      <w:r w:rsidR="00A9642A" w:rsidRPr="00A66262">
        <w:rPr>
          <w:rFonts w:ascii="Arial" w:hAnsi="Arial"/>
          <w:color w:val="000000" w:themeColor="text1"/>
          <w:szCs w:val="20"/>
        </w:rPr>
        <w:t xml:space="preserve">an </w:t>
      </w:r>
      <w:r w:rsidRPr="00A66262">
        <w:rPr>
          <w:rFonts w:ascii="Arial" w:hAnsi="Arial"/>
          <w:color w:val="000000" w:themeColor="text1"/>
          <w:szCs w:val="20"/>
        </w:rPr>
        <w:t>inescapable aspect of poverty measurement and debate</w:t>
      </w:r>
      <w:r w:rsidR="007A6A33" w:rsidRPr="00A66262">
        <w:rPr>
          <w:rFonts w:ascii="Arial" w:hAnsi="Arial"/>
          <w:color w:val="000000" w:themeColor="text1"/>
          <w:szCs w:val="20"/>
        </w:rPr>
        <w:t>.</w:t>
      </w:r>
      <w:r w:rsidRPr="00A66262">
        <w:rPr>
          <w:rFonts w:ascii="Arial" w:hAnsi="Arial"/>
          <w:color w:val="000000" w:themeColor="text1"/>
          <w:szCs w:val="20"/>
        </w:rPr>
        <w:t xml:space="preserve"> </w:t>
      </w:r>
      <w:r w:rsidR="007A6A33" w:rsidRPr="00A66262">
        <w:rPr>
          <w:rFonts w:ascii="Arial" w:hAnsi="Arial"/>
          <w:color w:val="000000" w:themeColor="text1"/>
          <w:szCs w:val="20"/>
        </w:rPr>
        <w:t>This however</w:t>
      </w:r>
      <w:r w:rsidRPr="00A66262">
        <w:rPr>
          <w:rFonts w:ascii="Arial" w:hAnsi="Arial"/>
          <w:color w:val="000000" w:themeColor="text1"/>
          <w:szCs w:val="20"/>
        </w:rPr>
        <w:t xml:space="preserve"> does not mean that any measure will do nor that all measures are equally imperfect. Some are clearly more reasonable and defensible than others</w:t>
      </w:r>
      <w:r w:rsidR="009B322C" w:rsidRPr="00A66262">
        <w:rPr>
          <w:rFonts w:ascii="Arial" w:hAnsi="Arial"/>
          <w:color w:val="000000" w:themeColor="text1"/>
          <w:szCs w:val="20"/>
        </w:rPr>
        <w:t>.</w:t>
      </w:r>
      <w:r w:rsidR="00FF58A0">
        <w:rPr>
          <w:rFonts w:ascii="Arial" w:hAnsi="Arial"/>
          <w:color w:val="000000" w:themeColor="text1"/>
          <w:szCs w:val="20"/>
        </w:rPr>
        <w:t xml:space="preserve"> </w:t>
      </w:r>
      <w:r w:rsidR="001509AC" w:rsidRPr="00A66262">
        <w:rPr>
          <w:rFonts w:ascii="Arial" w:hAnsi="Arial"/>
          <w:color w:val="000000" w:themeColor="text1"/>
          <w:szCs w:val="20"/>
        </w:rPr>
        <w:t xml:space="preserve"> </w:t>
      </w:r>
    </w:p>
    <w:p w14:paraId="714C7CBC" w14:textId="77777777" w:rsidR="0025316E" w:rsidRPr="00A66262" w:rsidRDefault="0025316E" w:rsidP="008A32DF">
      <w:pPr>
        <w:spacing w:after="0" w:line="240" w:lineRule="auto"/>
        <w:rPr>
          <w:rFonts w:ascii="Arial" w:hAnsi="Arial"/>
          <w:color w:val="000000" w:themeColor="text1"/>
          <w:szCs w:val="20"/>
        </w:rPr>
      </w:pPr>
    </w:p>
    <w:p w14:paraId="0D320961" w14:textId="698F75A9" w:rsidR="0025316E" w:rsidRDefault="00D51FE7" w:rsidP="008A32DF">
      <w:pPr>
        <w:spacing w:after="0" w:line="240" w:lineRule="auto"/>
        <w:rPr>
          <w:rFonts w:ascii="Arial" w:hAnsi="Arial"/>
          <w:color w:val="000000" w:themeColor="text1"/>
          <w:szCs w:val="20"/>
        </w:rPr>
      </w:pPr>
      <w:r w:rsidRPr="00A66262">
        <w:rPr>
          <w:rFonts w:ascii="Arial" w:hAnsi="Arial"/>
          <w:color w:val="000000" w:themeColor="text1"/>
          <w:szCs w:val="20"/>
        </w:rPr>
        <w:t>For low-income thresholds</w:t>
      </w:r>
      <w:r w:rsidR="00BD0946" w:rsidRPr="00A66262">
        <w:rPr>
          <w:rFonts w:ascii="Arial" w:hAnsi="Arial"/>
          <w:color w:val="000000" w:themeColor="text1"/>
          <w:szCs w:val="20"/>
        </w:rPr>
        <w:t xml:space="preserve"> o</w:t>
      </w:r>
      <w:r w:rsidRPr="00A66262">
        <w:rPr>
          <w:rFonts w:ascii="Arial" w:hAnsi="Arial"/>
          <w:color w:val="000000" w:themeColor="text1"/>
          <w:szCs w:val="20"/>
        </w:rPr>
        <w:t xml:space="preserve">ne way of </w:t>
      </w:r>
      <w:r w:rsidR="00BD0946" w:rsidRPr="00A66262">
        <w:rPr>
          <w:rFonts w:ascii="Arial" w:hAnsi="Arial"/>
          <w:color w:val="000000" w:themeColor="text1"/>
          <w:szCs w:val="20"/>
        </w:rPr>
        <w:t>reaching a view on a plausible threshold</w:t>
      </w:r>
      <w:r w:rsidR="00FF58A0">
        <w:rPr>
          <w:rFonts w:ascii="Arial" w:hAnsi="Arial"/>
          <w:color w:val="000000" w:themeColor="text1"/>
          <w:szCs w:val="20"/>
        </w:rPr>
        <w:t xml:space="preserve"> range</w:t>
      </w:r>
      <w:r w:rsidR="00BD0946" w:rsidRPr="00A66262">
        <w:rPr>
          <w:rFonts w:ascii="Arial" w:hAnsi="Arial"/>
          <w:color w:val="000000" w:themeColor="text1"/>
          <w:szCs w:val="20"/>
        </w:rPr>
        <w:t xml:space="preserve"> is to develop what are often called ‘reference budgets’ for selected household types. </w:t>
      </w:r>
      <w:r w:rsidR="00F0029D" w:rsidRPr="00A66262">
        <w:rPr>
          <w:rFonts w:ascii="Arial" w:hAnsi="Arial"/>
          <w:color w:val="000000" w:themeColor="text1"/>
          <w:szCs w:val="20"/>
        </w:rPr>
        <w:t xml:space="preserve">In developing the estimates some key assumptions are specified. For example, the households </w:t>
      </w:r>
      <w:r w:rsidR="00BE1CAC" w:rsidRPr="00A66262">
        <w:rPr>
          <w:rFonts w:ascii="Arial" w:hAnsi="Arial"/>
          <w:color w:val="000000" w:themeColor="text1"/>
          <w:szCs w:val="20"/>
        </w:rPr>
        <w:t>are</w:t>
      </w:r>
      <w:r w:rsidR="004A75B3" w:rsidRPr="00A66262">
        <w:rPr>
          <w:rFonts w:ascii="Arial" w:hAnsi="Arial"/>
          <w:color w:val="000000" w:themeColor="text1"/>
          <w:szCs w:val="20"/>
        </w:rPr>
        <w:t xml:space="preserve"> usually</w:t>
      </w:r>
      <w:r w:rsidR="00BE1CAC" w:rsidRPr="00A66262">
        <w:rPr>
          <w:rFonts w:ascii="Arial" w:hAnsi="Arial"/>
          <w:color w:val="000000" w:themeColor="text1"/>
          <w:szCs w:val="20"/>
        </w:rPr>
        <w:t xml:space="preserve"> assumed to </w:t>
      </w:r>
      <w:r w:rsidR="00F0029D" w:rsidRPr="00A66262">
        <w:rPr>
          <w:rFonts w:ascii="Arial" w:hAnsi="Arial"/>
          <w:color w:val="000000" w:themeColor="text1"/>
          <w:szCs w:val="20"/>
        </w:rPr>
        <w:t xml:space="preserve">have no savings to draw on, but they do have basic furnishings, furniture and household appliances; there are no special health- or disability-related extra demands on the household budget; the household has stable financial circumstances and very good financial management abilities; the purchasing power of the budget is ‘strictly minimal’ covering core costs only but being enough to </w:t>
      </w:r>
      <w:r w:rsidR="00BE1CAC" w:rsidRPr="00A66262">
        <w:rPr>
          <w:rFonts w:ascii="Arial" w:hAnsi="Arial"/>
          <w:color w:val="000000" w:themeColor="text1"/>
          <w:szCs w:val="20"/>
        </w:rPr>
        <w:t xml:space="preserve">allow the household to live independently without resorting to a foodbank or other outside assistance. To simplify the process even further, the tenure of the specified households is </w:t>
      </w:r>
      <w:r w:rsidR="004A75B3" w:rsidRPr="00A66262">
        <w:rPr>
          <w:rFonts w:ascii="Arial" w:hAnsi="Arial"/>
          <w:color w:val="000000" w:themeColor="text1"/>
          <w:szCs w:val="20"/>
        </w:rPr>
        <w:t>usually</w:t>
      </w:r>
      <w:r w:rsidR="00BE1CAC" w:rsidRPr="00A66262">
        <w:rPr>
          <w:rFonts w:ascii="Arial" w:hAnsi="Arial"/>
          <w:color w:val="000000" w:themeColor="text1"/>
          <w:szCs w:val="20"/>
        </w:rPr>
        <w:t xml:space="preserve"> limited to rentals only.</w:t>
      </w:r>
      <w:r w:rsidR="00503F72">
        <w:rPr>
          <w:rFonts w:ascii="Arial" w:hAnsi="Arial"/>
          <w:color w:val="000000" w:themeColor="text1"/>
          <w:szCs w:val="20"/>
        </w:rPr>
        <w:t xml:space="preserve"> </w:t>
      </w:r>
    </w:p>
    <w:p w14:paraId="3D01534A" w14:textId="77777777" w:rsidR="00503F72" w:rsidRDefault="00503F72" w:rsidP="008A32DF">
      <w:pPr>
        <w:spacing w:after="0" w:line="240" w:lineRule="auto"/>
        <w:rPr>
          <w:rFonts w:ascii="Arial" w:hAnsi="Arial"/>
          <w:color w:val="000000" w:themeColor="text1"/>
          <w:szCs w:val="20"/>
        </w:rPr>
      </w:pPr>
    </w:p>
    <w:p w14:paraId="6B2E4810" w14:textId="31A68B81" w:rsidR="00503F72" w:rsidRDefault="00503F72" w:rsidP="008A32DF">
      <w:pPr>
        <w:spacing w:after="0" w:line="240" w:lineRule="auto"/>
        <w:rPr>
          <w:rFonts w:ascii="Arial" w:hAnsi="Arial"/>
          <w:color w:val="000000" w:themeColor="text1"/>
          <w:szCs w:val="20"/>
        </w:rPr>
      </w:pPr>
      <w:r>
        <w:rPr>
          <w:rFonts w:ascii="Arial" w:hAnsi="Arial"/>
          <w:color w:val="000000" w:themeColor="text1"/>
          <w:szCs w:val="20"/>
        </w:rPr>
        <w:t>The judgment call can also be informed by survey-based evidence of levels of material hardship for households</w:t>
      </w:r>
      <w:r w:rsidR="008C2617">
        <w:rPr>
          <w:rFonts w:ascii="Arial" w:hAnsi="Arial"/>
          <w:color w:val="000000" w:themeColor="text1"/>
          <w:szCs w:val="20"/>
        </w:rPr>
        <w:t xml:space="preserve"> at varying levels of low income</w:t>
      </w:r>
      <w:r>
        <w:rPr>
          <w:rFonts w:ascii="Arial" w:hAnsi="Arial"/>
          <w:color w:val="000000" w:themeColor="text1"/>
          <w:szCs w:val="20"/>
        </w:rPr>
        <w:t xml:space="preserve"> and by citizens’ reflection on the reasonableness of the dollar value of the </w:t>
      </w:r>
      <w:r w:rsidR="008C2617">
        <w:rPr>
          <w:rFonts w:ascii="Arial" w:hAnsi="Arial"/>
          <w:color w:val="000000" w:themeColor="text1"/>
          <w:szCs w:val="20"/>
        </w:rPr>
        <w:t xml:space="preserve">proposed </w:t>
      </w:r>
      <w:r>
        <w:rPr>
          <w:rFonts w:ascii="Arial" w:hAnsi="Arial"/>
          <w:color w:val="000000" w:themeColor="text1"/>
          <w:szCs w:val="20"/>
        </w:rPr>
        <w:t>low-income thresholds.</w:t>
      </w:r>
      <w:r w:rsidR="0057577D">
        <w:rPr>
          <w:rStyle w:val="FootnoteReference"/>
          <w:rFonts w:ascii="Arial" w:hAnsi="Arial"/>
          <w:color w:val="000000" w:themeColor="text1"/>
          <w:szCs w:val="20"/>
        </w:rPr>
        <w:footnoteReference w:id="18"/>
      </w:r>
    </w:p>
    <w:p w14:paraId="54C97C04" w14:textId="77777777" w:rsidR="005C02E5" w:rsidRPr="00A66262" w:rsidRDefault="005C02E5" w:rsidP="008A32DF">
      <w:pPr>
        <w:spacing w:after="0" w:line="240" w:lineRule="auto"/>
        <w:rPr>
          <w:rFonts w:ascii="Arial" w:hAnsi="Arial"/>
          <w:color w:val="000000" w:themeColor="text1"/>
          <w:szCs w:val="20"/>
        </w:rPr>
      </w:pPr>
    </w:p>
    <w:p w14:paraId="68CBFEFE" w14:textId="1268DC81" w:rsidR="00112AB6" w:rsidRDefault="009B322C">
      <w:pPr>
        <w:spacing w:after="0" w:line="240" w:lineRule="auto"/>
        <w:rPr>
          <w:rFonts w:ascii="Arial" w:hAnsi="Arial"/>
          <w:color w:val="000000" w:themeColor="text1"/>
          <w:szCs w:val="20"/>
        </w:rPr>
      </w:pPr>
      <w:r w:rsidRPr="00A66262">
        <w:rPr>
          <w:rFonts w:ascii="Arial" w:hAnsi="Arial"/>
          <w:color w:val="000000" w:themeColor="text1"/>
          <w:szCs w:val="20"/>
          <w:u w:val="single"/>
        </w:rPr>
        <w:t xml:space="preserve">A defensible </w:t>
      </w:r>
      <w:r w:rsidR="00936DCB" w:rsidRPr="00A66262">
        <w:rPr>
          <w:rFonts w:ascii="Arial" w:hAnsi="Arial"/>
          <w:color w:val="000000" w:themeColor="text1"/>
          <w:szCs w:val="20"/>
          <w:u w:val="single"/>
        </w:rPr>
        <w:t xml:space="preserve">BHC </w:t>
      </w:r>
      <w:r w:rsidR="00840870" w:rsidRPr="00A66262">
        <w:rPr>
          <w:rFonts w:ascii="Arial" w:hAnsi="Arial"/>
          <w:color w:val="000000" w:themeColor="text1"/>
          <w:szCs w:val="20"/>
          <w:u w:val="single"/>
        </w:rPr>
        <w:t xml:space="preserve">low-income </w:t>
      </w:r>
      <w:r w:rsidRPr="00A66262">
        <w:rPr>
          <w:rFonts w:ascii="Arial" w:hAnsi="Arial"/>
          <w:color w:val="000000" w:themeColor="text1"/>
          <w:szCs w:val="20"/>
          <w:u w:val="single"/>
        </w:rPr>
        <w:t>threshold is particularly difficult to pin down,</w:t>
      </w:r>
      <w:r w:rsidRPr="00A66262">
        <w:rPr>
          <w:rFonts w:ascii="Arial" w:hAnsi="Arial"/>
          <w:color w:val="000000" w:themeColor="text1"/>
          <w:szCs w:val="20"/>
        </w:rPr>
        <w:t xml:space="preserve"> mainly because of the wide range of accommodation costs for similar housing in different geographical regions or areas within cities. Recognising this</w:t>
      </w:r>
      <w:r w:rsidR="00DD6002" w:rsidRPr="00A66262">
        <w:rPr>
          <w:rFonts w:ascii="Arial" w:hAnsi="Arial"/>
          <w:color w:val="000000" w:themeColor="text1"/>
          <w:szCs w:val="20"/>
        </w:rPr>
        <w:t xml:space="preserve"> and other </w:t>
      </w:r>
      <w:r w:rsidR="005D150F" w:rsidRPr="00A66262">
        <w:rPr>
          <w:rFonts w:ascii="Arial" w:hAnsi="Arial"/>
          <w:color w:val="000000" w:themeColor="text1"/>
          <w:szCs w:val="20"/>
        </w:rPr>
        <w:t xml:space="preserve">regional </w:t>
      </w:r>
      <w:r w:rsidR="00DD6002" w:rsidRPr="00A66262">
        <w:rPr>
          <w:rFonts w:ascii="Arial" w:hAnsi="Arial"/>
          <w:color w:val="000000" w:themeColor="text1"/>
          <w:szCs w:val="20"/>
        </w:rPr>
        <w:t>differences in transport</w:t>
      </w:r>
      <w:r w:rsidR="005D150F" w:rsidRPr="00A66262">
        <w:rPr>
          <w:rFonts w:ascii="Arial" w:hAnsi="Arial"/>
          <w:color w:val="000000" w:themeColor="text1"/>
          <w:szCs w:val="20"/>
        </w:rPr>
        <w:t>, clothing, and food</w:t>
      </w:r>
      <w:r w:rsidR="00DD6002" w:rsidRPr="00A66262">
        <w:rPr>
          <w:rFonts w:ascii="Arial" w:hAnsi="Arial"/>
          <w:color w:val="000000" w:themeColor="text1"/>
          <w:szCs w:val="20"/>
        </w:rPr>
        <w:t xml:space="preserve"> costs</w:t>
      </w:r>
      <w:r w:rsidR="008F4ED4" w:rsidRPr="00A66262">
        <w:rPr>
          <w:rFonts w:ascii="Arial" w:hAnsi="Arial"/>
          <w:color w:val="000000" w:themeColor="text1"/>
          <w:szCs w:val="20"/>
        </w:rPr>
        <w:t>,</w:t>
      </w:r>
      <w:r w:rsidRPr="00A66262">
        <w:rPr>
          <w:rFonts w:ascii="Arial" w:hAnsi="Arial"/>
          <w:color w:val="000000" w:themeColor="text1"/>
          <w:szCs w:val="20"/>
        </w:rPr>
        <w:t xml:space="preserve"> Stat</w:t>
      </w:r>
      <w:r w:rsidR="005D150F" w:rsidRPr="00A66262">
        <w:rPr>
          <w:rFonts w:ascii="Arial" w:hAnsi="Arial"/>
          <w:color w:val="000000" w:themeColor="text1"/>
          <w:szCs w:val="20"/>
        </w:rPr>
        <w:t>i</w:t>
      </w:r>
      <w:r w:rsidRPr="00A66262">
        <w:rPr>
          <w:rFonts w:ascii="Arial" w:hAnsi="Arial"/>
          <w:color w:val="000000" w:themeColor="text1"/>
          <w:szCs w:val="20"/>
        </w:rPr>
        <w:t>s</w:t>
      </w:r>
      <w:r w:rsidR="005D150F" w:rsidRPr="00A66262">
        <w:rPr>
          <w:rFonts w:ascii="Arial" w:hAnsi="Arial"/>
          <w:color w:val="000000" w:themeColor="text1"/>
          <w:szCs w:val="20"/>
        </w:rPr>
        <w:t>tics</w:t>
      </w:r>
      <w:r w:rsidRPr="00A66262">
        <w:rPr>
          <w:rFonts w:ascii="Arial" w:hAnsi="Arial"/>
          <w:color w:val="000000" w:themeColor="text1"/>
          <w:szCs w:val="20"/>
        </w:rPr>
        <w:t xml:space="preserve"> Canada produce 5</w:t>
      </w:r>
      <w:r w:rsidR="00DD6002" w:rsidRPr="00A66262">
        <w:rPr>
          <w:rFonts w:ascii="Arial" w:hAnsi="Arial"/>
          <w:color w:val="000000" w:themeColor="text1"/>
          <w:szCs w:val="20"/>
        </w:rPr>
        <w:t>3</w:t>
      </w:r>
      <w:r w:rsidRPr="00A66262">
        <w:rPr>
          <w:rFonts w:ascii="Arial" w:hAnsi="Arial"/>
          <w:color w:val="000000" w:themeColor="text1"/>
          <w:szCs w:val="20"/>
        </w:rPr>
        <w:t xml:space="preserve"> different low-income thresholds </w:t>
      </w:r>
      <w:r w:rsidR="00E74DBF" w:rsidRPr="00A66262">
        <w:rPr>
          <w:rFonts w:ascii="Arial" w:hAnsi="Arial"/>
          <w:color w:val="000000" w:themeColor="text1"/>
          <w:szCs w:val="20"/>
        </w:rPr>
        <w:t xml:space="preserve">in their Market Basket Measure </w:t>
      </w:r>
      <w:r w:rsidR="008F4ED4" w:rsidRPr="00A66262">
        <w:rPr>
          <w:rFonts w:ascii="Arial" w:hAnsi="Arial"/>
          <w:color w:val="000000" w:themeColor="text1"/>
          <w:szCs w:val="20"/>
        </w:rPr>
        <w:t xml:space="preserve">approach </w:t>
      </w:r>
      <w:r w:rsidR="005D150F" w:rsidRPr="00A66262">
        <w:rPr>
          <w:rFonts w:ascii="Arial" w:hAnsi="Arial"/>
          <w:color w:val="000000" w:themeColor="text1"/>
          <w:szCs w:val="20"/>
        </w:rPr>
        <w:t xml:space="preserve">which </w:t>
      </w:r>
      <w:r w:rsidR="00E74DBF" w:rsidRPr="00A66262">
        <w:rPr>
          <w:rFonts w:ascii="Arial" w:hAnsi="Arial"/>
          <w:color w:val="000000" w:themeColor="text1"/>
          <w:szCs w:val="20"/>
        </w:rPr>
        <w:t>Canada</w:t>
      </w:r>
      <w:r w:rsidR="005D150F" w:rsidRPr="00A66262">
        <w:rPr>
          <w:rFonts w:ascii="Arial" w:hAnsi="Arial"/>
          <w:color w:val="000000" w:themeColor="text1"/>
          <w:szCs w:val="20"/>
        </w:rPr>
        <w:t xml:space="preserve"> use</w:t>
      </w:r>
      <w:r w:rsidR="00E74DBF" w:rsidRPr="00A66262">
        <w:rPr>
          <w:rFonts w:ascii="Arial" w:hAnsi="Arial"/>
          <w:color w:val="000000" w:themeColor="text1"/>
          <w:szCs w:val="20"/>
        </w:rPr>
        <w:t>s</w:t>
      </w:r>
      <w:r w:rsidR="005D150F" w:rsidRPr="00A66262">
        <w:rPr>
          <w:rFonts w:ascii="Arial" w:hAnsi="Arial"/>
          <w:color w:val="000000" w:themeColor="text1"/>
          <w:szCs w:val="20"/>
        </w:rPr>
        <w:t xml:space="preserve"> as their official poverty mea</w:t>
      </w:r>
      <w:r w:rsidR="00EF2DED" w:rsidRPr="00A66262">
        <w:rPr>
          <w:rFonts w:ascii="Arial" w:hAnsi="Arial"/>
          <w:color w:val="000000" w:themeColor="text1"/>
          <w:szCs w:val="20"/>
        </w:rPr>
        <w:t>sur</w:t>
      </w:r>
      <w:r w:rsidR="005D150F" w:rsidRPr="00A66262">
        <w:rPr>
          <w:rFonts w:ascii="Arial" w:hAnsi="Arial"/>
          <w:color w:val="000000" w:themeColor="text1"/>
          <w:szCs w:val="20"/>
        </w:rPr>
        <w:t xml:space="preserve">e as specified in their Poverty Reduction </w:t>
      </w:r>
      <w:r w:rsidR="005D150F" w:rsidRPr="00A66262">
        <w:rPr>
          <w:rFonts w:ascii="Arial" w:hAnsi="Arial"/>
          <w:color w:val="000000" w:themeColor="text1"/>
          <w:szCs w:val="20"/>
        </w:rPr>
        <w:lastRenderedPageBreak/>
        <w:t>Act.</w:t>
      </w:r>
      <w:r w:rsidR="00DC5A25" w:rsidRPr="00A66262">
        <w:rPr>
          <w:rStyle w:val="FootnoteReference"/>
          <w:rFonts w:ascii="Arial" w:hAnsi="Arial"/>
          <w:color w:val="000000" w:themeColor="text1"/>
          <w:szCs w:val="20"/>
        </w:rPr>
        <w:footnoteReference w:id="19"/>
      </w:r>
      <w:r w:rsidRPr="00A66262">
        <w:rPr>
          <w:rFonts w:ascii="Arial" w:hAnsi="Arial"/>
          <w:color w:val="000000" w:themeColor="text1"/>
          <w:szCs w:val="20"/>
        </w:rPr>
        <w:t xml:space="preserve"> </w:t>
      </w:r>
      <w:r w:rsidR="005D150F" w:rsidRPr="00A66262">
        <w:rPr>
          <w:rFonts w:ascii="Arial" w:hAnsi="Arial"/>
          <w:color w:val="000000" w:themeColor="text1"/>
          <w:szCs w:val="20"/>
        </w:rPr>
        <w:t xml:space="preserve"> We do not have such a detailed</w:t>
      </w:r>
      <w:r w:rsidR="00E74DBF" w:rsidRPr="00A66262">
        <w:rPr>
          <w:rFonts w:ascii="Arial" w:hAnsi="Arial"/>
          <w:color w:val="000000" w:themeColor="text1"/>
          <w:szCs w:val="20"/>
        </w:rPr>
        <w:t xml:space="preserve"> and sophisticated</w:t>
      </w:r>
      <w:r w:rsidR="005D150F" w:rsidRPr="00A66262">
        <w:rPr>
          <w:rFonts w:ascii="Arial" w:hAnsi="Arial"/>
          <w:color w:val="000000" w:themeColor="text1"/>
          <w:szCs w:val="20"/>
        </w:rPr>
        <w:t xml:space="preserve"> measurement infrastructure in New Zealand. </w:t>
      </w:r>
      <w:r w:rsidRPr="00A66262">
        <w:rPr>
          <w:rFonts w:ascii="Arial" w:hAnsi="Arial"/>
          <w:color w:val="000000" w:themeColor="text1"/>
          <w:szCs w:val="20"/>
        </w:rPr>
        <w:t xml:space="preserve">In </w:t>
      </w:r>
      <w:r w:rsidR="005D150F" w:rsidRPr="00A66262">
        <w:rPr>
          <w:rFonts w:ascii="Arial" w:hAnsi="Arial"/>
          <w:color w:val="000000" w:themeColor="text1"/>
          <w:szCs w:val="20"/>
        </w:rPr>
        <w:t>fact, households that are</w:t>
      </w:r>
      <w:r w:rsidR="00B9448D" w:rsidRPr="00A66262">
        <w:rPr>
          <w:rFonts w:ascii="Arial" w:hAnsi="Arial"/>
          <w:color w:val="000000" w:themeColor="text1"/>
          <w:szCs w:val="20"/>
        </w:rPr>
        <w:t xml:space="preserve"> </w:t>
      </w:r>
      <w:r w:rsidR="005D150F" w:rsidRPr="00A66262">
        <w:rPr>
          <w:rFonts w:ascii="Arial" w:hAnsi="Arial"/>
          <w:color w:val="000000" w:themeColor="text1"/>
          <w:szCs w:val="20"/>
        </w:rPr>
        <w:t xml:space="preserve">eligible for the Accommodation Supplement </w:t>
      </w:r>
      <w:r w:rsidR="00B9448D" w:rsidRPr="00A66262">
        <w:rPr>
          <w:rFonts w:ascii="Arial" w:hAnsi="Arial"/>
          <w:color w:val="000000" w:themeColor="text1"/>
          <w:szCs w:val="20"/>
        </w:rPr>
        <w:t xml:space="preserve">receive higher AS assistance if they live in </w:t>
      </w:r>
      <w:r w:rsidR="005D150F" w:rsidRPr="00A66262">
        <w:rPr>
          <w:rFonts w:ascii="Arial" w:hAnsi="Arial"/>
          <w:color w:val="000000" w:themeColor="text1"/>
          <w:szCs w:val="20"/>
        </w:rPr>
        <w:t>more expensive areas</w:t>
      </w:r>
      <w:r w:rsidR="00B9448D" w:rsidRPr="00A66262">
        <w:rPr>
          <w:rFonts w:ascii="Arial" w:hAnsi="Arial"/>
          <w:color w:val="000000" w:themeColor="text1"/>
          <w:szCs w:val="20"/>
        </w:rPr>
        <w:t>, thus (perversely) reducing their chances of being counted as ‘in poverty</w:t>
      </w:r>
      <w:r w:rsidR="00957FED" w:rsidRPr="00A66262">
        <w:rPr>
          <w:rFonts w:ascii="Arial" w:hAnsi="Arial"/>
          <w:color w:val="000000" w:themeColor="text1"/>
          <w:szCs w:val="20"/>
        </w:rPr>
        <w:t>’ using BHC measures</w:t>
      </w:r>
      <w:r w:rsidR="00B9448D" w:rsidRPr="00A66262">
        <w:rPr>
          <w:rFonts w:ascii="Arial" w:hAnsi="Arial"/>
          <w:color w:val="000000" w:themeColor="text1"/>
          <w:szCs w:val="20"/>
        </w:rPr>
        <w:t xml:space="preserve">, all else equal. </w:t>
      </w:r>
      <w:r w:rsidR="008F4ED4" w:rsidRPr="00A66262">
        <w:rPr>
          <w:rFonts w:ascii="Arial" w:hAnsi="Arial"/>
          <w:color w:val="000000" w:themeColor="text1"/>
          <w:szCs w:val="20"/>
        </w:rPr>
        <w:t>In addition,</w:t>
      </w:r>
      <w:r w:rsidRPr="00A66262">
        <w:rPr>
          <w:rFonts w:ascii="Arial" w:hAnsi="Arial"/>
          <w:color w:val="000000" w:themeColor="text1"/>
          <w:szCs w:val="20"/>
        </w:rPr>
        <w:t xml:space="preserve"> BHC measures cannot be used to </w:t>
      </w:r>
      <w:r w:rsidR="00E74DBF" w:rsidRPr="00A66262">
        <w:rPr>
          <w:rFonts w:ascii="Arial" w:hAnsi="Arial"/>
          <w:color w:val="000000" w:themeColor="text1"/>
          <w:szCs w:val="20"/>
        </w:rPr>
        <w:t xml:space="preserve">validly </w:t>
      </w:r>
      <w:r w:rsidRPr="00A66262">
        <w:rPr>
          <w:rFonts w:ascii="Arial" w:hAnsi="Arial"/>
          <w:color w:val="000000" w:themeColor="text1"/>
          <w:szCs w:val="20"/>
        </w:rPr>
        <w:t>compare</w:t>
      </w:r>
      <w:r w:rsidR="005E4281" w:rsidRPr="00A66262">
        <w:rPr>
          <w:rFonts w:ascii="Arial" w:hAnsi="Arial"/>
          <w:color w:val="000000" w:themeColor="text1"/>
          <w:szCs w:val="20"/>
        </w:rPr>
        <w:t xml:space="preserve"> the </w:t>
      </w:r>
      <w:r w:rsidR="00D51FE7" w:rsidRPr="00A66262">
        <w:rPr>
          <w:rFonts w:ascii="Arial" w:hAnsi="Arial"/>
          <w:color w:val="000000" w:themeColor="text1"/>
          <w:szCs w:val="20"/>
        </w:rPr>
        <w:t xml:space="preserve">financial </w:t>
      </w:r>
      <w:r w:rsidR="005E4281" w:rsidRPr="00A66262">
        <w:rPr>
          <w:rFonts w:ascii="Arial" w:hAnsi="Arial"/>
          <w:color w:val="000000" w:themeColor="text1"/>
          <w:szCs w:val="20"/>
        </w:rPr>
        <w:t>circumstances of</w:t>
      </w:r>
      <w:r w:rsidRPr="00A66262">
        <w:rPr>
          <w:rFonts w:ascii="Arial" w:hAnsi="Arial"/>
          <w:color w:val="000000" w:themeColor="text1"/>
          <w:szCs w:val="20"/>
        </w:rPr>
        <w:t xml:space="preserve"> owners without mortgages with </w:t>
      </w:r>
      <w:r w:rsidR="00B9448D" w:rsidRPr="00A66262">
        <w:rPr>
          <w:rFonts w:ascii="Arial" w:hAnsi="Arial"/>
          <w:color w:val="000000" w:themeColor="text1"/>
          <w:szCs w:val="20"/>
        </w:rPr>
        <w:t xml:space="preserve">those of </w:t>
      </w:r>
      <w:r w:rsidRPr="00A66262">
        <w:rPr>
          <w:rFonts w:ascii="Arial" w:hAnsi="Arial"/>
          <w:color w:val="000000" w:themeColor="text1"/>
          <w:szCs w:val="20"/>
        </w:rPr>
        <w:t>renters</w:t>
      </w:r>
      <w:r w:rsidR="008F4ED4" w:rsidRPr="00A66262">
        <w:rPr>
          <w:rFonts w:ascii="Arial" w:hAnsi="Arial"/>
          <w:color w:val="000000" w:themeColor="text1"/>
          <w:szCs w:val="20"/>
        </w:rPr>
        <w:t xml:space="preserve">, </w:t>
      </w:r>
      <w:r w:rsidRPr="00A66262">
        <w:rPr>
          <w:rFonts w:ascii="Arial" w:hAnsi="Arial"/>
          <w:color w:val="000000" w:themeColor="text1"/>
          <w:szCs w:val="20"/>
        </w:rPr>
        <w:t>unless imputed rent is included</w:t>
      </w:r>
      <w:r w:rsidR="00F2326D" w:rsidRPr="00A66262">
        <w:rPr>
          <w:rFonts w:ascii="Arial" w:hAnsi="Arial"/>
          <w:color w:val="000000" w:themeColor="text1"/>
          <w:szCs w:val="20"/>
        </w:rPr>
        <w:t xml:space="preserve"> for owners</w:t>
      </w:r>
      <w:r w:rsidR="008F4ED4" w:rsidRPr="00A66262">
        <w:rPr>
          <w:rFonts w:ascii="Arial" w:hAnsi="Arial"/>
          <w:color w:val="000000" w:themeColor="text1"/>
          <w:szCs w:val="20"/>
        </w:rPr>
        <w:t xml:space="preserve">. We do not have </w:t>
      </w:r>
      <w:r w:rsidR="008C2617">
        <w:rPr>
          <w:rFonts w:ascii="Arial" w:hAnsi="Arial"/>
          <w:color w:val="000000" w:themeColor="text1"/>
          <w:szCs w:val="20"/>
        </w:rPr>
        <w:t xml:space="preserve">official </w:t>
      </w:r>
      <w:r w:rsidR="008F4ED4" w:rsidRPr="00A66262">
        <w:rPr>
          <w:rFonts w:ascii="Arial" w:hAnsi="Arial"/>
          <w:color w:val="000000" w:themeColor="text1"/>
          <w:szCs w:val="20"/>
        </w:rPr>
        <w:t xml:space="preserve">estimates of imputed rent in New Zealand. For all these reasons and those noted earlier, </w:t>
      </w:r>
      <w:r w:rsidR="00111E86" w:rsidRPr="00A66262">
        <w:rPr>
          <w:rFonts w:ascii="Arial" w:hAnsi="Arial"/>
          <w:color w:val="000000" w:themeColor="text1"/>
          <w:szCs w:val="20"/>
        </w:rPr>
        <w:t>this report does not use BHC incomes for poverty measurement.</w:t>
      </w:r>
      <w:r w:rsidR="00111E86" w:rsidRPr="00A66262">
        <w:rPr>
          <w:rStyle w:val="FootnoteReference"/>
          <w:rFonts w:ascii="Arial" w:hAnsi="Arial"/>
          <w:color w:val="000000" w:themeColor="text1"/>
          <w:szCs w:val="20"/>
        </w:rPr>
        <w:footnoteReference w:id="20"/>
      </w:r>
    </w:p>
    <w:p w14:paraId="1D250B75" w14:textId="77777777" w:rsidR="00503F72" w:rsidRDefault="00503F72">
      <w:pPr>
        <w:spacing w:after="0" w:line="240" w:lineRule="auto"/>
        <w:rPr>
          <w:rFonts w:ascii="Arial" w:hAnsi="Arial"/>
          <w:color w:val="000000" w:themeColor="text1"/>
          <w:szCs w:val="20"/>
          <w:u w:val="single"/>
        </w:rPr>
      </w:pPr>
    </w:p>
    <w:p w14:paraId="5306DABC" w14:textId="6CF1DF29" w:rsidR="00134FCB" w:rsidRPr="008A33CF" w:rsidRDefault="00503F72" w:rsidP="0087237C">
      <w:pPr>
        <w:spacing w:after="0" w:line="240" w:lineRule="auto"/>
        <w:jc w:val="both"/>
        <w:rPr>
          <w:rFonts w:ascii="Arial" w:hAnsi="Arial"/>
          <w:color w:val="000000" w:themeColor="text1"/>
          <w:szCs w:val="20"/>
        </w:rPr>
      </w:pPr>
      <w:r>
        <w:rPr>
          <w:rFonts w:ascii="Arial" w:hAnsi="Arial"/>
          <w:color w:val="000000" w:themeColor="text1"/>
          <w:szCs w:val="20"/>
          <w:u w:val="single"/>
        </w:rPr>
        <w:t xml:space="preserve">It is less difficult to reach a </w:t>
      </w:r>
      <w:r w:rsidR="00134FCB" w:rsidRPr="00503F72">
        <w:rPr>
          <w:rFonts w:ascii="Arial" w:hAnsi="Arial"/>
          <w:color w:val="000000" w:themeColor="text1"/>
          <w:szCs w:val="20"/>
          <w:u w:val="single"/>
        </w:rPr>
        <w:t>view o</w:t>
      </w:r>
      <w:r w:rsidR="006672DD">
        <w:rPr>
          <w:rFonts w:ascii="Arial" w:hAnsi="Arial"/>
          <w:color w:val="000000" w:themeColor="text1"/>
          <w:szCs w:val="20"/>
          <w:u w:val="single"/>
        </w:rPr>
        <w:t>n</w:t>
      </w:r>
      <w:r w:rsidR="00134FCB" w:rsidRPr="00503F72">
        <w:rPr>
          <w:rFonts w:ascii="Arial" w:hAnsi="Arial"/>
          <w:color w:val="000000" w:themeColor="text1"/>
          <w:szCs w:val="20"/>
          <w:u w:val="single"/>
        </w:rPr>
        <w:t xml:space="preserve"> </w:t>
      </w:r>
      <w:r>
        <w:rPr>
          <w:rFonts w:ascii="Arial" w:hAnsi="Arial"/>
          <w:color w:val="000000" w:themeColor="text1"/>
          <w:szCs w:val="20"/>
          <w:u w:val="single"/>
        </w:rPr>
        <w:t>a reasonable and defensible</w:t>
      </w:r>
      <w:r w:rsidR="00134FCB" w:rsidRPr="00503F72">
        <w:rPr>
          <w:rFonts w:ascii="Arial" w:hAnsi="Arial"/>
          <w:color w:val="000000" w:themeColor="text1"/>
          <w:szCs w:val="20"/>
          <w:u w:val="single"/>
        </w:rPr>
        <w:t xml:space="preserve"> AHC income </w:t>
      </w:r>
      <w:r w:rsidRPr="00503F72">
        <w:rPr>
          <w:rFonts w:ascii="Arial" w:hAnsi="Arial"/>
          <w:color w:val="000000" w:themeColor="text1"/>
          <w:szCs w:val="20"/>
          <w:u w:val="single"/>
        </w:rPr>
        <w:t>band</w:t>
      </w:r>
      <w:r>
        <w:rPr>
          <w:rFonts w:ascii="Arial" w:hAnsi="Arial"/>
          <w:color w:val="000000" w:themeColor="text1"/>
          <w:szCs w:val="20"/>
        </w:rPr>
        <w:t xml:space="preserve"> for use in poverty measurement. For this judgment call, t</w:t>
      </w:r>
      <w:r w:rsidR="00134FCB" w:rsidRPr="008A33CF">
        <w:rPr>
          <w:rFonts w:ascii="Arial" w:hAnsi="Arial"/>
          <w:color w:val="000000" w:themeColor="text1"/>
          <w:szCs w:val="20"/>
        </w:rPr>
        <w:t>he question is: if this</w:t>
      </w:r>
      <w:r w:rsidR="00C40F9A" w:rsidRPr="008A33CF">
        <w:rPr>
          <w:rFonts w:ascii="Arial" w:hAnsi="Arial"/>
          <w:color w:val="000000" w:themeColor="text1"/>
          <w:szCs w:val="20"/>
        </w:rPr>
        <w:t xml:space="preserve"> ‘poverty line’</w:t>
      </w:r>
      <w:r w:rsidR="00134FCB" w:rsidRPr="008A33CF">
        <w:rPr>
          <w:rFonts w:ascii="Arial" w:hAnsi="Arial"/>
          <w:color w:val="000000" w:themeColor="text1"/>
          <w:szCs w:val="20"/>
        </w:rPr>
        <w:t xml:space="preserve"> income is the household’s only financial resource after paying </w:t>
      </w:r>
      <w:r w:rsidR="00C40F9A" w:rsidRPr="008A33CF">
        <w:rPr>
          <w:rFonts w:ascii="Arial" w:hAnsi="Arial"/>
          <w:color w:val="000000" w:themeColor="text1"/>
          <w:szCs w:val="20"/>
        </w:rPr>
        <w:t>for accommodation costs</w:t>
      </w:r>
      <w:r w:rsidR="00134FCB" w:rsidRPr="008A33CF">
        <w:rPr>
          <w:rFonts w:ascii="Arial" w:hAnsi="Arial"/>
          <w:color w:val="000000" w:themeColor="text1"/>
          <w:szCs w:val="20"/>
        </w:rPr>
        <w:t xml:space="preserve"> (no savings to draw on), and assuming no special extra demands on the budget from health- or disability-related costs or from ongoing debt repayments,</w:t>
      </w:r>
      <w:r w:rsidR="00C40F9A" w:rsidRPr="008A33CF">
        <w:rPr>
          <w:rFonts w:ascii="Arial" w:hAnsi="Arial"/>
          <w:color w:val="000000" w:themeColor="text1"/>
          <w:szCs w:val="20"/>
        </w:rPr>
        <w:t xml:space="preserve"> </w:t>
      </w:r>
      <w:r w:rsidR="00134FCB" w:rsidRPr="008A33CF">
        <w:rPr>
          <w:rFonts w:ascii="Arial" w:hAnsi="Arial"/>
          <w:color w:val="000000" w:themeColor="text1"/>
          <w:szCs w:val="20"/>
        </w:rPr>
        <w:t xml:space="preserve">and assuming a reasonable stock of furniture, bedding and household appliances, could this household reasonably </w:t>
      </w:r>
      <w:r w:rsidR="00C40F9A" w:rsidRPr="008A33CF">
        <w:rPr>
          <w:rFonts w:ascii="Arial" w:hAnsi="Arial"/>
          <w:color w:val="000000" w:themeColor="text1"/>
          <w:szCs w:val="20"/>
        </w:rPr>
        <w:t xml:space="preserve">be </w:t>
      </w:r>
      <w:r w:rsidR="00134FCB" w:rsidRPr="008A33CF">
        <w:rPr>
          <w:rFonts w:ascii="Arial" w:hAnsi="Arial"/>
          <w:color w:val="000000" w:themeColor="text1"/>
          <w:szCs w:val="20"/>
        </w:rPr>
        <w:t xml:space="preserve">expected to </w:t>
      </w:r>
      <w:r w:rsidR="005672C9" w:rsidRPr="008A33CF">
        <w:rPr>
          <w:rFonts w:ascii="Arial" w:hAnsi="Arial"/>
          <w:color w:val="000000" w:themeColor="text1"/>
          <w:szCs w:val="20"/>
        </w:rPr>
        <w:t>maintain</w:t>
      </w:r>
      <w:r w:rsidR="00134FCB" w:rsidRPr="008A33CF">
        <w:rPr>
          <w:rFonts w:ascii="Arial" w:hAnsi="Arial"/>
          <w:color w:val="000000" w:themeColor="text1"/>
          <w:szCs w:val="20"/>
        </w:rPr>
        <w:t xml:space="preserve"> a minimum acceptable standard of living without needing to seek help from outside sources such as foodbanks</w:t>
      </w:r>
      <w:r w:rsidR="00C40F9A" w:rsidRPr="008A33CF">
        <w:rPr>
          <w:rFonts w:ascii="Arial" w:hAnsi="Arial"/>
          <w:color w:val="000000" w:themeColor="text1"/>
          <w:szCs w:val="20"/>
        </w:rPr>
        <w:t>, family or friends</w:t>
      </w:r>
      <w:r w:rsidR="00134FCB" w:rsidRPr="008A33CF">
        <w:rPr>
          <w:rFonts w:ascii="Arial" w:hAnsi="Arial"/>
          <w:color w:val="000000" w:themeColor="text1"/>
          <w:szCs w:val="20"/>
        </w:rPr>
        <w:t xml:space="preserve"> or </w:t>
      </w:r>
      <w:r w:rsidR="00C40F9A" w:rsidRPr="008A33CF">
        <w:rPr>
          <w:rFonts w:ascii="Arial" w:hAnsi="Arial"/>
          <w:color w:val="000000" w:themeColor="text1"/>
          <w:szCs w:val="20"/>
        </w:rPr>
        <w:t xml:space="preserve">from the state via </w:t>
      </w:r>
      <w:r w:rsidR="00134FCB" w:rsidRPr="008A33CF">
        <w:rPr>
          <w:rFonts w:ascii="Arial" w:hAnsi="Arial"/>
          <w:color w:val="000000" w:themeColor="text1"/>
          <w:szCs w:val="20"/>
        </w:rPr>
        <w:t xml:space="preserve">Special </w:t>
      </w:r>
      <w:r w:rsidR="005672C9" w:rsidRPr="008A33CF">
        <w:rPr>
          <w:rFonts w:ascii="Arial" w:hAnsi="Arial"/>
          <w:color w:val="000000" w:themeColor="text1"/>
          <w:szCs w:val="20"/>
        </w:rPr>
        <w:t>N</w:t>
      </w:r>
      <w:r w:rsidR="00134FCB" w:rsidRPr="008A33CF">
        <w:rPr>
          <w:rFonts w:ascii="Arial" w:hAnsi="Arial"/>
          <w:color w:val="000000" w:themeColor="text1"/>
          <w:szCs w:val="20"/>
        </w:rPr>
        <w:t>eeds Grants</w:t>
      </w:r>
      <w:r w:rsidR="00C40F9A" w:rsidRPr="008A33CF">
        <w:rPr>
          <w:rFonts w:ascii="Arial" w:hAnsi="Arial"/>
          <w:color w:val="000000" w:themeColor="text1"/>
          <w:szCs w:val="20"/>
        </w:rPr>
        <w:t xml:space="preserve"> or the like</w:t>
      </w:r>
      <w:r w:rsidR="00134FCB" w:rsidRPr="008A33CF">
        <w:rPr>
          <w:rFonts w:ascii="Arial" w:hAnsi="Arial"/>
          <w:color w:val="000000" w:themeColor="text1"/>
          <w:szCs w:val="20"/>
        </w:rPr>
        <w:t>?</w:t>
      </w:r>
    </w:p>
    <w:p w14:paraId="186EB62B" w14:textId="77777777" w:rsidR="00134FCB" w:rsidRPr="008A33CF" w:rsidRDefault="00134FCB" w:rsidP="0087237C">
      <w:pPr>
        <w:spacing w:after="0" w:line="240" w:lineRule="auto"/>
        <w:jc w:val="both"/>
        <w:rPr>
          <w:rFonts w:ascii="Arial" w:hAnsi="Arial"/>
          <w:color w:val="000000" w:themeColor="text1"/>
          <w:szCs w:val="20"/>
        </w:rPr>
      </w:pPr>
    </w:p>
    <w:p w14:paraId="296A483F" w14:textId="6B8D9976" w:rsidR="002315B2" w:rsidRPr="008A33CF" w:rsidRDefault="008312BD" w:rsidP="00503F72">
      <w:pPr>
        <w:spacing w:after="0" w:line="240" w:lineRule="auto"/>
        <w:rPr>
          <w:rFonts w:ascii="Arial" w:hAnsi="Arial"/>
          <w:color w:val="000000" w:themeColor="text1"/>
          <w:szCs w:val="20"/>
        </w:rPr>
      </w:pPr>
      <w:r w:rsidRPr="008312BD">
        <w:rPr>
          <w:rFonts w:ascii="Arial" w:hAnsi="Arial"/>
          <w:color w:val="000000" w:themeColor="text1"/>
          <w:szCs w:val="20"/>
        </w:rPr>
        <w:t xml:space="preserve">Recent ‘reference budget’ analysis carried out by MSD </w:t>
      </w:r>
      <w:r w:rsidR="008C2617">
        <w:rPr>
          <w:rFonts w:ascii="Arial" w:hAnsi="Arial"/>
          <w:color w:val="000000" w:themeColor="text1"/>
          <w:szCs w:val="20"/>
        </w:rPr>
        <w:t>estimated</w:t>
      </w:r>
      <w:r w:rsidRPr="008312BD">
        <w:rPr>
          <w:rFonts w:ascii="Arial" w:hAnsi="Arial"/>
          <w:color w:val="000000" w:themeColor="text1"/>
          <w:szCs w:val="20"/>
        </w:rPr>
        <w:t xml:space="preserve"> that for</w:t>
      </w:r>
      <w:r w:rsidR="00503F72" w:rsidRPr="008312BD">
        <w:rPr>
          <w:rFonts w:ascii="Arial" w:hAnsi="Arial"/>
          <w:color w:val="000000" w:themeColor="text1"/>
          <w:szCs w:val="20"/>
        </w:rPr>
        <w:t xml:space="preserve"> households renting privately and receiving core income-tested benefits a reasonably narrow range of AHC 40 to AHC 50</w:t>
      </w:r>
      <w:r w:rsidR="008C2617">
        <w:rPr>
          <w:rFonts w:ascii="Arial" w:hAnsi="Arial"/>
          <w:color w:val="000000" w:themeColor="text1"/>
          <w:szCs w:val="20"/>
        </w:rPr>
        <w:t xml:space="preserve"> is plausible</w:t>
      </w:r>
      <w:r w:rsidR="00503F72" w:rsidRPr="008312BD">
        <w:rPr>
          <w:rFonts w:ascii="Arial" w:hAnsi="Arial"/>
          <w:color w:val="000000" w:themeColor="text1"/>
          <w:szCs w:val="20"/>
        </w:rPr>
        <w:t xml:space="preserve">. </w:t>
      </w:r>
      <w:r w:rsidR="00503F72" w:rsidRPr="008A33CF">
        <w:rPr>
          <w:rFonts w:ascii="Arial" w:hAnsi="Arial"/>
          <w:color w:val="000000" w:themeColor="text1"/>
          <w:szCs w:val="20"/>
        </w:rPr>
        <w:t>For working households, the extra child-care and transport costs mean a threshold of more like AHC 55 is justified.</w:t>
      </w:r>
      <w:r w:rsidR="00503F72" w:rsidRPr="008A33CF">
        <w:rPr>
          <w:rStyle w:val="FootnoteReference"/>
          <w:rFonts w:ascii="Arial" w:hAnsi="Arial"/>
          <w:color w:val="000000" w:themeColor="text1"/>
          <w:szCs w:val="20"/>
        </w:rPr>
        <w:footnoteReference w:id="21"/>
      </w:r>
      <w:r w:rsidR="00503F72" w:rsidRPr="008A33CF">
        <w:rPr>
          <w:rFonts w:ascii="Arial" w:hAnsi="Arial"/>
          <w:color w:val="000000" w:themeColor="text1"/>
          <w:szCs w:val="20"/>
        </w:rPr>
        <w:t xml:space="preserve"> </w:t>
      </w:r>
      <w:r>
        <w:rPr>
          <w:rFonts w:ascii="Arial" w:hAnsi="Arial"/>
          <w:color w:val="000000" w:themeColor="text1"/>
          <w:szCs w:val="20"/>
        </w:rPr>
        <w:t xml:space="preserve">A similar range was found in the data reported by focus group research carried out in the 1990s by the New Zealand Poverty Measurement </w:t>
      </w:r>
      <w:r w:rsidRPr="005B2907">
        <w:rPr>
          <w:rFonts w:ascii="Arial" w:hAnsi="Arial"/>
          <w:color w:val="000000" w:themeColor="text1"/>
          <w:szCs w:val="20"/>
        </w:rPr>
        <w:t>Project.</w:t>
      </w:r>
      <w:r w:rsidRPr="005B2907">
        <w:rPr>
          <w:rStyle w:val="FootnoteReference"/>
          <w:rFonts w:ascii="Arial" w:hAnsi="Arial"/>
          <w:color w:val="000000" w:themeColor="text1"/>
          <w:szCs w:val="20"/>
        </w:rPr>
        <w:footnoteReference w:id="22"/>
      </w:r>
      <w:r w:rsidR="005B2907">
        <w:rPr>
          <w:rFonts w:ascii="Arial" w:hAnsi="Arial"/>
          <w:color w:val="000000" w:themeColor="text1"/>
          <w:szCs w:val="20"/>
        </w:rPr>
        <w:t xml:space="preserve"> </w:t>
      </w:r>
      <w:r w:rsidR="00911AC4" w:rsidRPr="005B2907">
        <w:rPr>
          <w:rStyle w:val="FootnoteReference"/>
          <w:rFonts w:ascii="Arial" w:hAnsi="Arial"/>
          <w:color w:val="000000" w:themeColor="text1"/>
          <w:szCs w:val="20"/>
        </w:rPr>
        <w:footnoteReference w:id="23"/>
      </w:r>
      <w:r w:rsidR="00E026E5" w:rsidRPr="005B2907">
        <w:rPr>
          <w:rFonts w:ascii="Arial" w:hAnsi="Arial"/>
          <w:color w:val="000000" w:themeColor="text1"/>
          <w:szCs w:val="20"/>
        </w:rPr>
        <w:t xml:space="preserve"> </w:t>
      </w:r>
    </w:p>
    <w:p w14:paraId="376EA178" w14:textId="77777777" w:rsidR="00503F72" w:rsidRDefault="00503F72" w:rsidP="008371C7">
      <w:pPr>
        <w:spacing w:after="0" w:line="240" w:lineRule="auto"/>
        <w:jc w:val="both"/>
        <w:rPr>
          <w:rFonts w:ascii="Arial" w:hAnsi="Arial"/>
          <w:color w:val="000000" w:themeColor="text1"/>
          <w:szCs w:val="20"/>
        </w:rPr>
      </w:pPr>
    </w:p>
    <w:p w14:paraId="0C6385FA" w14:textId="54B8294F" w:rsidR="002315B2" w:rsidRDefault="00111E86" w:rsidP="004C7033">
      <w:pPr>
        <w:spacing w:after="0" w:line="240" w:lineRule="auto"/>
        <w:jc w:val="both"/>
        <w:rPr>
          <w:rFonts w:ascii="Arial" w:hAnsi="Arial"/>
          <w:color w:val="000000" w:themeColor="text1"/>
          <w:szCs w:val="20"/>
        </w:rPr>
      </w:pPr>
      <w:r w:rsidRPr="00FD384C">
        <w:rPr>
          <w:rFonts w:ascii="Arial" w:hAnsi="Arial"/>
          <w:color w:val="000000" w:themeColor="text1"/>
          <w:szCs w:val="20"/>
        </w:rPr>
        <w:t xml:space="preserve">For a </w:t>
      </w:r>
      <w:r w:rsidR="006B3F17" w:rsidRPr="00FD384C">
        <w:rPr>
          <w:rFonts w:ascii="Arial" w:hAnsi="Arial"/>
          <w:color w:val="000000" w:themeColor="text1"/>
          <w:szCs w:val="20"/>
        </w:rPr>
        <w:t xml:space="preserve">household </w:t>
      </w:r>
      <w:r w:rsidR="00E74DBF" w:rsidRPr="00FD384C">
        <w:rPr>
          <w:rFonts w:ascii="Arial" w:hAnsi="Arial"/>
          <w:color w:val="000000" w:themeColor="text1"/>
          <w:szCs w:val="20"/>
        </w:rPr>
        <w:t>comprising</w:t>
      </w:r>
      <w:r w:rsidR="006B3F17" w:rsidRPr="00FD384C">
        <w:rPr>
          <w:rFonts w:ascii="Arial" w:hAnsi="Arial"/>
          <w:color w:val="000000" w:themeColor="text1"/>
          <w:szCs w:val="20"/>
        </w:rPr>
        <w:t xml:space="preserve"> a </w:t>
      </w:r>
      <w:r w:rsidRPr="00FD384C">
        <w:rPr>
          <w:rFonts w:ascii="Arial" w:hAnsi="Arial"/>
          <w:color w:val="000000" w:themeColor="text1"/>
          <w:szCs w:val="20"/>
        </w:rPr>
        <w:t>sole parent plus two child</w:t>
      </w:r>
      <w:r w:rsidR="00DA02E3" w:rsidRPr="00FD384C">
        <w:rPr>
          <w:rFonts w:ascii="Arial" w:hAnsi="Arial"/>
          <w:color w:val="000000" w:themeColor="text1"/>
          <w:szCs w:val="20"/>
        </w:rPr>
        <w:t>r</w:t>
      </w:r>
      <w:r w:rsidRPr="00FD384C">
        <w:rPr>
          <w:rFonts w:ascii="Arial" w:hAnsi="Arial"/>
          <w:color w:val="000000" w:themeColor="text1"/>
          <w:szCs w:val="20"/>
        </w:rPr>
        <w:t>en</w:t>
      </w:r>
      <w:r w:rsidR="00DA02E3" w:rsidRPr="00FD384C">
        <w:rPr>
          <w:rFonts w:ascii="Arial" w:hAnsi="Arial"/>
          <w:color w:val="000000" w:themeColor="text1"/>
          <w:szCs w:val="20"/>
        </w:rPr>
        <w:t xml:space="preserve"> </w:t>
      </w:r>
      <w:r w:rsidR="0019254E" w:rsidRPr="00FD384C">
        <w:rPr>
          <w:rFonts w:ascii="Arial" w:hAnsi="Arial"/>
          <w:color w:val="000000" w:themeColor="text1"/>
          <w:szCs w:val="20"/>
        </w:rPr>
        <w:t>(</w:t>
      </w:r>
      <w:r w:rsidR="006B3F17" w:rsidRPr="00FD384C">
        <w:rPr>
          <w:rFonts w:ascii="Arial" w:hAnsi="Arial"/>
          <w:color w:val="000000" w:themeColor="text1"/>
          <w:szCs w:val="20"/>
        </w:rPr>
        <w:t xml:space="preserve">both </w:t>
      </w:r>
      <w:r w:rsidR="0019254E" w:rsidRPr="00FD384C">
        <w:rPr>
          <w:rFonts w:ascii="Arial" w:hAnsi="Arial"/>
          <w:color w:val="000000" w:themeColor="text1"/>
          <w:szCs w:val="20"/>
        </w:rPr>
        <w:t>under 14)</w:t>
      </w:r>
      <w:r w:rsidRPr="00FD384C">
        <w:rPr>
          <w:rFonts w:ascii="Arial" w:hAnsi="Arial"/>
          <w:color w:val="000000" w:themeColor="text1"/>
          <w:szCs w:val="20"/>
        </w:rPr>
        <w:t>, the</w:t>
      </w:r>
      <w:r w:rsidR="00EE78F2" w:rsidRPr="00FD384C">
        <w:rPr>
          <w:rFonts w:ascii="Arial" w:hAnsi="Arial"/>
          <w:color w:val="000000" w:themeColor="text1"/>
          <w:szCs w:val="20"/>
        </w:rPr>
        <w:t xml:space="preserve"> AHC 40 threshold </w:t>
      </w:r>
      <w:r w:rsidR="00DC5A25" w:rsidRPr="00FD384C">
        <w:rPr>
          <w:rFonts w:ascii="Arial" w:hAnsi="Arial"/>
          <w:color w:val="000000" w:themeColor="text1"/>
          <w:szCs w:val="20"/>
        </w:rPr>
        <w:t>in June 202</w:t>
      </w:r>
      <w:r w:rsidR="00FD384C" w:rsidRPr="00FD384C">
        <w:rPr>
          <w:rFonts w:ascii="Arial" w:hAnsi="Arial"/>
          <w:color w:val="000000" w:themeColor="text1"/>
          <w:szCs w:val="20"/>
        </w:rPr>
        <w:t>5</w:t>
      </w:r>
      <w:r w:rsidR="00DC5A25" w:rsidRPr="00FD384C">
        <w:rPr>
          <w:rFonts w:ascii="Arial" w:hAnsi="Arial"/>
          <w:color w:val="000000" w:themeColor="text1"/>
          <w:szCs w:val="20"/>
        </w:rPr>
        <w:t xml:space="preserve"> </w:t>
      </w:r>
      <w:r w:rsidR="00A770B0">
        <w:rPr>
          <w:rFonts w:ascii="Arial" w:hAnsi="Arial"/>
          <w:color w:val="000000" w:themeColor="text1"/>
          <w:szCs w:val="20"/>
        </w:rPr>
        <w:t>was</w:t>
      </w:r>
      <w:r w:rsidR="0019254E" w:rsidRPr="00FD384C">
        <w:rPr>
          <w:rFonts w:ascii="Arial" w:hAnsi="Arial"/>
          <w:color w:val="000000" w:themeColor="text1"/>
          <w:szCs w:val="20"/>
        </w:rPr>
        <w:t xml:space="preserve"> $</w:t>
      </w:r>
      <w:r w:rsidR="00FD384C" w:rsidRPr="00FD384C">
        <w:rPr>
          <w:rFonts w:ascii="Arial" w:hAnsi="Arial"/>
          <w:color w:val="000000" w:themeColor="text1"/>
          <w:szCs w:val="20"/>
        </w:rPr>
        <w:t>520</w:t>
      </w:r>
      <w:r w:rsidR="0019254E" w:rsidRPr="00FD384C">
        <w:rPr>
          <w:rFonts w:ascii="Arial" w:hAnsi="Arial"/>
          <w:color w:val="000000" w:themeColor="text1"/>
          <w:szCs w:val="20"/>
        </w:rPr>
        <w:t xml:space="preserve"> per week once the accommodation is paid for</w:t>
      </w:r>
      <w:r w:rsidR="00770FB3" w:rsidRPr="00FD384C">
        <w:rPr>
          <w:rFonts w:ascii="Arial" w:hAnsi="Arial"/>
          <w:color w:val="000000" w:themeColor="text1"/>
          <w:szCs w:val="20"/>
        </w:rPr>
        <w:t>,</w:t>
      </w:r>
      <w:r w:rsidR="00081903" w:rsidRPr="00FD384C">
        <w:rPr>
          <w:rFonts w:ascii="Arial" w:hAnsi="Arial"/>
          <w:color w:val="000000" w:themeColor="text1"/>
          <w:szCs w:val="20"/>
        </w:rPr>
        <w:t xml:space="preserve"> and the AHC 50 threshold </w:t>
      </w:r>
      <w:r w:rsidR="00A770B0">
        <w:rPr>
          <w:rFonts w:ascii="Arial" w:hAnsi="Arial"/>
          <w:color w:val="000000" w:themeColor="text1"/>
          <w:szCs w:val="20"/>
        </w:rPr>
        <w:t>was</w:t>
      </w:r>
      <w:r w:rsidR="00081903" w:rsidRPr="00FD384C">
        <w:rPr>
          <w:rFonts w:ascii="Arial" w:hAnsi="Arial"/>
          <w:color w:val="000000" w:themeColor="text1"/>
          <w:szCs w:val="20"/>
        </w:rPr>
        <w:t xml:space="preserve"> $6</w:t>
      </w:r>
      <w:r w:rsidR="00FD384C" w:rsidRPr="00FD384C">
        <w:rPr>
          <w:rFonts w:ascii="Arial" w:hAnsi="Arial"/>
          <w:color w:val="000000" w:themeColor="text1"/>
          <w:szCs w:val="20"/>
        </w:rPr>
        <w:t>5</w:t>
      </w:r>
      <w:r w:rsidR="00081903" w:rsidRPr="00FD384C">
        <w:rPr>
          <w:rFonts w:ascii="Arial" w:hAnsi="Arial"/>
          <w:color w:val="000000" w:themeColor="text1"/>
          <w:szCs w:val="20"/>
        </w:rPr>
        <w:t>0 pw. F</w:t>
      </w:r>
      <w:r w:rsidRPr="00FD384C">
        <w:rPr>
          <w:rFonts w:ascii="Arial" w:hAnsi="Arial"/>
          <w:color w:val="000000" w:themeColor="text1"/>
          <w:szCs w:val="20"/>
        </w:rPr>
        <w:t xml:space="preserve">or </w:t>
      </w:r>
      <w:r w:rsidR="00B97646" w:rsidRPr="00FD384C">
        <w:rPr>
          <w:rFonts w:ascii="Arial" w:hAnsi="Arial"/>
          <w:color w:val="000000" w:themeColor="text1"/>
          <w:szCs w:val="20"/>
        </w:rPr>
        <w:t xml:space="preserve">a household comprising </w:t>
      </w:r>
      <w:r w:rsidRPr="00FD384C">
        <w:rPr>
          <w:rFonts w:ascii="Arial" w:hAnsi="Arial"/>
          <w:color w:val="000000" w:themeColor="text1"/>
          <w:szCs w:val="20"/>
        </w:rPr>
        <w:t xml:space="preserve">two parents with two children </w:t>
      </w:r>
      <w:r w:rsidR="00770FB3" w:rsidRPr="00FD384C">
        <w:rPr>
          <w:rFonts w:ascii="Arial" w:hAnsi="Arial"/>
          <w:color w:val="000000" w:themeColor="text1"/>
          <w:szCs w:val="20"/>
        </w:rPr>
        <w:t xml:space="preserve">the </w:t>
      </w:r>
      <w:r w:rsidR="00A770B0">
        <w:rPr>
          <w:rFonts w:ascii="Arial" w:hAnsi="Arial"/>
          <w:color w:val="000000" w:themeColor="text1"/>
          <w:szCs w:val="20"/>
        </w:rPr>
        <w:t>corresponding figures were</w:t>
      </w:r>
      <w:r w:rsidR="0019254E" w:rsidRPr="00FD384C">
        <w:rPr>
          <w:rFonts w:ascii="Arial" w:hAnsi="Arial"/>
          <w:color w:val="000000" w:themeColor="text1"/>
          <w:szCs w:val="20"/>
        </w:rPr>
        <w:t xml:space="preserve"> $6</w:t>
      </w:r>
      <w:r w:rsidR="00FD384C" w:rsidRPr="00FD384C">
        <w:rPr>
          <w:rFonts w:ascii="Arial" w:hAnsi="Arial"/>
          <w:color w:val="000000" w:themeColor="text1"/>
          <w:szCs w:val="20"/>
        </w:rPr>
        <w:t>85</w:t>
      </w:r>
      <w:r w:rsidR="00EE78F2" w:rsidRPr="00FD384C">
        <w:rPr>
          <w:rFonts w:ascii="Arial" w:hAnsi="Arial"/>
          <w:color w:val="000000" w:themeColor="text1"/>
          <w:szCs w:val="20"/>
        </w:rPr>
        <w:t xml:space="preserve"> </w:t>
      </w:r>
      <w:r w:rsidR="00A770B0">
        <w:rPr>
          <w:rFonts w:ascii="Arial" w:hAnsi="Arial"/>
          <w:color w:val="000000" w:themeColor="text1"/>
          <w:szCs w:val="20"/>
        </w:rPr>
        <w:t>and</w:t>
      </w:r>
      <w:r w:rsidR="00081903" w:rsidRPr="00FD384C">
        <w:rPr>
          <w:rFonts w:ascii="Arial" w:hAnsi="Arial"/>
          <w:color w:val="000000" w:themeColor="text1"/>
          <w:szCs w:val="20"/>
        </w:rPr>
        <w:t xml:space="preserve"> $8</w:t>
      </w:r>
      <w:r w:rsidR="00FD384C" w:rsidRPr="00FD384C">
        <w:rPr>
          <w:rFonts w:ascii="Arial" w:hAnsi="Arial"/>
          <w:color w:val="000000" w:themeColor="text1"/>
          <w:szCs w:val="20"/>
        </w:rPr>
        <w:t>55</w:t>
      </w:r>
      <w:r w:rsidR="00DC5A25" w:rsidRPr="00FD384C">
        <w:rPr>
          <w:rFonts w:ascii="Arial" w:hAnsi="Arial"/>
          <w:color w:val="000000" w:themeColor="text1"/>
          <w:szCs w:val="20"/>
        </w:rPr>
        <w:t xml:space="preserve"> </w:t>
      </w:r>
      <w:r w:rsidR="00081903" w:rsidRPr="00FD384C">
        <w:rPr>
          <w:rFonts w:ascii="Arial" w:hAnsi="Arial"/>
          <w:color w:val="000000" w:themeColor="text1"/>
          <w:szCs w:val="20"/>
        </w:rPr>
        <w:t>pw</w:t>
      </w:r>
      <w:r w:rsidR="00EE78F2" w:rsidRPr="005709D6">
        <w:rPr>
          <w:rFonts w:ascii="Arial" w:hAnsi="Arial"/>
          <w:color w:val="000000" w:themeColor="text1"/>
          <w:szCs w:val="20"/>
        </w:rPr>
        <w:t>.</w:t>
      </w:r>
      <w:r w:rsidR="004C7033" w:rsidRPr="005709D6">
        <w:rPr>
          <w:rStyle w:val="FootnoteReference"/>
          <w:rFonts w:ascii="Arial" w:hAnsi="Arial"/>
          <w:color w:val="000000" w:themeColor="text1"/>
          <w:szCs w:val="20"/>
        </w:rPr>
        <w:footnoteReference w:id="24"/>
      </w:r>
      <w:r w:rsidR="006672DD" w:rsidRPr="005709D6">
        <w:rPr>
          <w:rFonts w:ascii="Arial" w:hAnsi="Arial"/>
          <w:color w:val="000000" w:themeColor="text1"/>
          <w:szCs w:val="20"/>
        </w:rPr>
        <w:t xml:space="preserve"> </w:t>
      </w:r>
      <w:r w:rsidR="00272BE3" w:rsidRPr="005709D6">
        <w:rPr>
          <w:rFonts w:ascii="Arial" w:hAnsi="Arial"/>
          <w:color w:val="000000" w:themeColor="text1"/>
          <w:szCs w:val="20"/>
        </w:rPr>
        <w:t xml:space="preserve">(See </w:t>
      </w:r>
      <w:r w:rsidR="00272BE3" w:rsidRPr="005709D6">
        <w:rPr>
          <w:rFonts w:ascii="Arial" w:hAnsi="Arial"/>
          <w:b/>
          <w:bCs/>
          <w:color w:val="000000" w:themeColor="text1"/>
          <w:szCs w:val="20"/>
        </w:rPr>
        <w:t xml:space="preserve">Appendix </w:t>
      </w:r>
      <w:r w:rsidR="005709D6" w:rsidRPr="005709D6">
        <w:rPr>
          <w:rFonts w:ascii="Arial" w:hAnsi="Arial"/>
          <w:b/>
          <w:bCs/>
          <w:color w:val="000000" w:themeColor="text1"/>
          <w:szCs w:val="20"/>
        </w:rPr>
        <w:t>9</w:t>
      </w:r>
      <w:r w:rsidR="00272BE3" w:rsidRPr="005709D6">
        <w:rPr>
          <w:rFonts w:ascii="Arial" w:hAnsi="Arial"/>
          <w:color w:val="000000" w:themeColor="text1"/>
          <w:szCs w:val="20"/>
        </w:rPr>
        <w:t xml:space="preserve"> for low-income thresholds for other household types). </w:t>
      </w:r>
      <w:r w:rsidR="006672DD">
        <w:rPr>
          <w:rFonts w:ascii="Arial" w:hAnsi="Arial"/>
          <w:color w:val="000000" w:themeColor="text1"/>
          <w:szCs w:val="20"/>
        </w:rPr>
        <w:t xml:space="preserve">The reader is invited to make their own assessment as to whether </w:t>
      </w:r>
      <w:r w:rsidR="00770FB3">
        <w:rPr>
          <w:rFonts w:ascii="Arial" w:hAnsi="Arial"/>
          <w:color w:val="000000" w:themeColor="text1"/>
          <w:szCs w:val="20"/>
        </w:rPr>
        <w:t>incomes in this range or just above it</w:t>
      </w:r>
      <w:r w:rsidR="006672DD">
        <w:rPr>
          <w:rFonts w:ascii="Arial" w:hAnsi="Arial"/>
          <w:color w:val="000000" w:themeColor="text1"/>
          <w:szCs w:val="20"/>
        </w:rPr>
        <w:t xml:space="preserve"> are sufficient for these households with children to</w:t>
      </w:r>
      <w:r w:rsidR="009E174A" w:rsidRPr="008A33CF">
        <w:rPr>
          <w:rFonts w:ascii="Arial" w:hAnsi="Arial"/>
          <w:color w:val="000000" w:themeColor="text1"/>
          <w:szCs w:val="20"/>
        </w:rPr>
        <w:t xml:space="preserve"> ‘mak</w:t>
      </w:r>
      <w:r w:rsidR="006672DD">
        <w:rPr>
          <w:rFonts w:ascii="Arial" w:hAnsi="Arial"/>
          <w:color w:val="000000" w:themeColor="text1"/>
          <w:szCs w:val="20"/>
        </w:rPr>
        <w:t>e</w:t>
      </w:r>
      <w:r w:rsidR="009E174A" w:rsidRPr="008A33CF">
        <w:rPr>
          <w:rFonts w:ascii="Arial" w:hAnsi="Arial"/>
          <w:color w:val="000000" w:themeColor="text1"/>
          <w:szCs w:val="20"/>
        </w:rPr>
        <w:t xml:space="preserve"> ends meet</w:t>
      </w:r>
      <w:r w:rsidR="006672DD">
        <w:rPr>
          <w:rFonts w:ascii="Arial" w:hAnsi="Arial"/>
          <w:color w:val="000000" w:themeColor="text1"/>
          <w:szCs w:val="20"/>
        </w:rPr>
        <w:t xml:space="preserve"> for the basics</w:t>
      </w:r>
      <w:r w:rsidR="009E174A" w:rsidRPr="008A33CF">
        <w:rPr>
          <w:rFonts w:ascii="Arial" w:hAnsi="Arial"/>
          <w:color w:val="000000" w:themeColor="text1"/>
          <w:szCs w:val="20"/>
        </w:rPr>
        <w:t>’</w:t>
      </w:r>
      <w:r w:rsidR="0053699D" w:rsidRPr="008A33CF">
        <w:rPr>
          <w:rFonts w:ascii="Arial" w:hAnsi="Arial"/>
          <w:color w:val="000000" w:themeColor="text1"/>
          <w:szCs w:val="20"/>
        </w:rPr>
        <w:t xml:space="preserve"> </w:t>
      </w:r>
      <w:r w:rsidR="00C52CAB">
        <w:rPr>
          <w:rFonts w:ascii="Arial" w:hAnsi="Arial"/>
          <w:color w:val="000000" w:themeColor="text1"/>
          <w:szCs w:val="20"/>
        </w:rPr>
        <w:t xml:space="preserve">and to </w:t>
      </w:r>
      <w:r w:rsidR="006672DD">
        <w:rPr>
          <w:rFonts w:ascii="Arial" w:hAnsi="Arial"/>
          <w:color w:val="000000" w:themeColor="text1"/>
          <w:szCs w:val="20"/>
        </w:rPr>
        <w:t>what degree they could be expected</w:t>
      </w:r>
      <w:r w:rsidR="0053699D" w:rsidRPr="008A33CF">
        <w:rPr>
          <w:rFonts w:ascii="Arial" w:hAnsi="Arial"/>
          <w:color w:val="000000" w:themeColor="text1"/>
          <w:szCs w:val="20"/>
        </w:rPr>
        <w:t xml:space="preserve"> </w:t>
      </w:r>
      <w:r w:rsidR="004A75B3" w:rsidRPr="008A33CF">
        <w:rPr>
          <w:rFonts w:ascii="Arial" w:hAnsi="Arial"/>
          <w:color w:val="000000" w:themeColor="text1"/>
        </w:rPr>
        <w:t>to participate in the ordinary living patterns and activities of their community</w:t>
      </w:r>
      <w:r w:rsidR="00081903">
        <w:rPr>
          <w:rFonts w:ascii="Arial" w:hAnsi="Arial"/>
          <w:color w:val="000000" w:themeColor="text1"/>
        </w:rPr>
        <w:t xml:space="preserve"> </w:t>
      </w:r>
      <w:r w:rsidR="00081903">
        <w:rPr>
          <w:rFonts w:ascii="Arial" w:hAnsi="Arial"/>
          <w:color w:val="000000" w:themeColor="text1"/>
          <w:szCs w:val="20"/>
        </w:rPr>
        <w:t xml:space="preserve">(assuming no </w:t>
      </w:r>
      <w:r w:rsidR="00081903" w:rsidRPr="008A33CF">
        <w:rPr>
          <w:rFonts w:ascii="Arial" w:hAnsi="Arial"/>
          <w:color w:val="000000" w:themeColor="text1"/>
          <w:szCs w:val="20"/>
        </w:rPr>
        <w:t>savings to draw on</w:t>
      </w:r>
      <w:r w:rsidR="00081903">
        <w:rPr>
          <w:rFonts w:ascii="Arial" w:hAnsi="Arial"/>
          <w:color w:val="000000" w:themeColor="text1"/>
          <w:szCs w:val="20"/>
        </w:rPr>
        <w:t xml:space="preserve">, no outside assistance </w:t>
      </w:r>
      <w:r w:rsidR="00770FB3">
        <w:rPr>
          <w:rFonts w:ascii="Arial" w:hAnsi="Arial"/>
          <w:color w:val="000000" w:themeColor="text1"/>
          <w:szCs w:val="20"/>
        </w:rPr>
        <w:t>from family or friends or community sources</w:t>
      </w:r>
      <w:r w:rsidR="00081903">
        <w:rPr>
          <w:rFonts w:ascii="Arial" w:hAnsi="Arial"/>
          <w:color w:val="000000" w:themeColor="text1"/>
          <w:szCs w:val="20"/>
        </w:rPr>
        <w:t>, and no special demands on the budget as described above).</w:t>
      </w:r>
    </w:p>
    <w:p w14:paraId="781BC0B4" w14:textId="77777777" w:rsidR="006C05AD" w:rsidRPr="008A33CF" w:rsidRDefault="006C05AD" w:rsidP="005C02E5">
      <w:pPr>
        <w:spacing w:after="0" w:line="240" w:lineRule="auto"/>
        <w:rPr>
          <w:rFonts w:ascii="Arial" w:hAnsi="Arial"/>
          <w:color w:val="000000" w:themeColor="text1"/>
          <w:szCs w:val="20"/>
        </w:rPr>
      </w:pPr>
    </w:p>
    <w:p w14:paraId="40A4900F" w14:textId="222BB541" w:rsidR="00277DA9" w:rsidRPr="008A33CF" w:rsidRDefault="0087111F" w:rsidP="00277DA9">
      <w:pPr>
        <w:spacing w:after="0" w:line="240" w:lineRule="auto"/>
        <w:rPr>
          <w:rFonts w:ascii="Arial" w:hAnsi="Arial"/>
          <w:color w:val="000000" w:themeColor="text1"/>
          <w:szCs w:val="20"/>
        </w:rPr>
      </w:pPr>
      <w:r w:rsidRPr="008A33CF">
        <w:rPr>
          <w:rFonts w:ascii="Arial" w:hAnsi="Arial"/>
          <w:color w:val="000000" w:themeColor="text1"/>
          <w:szCs w:val="20"/>
        </w:rPr>
        <w:t xml:space="preserve">As for a low-income AHC threshold, </w:t>
      </w:r>
      <w:r w:rsidRPr="008A33CF">
        <w:rPr>
          <w:rFonts w:ascii="Arial" w:hAnsi="Arial"/>
          <w:color w:val="000000" w:themeColor="text1"/>
          <w:szCs w:val="20"/>
          <w:u w:val="single"/>
        </w:rPr>
        <w:t>a material hardship threshold</w:t>
      </w:r>
      <w:r w:rsidRPr="008A33CF">
        <w:rPr>
          <w:rFonts w:ascii="Arial" w:hAnsi="Arial"/>
          <w:color w:val="000000" w:themeColor="text1"/>
          <w:szCs w:val="20"/>
        </w:rPr>
        <w:t xml:space="preserve"> </w:t>
      </w:r>
      <w:r w:rsidR="00DC2CEC" w:rsidRPr="008A33CF">
        <w:rPr>
          <w:rFonts w:ascii="Arial" w:hAnsi="Arial"/>
          <w:color w:val="000000" w:themeColor="text1"/>
          <w:szCs w:val="20"/>
        </w:rPr>
        <w:t>that reflects ‘minimum acceptable living standards’</w:t>
      </w:r>
      <w:r w:rsidR="004C6D3E" w:rsidRPr="008A33CF">
        <w:rPr>
          <w:rFonts w:ascii="Arial" w:hAnsi="Arial"/>
          <w:color w:val="000000" w:themeColor="text1"/>
          <w:szCs w:val="20"/>
        </w:rPr>
        <w:t xml:space="preserve"> </w:t>
      </w:r>
      <w:r w:rsidRPr="008A33CF">
        <w:rPr>
          <w:rFonts w:ascii="Arial" w:hAnsi="Arial"/>
          <w:color w:val="000000" w:themeColor="text1"/>
          <w:szCs w:val="20"/>
        </w:rPr>
        <w:t>can be shown to be in a relatively narrow range.</w:t>
      </w:r>
      <w:r w:rsidR="009E174A" w:rsidRPr="008A33CF">
        <w:rPr>
          <w:rStyle w:val="FootnoteReference"/>
          <w:rFonts w:ascii="Arial" w:hAnsi="Arial"/>
          <w:color w:val="000000" w:themeColor="text1"/>
          <w:szCs w:val="20"/>
        </w:rPr>
        <w:footnoteReference w:id="25"/>
      </w:r>
      <w:r w:rsidRPr="008A33CF">
        <w:rPr>
          <w:rFonts w:ascii="Arial" w:hAnsi="Arial"/>
          <w:color w:val="000000" w:themeColor="text1"/>
          <w:szCs w:val="20"/>
        </w:rPr>
        <w:t xml:space="preserve"> For this report a threshold of 6+/17 on the DEP-17 </w:t>
      </w:r>
      <w:r w:rsidR="008B4B0B">
        <w:rPr>
          <w:rFonts w:ascii="Arial" w:hAnsi="Arial"/>
          <w:color w:val="000000" w:themeColor="text1"/>
          <w:szCs w:val="20"/>
        </w:rPr>
        <w:t xml:space="preserve">HES-based </w:t>
      </w:r>
      <w:r w:rsidRPr="008A33CF">
        <w:rPr>
          <w:rFonts w:ascii="Arial" w:hAnsi="Arial"/>
          <w:color w:val="000000" w:themeColor="text1"/>
          <w:szCs w:val="20"/>
        </w:rPr>
        <w:t>index is used</w:t>
      </w:r>
      <w:r w:rsidR="008B4B0B">
        <w:rPr>
          <w:rFonts w:ascii="Arial" w:hAnsi="Arial"/>
          <w:color w:val="000000" w:themeColor="text1"/>
          <w:szCs w:val="20"/>
        </w:rPr>
        <w:t xml:space="preserve"> (7+/18 for the revised MH-18 HILS-based index)</w:t>
      </w:r>
      <w:r w:rsidRPr="008A33CF">
        <w:rPr>
          <w:rFonts w:ascii="Arial" w:hAnsi="Arial"/>
          <w:color w:val="000000" w:themeColor="text1"/>
          <w:szCs w:val="20"/>
        </w:rPr>
        <w:t xml:space="preserve">, </w:t>
      </w:r>
      <w:r w:rsidR="006C05AD" w:rsidRPr="008A33CF">
        <w:rPr>
          <w:rFonts w:ascii="Arial" w:hAnsi="Arial"/>
          <w:color w:val="000000" w:themeColor="text1"/>
          <w:szCs w:val="20"/>
        </w:rPr>
        <w:t>the same as</w:t>
      </w:r>
      <w:r w:rsidRPr="008A33CF">
        <w:rPr>
          <w:rFonts w:ascii="Arial" w:hAnsi="Arial"/>
          <w:color w:val="000000" w:themeColor="text1"/>
          <w:szCs w:val="20"/>
        </w:rPr>
        <w:t xml:space="preserve"> is </w:t>
      </w:r>
      <w:r w:rsidR="006C05AD" w:rsidRPr="008A33CF">
        <w:rPr>
          <w:rFonts w:ascii="Arial" w:hAnsi="Arial"/>
          <w:color w:val="000000" w:themeColor="text1"/>
          <w:szCs w:val="20"/>
        </w:rPr>
        <w:t xml:space="preserve">used </w:t>
      </w:r>
      <w:r w:rsidRPr="008A33CF">
        <w:rPr>
          <w:rFonts w:ascii="Arial" w:hAnsi="Arial"/>
          <w:color w:val="000000" w:themeColor="text1"/>
          <w:szCs w:val="20"/>
        </w:rPr>
        <w:t xml:space="preserve">by the Government Statistician for the CPRA reports. </w:t>
      </w:r>
      <w:r w:rsidR="00E74DBF" w:rsidRPr="008A33CF">
        <w:rPr>
          <w:rFonts w:ascii="Arial" w:hAnsi="Arial"/>
          <w:color w:val="000000" w:themeColor="text1"/>
          <w:szCs w:val="20"/>
        </w:rPr>
        <w:t xml:space="preserve">Eurostat’s </w:t>
      </w:r>
      <w:r w:rsidRPr="008A33CF">
        <w:rPr>
          <w:rFonts w:ascii="Arial" w:hAnsi="Arial"/>
          <w:color w:val="000000" w:themeColor="text1"/>
          <w:szCs w:val="20"/>
        </w:rPr>
        <w:t xml:space="preserve">material and social deprivation index </w:t>
      </w:r>
      <w:r w:rsidR="003A734C" w:rsidRPr="008A33CF">
        <w:rPr>
          <w:rFonts w:ascii="Arial" w:hAnsi="Arial"/>
          <w:color w:val="000000" w:themeColor="text1"/>
          <w:szCs w:val="20"/>
        </w:rPr>
        <w:t>(EU-13)</w:t>
      </w:r>
      <w:r w:rsidR="00E74DBF" w:rsidRPr="008A33CF">
        <w:rPr>
          <w:rFonts w:ascii="Arial" w:hAnsi="Arial"/>
          <w:color w:val="000000" w:themeColor="text1"/>
          <w:szCs w:val="20"/>
        </w:rPr>
        <w:t xml:space="preserve"> </w:t>
      </w:r>
      <w:r w:rsidR="003A734C" w:rsidRPr="008A33CF">
        <w:rPr>
          <w:rFonts w:ascii="Arial" w:hAnsi="Arial"/>
          <w:color w:val="000000" w:themeColor="text1"/>
          <w:szCs w:val="20"/>
        </w:rPr>
        <w:t>uses</w:t>
      </w:r>
      <w:r w:rsidRPr="008A33CF">
        <w:rPr>
          <w:rFonts w:ascii="Arial" w:hAnsi="Arial"/>
          <w:color w:val="000000" w:themeColor="text1"/>
          <w:szCs w:val="20"/>
        </w:rPr>
        <w:t xml:space="preserve"> different items than </w:t>
      </w:r>
      <w:r w:rsidR="003A734C" w:rsidRPr="008A33CF">
        <w:rPr>
          <w:rFonts w:ascii="Arial" w:hAnsi="Arial"/>
          <w:color w:val="000000" w:themeColor="text1"/>
          <w:szCs w:val="20"/>
        </w:rPr>
        <w:t>those in the DEP-17</w:t>
      </w:r>
      <w:r w:rsidR="00E74DBF" w:rsidRPr="008A33CF">
        <w:rPr>
          <w:rFonts w:ascii="Arial" w:hAnsi="Arial"/>
          <w:color w:val="000000" w:themeColor="text1"/>
          <w:szCs w:val="20"/>
        </w:rPr>
        <w:t xml:space="preserve"> and the threshold is set at 5+/13.</w:t>
      </w:r>
      <w:r w:rsidR="008B4B0B">
        <w:rPr>
          <w:rStyle w:val="FootnoteReference"/>
          <w:rFonts w:ascii="Arial" w:hAnsi="Arial"/>
          <w:color w:val="000000" w:themeColor="text1"/>
          <w:szCs w:val="20"/>
        </w:rPr>
        <w:footnoteReference w:id="26"/>
      </w:r>
      <w:r w:rsidR="003A734C" w:rsidRPr="008A33CF">
        <w:rPr>
          <w:rFonts w:ascii="Arial" w:hAnsi="Arial"/>
          <w:color w:val="000000" w:themeColor="text1"/>
          <w:szCs w:val="20"/>
        </w:rPr>
        <w:t xml:space="preserve"> </w:t>
      </w:r>
      <w:r w:rsidR="00E74DBF" w:rsidRPr="008A33CF">
        <w:rPr>
          <w:rFonts w:ascii="Arial" w:hAnsi="Arial"/>
          <w:color w:val="000000" w:themeColor="text1"/>
          <w:szCs w:val="20"/>
        </w:rPr>
        <w:t xml:space="preserve">Each measure </w:t>
      </w:r>
      <w:r w:rsidR="00A127A2" w:rsidRPr="008A33CF">
        <w:rPr>
          <w:rFonts w:ascii="Arial" w:hAnsi="Arial"/>
          <w:color w:val="000000" w:themeColor="text1"/>
          <w:szCs w:val="20"/>
        </w:rPr>
        <w:t xml:space="preserve">produces </w:t>
      </w:r>
      <w:r w:rsidR="003A734C" w:rsidRPr="008A33CF">
        <w:rPr>
          <w:rFonts w:ascii="Arial" w:hAnsi="Arial"/>
          <w:color w:val="000000" w:themeColor="text1"/>
          <w:szCs w:val="20"/>
        </w:rPr>
        <w:t xml:space="preserve">material hardship rates for New Zealand </w:t>
      </w:r>
      <w:r w:rsidR="00A127A2" w:rsidRPr="008A33CF">
        <w:rPr>
          <w:rFonts w:ascii="Arial" w:hAnsi="Arial"/>
          <w:color w:val="000000" w:themeColor="text1"/>
          <w:szCs w:val="20"/>
        </w:rPr>
        <w:t>that are</w:t>
      </w:r>
      <w:r w:rsidR="003A734C" w:rsidRPr="008A33CF">
        <w:rPr>
          <w:rFonts w:ascii="Arial" w:hAnsi="Arial"/>
          <w:color w:val="000000" w:themeColor="text1"/>
          <w:szCs w:val="20"/>
        </w:rPr>
        <w:t xml:space="preserve"> very close</w:t>
      </w:r>
      <w:r w:rsidR="00A127A2" w:rsidRPr="008A33CF">
        <w:rPr>
          <w:rFonts w:ascii="Arial" w:hAnsi="Arial"/>
          <w:color w:val="000000" w:themeColor="text1"/>
          <w:szCs w:val="20"/>
        </w:rPr>
        <w:t xml:space="preserve"> for the whole population, children and other sub-populations.</w:t>
      </w:r>
      <w:r w:rsidR="00905F5B" w:rsidRPr="008A33CF">
        <w:rPr>
          <w:rStyle w:val="FootnoteReference"/>
          <w:rFonts w:ascii="Arial" w:hAnsi="Arial"/>
          <w:color w:val="000000" w:themeColor="text1"/>
          <w:szCs w:val="20"/>
        </w:rPr>
        <w:footnoteReference w:id="27"/>
      </w:r>
      <w:r w:rsidR="00A127A2" w:rsidRPr="008A33CF">
        <w:rPr>
          <w:rFonts w:ascii="Arial" w:hAnsi="Arial"/>
          <w:color w:val="000000" w:themeColor="text1"/>
          <w:szCs w:val="20"/>
        </w:rPr>
        <w:t xml:space="preserve"> </w:t>
      </w:r>
      <w:r w:rsidR="003A734C" w:rsidRPr="008A33CF">
        <w:rPr>
          <w:rFonts w:ascii="Arial" w:hAnsi="Arial"/>
          <w:color w:val="000000" w:themeColor="text1"/>
          <w:szCs w:val="20"/>
        </w:rPr>
        <w:t>This does not pro</w:t>
      </w:r>
      <w:r w:rsidR="006F0A88" w:rsidRPr="008A33CF">
        <w:rPr>
          <w:rFonts w:ascii="Arial" w:hAnsi="Arial"/>
          <w:color w:val="000000" w:themeColor="text1"/>
          <w:szCs w:val="20"/>
        </w:rPr>
        <w:t>v</w:t>
      </w:r>
      <w:r w:rsidR="003A734C" w:rsidRPr="008A33CF">
        <w:rPr>
          <w:rFonts w:ascii="Arial" w:hAnsi="Arial"/>
          <w:color w:val="000000" w:themeColor="text1"/>
          <w:szCs w:val="20"/>
        </w:rPr>
        <w:t xml:space="preserve">e that the 6+/17 DEP-17 threshold is ‘correct’ but it certainly </w:t>
      </w:r>
      <w:r w:rsidR="004C6D3E" w:rsidRPr="008A33CF">
        <w:rPr>
          <w:rFonts w:ascii="Arial" w:hAnsi="Arial"/>
          <w:color w:val="000000" w:themeColor="text1"/>
          <w:szCs w:val="20"/>
        </w:rPr>
        <w:t>supports</w:t>
      </w:r>
      <w:r w:rsidR="006C05AD" w:rsidRPr="008A33CF">
        <w:rPr>
          <w:rFonts w:ascii="Arial" w:hAnsi="Arial"/>
          <w:color w:val="000000" w:themeColor="text1"/>
          <w:szCs w:val="20"/>
        </w:rPr>
        <w:t xml:space="preserve"> it</w:t>
      </w:r>
      <w:r w:rsidR="0087237C" w:rsidRPr="008A33CF">
        <w:rPr>
          <w:rFonts w:ascii="Arial" w:hAnsi="Arial"/>
          <w:color w:val="000000" w:themeColor="text1"/>
          <w:szCs w:val="20"/>
        </w:rPr>
        <w:t>s</w:t>
      </w:r>
      <w:r w:rsidR="006C05AD" w:rsidRPr="008A33CF">
        <w:rPr>
          <w:rFonts w:ascii="Arial" w:hAnsi="Arial"/>
          <w:color w:val="000000" w:themeColor="text1"/>
          <w:szCs w:val="20"/>
        </w:rPr>
        <w:t xml:space="preserve"> </w:t>
      </w:r>
      <w:r w:rsidR="003A734C" w:rsidRPr="008A33CF">
        <w:rPr>
          <w:rFonts w:ascii="Arial" w:hAnsi="Arial"/>
          <w:color w:val="000000" w:themeColor="text1"/>
          <w:szCs w:val="20"/>
        </w:rPr>
        <w:t xml:space="preserve">credibility. This report also uses a ‘more severe hardship’ threshold of 9+/17 to track the trends of those children in deeper </w:t>
      </w:r>
      <w:r w:rsidR="006F0A88" w:rsidRPr="008A33CF">
        <w:rPr>
          <w:rFonts w:ascii="Arial" w:hAnsi="Arial"/>
          <w:color w:val="000000" w:themeColor="text1"/>
          <w:szCs w:val="20"/>
        </w:rPr>
        <w:t>hardship and to understand who they are.</w:t>
      </w:r>
    </w:p>
    <w:p w14:paraId="322A3D1C" w14:textId="77777777" w:rsidR="003D7D36" w:rsidRDefault="003D7D36">
      <w:pPr>
        <w:spacing w:after="0" w:line="240" w:lineRule="auto"/>
        <w:rPr>
          <w:rFonts w:ascii="Arial" w:eastAsia="Times New Roman" w:hAnsi="Arial"/>
          <w:b/>
          <w:bCs/>
          <w:color w:val="000000" w:themeColor="text1"/>
          <w:sz w:val="22"/>
          <w:lang w:val="en-GB"/>
        </w:rPr>
      </w:pPr>
      <w:r>
        <w:rPr>
          <w:rFonts w:ascii="Arial" w:eastAsia="Times New Roman" w:hAnsi="Arial"/>
          <w:b/>
          <w:bCs/>
          <w:color w:val="000000" w:themeColor="text1"/>
          <w:sz w:val="22"/>
          <w:lang w:val="en-GB"/>
        </w:rPr>
        <w:br w:type="page"/>
      </w:r>
    </w:p>
    <w:p w14:paraId="1B84A215" w14:textId="1B4B4888" w:rsidR="002C3EA2" w:rsidRPr="00C72964" w:rsidRDefault="00222121" w:rsidP="000956C4">
      <w:pPr>
        <w:spacing w:after="0" w:line="240" w:lineRule="auto"/>
        <w:rPr>
          <w:rFonts w:ascii="Arial" w:eastAsia="Times New Roman" w:hAnsi="Arial"/>
          <w:b/>
          <w:bCs/>
          <w:color w:val="000000" w:themeColor="text1"/>
          <w:sz w:val="24"/>
          <w:szCs w:val="24"/>
          <w:lang w:val="en-GB"/>
        </w:rPr>
      </w:pPr>
      <w:r w:rsidRPr="00C72964">
        <w:rPr>
          <w:rFonts w:ascii="Arial" w:eastAsia="Times New Roman" w:hAnsi="Arial"/>
          <w:b/>
          <w:bCs/>
          <w:color w:val="000000" w:themeColor="text1"/>
          <w:sz w:val="24"/>
          <w:szCs w:val="24"/>
          <w:lang w:val="en-GB"/>
        </w:rPr>
        <w:lastRenderedPageBreak/>
        <w:t>Updating</w:t>
      </w:r>
      <w:r w:rsidR="002C3EA2" w:rsidRPr="00C72964">
        <w:rPr>
          <w:rFonts w:ascii="Arial" w:eastAsia="Times New Roman" w:hAnsi="Arial"/>
          <w:b/>
          <w:bCs/>
          <w:color w:val="000000" w:themeColor="text1"/>
          <w:sz w:val="24"/>
          <w:szCs w:val="24"/>
          <w:lang w:val="en-GB"/>
        </w:rPr>
        <w:t xml:space="preserve"> the low-income thresholds (poverty lines) over time: ‘fixed’ &amp; ‘moving’ lines</w:t>
      </w:r>
    </w:p>
    <w:p w14:paraId="4A4AC0F8" w14:textId="77777777" w:rsidR="002C3EA2" w:rsidRPr="008A33CF" w:rsidRDefault="002C3EA2" w:rsidP="002C3EA2">
      <w:pPr>
        <w:spacing w:after="0" w:line="240" w:lineRule="auto"/>
        <w:jc w:val="both"/>
        <w:rPr>
          <w:rFonts w:ascii="Arial" w:eastAsia="Times New Roman" w:hAnsi="Arial"/>
          <w:color w:val="000000" w:themeColor="text1"/>
          <w:sz w:val="16"/>
          <w:szCs w:val="18"/>
          <w:lang w:val="en-GB"/>
        </w:rPr>
      </w:pPr>
    </w:p>
    <w:p w14:paraId="30D9B80F" w14:textId="3D389968" w:rsidR="002C3EA2" w:rsidRPr="008A33CF" w:rsidRDefault="002C3EA2" w:rsidP="00887003">
      <w:pPr>
        <w:spacing w:after="0" w:line="240" w:lineRule="auto"/>
        <w:rPr>
          <w:rFonts w:ascii="Arial" w:eastAsia="Times New Roman" w:hAnsi="Arial"/>
          <w:color w:val="000000" w:themeColor="text1"/>
          <w:lang w:val="en-GB"/>
        </w:rPr>
      </w:pPr>
      <w:r w:rsidRPr="008A33CF">
        <w:rPr>
          <w:rFonts w:ascii="Arial" w:eastAsia="Times New Roman" w:hAnsi="Arial"/>
          <w:color w:val="000000" w:themeColor="text1"/>
          <w:lang w:val="en-GB"/>
        </w:rPr>
        <w:t xml:space="preserve">Once a low-income poverty line is established for a given survey, the question arises as to what approach to use to adjust that threshold for the next survey. </w:t>
      </w:r>
      <w:r w:rsidR="000F3C71">
        <w:rPr>
          <w:rFonts w:ascii="Arial" w:eastAsia="Times New Roman" w:hAnsi="Arial"/>
          <w:color w:val="000000" w:themeColor="text1"/>
          <w:lang w:val="en-GB"/>
        </w:rPr>
        <w:t>T</w:t>
      </w:r>
      <w:r w:rsidRPr="008A33CF">
        <w:rPr>
          <w:rFonts w:ascii="Arial" w:eastAsia="Times New Roman" w:hAnsi="Arial"/>
          <w:color w:val="000000" w:themeColor="text1"/>
          <w:lang w:val="en-GB"/>
        </w:rPr>
        <w:t>here are two common</w:t>
      </w:r>
      <w:r w:rsidR="000F3C71">
        <w:rPr>
          <w:rFonts w:ascii="Arial" w:eastAsia="Times New Roman" w:hAnsi="Arial"/>
          <w:color w:val="000000" w:themeColor="text1"/>
          <w:lang w:val="en-GB"/>
        </w:rPr>
        <w:t>ly-used</w:t>
      </w:r>
      <w:r w:rsidRPr="008A33CF">
        <w:rPr>
          <w:rFonts w:ascii="Arial" w:eastAsia="Times New Roman" w:hAnsi="Arial"/>
          <w:color w:val="000000" w:themeColor="text1"/>
          <w:lang w:val="en-GB"/>
        </w:rPr>
        <w:t xml:space="preserve"> ways in which this adjustment is made and they differ in how they assess whether an improvement has occurred in a household’s income circumstances:  </w:t>
      </w:r>
    </w:p>
    <w:p w14:paraId="2B76DE09" w14:textId="6B14ED99" w:rsidR="002C3EA2" w:rsidRPr="008A33CF" w:rsidRDefault="00D2370F">
      <w:pPr>
        <w:numPr>
          <w:ilvl w:val="0"/>
          <w:numId w:val="30"/>
        </w:numPr>
        <w:tabs>
          <w:tab w:val="num" w:pos="630"/>
        </w:tabs>
        <w:spacing w:before="120" w:after="0" w:line="240" w:lineRule="auto"/>
        <w:ind w:left="634" w:hanging="274"/>
        <w:rPr>
          <w:rFonts w:ascii="Arial" w:eastAsia="Times New Roman" w:hAnsi="Arial"/>
          <w:color w:val="000000" w:themeColor="text1"/>
          <w:lang w:val="en-GB"/>
        </w:rPr>
      </w:pPr>
      <w:r>
        <w:rPr>
          <w:rFonts w:ascii="Arial" w:eastAsia="Times New Roman" w:hAnsi="Arial"/>
          <w:color w:val="000000" w:themeColor="text1"/>
          <w:lang w:val="en-GB"/>
        </w:rPr>
        <w:t>O</w:t>
      </w:r>
      <w:r w:rsidR="002C3EA2" w:rsidRPr="008A33CF">
        <w:rPr>
          <w:rFonts w:ascii="Arial" w:eastAsia="Times New Roman" w:hAnsi="Arial"/>
          <w:color w:val="000000" w:themeColor="text1"/>
          <w:lang w:val="en-GB"/>
        </w:rPr>
        <w:t xml:space="preserve">ne approach considers that a low-income household has improved its situation when its income rises in real terms, irrespective of what is happening to the incomes of other households – the </w:t>
      </w:r>
      <w:r>
        <w:rPr>
          <w:rFonts w:ascii="Arial" w:eastAsia="Times New Roman" w:hAnsi="Arial"/>
          <w:color w:val="000000" w:themeColor="text1"/>
          <w:lang w:val="en-GB"/>
        </w:rPr>
        <w:t>FIXED line</w:t>
      </w:r>
      <w:r w:rsidR="002C3EA2" w:rsidRPr="008A33CF">
        <w:rPr>
          <w:rFonts w:ascii="Arial" w:eastAsia="Times New Roman" w:hAnsi="Arial"/>
          <w:color w:val="000000" w:themeColor="text1"/>
          <w:lang w:val="en-GB"/>
        </w:rPr>
        <w:t xml:space="preserve"> approach</w:t>
      </w:r>
      <w:r w:rsidR="00BF1C4B">
        <w:rPr>
          <w:rFonts w:ascii="Arial" w:eastAsia="Times New Roman" w:hAnsi="Arial"/>
          <w:color w:val="000000" w:themeColor="text1"/>
          <w:lang w:val="en-GB"/>
        </w:rPr>
        <w:t xml:space="preserve"> (sometimes called the ‘anchored’ line</w:t>
      </w:r>
      <w:r w:rsidR="00F62037">
        <w:rPr>
          <w:rFonts w:ascii="Arial" w:eastAsia="Times New Roman" w:hAnsi="Arial"/>
          <w:color w:val="000000" w:themeColor="text1"/>
          <w:lang w:val="en-GB"/>
        </w:rPr>
        <w:t xml:space="preserve"> approach</w:t>
      </w:r>
      <w:r w:rsidR="00BF1C4B">
        <w:rPr>
          <w:rFonts w:ascii="Arial" w:eastAsia="Times New Roman" w:hAnsi="Arial"/>
          <w:color w:val="000000" w:themeColor="text1"/>
          <w:lang w:val="en-GB"/>
        </w:rPr>
        <w:t xml:space="preserve"> (eg OECD)</w:t>
      </w:r>
      <w:r w:rsidR="00A77136">
        <w:rPr>
          <w:rFonts w:ascii="Arial" w:eastAsia="Times New Roman" w:hAnsi="Arial"/>
          <w:color w:val="000000" w:themeColor="text1"/>
          <w:lang w:val="en-GB"/>
        </w:rPr>
        <w:t>)</w:t>
      </w:r>
      <w:r>
        <w:rPr>
          <w:rFonts w:ascii="Arial" w:eastAsia="Times New Roman" w:hAnsi="Arial"/>
          <w:color w:val="000000" w:themeColor="text1"/>
          <w:lang w:val="en-GB"/>
        </w:rPr>
        <w:t>.</w:t>
      </w:r>
      <w:r w:rsidR="002C3EA2" w:rsidRPr="008A33CF">
        <w:rPr>
          <w:rFonts w:ascii="Arial" w:eastAsia="Times New Roman" w:hAnsi="Arial"/>
          <w:color w:val="000000" w:themeColor="text1"/>
          <w:lang w:val="en-GB"/>
        </w:rPr>
        <w:t xml:space="preserve"> </w:t>
      </w:r>
    </w:p>
    <w:p w14:paraId="0A30B6CC" w14:textId="1B21279A" w:rsidR="002C3EA2" w:rsidRDefault="00D2370F">
      <w:pPr>
        <w:numPr>
          <w:ilvl w:val="0"/>
          <w:numId w:val="30"/>
        </w:numPr>
        <w:tabs>
          <w:tab w:val="num" w:pos="630"/>
        </w:tabs>
        <w:spacing w:before="120" w:after="0" w:line="240" w:lineRule="auto"/>
        <w:ind w:left="634" w:hanging="274"/>
        <w:rPr>
          <w:rFonts w:ascii="Arial" w:eastAsia="Times New Roman" w:hAnsi="Arial"/>
          <w:color w:val="000000" w:themeColor="text1"/>
          <w:lang w:val="en-GB"/>
        </w:rPr>
      </w:pPr>
      <w:r>
        <w:rPr>
          <w:rFonts w:ascii="Arial" w:eastAsia="Times New Roman" w:hAnsi="Arial"/>
          <w:color w:val="000000" w:themeColor="text1"/>
          <w:lang w:val="en-GB"/>
        </w:rPr>
        <w:t>T</w:t>
      </w:r>
      <w:r w:rsidR="002C3EA2" w:rsidRPr="008A33CF">
        <w:rPr>
          <w:rFonts w:ascii="Arial" w:eastAsia="Times New Roman" w:hAnsi="Arial"/>
          <w:color w:val="000000" w:themeColor="text1"/>
          <w:lang w:val="en-GB"/>
        </w:rPr>
        <w:t>he other uses the median household as the reference and an improvement is considered to have occurred when a poor household moves closer to the median</w:t>
      </w:r>
      <w:r w:rsidR="000956C4" w:rsidRPr="008A33CF">
        <w:rPr>
          <w:rFonts w:ascii="Arial" w:eastAsia="Times New Roman" w:hAnsi="Arial"/>
          <w:color w:val="000000" w:themeColor="text1"/>
          <w:lang w:val="en-GB"/>
        </w:rPr>
        <w:t>, irrespective of what is happening to median incomes</w:t>
      </w:r>
      <w:r w:rsidR="002C3EA2" w:rsidRPr="008A33CF">
        <w:rPr>
          <w:rFonts w:ascii="Arial" w:eastAsia="Times New Roman" w:hAnsi="Arial"/>
          <w:color w:val="000000" w:themeColor="text1"/>
          <w:lang w:val="en-GB"/>
        </w:rPr>
        <w:t xml:space="preserve"> – the ‘moving line’ or ‘relative (REL)’ approach.</w:t>
      </w:r>
      <w:r>
        <w:rPr>
          <w:rFonts w:ascii="Arial" w:eastAsia="Times New Roman" w:hAnsi="Arial"/>
          <w:color w:val="000000" w:themeColor="text1"/>
          <w:lang w:val="en-GB"/>
        </w:rPr>
        <w:t xml:space="preserve"> </w:t>
      </w:r>
    </w:p>
    <w:p w14:paraId="13A10239" w14:textId="77CCB8D1" w:rsidR="00D2370F" w:rsidRPr="008A33CF" w:rsidRDefault="00D2370F" w:rsidP="00D2370F">
      <w:pPr>
        <w:spacing w:before="120" w:after="0" w:line="240" w:lineRule="auto"/>
        <w:rPr>
          <w:rFonts w:ascii="Arial" w:eastAsia="Times New Roman" w:hAnsi="Arial"/>
          <w:color w:val="000000" w:themeColor="text1"/>
          <w:lang w:val="en-GB"/>
        </w:rPr>
      </w:pPr>
      <w:r>
        <w:rPr>
          <w:rFonts w:ascii="Arial" w:eastAsia="Times New Roman" w:hAnsi="Arial"/>
          <w:color w:val="000000" w:themeColor="text1"/>
          <w:lang w:val="en-GB"/>
        </w:rPr>
        <w:t xml:space="preserve">In both cases, the reported income poverty rate decreases if the </w:t>
      </w:r>
      <w:r w:rsidR="00BF1C4B">
        <w:rPr>
          <w:rFonts w:ascii="Arial" w:eastAsia="Times New Roman" w:hAnsi="Arial"/>
          <w:color w:val="000000" w:themeColor="text1"/>
          <w:lang w:val="en-GB"/>
        </w:rPr>
        <w:t>‘</w:t>
      </w:r>
      <w:r>
        <w:rPr>
          <w:rFonts w:ascii="Arial" w:eastAsia="Times New Roman" w:hAnsi="Arial"/>
          <w:color w:val="000000" w:themeColor="text1"/>
          <w:lang w:val="en-GB"/>
        </w:rPr>
        <w:t>improvement</w:t>
      </w:r>
      <w:r w:rsidR="00BF1C4B">
        <w:rPr>
          <w:rFonts w:ascii="Arial" w:eastAsia="Times New Roman" w:hAnsi="Arial"/>
          <w:color w:val="000000" w:themeColor="text1"/>
          <w:lang w:val="en-GB"/>
        </w:rPr>
        <w:t>’</w:t>
      </w:r>
      <w:r>
        <w:rPr>
          <w:rFonts w:ascii="Arial" w:eastAsia="Times New Roman" w:hAnsi="Arial"/>
          <w:color w:val="000000" w:themeColor="text1"/>
          <w:lang w:val="en-GB"/>
        </w:rPr>
        <w:t xml:space="preserve"> leads to </w:t>
      </w:r>
      <w:r w:rsidR="00C96ACA">
        <w:rPr>
          <w:rFonts w:ascii="Arial" w:eastAsia="Times New Roman" w:hAnsi="Arial"/>
          <w:color w:val="000000" w:themeColor="text1"/>
          <w:lang w:val="en-GB"/>
        </w:rPr>
        <w:t>the</w:t>
      </w:r>
      <w:r>
        <w:rPr>
          <w:rFonts w:ascii="Arial" w:eastAsia="Times New Roman" w:hAnsi="Arial"/>
          <w:color w:val="000000" w:themeColor="text1"/>
          <w:lang w:val="en-GB"/>
        </w:rPr>
        <w:t xml:space="preserve"> household moving from below to above the particular line.</w:t>
      </w:r>
    </w:p>
    <w:p w14:paraId="09E15414" w14:textId="77777777" w:rsidR="002C3EA2" w:rsidRPr="008A33CF" w:rsidRDefault="002C3EA2" w:rsidP="00887003">
      <w:pPr>
        <w:spacing w:after="0" w:line="240" w:lineRule="auto"/>
        <w:contextualSpacing/>
        <w:rPr>
          <w:rFonts w:ascii="Arial" w:hAnsi="Arial"/>
          <w:color w:val="000000" w:themeColor="text1"/>
        </w:rPr>
      </w:pPr>
    </w:p>
    <w:p w14:paraId="0F4E838F" w14:textId="5334BA51" w:rsidR="002C3EA2" w:rsidRDefault="002C3EA2" w:rsidP="00887003">
      <w:pPr>
        <w:spacing w:after="0" w:line="240" w:lineRule="auto"/>
        <w:rPr>
          <w:rFonts w:ascii="Arial" w:eastAsia="Times New Roman" w:hAnsi="Arial"/>
          <w:color w:val="000000" w:themeColor="text1"/>
          <w:lang w:val="en-GB"/>
        </w:rPr>
      </w:pPr>
      <w:r w:rsidRPr="008A33CF">
        <w:rPr>
          <w:rFonts w:ascii="Arial" w:eastAsia="Times New Roman" w:hAnsi="Arial"/>
          <w:color w:val="000000" w:themeColor="text1"/>
          <w:lang w:val="en-GB"/>
        </w:rPr>
        <w:t>Both approaches reflect the ‘relative disadvantage’ concept of poverty and hardship. The REL approach is self-evidently a relative approach.</w:t>
      </w:r>
      <w:r w:rsidR="00887003">
        <w:rPr>
          <w:rFonts w:ascii="Arial" w:eastAsia="Times New Roman" w:hAnsi="Arial"/>
          <w:color w:val="000000" w:themeColor="text1"/>
          <w:lang w:val="en-GB"/>
        </w:rPr>
        <w:t xml:space="preserve"> </w:t>
      </w:r>
      <w:r w:rsidRPr="008A33CF">
        <w:rPr>
          <w:rFonts w:ascii="Arial" w:eastAsia="Times New Roman" w:hAnsi="Arial"/>
          <w:color w:val="000000" w:themeColor="text1"/>
          <w:lang w:val="en-GB"/>
        </w:rPr>
        <w:t xml:space="preserve">The </w:t>
      </w:r>
      <w:r w:rsidR="0043172C">
        <w:rPr>
          <w:rFonts w:ascii="Arial" w:eastAsia="Times New Roman" w:hAnsi="Arial"/>
          <w:color w:val="000000" w:themeColor="text1"/>
          <w:lang w:val="en-GB"/>
        </w:rPr>
        <w:t>FIXED-line</w:t>
      </w:r>
      <w:r w:rsidRPr="008A33CF">
        <w:rPr>
          <w:rFonts w:ascii="Arial" w:eastAsia="Times New Roman" w:hAnsi="Arial"/>
          <w:color w:val="000000" w:themeColor="text1"/>
          <w:lang w:val="en-GB"/>
        </w:rPr>
        <w:t xml:space="preserve"> approach has to be benchmarked against community standards in some way to start with, then after some years of being kept at the same level in real terms it has to be re-based – again relative to </w:t>
      </w:r>
      <w:r w:rsidRPr="00887003">
        <w:rPr>
          <w:rFonts w:ascii="Arial" w:eastAsia="Times New Roman" w:hAnsi="Arial"/>
          <w:color w:val="000000" w:themeColor="text1"/>
          <w:lang w:val="en-GB"/>
        </w:rPr>
        <w:t>some estimate of community standards.</w:t>
      </w:r>
      <w:r w:rsidR="0043172C" w:rsidRPr="00887003">
        <w:rPr>
          <w:rStyle w:val="FootnoteReference"/>
          <w:rFonts w:ascii="Arial" w:eastAsia="Times New Roman" w:hAnsi="Arial"/>
          <w:color w:val="000000" w:themeColor="text1"/>
          <w:lang w:val="en-GB"/>
        </w:rPr>
        <w:footnoteReference w:id="28"/>
      </w:r>
      <w:r w:rsidRPr="00887003">
        <w:rPr>
          <w:rFonts w:ascii="Arial" w:eastAsia="Times New Roman" w:hAnsi="Arial"/>
          <w:color w:val="000000" w:themeColor="text1"/>
          <w:lang w:val="en-GB"/>
        </w:rPr>
        <w:t xml:space="preserve"> Both approaches are used in income poverty analysis in OECD-type nations. </w:t>
      </w:r>
      <w:r w:rsidR="009B5A92" w:rsidRPr="00887003">
        <w:rPr>
          <w:rFonts w:ascii="Arial" w:eastAsia="Times New Roman" w:hAnsi="Arial"/>
          <w:color w:val="000000" w:themeColor="text1"/>
          <w:lang w:val="en-GB"/>
        </w:rPr>
        <w:t xml:space="preserve">The OECD itself </w:t>
      </w:r>
      <w:r w:rsidR="00887003" w:rsidRPr="00887003">
        <w:rPr>
          <w:rFonts w:ascii="Arial" w:eastAsia="Times New Roman" w:hAnsi="Arial"/>
          <w:color w:val="000000" w:themeColor="text1"/>
          <w:lang w:val="en-GB"/>
        </w:rPr>
        <w:t>reports changes over time using both approaches.</w:t>
      </w:r>
      <w:r w:rsidR="00887003">
        <w:rPr>
          <w:rFonts w:ascii="Arial" w:eastAsia="Times New Roman" w:hAnsi="Arial"/>
          <w:color w:val="000000" w:themeColor="text1"/>
          <w:lang w:val="en-GB"/>
        </w:rPr>
        <w:t xml:space="preserve"> </w:t>
      </w:r>
      <w:r w:rsidRPr="008A33CF">
        <w:rPr>
          <w:rFonts w:ascii="Arial" w:eastAsia="Times New Roman" w:hAnsi="Arial"/>
          <w:color w:val="000000" w:themeColor="text1"/>
          <w:lang w:val="en-GB"/>
        </w:rPr>
        <w:t>They each have a</w:t>
      </w:r>
      <w:r w:rsidR="00D2370F">
        <w:rPr>
          <w:rFonts w:ascii="Arial" w:eastAsia="Times New Roman" w:hAnsi="Arial"/>
          <w:color w:val="000000" w:themeColor="text1"/>
          <w:lang w:val="en-GB"/>
        </w:rPr>
        <w:t>n important and</w:t>
      </w:r>
      <w:r w:rsidRPr="008A33CF">
        <w:rPr>
          <w:rFonts w:ascii="Arial" w:eastAsia="Times New Roman" w:hAnsi="Arial"/>
          <w:color w:val="000000" w:themeColor="text1"/>
          <w:lang w:val="en-GB"/>
        </w:rPr>
        <w:t xml:space="preserve"> valid story to tell about the situation of people in lower-income households</w:t>
      </w:r>
      <w:r w:rsidR="00D2370F">
        <w:rPr>
          <w:rFonts w:ascii="Arial" w:eastAsia="Times New Roman" w:hAnsi="Arial"/>
          <w:color w:val="000000" w:themeColor="text1"/>
          <w:lang w:val="en-GB"/>
        </w:rPr>
        <w:t>.</w:t>
      </w:r>
      <w:r w:rsidRPr="008A33CF">
        <w:rPr>
          <w:rFonts w:ascii="Arial" w:eastAsia="Times New Roman" w:hAnsi="Arial"/>
          <w:color w:val="000000" w:themeColor="text1"/>
          <w:lang w:val="en-GB"/>
        </w:rPr>
        <w:t xml:space="preserve"> </w:t>
      </w:r>
    </w:p>
    <w:p w14:paraId="5219D0C7" w14:textId="77777777" w:rsidR="002C3EA2" w:rsidRPr="008A33CF" w:rsidRDefault="002C3EA2" w:rsidP="00887003">
      <w:pPr>
        <w:spacing w:after="0" w:line="240" w:lineRule="auto"/>
        <w:rPr>
          <w:rFonts w:ascii="Arial" w:eastAsia="Times New Roman" w:hAnsi="Arial"/>
          <w:color w:val="000000" w:themeColor="text1"/>
          <w:lang w:val="en-GB"/>
        </w:rPr>
      </w:pPr>
    </w:p>
    <w:p w14:paraId="436B353D" w14:textId="193A7723" w:rsidR="002C3EA2" w:rsidRPr="008A33CF" w:rsidRDefault="002C3EA2" w:rsidP="00887003">
      <w:pPr>
        <w:spacing w:after="0" w:line="240" w:lineRule="auto"/>
        <w:rPr>
          <w:rFonts w:ascii="Arial" w:eastAsia="Times New Roman" w:hAnsi="Arial"/>
          <w:color w:val="000000" w:themeColor="text1"/>
          <w:lang w:val="en-GB"/>
        </w:rPr>
      </w:pPr>
      <w:r w:rsidRPr="008A33CF">
        <w:rPr>
          <w:rFonts w:ascii="Arial" w:eastAsia="Times New Roman" w:hAnsi="Arial"/>
          <w:color w:val="000000" w:themeColor="text1"/>
          <w:lang w:val="en-GB"/>
        </w:rPr>
        <w:t xml:space="preserve">In the short to medium term at least, the </w:t>
      </w:r>
      <w:r w:rsidR="0043172C">
        <w:rPr>
          <w:rFonts w:ascii="Arial" w:eastAsia="Times New Roman" w:hAnsi="Arial"/>
          <w:color w:val="000000" w:themeColor="text1"/>
          <w:lang w:val="en-GB"/>
        </w:rPr>
        <w:t>FIXED-line</w:t>
      </w:r>
      <w:r w:rsidRPr="008A33CF">
        <w:rPr>
          <w:rFonts w:ascii="Arial" w:eastAsia="Times New Roman" w:hAnsi="Arial"/>
          <w:color w:val="000000" w:themeColor="text1"/>
          <w:lang w:val="en-GB"/>
        </w:rPr>
        <w:t xml:space="preserve"> measure can be seen as the more fundamental measure </w:t>
      </w:r>
      <w:r w:rsidR="00957FED" w:rsidRPr="008A33CF">
        <w:rPr>
          <w:rFonts w:ascii="Arial" w:eastAsia="Times New Roman" w:hAnsi="Arial"/>
          <w:color w:val="000000" w:themeColor="text1"/>
          <w:lang w:val="en-GB"/>
        </w:rPr>
        <w:t xml:space="preserve">for assessing trends over time </w:t>
      </w:r>
      <w:r w:rsidRPr="008A33CF">
        <w:rPr>
          <w:rFonts w:ascii="Arial" w:eastAsia="Times New Roman" w:hAnsi="Arial"/>
          <w:color w:val="000000" w:themeColor="text1"/>
          <w:lang w:val="en-GB"/>
        </w:rPr>
        <w:t>in the sense that it reveals whether the incomes of low-income households are rising or falling in real terms. Whatever is happening to the incomes of the ‘non-poor’,</w:t>
      </w:r>
      <w:r w:rsidR="00D623D0" w:rsidRPr="008A33CF">
        <w:rPr>
          <w:rFonts w:ascii="Arial" w:eastAsia="Times New Roman" w:hAnsi="Arial"/>
          <w:color w:val="000000" w:themeColor="text1"/>
          <w:lang w:val="en-GB"/>
        </w:rPr>
        <w:t xml:space="preserve"> </w:t>
      </w:r>
      <w:r w:rsidRPr="008A33CF">
        <w:rPr>
          <w:rFonts w:ascii="Arial" w:eastAsia="Times New Roman" w:hAnsi="Arial"/>
          <w:color w:val="000000" w:themeColor="text1"/>
          <w:lang w:val="en-GB"/>
        </w:rPr>
        <w:t xml:space="preserve">if more and more people end up falling below a </w:t>
      </w:r>
      <w:r w:rsidR="0043172C">
        <w:rPr>
          <w:rFonts w:ascii="Arial" w:eastAsia="Times New Roman" w:hAnsi="Arial"/>
          <w:color w:val="000000" w:themeColor="text1"/>
          <w:lang w:val="en-GB"/>
        </w:rPr>
        <w:t>FIXED</w:t>
      </w:r>
      <w:r w:rsidRPr="008A33CF">
        <w:rPr>
          <w:rFonts w:ascii="Arial" w:eastAsia="Times New Roman" w:hAnsi="Arial"/>
          <w:color w:val="000000" w:themeColor="text1"/>
          <w:lang w:val="en-GB"/>
        </w:rPr>
        <w:t xml:space="preserve"> threshold</w:t>
      </w:r>
      <w:r w:rsidR="00A62632" w:rsidRPr="008A33CF">
        <w:rPr>
          <w:rFonts w:ascii="Arial" w:eastAsia="Times New Roman" w:hAnsi="Arial"/>
          <w:color w:val="000000" w:themeColor="text1"/>
          <w:lang w:val="en-GB"/>
        </w:rPr>
        <w:t xml:space="preserve"> (and therefore experienc</w:t>
      </w:r>
      <w:r w:rsidR="004C6D3E" w:rsidRPr="008A33CF">
        <w:rPr>
          <w:rFonts w:ascii="Arial" w:eastAsia="Times New Roman" w:hAnsi="Arial"/>
          <w:color w:val="000000" w:themeColor="text1"/>
          <w:lang w:val="en-GB"/>
        </w:rPr>
        <w:t>ing</w:t>
      </w:r>
      <w:r w:rsidR="00A62632" w:rsidRPr="008A33CF">
        <w:rPr>
          <w:rFonts w:ascii="Arial" w:eastAsia="Times New Roman" w:hAnsi="Arial"/>
          <w:color w:val="000000" w:themeColor="text1"/>
          <w:lang w:val="en-GB"/>
        </w:rPr>
        <w:t xml:space="preserve"> greater difficulty ‘making ends meet’</w:t>
      </w:r>
      <w:r w:rsidR="0053699D" w:rsidRPr="008A33CF">
        <w:rPr>
          <w:rFonts w:ascii="Arial" w:eastAsia="Times New Roman" w:hAnsi="Arial"/>
          <w:color w:val="000000" w:themeColor="text1"/>
          <w:lang w:val="en-GB"/>
        </w:rPr>
        <w:t xml:space="preserve"> for basics</w:t>
      </w:r>
      <w:r w:rsidR="00A62632" w:rsidRPr="008A33CF">
        <w:rPr>
          <w:rFonts w:ascii="Arial" w:eastAsia="Times New Roman" w:hAnsi="Arial"/>
          <w:color w:val="000000" w:themeColor="text1"/>
          <w:lang w:val="en-GB"/>
        </w:rPr>
        <w:t>)</w:t>
      </w:r>
      <w:r w:rsidRPr="008A33CF">
        <w:rPr>
          <w:rFonts w:ascii="Arial" w:eastAsia="Times New Roman" w:hAnsi="Arial"/>
          <w:color w:val="000000" w:themeColor="text1"/>
          <w:lang w:val="en-GB"/>
        </w:rPr>
        <w:t xml:space="preserve">, </w:t>
      </w:r>
      <w:r w:rsidR="00A62632" w:rsidRPr="008A33CF">
        <w:rPr>
          <w:rFonts w:ascii="Arial" w:eastAsia="Times New Roman" w:hAnsi="Arial"/>
          <w:color w:val="000000" w:themeColor="text1"/>
          <w:lang w:val="en-GB"/>
        </w:rPr>
        <w:t xml:space="preserve">then </w:t>
      </w:r>
      <w:r w:rsidRPr="008A33CF">
        <w:rPr>
          <w:rFonts w:ascii="Arial" w:eastAsia="Times New Roman" w:hAnsi="Arial"/>
          <w:color w:val="000000" w:themeColor="text1"/>
          <w:lang w:val="en-GB"/>
        </w:rPr>
        <w:t xml:space="preserve">in the population at large there is likely to be </w:t>
      </w:r>
      <w:r w:rsidR="00CF2651" w:rsidRPr="008A33CF">
        <w:rPr>
          <w:rFonts w:ascii="Arial" w:eastAsia="Times New Roman" w:hAnsi="Arial"/>
          <w:color w:val="000000" w:themeColor="text1"/>
          <w:lang w:val="en-GB"/>
        </w:rPr>
        <w:t xml:space="preserve">growing </w:t>
      </w:r>
      <w:r w:rsidRPr="008A33CF">
        <w:rPr>
          <w:rFonts w:ascii="Arial" w:eastAsia="Times New Roman" w:hAnsi="Arial"/>
          <w:color w:val="000000" w:themeColor="text1"/>
          <w:lang w:val="en-GB"/>
        </w:rPr>
        <w:t>concern about increasing poverty.</w:t>
      </w:r>
      <w:r w:rsidR="00D07E63" w:rsidRPr="008A33CF">
        <w:rPr>
          <w:rStyle w:val="FootnoteReference"/>
          <w:rFonts w:ascii="Arial" w:eastAsia="Times New Roman" w:hAnsi="Arial"/>
          <w:color w:val="000000" w:themeColor="text1"/>
          <w:lang w:val="en-GB"/>
        </w:rPr>
        <w:footnoteReference w:id="29"/>
      </w:r>
      <w:r w:rsidR="00D07E63" w:rsidRPr="008A33CF">
        <w:rPr>
          <w:rFonts w:ascii="Arial" w:eastAsia="Times New Roman" w:hAnsi="Arial"/>
          <w:color w:val="000000" w:themeColor="text1"/>
          <w:lang w:val="en-GB"/>
        </w:rPr>
        <w:t xml:space="preserve"> A </w:t>
      </w:r>
      <w:r w:rsidR="0043172C">
        <w:rPr>
          <w:rFonts w:ascii="Arial" w:eastAsia="Times New Roman" w:hAnsi="Arial"/>
          <w:color w:val="000000" w:themeColor="text1"/>
          <w:lang w:val="en-GB"/>
        </w:rPr>
        <w:t>FIXED-line</w:t>
      </w:r>
      <w:r w:rsidR="00D07E63" w:rsidRPr="008A33CF">
        <w:rPr>
          <w:rFonts w:ascii="Arial" w:eastAsia="Times New Roman" w:hAnsi="Arial"/>
          <w:color w:val="000000" w:themeColor="text1"/>
          <w:lang w:val="en-GB"/>
        </w:rPr>
        <w:t xml:space="preserve"> measure can provide an unambiguous warning of a serious issue to be addressed.</w:t>
      </w:r>
    </w:p>
    <w:p w14:paraId="02E641ED" w14:textId="77777777" w:rsidR="002C3EA2" w:rsidRPr="008A33CF" w:rsidRDefault="002C3EA2" w:rsidP="00887003">
      <w:pPr>
        <w:spacing w:after="0" w:line="240" w:lineRule="auto"/>
        <w:rPr>
          <w:rFonts w:ascii="Arial" w:eastAsia="Times New Roman" w:hAnsi="Arial"/>
          <w:color w:val="000000" w:themeColor="text1"/>
          <w:lang w:val="en-GB"/>
        </w:rPr>
      </w:pPr>
    </w:p>
    <w:p w14:paraId="30031C33" w14:textId="736B2CBF" w:rsidR="002E4DD6" w:rsidRDefault="00BE06E0" w:rsidP="00887003">
      <w:pPr>
        <w:spacing w:after="0" w:line="240" w:lineRule="auto"/>
        <w:rPr>
          <w:rFonts w:ascii="Arial" w:eastAsia="Times New Roman" w:hAnsi="Arial"/>
          <w:color w:val="000000" w:themeColor="text1"/>
          <w:lang w:val="en-GB"/>
        </w:rPr>
      </w:pPr>
      <w:r w:rsidRPr="008A33CF">
        <w:rPr>
          <w:rFonts w:ascii="Arial" w:eastAsia="Times New Roman" w:hAnsi="Arial"/>
          <w:color w:val="000000" w:themeColor="text1"/>
          <w:lang w:val="en-GB"/>
        </w:rPr>
        <w:t xml:space="preserve">The </w:t>
      </w:r>
      <w:r w:rsidR="00D623D0" w:rsidRPr="008A33CF">
        <w:rPr>
          <w:rFonts w:ascii="Arial" w:eastAsia="Times New Roman" w:hAnsi="Arial"/>
          <w:color w:val="000000" w:themeColor="text1"/>
          <w:lang w:val="en-GB"/>
        </w:rPr>
        <w:t>fully relative (REL)</w:t>
      </w:r>
      <w:r w:rsidRPr="008A33CF">
        <w:rPr>
          <w:rFonts w:ascii="Arial" w:eastAsia="Times New Roman" w:hAnsi="Arial"/>
          <w:color w:val="000000" w:themeColor="text1"/>
          <w:lang w:val="en-GB"/>
        </w:rPr>
        <w:t xml:space="preserve"> measures have value to</w:t>
      </w:r>
      <w:r w:rsidR="00D07E63" w:rsidRPr="008A33CF">
        <w:rPr>
          <w:rFonts w:ascii="Arial" w:eastAsia="Times New Roman" w:hAnsi="Arial"/>
          <w:color w:val="000000" w:themeColor="text1"/>
          <w:lang w:val="en-GB"/>
        </w:rPr>
        <w:t>o</w:t>
      </w:r>
      <w:r w:rsidRPr="008A33CF">
        <w:rPr>
          <w:rFonts w:ascii="Arial" w:eastAsia="Times New Roman" w:hAnsi="Arial"/>
          <w:color w:val="000000" w:themeColor="text1"/>
          <w:lang w:val="en-GB"/>
        </w:rPr>
        <w:t xml:space="preserve">, especially </w:t>
      </w:r>
      <w:r w:rsidR="004F45BA" w:rsidRPr="008A33CF">
        <w:rPr>
          <w:rFonts w:ascii="Arial" w:eastAsia="Times New Roman" w:hAnsi="Arial"/>
          <w:color w:val="000000" w:themeColor="text1"/>
          <w:lang w:val="en-GB"/>
        </w:rPr>
        <w:t>i</w:t>
      </w:r>
      <w:r w:rsidR="002C3EA2" w:rsidRPr="008A33CF">
        <w:rPr>
          <w:rFonts w:ascii="Arial" w:eastAsia="Times New Roman" w:hAnsi="Arial"/>
          <w:color w:val="000000" w:themeColor="text1"/>
          <w:lang w:val="en-GB"/>
        </w:rPr>
        <w:t>n the medium to longer</w:t>
      </w:r>
      <w:r w:rsidR="00D623D0" w:rsidRPr="008A33CF">
        <w:rPr>
          <w:rFonts w:ascii="Arial" w:eastAsia="Times New Roman" w:hAnsi="Arial"/>
          <w:color w:val="000000" w:themeColor="text1"/>
          <w:lang w:val="en-GB"/>
        </w:rPr>
        <w:t xml:space="preserve"> </w:t>
      </w:r>
      <w:r w:rsidR="002C3EA2" w:rsidRPr="008A33CF">
        <w:rPr>
          <w:rFonts w:ascii="Arial" w:eastAsia="Times New Roman" w:hAnsi="Arial"/>
          <w:color w:val="000000" w:themeColor="text1"/>
          <w:lang w:val="en-GB"/>
        </w:rPr>
        <w:t>term</w:t>
      </w:r>
      <w:r w:rsidRPr="008A33CF">
        <w:rPr>
          <w:rFonts w:ascii="Arial" w:eastAsia="Times New Roman" w:hAnsi="Arial"/>
          <w:color w:val="000000" w:themeColor="text1"/>
          <w:lang w:val="en-GB"/>
        </w:rPr>
        <w:t>.</w:t>
      </w:r>
      <w:r w:rsidR="002E4DD6" w:rsidRPr="008A33CF">
        <w:rPr>
          <w:rFonts w:ascii="Arial" w:eastAsia="Times New Roman" w:hAnsi="Arial"/>
          <w:color w:val="000000" w:themeColor="text1"/>
          <w:lang w:val="en-GB"/>
        </w:rPr>
        <w:t xml:space="preserve"> If low incomes and middle incomes move </w:t>
      </w:r>
      <w:r w:rsidR="00D07E63" w:rsidRPr="008A33CF">
        <w:rPr>
          <w:rFonts w:ascii="Arial" w:eastAsia="Times New Roman" w:hAnsi="Arial"/>
          <w:color w:val="000000" w:themeColor="text1"/>
          <w:lang w:val="en-GB"/>
        </w:rPr>
        <w:t>further</w:t>
      </w:r>
      <w:r w:rsidR="002E4DD6" w:rsidRPr="008A33CF">
        <w:rPr>
          <w:rFonts w:ascii="Arial" w:eastAsia="Times New Roman" w:hAnsi="Arial"/>
          <w:color w:val="000000" w:themeColor="text1"/>
          <w:lang w:val="en-GB"/>
        </w:rPr>
        <w:t xml:space="preserve"> apart, even if the lower incomes maintain their purchasing power</w:t>
      </w:r>
      <w:r w:rsidR="00063455" w:rsidRPr="008A33CF">
        <w:rPr>
          <w:rFonts w:ascii="Arial" w:eastAsia="Times New Roman" w:hAnsi="Arial"/>
          <w:color w:val="000000" w:themeColor="text1"/>
          <w:lang w:val="en-GB"/>
        </w:rPr>
        <w:t xml:space="preserve"> in real </w:t>
      </w:r>
      <w:r w:rsidR="004F45BA" w:rsidRPr="008A33CF">
        <w:rPr>
          <w:rFonts w:ascii="Arial" w:eastAsia="Times New Roman" w:hAnsi="Arial"/>
          <w:color w:val="000000" w:themeColor="text1"/>
          <w:lang w:val="en-GB"/>
        </w:rPr>
        <w:t>inflation-</w:t>
      </w:r>
      <w:r w:rsidR="00063455" w:rsidRPr="008A33CF">
        <w:rPr>
          <w:rFonts w:ascii="Arial" w:eastAsia="Times New Roman" w:hAnsi="Arial"/>
          <w:color w:val="000000" w:themeColor="text1"/>
          <w:lang w:val="en-GB"/>
        </w:rPr>
        <w:t>adjusted terms</w:t>
      </w:r>
      <w:r w:rsidR="002E4DD6" w:rsidRPr="008A33CF">
        <w:rPr>
          <w:rFonts w:ascii="Arial" w:eastAsia="Times New Roman" w:hAnsi="Arial"/>
          <w:color w:val="000000" w:themeColor="text1"/>
          <w:lang w:val="en-GB"/>
        </w:rPr>
        <w:t xml:space="preserve">, then those in low-income households </w:t>
      </w:r>
      <w:r w:rsidR="00D07E63" w:rsidRPr="008A33CF">
        <w:rPr>
          <w:rFonts w:ascii="Arial" w:eastAsia="Times New Roman" w:hAnsi="Arial"/>
          <w:color w:val="000000" w:themeColor="text1"/>
          <w:lang w:val="en-GB"/>
        </w:rPr>
        <w:t>become</w:t>
      </w:r>
      <w:r w:rsidR="002E4DD6" w:rsidRPr="008A33CF">
        <w:rPr>
          <w:rFonts w:ascii="Arial" w:eastAsia="Times New Roman" w:hAnsi="Arial"/>
          <w:color w:val="000000" w:themeColor="text1"/>
          <w:lang w:val="en-GB"/>
        </w:rPr>
        <w:t xml:space="preserve"> less able to participate </w:t>
      </w:r>
      <w:r w:rsidR="002E4DD6" w:rsidRPr="008A33CF">
        <w:rPr>
          <w:rFonts w:ascii="Arial" w:hAnsi="Arial"/>
          <w:color w:val="000000" w:themeColor="text1"/>
        </w:rPr>
        <w:t>in the ordinary living patterns and activities of their community</w:t>
      </w:r>
      <w:r w:rsidR="002E4DD6" w:rsidRPr="008A33CF">
        <w:rPr>
          <w:rFonts w:ascii="Arial" w:eastAsia="Times New Roman" w:hAnsi="Arial"/>
          <w:color w:val="000000" w:themeColor="text1"/>
          <w:lang w:val="en-GB"/>
        </w:rPr>
        <w:t>. This is an issue not just for ‘social cohesion’</w:t>
      </w:r>
      <w:r w:rsidR="00063455" w:rsidRPr="008A33CF">
        <w:rPr>
          <w:rFonts w:ascii="Arial" w:eastAsia="Times New Roman" w:hAnsi="Arial"/>
          <w:color w:val="000000" w:themeColor="text1"/>
          <w:lang w:val="en-GB"/>
        </w:rPr>
        <w:t xml:space="preserve"> and inequality in the lower half of the income distribution,</w:t>
      </w:r>
      <w:r w:rsidR="002E4DD6" w:rsidRPr="008A33CF">
        <w:rPr>
          <w:rFonts w:ascii="Arial" w:eastAsia="Times New Roman" w:hAnsi="Arial"/>
          <w:color w:val="000000" w:themeColor="text1"/>
          <w:lang w:val="en-GB"/>
        </w:rPr>
        <w:t xml:space="preserve"> but also for poverty measurement itself</w:t>
      </w:r>
      <w:r w:rsidR="00063455" w:rsidRPr="008A33CF">
        <w:rPr>
          <w:rFonts w:ascii="Arial" w:eastAsia="Times New Roman" w:hAnsi="Arial"/>
          <w:color w:val="000000" w:themeColor="text1"/>
          <w:lang w:val="en-GB"/>
        </w:rPr>
        <w:t xml:space="preserve"> given the core conceptualisation used in the richer countries and discussed above.</w:t>
      </w:r>
      <w:r w:rsidR="00D623D0" w:rsidRPr="008A33CF">
        <w:rPr>
          <w:rFonts w:ascii="Arial" w:eastAsia="Times New Roman" w:hAnsi="Arial"/>
          <w:color w:val="000000" w:themeColor="text1"/>
          <w:lang w:val="en-GB"/>
        </w:rPr>
        <w:t xml:space="preserve"> </w:t>
      </w:r>
      <w:r w:rsidR="00BF1C4B" w:rsidRPr="008A33CF">
        <w:rPr>
          <w:rFonts w:ascii="Arial" w:eastAsia="Times New Roman" w:hAnsi="Arial"/>
          <w:color w:val="000000" w:themeColor="text1"/>
          <w:lang w:val="en-GB"/>
        </w:rPr>
        <w:t xml:space="preserve">The </w:t>
      </w:r>
      <w:r w:rsidR="00BF1C4B">
        <w:rPr>
          <w:rFonts w:ascii="Arial" w:eastAsia="Times New Roman" w:hAnsi="Arial"/>
          <w:color w:val="000000" w:themeColor="text1"/>
          <w:lang w:val="en-GB"/>
        </w:rPr>
        <w:t xml:space="preserve">REL </w:t>
      </w:r>
      <w:r w:rsidR="00BF1C4B" w:rsidRPr="008A33CF">
        <w:rPr>
          <w:rFonts w:ascii="Arial" w:eastAsia="Times New Roman" w:hAnsi="Arial"/>
          <w:color w:val="000000" w:themeColor="text1"/>
          <w:lang w:val="en-GB"/>
        </w:rPr>
        <w:t>trends therefore need to be carefully monitored.</w:t>
      </w:r>
    </w:p>
    <w:p w14:paraId="727C5499" w14:textId="77777777" w:rsidR="009730AA" w:rsidRPr="008A33CF" w:rsidRDefault="009730AA" w:rsidP="00887003">
      <w:pPr>
        <w:tabs>
          <w:tab w:val="left" w:pos="8222"/>
        </w:tabs>
        <w:spacing w:after="0" w:line="240" w:lineRule="auto"/>
        <w:rPr>
          <w:rFonts w:ascii="Arial" w:hAnsi="Arial"/>
          <w:b/>
          <w:bCs/>
          <w:color w:val="000000" w:themeColor="text1"/>
          <w:sz w:val="24"/>
          <w:szCs w:val="24"/>
        </w:rPr>
      </w:pPr>
    </w:p>
    <w:p w14:paraId="1AE12719" w14:textId="5AAF6EF4" w:rsidR="00DB28BF" w:rsidRPr="00667E7D" w:rsidRDefault="00DB28BF" w:rsidP="00667E7D">
      <w:pPr>
        <w:tabs>
          <w:tab w:val="left" w:pos="8222"/>
        </w:tabs>
        <w:spacing w:after="0" w:line="240" w:lineRule="auto"/>
        <w:rPr>
          <w:rFonts w:ascii="Arial" w:hAnsi="Arial"/>
          <w:b/>
          <w:bCs/>
          <w:color w:val="000000" w:themeColor="text1"/>
          <w:sz w:val="24"/>
          <w:szCs w:val="24"/>
        </w:rPr>
      </w:pPr>
      <w:r w:rsidRPr="008A33CF">
        <w:rPr>
          <w:rFonts w:ascii="Arial" w:hAnsi="Arial"/>
          <w:b/>
          <w:bCs/>
          <w:color w:val="000000" w:themeColor="text1"/>
          <w:sz w:val="24"/>
          <w:szCs w:val="24"/>
        </w:rPr>
        <w:t>Giving the numbers meaning: the need for a reference point</w:t>
      </w:r>
    </w:p>
    <w:p w14:paraId="20911FB2" w14:textId="77777777" w:rsidR="00634A4E" w:rsidRDefault="00634A4E" w:rsidP="00DB28BF">
      <w:pPr>
        <w:spacing w:after="0" w:line="240" w:lineRule="auto"/>
        <w:rPr>
          <w:rFonts w:ascii="Arial" w:hAnsi="Arial"/>
          <w:color w:val="000000" w:themeColor="text1"/>
        </w:rPr>
      </w:pPr>
    </w:p>
    <w:p w14:paraId="4AA5A1C1" w14:textId="00177FDE" w:rsidR="00DB28BF" w:rsidRPr="008A33CF" w:rsidRDefault="00DB28BF" w:rsidP="00DB28BF">
      <w:pPr>
        <w:spacing w:after="0" w:line="240" w:lineRule="auto"/>
        <w:rPr>
          <w:rFonts w:ascii="Arial" w:hAnsi="Arial"/>
          <w:color w:val="000000" w:themeColor="text1"/>
        </w:rPr>
      </w:pPr>
      <w:r w:rsidRPr="008A33CF">
        <w:rPr>
          <w:rFonts w:ascii="Arial" w:hAnsi="Arial"/>
          <w:color w:val="000000" w:themeColor="text1"/>
        </w:rPr>
        <w:t>Headline child poverty numbers</w:t>
      </w:r>
      <w:r w:rsidR="00AC192A" w:rsidRPr="008A33CF">
        <w:rPr>
          <w:rFonts w:ascii="Arial" w:hAnsi="Arial"/>
          <w:color w:val="000000" w:themeColor="text1"/>
        </w:rPr>
        <w:t xml:space="preserve"> </w:t>
      </w:r>
      <w:r w:rsidRPr="008A33CF">
        <w:rPr>
          <w:rFonts w:ascii="Arial" w:hAnsi="Arial"/>
          <w:color w:val="000000" w:themeColor="text1"/>
        </w:rPr>
        <w:t>have no practical meaning in their own right.</w:t>
      </w:r>
      <w:r w:rsidR="00AC192A" w:rsidRPr="008A33CF">
        <w:rPr>
          <w:rFonts w:ascii="Arial" w:hAnsi="Arial"/>
          <w:color w:val="000000" w:themeColor="text1"/>
        </w:rPr>
        <w:t xml:space="preserve"> They need at the very least to be </w:t>
      </w:r>
      <w:r w:rsidR="00C7712E" w:rsidRPr="008A33CF">
        <w:rPr>
          <w:rFonts w:ascii="Arial" w:hAnsi="Arial"/>
          <w:color w:val="000000" w:themeColor="text1"/>
        </w:rPr>
        <w:t>connected to the measure used to create them.</w:t>
      </w:r>
      <w:r w:rsidRPr="008A33CF">
        <w:rPr>
          <w:rFonts w:ascii="Arial" w:hAnsi="Arial"/>
          <w:color w:val="000000" w:themeColor="text1"/>
        </w:rPr>
        <w:t xml:space="preserve"> Simple assertions </w:t>
      </w:r>
      <w:r w:rsidR="001C025D" w:rsidRPr="008A33CF">
        <w:rPr>
          <w:rFonts w:ascii="Arial" w:hAnsi="Arial"/>
          <w:color w:val="000000" w:themeColor="text1"/>
        </w:rPr>
        <w:t>such as ‘</w:t>
      </w:r>
      <w:r w:rsidRPr="008A33CF">
        <w:rPr>
          <w:rFonts w:ascii="Arial" w:hAnsi="Arial"/>
          <w:color w:val="000000" w:themeColor="text1"/>
        </w:rPr>
        <w:t>there are 80,000 … 150,000 … 250,000 poor children in New Zealand</w:t>
      </w:r>
      <w:r w:rsidR="001C025D" w:rsidRPr="008A33CF">
        <w:rPr>
          <w:rFonts w:ascii="Arial" w:hAnsi="Arial"/>
          <w:color w:val="000000" w:themeColor="text1"/>
        </w:rPr>
        <w:t xml:space="preserve">’ or that ‘there are now 50,000 more or fewer poor children than </w:t>
      </w:r>
      <w:r w:rsidR="008C709A" w:rsidRPr="008A33CF">
        <w:rPr>
          <w:rFonts w:ascii="Arial" w:hAnsi="Arial"/>
          <w:color w:val="000000" w:themeColor="text1"/>
        </w:rPr>
        <w:t>five</w:t>
      </w:r>
      <w:r w:rsidR="001C025D" w:rsidRPr="008A33CF">
        <w:rPr>
          <w:rFonts w:ascii="Arial" w:hAnsi="Arial"/>
          <w:color w:val="000000" w:themeColor="text1"/>
        </w:rPr>
        <w:t xml:space="preserve"> years ago’</w:t>
      </w:r>
      <w:r w:rsidRPr="008A33CF">
        <w:rPr>
          <w:rFonts w:ascii="Arial" w:hAnsi="Arial"/>
          <w:color w:val="000000" w:themeColor="text1"/>
        </w:rPr>
        <w:t xml:space="preserve"> may be useful for advocacy purposes (with the number</w:t>
      </w:r>
      <w:r w:rsidR="00623F90" w:rsidRPr="008A33CF">
        <w:rPr>
          <w:rFonts w:ascii="Arial" w:hAnsi="Arial"/>
          <w:color w:val="000000" w:themeColor="text1"/>
        </w:rPr>
        <w:t xml:space="preserve"> and direction</w:t>
      </w:r>
      <w:r w:rsidRPr="008A33CF">
        <w:rPr>
          <w:rFonts w:ascii="Arial" w:hAnsi="Arial"/>
          <w:color w:val="000000" w:themeColor="text1"/>
        </w:rPr>
        <w:t xml:space="preserve"> chosen depending on what one is advocating), but on their own they have no value for properly assessing the size of any ‘child poverty’ problem, nor for guiding policy or political responses.</w:t>
      </w:r>
      <w:r w:rsidR="004D011F" w:rsidRPr="008A33CF">
        <w:rPr>
          <w:rFonts w:ascii="Arial" w:hAnsi="Arial"/>
          <w:color w:val="000000" w:themeColor="text1"/>
        </w:rPr>
        <w:t xml:space="preserve"> Reference points are essential.</w:t>
      </w:r>
    </w:p>
    <w:p w14:paraId="4F3B4161" w14:textId="77777777" w:rsidR="00DB28BF" w:rsidRPr="008A33CF" w:rsidRDefault="00DB28BF" w:rsidP="00DB28BF">
      <w:pPr>
        <w:spacing w:after="0" w:line="240" w:lineRule="auto"/>
        <w:rPr>
          <w:rFonts w:ascii="Arial" w:hAnsi="Arial"/>
          <w:color w:val="000000" w:themeColor="text1"/>
        </w:rPr>
      </w:pPr>
    </w:p>
    <w:p w14:paraId="780F92BF" w14:textId="715D34DC" w:rsidR="00DB28BF" w:rsidRPr="008A33CF" w:rsidRDefault="00DB28BF" w:rsidP="004D011F">
      <w:pPr>
        <w:spacing w:after="0" w:line="240" w:lineRule="auto"/>
        <w:rPr>
          <w:rFonts w:ascii="Arial" w:hAnsi="Arial"/>
          <w:color w:val="000000" w:themeColor="text1"/>
        </w:rPr>
      </w:pPr>
      <w:r w:rsidRPr="008A33CF">
        <w:rPr>
          <w:rFonts w:ascii="Arial" w:hAnsi="Arial"/>
          <w:color w:val="000000" w:themeColor="text1"/>
        </w:rPr>
        <w:t>MSD’s reports</w:t>
      </w:r>
      <w:r w:rsidR="00A03B8D" w:rsidRPr="008A33CF">
        <w:rPr>
          <w:rFonts w:ascii="Arial" w:hAnsi="Arial"/>
          <w:color w:val="000000" w:themeColor="text1"/>
        </w:rPr>
        <w:t>,</w:t>
      </w:r>
      <w:r w:rsidRPr="008A33CF">
        <w:rPr>
          <w:rFonts w:ascii="Arial" w:hAnsi="Arial"/>
          <w:color w:val="000000" w:themeColor="text1"/>
        </w:rPr>
        <w:t xml:space="preserve"> including this one, provide several means for giving meaning to the poverty numbers</w:t>
      </w:r>
      <w:r w:rsidR="004D011F" w:rsidRPr="008A33CF">
        <w:rPr>
          <w:rFonts w:ascii="Arial" w:hAnsi="Arial"/>
          <w:color w:val="000000" w:themeColor="text1"/>
        </w:rPr>
        <w:t xml:space="preserve">. </w:t>
      </w:r>
      <w:r w:rsidRPr="008A33CF">
        <w:rPr>
          <w:rFonts w:ascii="Arial" w:hAnsi="Arial"/>
          <w:color w:val="000000" w:themeColor="text1"/>
        </w:rPr>
        <w:t xml:space="preserve">Being clear about which measure is being used </w:t>
      </w:r>
      <w:r w:rsidR="008C709A" w:rsidRPr="008A33CF">
        <w:rPr>
          <w:rFonts w:ascii="Arial" w:hAnsi="Arial"/>
          <w:color w:val="000000" w:themeColor="text1"/>
        </w:rPr>
        <w:t xml:space="preserve">for a particular claim </w:t>
      </w:r>
      <w:r w:rsidR="004D011F" w:rsidRPr="008A33CF">
        <w:rPr>
          <w:rFonts w:ascii="Arial" w:hAnsi="Arial"/>
          <w:color w:val="000000" w:themeColor="text1"/>
        </w:rPr>
        <w:t>is a good star</w:t>
      </w:r>
      <w:r w:rsidR="008C709A" w:rsidRPr="008A33CF">
        <w:rPr>
          <w:rFonts w:ascii="Arial" w:hAnsi="Arial"/>
          <w:color w:val="000000" w:themeColor="text1"/>
        </w:rPr>
        <w:t xml:space="preserve">t and </w:t>
      </w:r>
      <w:r w:rsidRPr="008A33CF">
        <w:rPr>
          <w:rFonts w:ascii="Arial" w:hAnsi="Arial"/>
          <w:color w:val="000000" w:themeColor="text1"/>
        </w:rPr>
        <w:t xml:space="preserve">is </w:t>
      </w:r>
      <w:r w:rsidRPr="008A33CF">
        <w:rPr>
          <w:rFonts w:ascii="Arial" w:hAnsi="Arial"/>
          <w:color w:val="000000" w:themeColor="text1"/>
        </w:rPr>
        <w:lastRenderedPageBreak/>
        <w:t>fundamental for clear communication</w:t>
      </w:r>
      <w:r w:rsidR="008C709A" w:rsidRPr="008A33CF">
        <w:rPr>
          <w:rFonts w:ascii="Arial" w:hAnsi="Arial"/>
          <w:color w:val="000000" w:themeColor="text1"/>
        </w:rPr>
        <w:t>, but more is needed.</w:t>
      </w:r>
      <w:r w:rsidR="004D011F" w:rsidRPr="008A33CF">
        <w:rPr>
          <w:rFonts w:ascii="Arial" w:hAnsi="Arial"/>
          <w:color w:val="000000" w:themeColor="text1"/>
        </w:rPr>
        <w:t xml:space="preserve"> Key reference points that can give practical meaning to the numbers include:</w:t>
      </w:r>
    </w:p>
    <w:p w14:paraId="087D961D" w14:textId="0E2D228F" w:rsidR="00DB28BF" w:rsidRPr="008A33CF" w:rsidRDefault="00AF13EB">
      <w:pPr>
        <w:pStyle w:val="ListParagraph"/>
        <w:numPr>
          <w:ilvl w:val="0"/>
          <w:numId w:val="23"/>
        </w:numPr>
        <w:spacing w:before="120" w:after="0" w:line="240" w:lineRule="auto"/>
        <w:ind w:left="714" w:hanging="357"/>
        <w:contextualSpacing w:val="0"/>
        <w:rPr>
          <w:rFonts w:ascii="Arial" w:hAnsi="Arial"/>
          <w:color w:val="000000" w:themeColor="text1"/>
        </w:rPr>
      </w:pPr>
      <w:r w:rsidRPr="008A33CF">
        <w:rPr>
          <w:rFonts w:ascii="Arial" w:hAnsi="Arial"/>
          <w:color w:val="000000" w:themeColor="text1"/>
        </w:rPr>
        <w:t>c</w:t>
      </w:r>
      <w:r w:rsidR="00DB28BF" w:rsidRPr="008A33CF">
        <w:rPr>
          <w:rFonts w:ascii="Arial" w:hAnsi="Arial"/>
          <w:color w:val="000000" w:themeColor="text1"/>
        </w:rPr>
        <w:t>omparing with rates in earlier years:</w:t>
      </w:r>
    </w:p>
    <w:p w14:paraId="54F4793A" w14:textId="233A8165" w:rsidR="00DB28BF" w:rsidRPr="008A33CF" w:rsidRDefault="00DB28BF">
      <w:pPr>
        <w:pStyle w:val="ListParagraph"/>
        <w:numPr>
          <w:ilvl w:val="1"/>
          <w:numId w:val="23"/>
        </w:numPr>
        <w:spacing w:after="0" w:line="240" w:lineRule="auto"/>
        <w:ind w:left="1134" w:hanging="218"/>
        <w:contextualSpacing w:val="0"/>
        <w:rPr>
          <w:rFonts w:ascii="Arial" w:hAnsi="Arial"/>
          <w:color w:val="000000" w:themeColor="text1"/>
        </w:rPr>
      </w:pPr>
      <w:r w:rsidRPr="008A33CF">
        <w:rPr>
          <w:rFonts w:ascii="Arial" w:hAnsi="Arial"/>
          <w:color w:val="000000" w:themeColor="text1"/>
        </w:rPr>
        <w:t>are the rates increasing, decreasing or staying much the same</w:t>
      </w:r>
      <w:r w:rsidR="001C025D" w:rsidRPr="008A33CF">
        <w:rPr>
          <w:rFonts w:ascii="Arial" w:hAnsi="Arial"/>
          <w:color w:val="000000" w:themeColor="text1"/>
        </w:rPr>
        <w:t xml:space="preserve"> on a given measure</w:t>
      </w:r>
      <w:r w:rsidRPr="008A33CF">
        <w:rPr>
          <w:rFonts w:ascii="Arial" w:hAnsi="Arial"/>
          <w:color w:val="000000" w:themeColor="text1"/>
        </w:rPr>
        <w:t>?</w:t>
      </w:r>
    </w:p>
    <w:p w14:paraId="41DB83BB" w14:textId="5D6AF905" w:rsidR="00DB28BF" w:rsidRPr="008A33CF" w:rsidRDefault="00DB28BF">
      <w:pPr>
        <w:pStyle w:val="ListParagraph"/>
        <w:numPr>
          <w:ilvl w:val="1"/>
          <w:numId w:val="23"/>
        </w:numPr>
        <w:spacing w:after="0" w:line="240" w:lineRule="auto"/>
        <w:ind w:left="1134" w:hanging="218"/>
        <w:contextualSpacing w:val="0"/>
        <w:rPr>
          <w:rFonts w:ascii="Arial" w:hAnsi="Arial"/>
          <w:color w:val="000000" w:themeColor="text1"/>
        </w:rPr>
      </w:pPr>
      <w:r w:rsidRPr="008A33CF">
        <w:rPr>
          <w:rFonts w:ascii="Arial" w:hAnsi="Arial"/>
          <w:color w:val="000000" w:themeColor="text1"/>
        </w:rPr>
        <w:t xml:space="preserve">what do the reported trends mean </w:t>
      </w:r>
      <w:r w:rsidR="00FD5ABC" w:rsidRPr="008A33CF">
        <w:rPr>
          <w:rFonts w:ascii="Arial" w:hAnsi="Arial"/>
          <w:color w:val="000000" w:themeColor="text1"/>
        </w:rPr>
        <w:t>on</w:t>
      </w:r>
      <w:r w:rsidRPr="008A33CF">
        <w:rPr>
          <w:rFonts w:ascii="Arial" w:hAnsi="Arial"/>
          <w:color w:val="000000" w:themeColor="text1"/>
        </w:rPr>
        <w:t xml:space="preserve"> the different measures?</w:t>
      </w:r>
    </w:p>
    <w:p w14:paraId="52486300" w14:textId="788240FE" w:rsidR="004D011F" w:rsidRPr="008A33CF" w:rsidRDefault="004D011F">
      <w:pPr>
        <w:pStyle w:val="ListParagraph"/>
        <w:numPr>
          <w:ilvl w:val="1"/>
          <w:numId w:val="23"/>
        </w:numPr>
        <w:spacing w:after="0" w:line="240" w:lineRule="auto"/>
        <w:ind w:left="1134" w:hanging="218"/>
        <w:contextualSpacing w:val="0"/>
        <w:rPr>
          <w:rFonts w:ascii="Arial" w:hAnsi="Arial"/>
          <w:color w:val="000000" w:themeColor="text1"/>
        </w:rPr>
      </w:pPr>
      <w:r w:rsidRPr="008A33CF">
        <w:rPr>
          <w:rFonts w:ascii="Arial" w:hAnsi="Arial"/>
          <w:color w:val="000000" w:themeColor="text1"/>
        </w:rPr>
        <w:t xml:space="preserve">do the rates for those in deeper poverty change in much the same way as for those in less severe poverty? </w:t>
      </w:r>
    </w:p>
    <w:p w14:paraId="1D5978B9" w14:textId="20A8DC9A" w:rsidR="00DB28BF" w:rsidRPr="008A33CF" w:rsidRDefault="00AF13EB">
      <w:pPr>
        <w:pStyle w:val="ListParagraph"/>
        <w:numPr>
          <w:ilvl w:val="0"/>
          <w:numId w:val="23"/>
        </w:numPr>
        <w:spacing w:before="120" w:after="0" w:line="240" w:lineRule="auto"/>
        <w:ind w:left="714" w:hanging="357"/>
        <w:contextualSpacing w:val="0"/>
        <w:rPr>
          <w:rFonts w:ascii="Arial" w:hAnsi="Arial"/>
          <w:color w:val="000000" w:themeColor="text1"/>
        </w:rPr>
      </w:pPr>
      <w:r w:rsidRPr="008A33CF">
        <w:rPr>
          <w:rFonts w:ascii="Arial" w:hAnsi="Arial"/>
          <w:color w:val="000000" w:themeColor="text1"/>
        </w:rPr>
        <w:t>c</w:t>
      </w:r>
      <w:r w:rsidR="00DB28BF" w:rsidRPr="008A33CF">
        <w:rPr>
          <w:rFonts w:ascii="Arial" w:hAnsi="Arial"/>
          <w:color w:val="000000" w:themeColor="text1"/>
        </w:rPr>
        <w:t xml:space="preserve">omparing rates </w:t>
      </w:r>
      <w:r w:rsidR="004D011F" w:rsidRPr="008A33CF">
        <w:rPr>
          <w:rFonts w:ascii="Arial" w:hAnsi="Arial"/>
          <w:color w:val="000000" w:themeColor="text1"/>
        </w:rPr>
        <w:t>with those for</w:t>
      </w:r>
      <w:r w:rsidR="00DB28BF" w:rsidRPr="008A33CF">
        <w:rPr>
          <w:rFonts w:ascii="Arial" w:hAnsi="Arial"/>
          <w:color w:val="000000" w:themeColor="text1"/>
        </w:rPr>
        <w:t xml:space="preserve"> other population groups using the same measure(s)</w:t>
      </w:r>
    </w:p>
    <w:p w14:paraId="0C79183E" w14:textId="3B8A0E63" w:rsidR="00DB28BF" w:rsidRPr="008A33CF" w:rsidRDefault="00AF13EB">
      <w:pPr>
        <w:pStyle w:val="ListParagraph"/>
        <w:numPr>
          <w:ilvl w:val="0"/>
          <w:numId w:val="23"/>
        </w:numPr>
        <w:spacing w:before="120" w:after="0" w:line="240" w:lineRule="auto"/>
        <w:ind w:left="714" w:hanging="357"/>
        <w:contextualSpacing w:val="0"/>
        <w:rPr>
          <w:rFonts w:ascii="Arial" w:hAnsi="Arial"/>
          <w:color w:val="000000" w:themeColor="text1"/>
        </w:rPr>
      </w:pPr>
      <w:r w:rsidRPr="008A33CF">
        <w:rPr>
          <w:rFonts w:ascii="Arial" w:hAnsi="Arial"/>
          <w:color w:val="000000" w:themeColor="text1"/>
        </w:rPr>
        <w:t>c</w:t>
      </w:r>
      <w:r w:rsidR="00DB28BF" w:rsidRPr="008A33CF">
        <w:rPr>
          <w:rFonts w:ascii="Arial" w:hAnsi="Arial"/>
          <w:color w:val="000000" w:themeColor="text1"/>
        </w:rPr>
        <w:t>omparing with rates in other countries when using measures that are valid for international comparisons</w:t>
      </w:r>
    </w:p>
    <w:p w14:paraId="1CA3BD7F" w14:textId="0CFC064A" w:rsidR="00DB28BF" w:rsidRPr="008A33CF" w:rsidRDefault="00AF13EB">
      <w:pPr>
        <w:pStyle w:val="ListParagraph"/>
        <w:numPr>
          <w:ilvl w:val="0"/>
          <w:numId w:val="23"/>
        </w:numPr>
        <w:spacing w:before="120" w:after="0" w:line="240" w:lineRule="auto"/>
        <w:ind w:left="714" w:hanging="357"/>
        <w:contextualSpacing w:val="0"/>
        <w:rPr>
          <w:rFonts w:ascii="Arial" w:hAnsi="Arial"/>
          <w:color w:val="000000" w:themeColor="text1"/>
        </w:rPr>
      </w:pPr>
      <w:r w:rsidRPr="008A33CF">
        <w:rPr>
          <w:rFonts w:ascii="Arial" w:hAnsi="Arial"/>
          <w:color w:val="000000" w:themeColor="text1"/>
        </w:rPr>
        <w:t>d</w:t>
      </w:r>
      <w:r w:rsidR="00DB28BF" w:rsidRPr="008A33CF">
        <w:rPr>
          <w:rFonts w:ascii="Arial" w:hAnsi="Arial"/>
          <w:color w:val="000000" w:themeColor="text1"/>
        </w:rPr>
        <w:t>escribing what poverty looks like in practical day-to-day terms for the different measures, using material deprivation items for which there is a broad consensus that they are ‘essentials’</w:t>
      </w:r>
    </w:p>
    <w:p w14:paraId="50A962BD" w14:textId="647C3B4E" w:rsidR="00DB28BF" w:rsidRPr="008A33CF" w:rsidRDefault="00AF13EB">
      <w:pPr>
        <w:pStyle w:val="ListParagraph"/>
        <w:numPr>
          <w:ilvl w:val="0"/>
          <w:numId w:val="23"/>
        </w:numPr>
        <w:spacing w:before="120" w:after="0" w:line="240" w:lineRule="auto"/>
        <w:ind w:left="714" w:hanging="357"/>
        <w:contextualSpacing w:val="0"/>
        <w:rPr>
          <w:rFonts w:ascii="Arial" w:hAnsi="Arial"/>
          <w:color w:val="000000" w:themeColor="text1"/>
        </w:rPr>
      </w:pPr>
      <w:r w:rsidRPr="008A33CF">
        <w:rPr>
          <w:rFonts w:ascii="Arial" w:hAnsi="Arial"/>
          <w:color w:val="000000" w:themeColor="text1"/>
        </w:rPr>
        <w:t>e</w:t>
      </w:r>
      <w:r w:rsidR="00DB28BF" w:rsidRPr="008A33CF">
        <w:rPr>
          <w:rFonts w:ascii="Arial" w:hAnsi="Arial"/>
          <w:color w:val="000000" w:themeColor="text1"/>
        </w:rPr>
        <w:t>xamining and reporting on the relationship between those identified as poor on the different measures (eg material hardship v AHC 50).</w:t>
      </w:r>
    </w:p>
    <w:p w14:paraId="253D81F6" w14:textId="77777777" w:rsidR="00931AA0" w:rsidRPr="008A33CF" w:rsidRDefault="00931AA0" w:rsidP="00931AA0">
      <w:pPr>
        <w:spacing w:after="0" w:line="240" w:lineRule="auto"/>
        <w:rPr>
          <w:rFonts w:ascii="Arial" w:hAnsi="Arial"/>
          <w:b/>
          <w:color w:val="000000" w:themeColor="text1"/>
          <w:szCs w:val="20"/>
        </w:rPr>
      </w:pPr>
    </w:p>
    <w:p w14:paraId="3F9980A9" w14:textId="77777777" w:rsidR="00931AA0" w:rsidRPr="008A33CF" w:rsidRDefault="00931AA0" w:rsidP="00931AA0">
      <w:pPr>
        <w:spacing w:after="0" w:line="240" w:lineRule="auto"/>
        <w:rPr>
          <w:rFonts w:ascii="Arial" w:hAnsi="Arial"/>
          <w:b/>
          <w:color w:val="000000" w:themeColor="text1"/>
          <w:szCs w:val="20"/>
        </w:rPr>
      </w:pPr>
    </w:p>
    <w:p w14:paraId="67C13048" w14:textId="77777777" w:rsidR="00931AA0" w:rsidRPr="008A33CF" w:rsidRDefault="00931AA0" w:rsidP="00931AA0">
      <w:pPr>
        <w:spacing w:after="0" w:line="240" w:lineRule="auto"/>
        <w:rPr>
          <w:rFonts w:ascii="Arial" w:hAnsi="Arial"/>
          <w:b/>
          <w:color w:val="000000" w:themeColor="text1"/>
          <w:szCs w:val="20"/>
        </w:rPr>
      </w:pPr>
    </w:p>
    <w:p w14:paraId="0928F1F7" w14:textId="732B3D23" w:rsidR="007210FE" w:rsidRPr="007210FE" w:rsidRDefault="00931AA0" w:rsidP="00A77136">
      <w:pPr>
        <w:spacing w:after="0" w:line="240" w:lineRule="auto"/>
        <w:rPr>
          <w:rFonts w:ascii="Arial" w:hAnsi="Arial"/>
          <w:bCs/>
          <w:color w:val="000000" w:themeColor="text1"/>
          <w:szCs w:val="20"/>
        </w:rPr>
      </w:pPr>
      <w:r w:rsidRPr="00F62037">
        <w:rPr>
          <w:rFonts w:ascii="Arial" w:hAnsi="Arial"/>
          <w:b/>
          <w:color w:val="000000" w:themeColor="text1"/>
          <w:sz w:val="22"/>
        </w:rPr>
        <w:t>Summing up: the logic used in this report for setting and using defensible thresholds (poverty lines)</w:t>
      </w:r>
      <w:r w:rsidR="00371221" w:rsidRPr="00F62037">
        <w:rPr>
          <w:rFonts w:ascii="Arial" w:hAnsi="Arial"/>
          <w:b/>
          <w:color w:val="000000" w:themeColor="text1"/>
          <w:sz w:val="22"/>
        </w:rPr>
        <w:t xml:space="preserve"> </w:t>
      </w:r>
    </w:p>
    <w:p w14:paraId="0A1380CA" w14:textId="77777777" w:rsidR="00931AA0" w:rsidRPr="008A33CF" w:rsidRDefault="00931AA0">
      <w:pPr>
        <w:pStyle w:val="ListParagraph"/>
        <w:numPr>
          <w:ilvl w:val="0"/>
          <w:numId w:val="37"/>
        </w:numPr>
        <w:spacing w:before="120" w:after="0" w:line="240" w:lineRule="auto"/>
        <w:ind w:left="714" w:hanging="357"/>
        <w:contextualSpacing w:val="0"/>
        <w:rPr>
          <w:rFonts w:ascii="Arial" w:hAnsi="Arial"/>
          <w:bCs/>
          <w:color w:val="000000" w:themeColor="text1"/>
          <w:szCs w:val="20"/>
        </w:rPr>
      </w:pPr>
      <w:r w:rsidRPr="008A33CF">
        <w:rPr>
          <w:rFonts w:ascii="Arial" w:hAnsi="Arial"/>
          <w:bCs/>
          <w:color w:val="000000" w:themeColor="text1"/>
          <w:szCs w:val="20"/>
        </w:rPr>
        <w:t>Narrow the plausible range – this is doable for MH and for AHC low-income measures.</w:t>
      </w:r>
    </w:p>
    <w:p w14:paraId="29406F45" w14:textId="144FF9D6" w:rsidR="00931AA0" w:rsidRPr="008A33CF" w:rsidRDefault="00931AA0">
      <w:pPr>
        <w:pStyle w:val="ListParagraph"/>
        <w:numPr>
          <w:ilvl w:val="0"/>
          <w:numId w:val="37"/>
        </w:numPr>
        <w:spacing w:before="120" w:after="0" w:line="240" w:lineRule="auto"/>
        <w:ind w:left="714" w:hanging="357"/>
        <w:contextualSpacing w:val="0"/>
        <w:rPr>
          <w:rFonts w:ascii="Arial" w:hAnsi="Arial"/>
          <w:bCs/>
          <w:color w:val="000000" w:themeColor="text1"/>
          <w:szCs w:val="20"/>
        </w:rPr>
      </w:pPr>
      <w:r w:rsidRPr="008A33CF">
        <w:rPr>
          <w:rFonts w:ascii="Arial" w:hAnsi="Arial"/>
          <w:bCs/>
          <w:color w:val="000000" w:themeColor="text1"/>
          <w:szCs w:val="20"/>
        </w:rPr>
        <w:t>For each approach, use more than one threshold to monitor trends and levels at different degrees of stringency.</w:t>
      </w:r>
      <w:r w:rsidR="00E062C9" w:rsidRPr="008A33CF">
        <w:rPr>
          <w:rFonts w:ascii="Arial" w:hAnsi="Arial"/>
          <w:bCs/>
          <w:color w:val="000000" w:themeColor="text1"/>
          <w:szCs w:val="20"/>
        </w:rPr>
        <w:t xml:space="preserve"> This recognises that different value judgements draw the line in different places and that poverty exists on a continuum fro</w:t>
      </w:r>
      <w:r w:rsidR="00C7712E" w:rsidRPr="008A33CF">
        <w:rPr>
          <w:rFonts w:ascii="Arial" w:hAnsi="Arial"/>
          <w:bCs/>
          <w:color w:val="000000" w:themeColor="text1"/>
          <w:szCs w:val="20"/>
        </w:rPr>
        <w:t>m</w:t>
      </w:r>
      <w:r w:rsidR="00E062C9" w:rsidRPr="008A33CF">
        <w:rPr>
          <w:rFonts w:ascii="Arial" w:hAnsi="Arial"/>
          <w:bCs/>
          <w:color w:val="000000" w:themeColor="text1"/>
          <w:szCs w:val="20"/>
        </w:rPr>
        <w:t xml:space="preserve"> more to less severe. </w:t>
      </w:r>
      <w:r w:rsidR="00C7712E" w:rsidRPr="008A33CF">
        <w:rPr>
          <w:rFonts w:ascii="Arial" w:hAnsi="Arial"/>
          <w:bCs/>
          <w:color w:val="000000" w:themeColor="text1"/>
          <w:szCs w:val="20"/>
        </w:rPr>
        <w:t>Poverty</w:t>
      </w:r>
      <w:r w:rsidR="00E062C9" w:rsidRPr="008A33CF">
        <w:rPr>
          <w:rFonts w:ascii="Arial" w:hAnsi="Arial"/>
          <w:bCs/>
          <w:color w:val="000000" w:themeColor="text1"/>
          <w:szCs w:val="20"/>
        </w:rPr>
        <w:t xml:space="preserve"> is not </w:t>
      </w:r>
      <w:r w:rsidR="00C7712E" w:rsidRPr="008A33CF">
        <w:rPr>
          <w:rFonts w:ascii="Arial" w:hAnsi="Arial"/>
          <w:bCs/>
          <w:color w:val="000000" w:themeColor="text1"/>
          <w:szCs w:val="20"/>
        </w:rPr>
        <w:t>a simple</w:t>
      </w:r>
      <w:r w:rsidR="00E062C9" w:rsidRPr="008A33CF">
        <w:rPr>
          <w:rFonts w:ascii="Arial" w:hAnsi="Arial"/>
          <w:bCs/>
          <w:color w:val="000000" w:themeColor="text1"/>
          <w:szCs w:val="20"/>
        </w:rPr>
        <w:t xml:space="preserve"> binary notion.</w:t>
      </w:r>
    </w:p>
    <w:p w14:paraId="27F97226" w14:textId="44115D5B" w:rsidR="00931AA0" w:rsidRPr="008A33CF" w:rsidRDefault="00931AA0">
      <w:pPr>
        <w:pStyle w:val="ListParagraph"/>
        <w:numPr>
          <w:ilvl w:val="0"/>
          <w:numId w:val="37"/>
        </w:numPr>
        <w:spacing w:before="120" w:after="0" w:line="240" w:lineRule="auto"/>
        <w:ind w:left="714" w:hanging="357"/>
        <w:contextualSpacing w:val="0"/>
        <w:rPr>
          <w:rFonts w:ascii="Arial" w:hAnsi="Arial"/>
          <w:bCs/>
          <w:color w:val="000000" w:themeColor="text1"/>
          <w:szCs w:val="20"/>
        </w:rPr>
      </w:pPr>
      <w:r w:rsidRPr="008A33CF">
        <w:rPr>
          <w:rFonts w:ascii="Arial" w:hAnsi="Arial"/>
          <w:bCs/>
          <w:color w:val="000000" w:themeColor="text1"/>
          <w:szCs w:val="20"/>
        </w:rPr>
        <w:t>Use reference points to further assist</w:t>
      </w:r>
      <w:r w:rsidR="00215A81" w:rsidRPr="008A33CF">
        <w:rPr>
          <w:rFonts w:ascii="Arial" w:hAnsi="Arial"/>
          <w:bCs/>
          <w:color w:val="000000" w:themeColor="text1"/>
          <w:szCs w:val="20"/>
        </w:rPr>
        <w:t xml:space="preserve"> in giving meaning to the numbers</w:t>
      </w:r>
      <w:r w:rsidRPr="008A33CF">
        <w:rPr>
          <w:rFonts w:ascii="Arial" w:hAnsi="Arial"/>
          <w:bCs/>
          <w:color w:val="000000" w:themeColor="text1"/>
          <w:szCs w:val="20"/>
        </w:rPr>
        <w:t>: international, over time,</w:t>
      </w:r>
      <w:r w:rsidR="00E062C9" w:rsidRPr="008A33CF">
        <w:rPr>
          <w:rFonts w:ascii="Arial" w:hAnsi="Arial"/>
          <w:bCs/>
          <w:color w:val="000000" w:themeColor="text1"/>
          <w:szCs w:val="20"/>
        </w:rPr>
        <w:t xml:space="preserve"> and </w:t>
      </w:r>
      <w:r w:rsidRPr="008A33CF">
        <w:rPr>
          <w:rFonts w:ascii="Arial" w:hAnsi="Arial"/>
          <w:bCs/>
          <w:color w:val="000000" w:themeColor="text1"/>
          <w:szCs w:val="20"/>
        </w:rPr>
        <w:t>sub-group comparisons.</w:t>
      </w:r>
    </w:p>
    <w:p w14:paraId="279CEB9B" w14:textId="77777777" w:rsidR="00931AA0" w:rsidRPr="008A33CF" w:rsidRDefault="00931AA0">
      <w:pPr>
        <w:pStyle w:val="ListParagraph"/>
        <w:numPr>
          <w:ilvl w:val="0"/>
          <w:numId w:val="37"/>
        </w:numPr>
        <w:spacing w:before="120" w:after="0" w:line="240" w:lineRule="auto"/>
        <w:ind w:left="714" w:hanging="357"/>
        <w:contextualSpacing w:val="0"/>
        <w:rPr>
          <w:rFonts w:ascii="Arial" w:hAnsi="Arial"/>
          <w:bCs/>
          <w:color w:val="000000" w:themeColor="text1"/>
          <w:szCs w:val="20"/>
        </w:rPr>
      </w:pPr>
      <w:r w:rsidRPr="008A33CF">
        <w:rPr>
          <w:rFonts w:ascii="Arial" w:hAnsi="Arial"/>
          <w:bCs/>
          <w:color w:val="000000" w:themeColor="text1"/>
          <w:szCs w:val="20"/>
        </w:rPr>
        <w:t>Examine, describe and explain differences in levels and trends for the different measures.</w:t>
      </w:r>
    </w:p>
    <w:p w14:paraId="4A075DF1" w14:textId="5B30539E" w:rsidR="00931AA0" w:rsidRDefault="00931AA0">
      <w:pPr>
        <w:pStyle w:val="ListParagraph"/>
        <w:numPr>
          <w:ilvl w:val="0"/>
          <w:numId w:val="37"/>
        </w:numPr>
        <w:spacing w:before="120" w:after="0" w:line="240" w:lineRule="auto"/>
        <w:ind w:left="714" w:hanging="357"/>
        <w:contextualSpacing w:val="0"/>
        <w:rPr>
          <w:rFonts w:ascii="Arial" w:hAnsi="Arial"/>
          <w:bCs/>
          <w:color w:val="000000" w:themeColor="text1"/>
          <w:szCs w:val="20"/>
        </w:rPr>
      </w:pPr>
      <w:r w:rsidRPr="008A33CF">
        <w:rPr>
          <w:rFonts w:ascii="Arial" w:hAnsi="Arial"/>
          <w:bCs/>
          <w:color w:val="000000" w:themeColor="text1"/>
          <w:szCs w:val="20"/>
        </w:rPr>
        <w:t>Tell a coherent story about levels and trends for MH and low incomes</w:t>
      </w:r>
      <w:r w:rsidR="00E062C9" w:rsidRPr="008A33CF">
        <w:rPr>
          <w:rFonts w:ascii="Arial" w:hAnsi="Arial"/>
          <w:bCs/>
          <w:color w:val="000000" w:themeColor="text1"/>
          <w:szCs w:val="20"/>
        </w:rPr>
        <w:t xml:space="preserve"> using a multi-measure framework</w:t>
      </w:r>
      <w:r w:rsidRPr="008A33CF">
        <w:rPr>
          <w:rFonts w:ascii="Arial" w:hAnsi="Arial"/>
          <w:bCs/>
          <w:color w:val="000000" w:themeColor="text1"/>
          <w:szCs w:val="20"/>
        </w:rPr>
        <w:t>.</w:t>
      </w:r>
    </w:p>
    <w:p w14:paraId="7EEA0325" w14:textId="2020B268" w:rsidR="00A77136" w:rsidRDefault="00A77136" w:rsidP="00A77136">
      <w:pPr>
        <w:pStyle w:val="ListParagraph"/>
        <w:spacing w:before="120" w:after="0" w:line="240" w:lineRule="auto"/>
        <w:ind w:left="714"/>
        <w:contextualSpacing w:val="0"/>
        <w:rPr>
          <w:rFonts w:ascii="Arial" w:hAnsi="Arial"/>
          <w:bCs/>
          <w:color w:val="000000" w:themeColor="text1"/>
          <w:szCs w:val="20"/>
        </w:rPr>
      </w:pPr>
    </w:p>
    <w:p w14:paraId="001E90B6" w14:textId="5ED0F5E8" w:rsidR="00777AB6" w:rsidRPr="00490A33" w:rsidRDefault="00A77136" w:rsidP="00490A33">
      <w:pPr>
        <w:spacing w:before="120" w:after="0" w:line="240" w:lineRule="auto"/>
        <w:rPr>
          <w:rFonts w:ascii="Arial" w:hAnsi="Arial"/>
          <w:bCs/>
          <w:color w:val="000000" w:themeColor="text1"/>
          <w:szCs w:val="20"/>
        </w:rPr>
      </w:pPr>
      <w:r w:rsidRPr="00490A33">
        <w:rPr>
          <w:rFonts w:ascii="Arial" w:hAnsi="Arial"/>
          <w:bCs/>
          <w:color w:val="000000" w:themeColor="text1"/>
          <w:szCs w:val="20"/>
        </w:rPr>
        <w:t xml:space="preserve">Given that we now have legislation </w:t>
      </w:r>
      <w:r w:rsidR="00E33D4F" w:rsidRPr="00490A33">
        <w:rPr>
          <w:rFonts w:ascii="Arial" w:hAnsi="Arial"/>
          <w:bCs/>
          <w:color w:val="000000" w:themeColor="text1"/>
          <w:szCs w:val="20"/>
        </w:rPr>
        <w:t xml:space="preserve">(the CPRA) </w:t>
      </w:r>
      <w:r w:rsidRPr="00490A33">
        <w:rPr>
          <w:rFonts w:ascii="Arial" w:hAnsi="Arial"/>
          <w:bCs/>
          <w:color w:val="000000" w:themeColor="text1"/>
          <w:szCs w:val="20"/>
        </w:rPr>
        <w:t xml:space="preserve">which specifies ten measures of child poverty (three of which are ‘primary’ and must have targets set by the </w:t>
      </w:r>
      <w:r w:rsidR="00490A33" w:rsidRPr="00490A33">
        <w:rPr>
          <w:rFonts w:ascii="Arial" w:hAnsi="Arial"/>
          <w:bCs/>
          <w:color w:val="000000" w:themeColor="text1"/>
          <w:szCs w:val="20"/>
        </w:rPr>
        <w:t>G</w:t>
      </w:r>
      <w:r w:rsidRPr="00490A33">
        <w:rPr>
          <w:rFonts w:ascii="Arial" w:hAnsi="Arial"/>
          <w:bCs/>
          <w:color w:val="000000" w:themeColor="text1"/>
          <w:szCs w:val="20"/>
        </w:rPr>
        <w:t>overnment),</w:t>
      </w:r>
      <w:r w:rsidR="00E33D4F" w:rsidRPr="00490A33">
        <w:rPr>
          <w:rFonts w:ascii="Arial" w:hAnsi="Arial"/>
          <w:bCs/>
          <w:color w:val="000000" w:themeColor="text1"/>
          <w:szCs w:val="20"/>
        </w:rPr>
        <w:t xml:space="preserve"> </w:t>
      </w:r>
      <w:r w:rsidR="00A62520" w:rsidRPr="00490A33">
        <w:rPr>
          <w:rFonts w:ascii="Arial" w:hAnsi="Arial"/>
          <w:bCs/>
          <w:color w:val="000000" w:themeColor="text1"/>
          <w:szCs w:val="20"/>
        </w:rPr>
        <w:t>a</w:t>
      </w:r>
      <w:r w:rsidR="00E33D4F" w:rsidRPr="00490A33">
        <w:rPr>
          <w:rFonts w:ascii="Arial" w:hAnsi="Arial"/>
          <w:bCs/>
          <w:color w:val="000000" w:themeColor="text1"/>
          <w:szCs w:val="20"/>
        </w:rPr>
        <w:t xml:space="preserve"> </w:t>
      </w:r>
      <w:r w:rsidR="00E33D4F" w:rsidRPr="00490A33">
        <w:rPr>
          <w:rFonts w:ascii="Arial" w:hAnsi="Arial"/>
          <w:bCs/>
          <w:i/>
          <w:iCs/>
          <w:color w:val="000000" w:themeColor="text1"/>
          <w:szCs w:val="20"/>
        </w:rPr>
        <w:t>realpolitik</w:t>
      </w:r>
      <w:r w:rsidR="00E33D4F" w:rsidRPr="00490A33">
        <w:rPr>
          <w:rFonts w:ascii="Arial" w:hAnsi="Arial"/>
          <w:bCs/>
          <w:color w:val="000000" w:themeColor="text1"/>
          <w:szCs w:val="20"/>
        </w:rPr>
        <w:t xml:space="preserve"> logic points to using them</w:t>
      </w:r>
      <w:r w:rsidR="00A62520" w:rsidRPr="00490A33">
        <w:rPr>
          <w:rFonts w:ascii="Arial" w:hAnsi="Arial"/>
          <w:bCs/>
          <w:color w:val="000000" w:themeColor="text1"/>
          <w:szCs w:val="20"/>
        </w:rPr>
        <w:t xml:space="preserve"> whatever </w:t>
      </w:r>
      <w:r w:rsidR="00764F4D" w:rsidRPr="00490A33">
        <w:rPr>
          <w:rFonts w:ascii="Arial" w:hAnsi="Arial"/>
          <w:bCs/>
          <w:color w:val="000000" w:themeColor="text1"/>
          <w:szCs w:val="20"/>
        </w:rPr>
        <w:t xml:space="preserve">conclusions the </w:t>
      </w:r>
      <w:r w:rsidR="00A62520" w:rsidRPr="00490A33">
        <w:rPr>
          <w:rFonts w:ascii="Arial" w:hAnsi="Arial"/>
          <w:bCs/>
          <w:color w:val="000000" w:themeColor="text1"/>
          <w:szCs w:val="20"/>
        </w:rPr>
        <w:t>logic above</w:t>
      </w:r>
      <w:r w:rsidR="00764F4D" w:rsidRPr="00490A33">
        <w:rPr>
          <w:rFonts w:ascii="Arial" w:hAnsi="Arial"/>
          <w:bCs/>
          <w:color w:val="000000" w:themeColor="text1"/>
          <w:szCs w:val="20"/>
        </w:rPr>
        <w:t xml:space="preserve"> leads to.</w:t>
      </w:r>
      <w:r w:rsidR="00E33D4F" w:rsidRPr="00490A33">
        <w:rPr>
          <w:rFonts w:ascii="Arial" w:hAnsi="Arial"/>
          <w:bCs/>
          <w:color w:val="000000" w:themeColor="text1"/>
          <w:szCs w:val="20"/>
        </w:rPr>
        <w:t xml:space="preserve"> </w:t>
      </w:r>
      <w:r w:rsidR="00764F4D" w:rsidRPr="00490A33">
        <w:rPr>
          <w:rFonts w:ascii="Arial" w:hAnsi="Arial"/>
          <w:bCs/>
          <w:color w:val="000000" w:themeColor="text1"/>
          <w:szCs w:val="20"/>
        </w:rPr>
        <w:t xml:space="preserve">While there may be differences in the way a story is woven from the findings, </w:t>
      </w:r>
      <w:r w:rsidR="00E33D4F" w:rsidRPr="00490A33">
        <w:rPr>
          <w:rFonts w:ascii="Arial" w:hAnsi="Arial"/>
          <w:bCs/>
          <w:color w:val="000000" w:themeColor="text1"/>
          <w:szCs w:val="20"/>
        </w:rPr>
        <w:t>for the setting of thresholds there is</w:t>
      </w:r>
      <w:r w:rsidR="00764F4D" w:rsidRPr="00490A33">
        <w:rPr>
          <w:rFonts w:ascii="Arial" w:hAnsi="Arial"/>
          <w:bCs/>
          <w:color w:val="000000" w:themeColor="text1"/>
          <w:szCs w:val="20"/>
        </w:rPr>
        <w:t xml:space="preserve"> fortunately</w:t>
      </w:r>
      <w:r w:rsidR="00E33D4F" w:rsidRPr="00490A33">
        <w:rPr>
          <w:rFonts w:ascii="Arial" w:hAnsi="Arial"/>
          <w:bCs/>
          <w:color w:val="000000" w:themeColor="text1"/>
          <w:szCs w:val="20"/>
        </w:rPr>
        <w:t xml:space="preserve"> no conflict between the principles-based approach noted above and what the legislation specifies.</w:t>
      </w:r>
    </w:p>
    <w:p w14:paraId="2FA241F4" w14:textId="77777777" w:rsidR="00777AB6" w:rsidRPr="00777AB6" w:rsidRDefault="00777AB6" w:rsidP="00777AB6">
      <w:pPr>
        <w:pStyle w:val="ListParagraph"/>
        <w:rPr>
          <w:rFonts w:ascii="Arial" w:hAnsi="Arial"/>
          <w:bCs/>
          <w:color w:val="000000" w:themeColor="text1"/>
          <w:szCs w:val="20"/>
        </w:rPr>
      </w:pPr>
    </w:p>
    <w:p w14:paraId="04F6739A" w14:textId="2D0C1A2A" w:rsidR="007D3E3A" w:rsidRDefault="00B65544" w:rsidP="007D3E3A">
      <w:pPr>
        <w:spacing w:after="0" w:line="240" w:lineRule="auto"/>
        <w:rPr>
          <w:rFonts w:ascii="Arial" w:eastAsia="Times New Roman" w:hAnsi="Arial"/>
          <w:b/>
          <w:bCs/>
          <w:color w:val="0D0D0D" w:themeColor="text1" w:themeTint="F2"/>
          <w:sz w:val="24"/>
          <w:szCs w:val="24"/>
          <w:lang w:val="en-GB"/>
        </w:rPr>
      </w:pPr>
      <w:r w:rsidRPr="00B65544">
        <w:rPr>
          <w:rFonts w:ascii="Arial" w:eastAsia="Times New Roman" w:hAnsi="Arial"/>
          <w:b/>
          <w:bCs/>
          <w:color w:val="0D0D0D" w:themeColor="text1" w:themeTint="F2"/>
          <w:sz w:val="24"/>
          <w:szCs w:val="24"/>
          <w:lang w:val="en-GB"/>
        </w:rPr>
        <w:t>Poverty</w:t>
      </w:r>
      <w:r w:rsidR="007D3E3A" w:rsidRPr="00B65544">
        <w:rPr>
          <w:rFonts w:ascii="Arial" w:eastAsia="Times New Roman" w:hAnsi="Arial"/>
          <w:b/>
          <w:bCs/>
          <w:color w:val="0D0D0D" w:themeColor="text1" w:themeTint="F2"/>
          <w:sz w:val="24"/>
          <w:szCs w:val="24"/>
          <w:lang w:val="en-GB"/>
        </w:rPr>
        <w:t xml:space="preserve"> persistence</w:t>
      </w:r>
    </w:p>
    <w:p w14:paraId="0EC7108F" w14:textId="77777777" w:rsidR="00B65544" w:rsidRDefault="00B65544" w:rsidP="007D3E3A">
      <w:pPr>
        <w:spacing w:after="0" w:line="240" w:lineRule="auto"/>
        <w:rPr>
          <w:rFonts w:ascii="Arial" w:eastAsia="Times New Roman" w:hAnsi="Arial"/>
          <w:b/>
          <w:bCs/>
          <w:color w:val="0D0D0D" w:themeColor="text1" w:themeTint="F2"/>
          <w:szCs w:val="20"/>
          <w:lang w:val="en-GB"/>
        </w:rPr>
      </w:pPr>
    </w:p>
    <w:p w14:paraId="01FF8252" w14:textId="7F47F33E" w:rsidR="00567D50" w:rsidRDefault="001F10EE" w:rsidP="007D3E3A">
      <w:pPr>
        <w:spacing w:after="0" w:line="240" w:lineRule="auto"/>
        <w:rPr>
          <w:rFonts w:ascii="Arial" w:eastAsia="Times New Roman" w:hAnsi="Arial"/>
          <w:color w:val="0D0D0D" w:themeColor="text1" w:themeTint="F2"/>
          <w:szCs w:val="20"/>
          <w:lang w:val="en-GB"/>
        </w:rPr>
      </w:pPr>
      <w:r>
        <w:rPr>
          <w:rFonts w:ascii="Arial" w:eastAsia="Times New Roman" w:hAnsi="Arial"/>
          <w:color w:val="0D0D0D" w:themeColor="text1" w:themeTint="F2"/>
          <w:szCs w:val="20"/>
          <w:lang w:val="en-GB"/>
        </w:rPr>
        <w:t xml:space="preserve">The HES and HILS datasets enable reporting on repeat cross-section poverty estimates, using a different sample </w:t>
      </w:r>
      <w:r w:rsidR="00AC6FA4">
        <w:rPr>
          <w:rFonts w:ascii="Arial" w:eastAsia="Times New Roman" w:hAnsi="Arial"/>
          <w:color w:val="0D0D0D" w:themeColor="text1" w:themeTint="F2"/>
          <w:szCs w:val="20"/>
          <w:lang w:val="en-GB"/>
        </w:rPr>
        <w:t xml:space="preserve">of respondents </w:t>
      </w:r>
      <w:r>
        <w:rPr>
          <w:rFonts w:ascii="Arial" w:eastAsia="Times New Roman" w:hAnsi="Arial"/>
          <w:color w:val="0D0D0D" w:themeColor="text1" w:themeTint="F2"/>
          <w:szCs w:val="20"/>
          <w:lang w:val="en-GB"/>
        </w:rPr>
        <w:t>each year. Longitudinal datasets are required to estimate persistent poverty rates – these datasets have information on the same individuals (in their households) over more than one year.</w:t>
      </w:r>
    </w:p>
    <w:p w14:paraId="1CA7831D" w14:textId="77777777" w:rsidR="001F10EE" w:rsidRDefault="001F10EE" w:rsidP="007D3E3A">
      <w:pPr>
        <w:spacing w:after="0" w:line="240" w:lineRule="auto"/>
        <w:rPr>
          <w:rFonts w:ascii="Arial" w:eastAsia="Times New Roman" w:hAnsi="Arial"/>
          <w:color w:val="0D0D0D" w:themeColor="text1" w:themeTint="F2"/>
          <w:szCs w:val="20"/>
          <w:lang w:val="en-GB"/>
        </w:rPr>
      </w:pPr>
    </w:p>
    <w:p w14:paraId="653442DB" w14:textId="15C2D952" w:rsidR="001F10EE" w:rsidRPr="00567D50" w:rsidRDefault="001F10EE" w:rsidP="007D3E3A">
      <w:pPr>
        <w:spacing w:after="0" w:line="240" w:lineRule="auto"/>
        <w:rPr>
          <w:rFonts w:ascii="Arial" w:eastAsia="Times New Roman" w:hAnsi="Arial"/>
          <w:color w:val="0D0D0D" w:themeColor="text1" w:themeTint="F2"/>
          <w:szCs w:val="20"/>
          <w:lang w:val="en-GB"/>
        </w:rPr>
      </w:pPr>
      <w:r>
        <w:rPr>
          <w:rFonts w:ascii="Arial" w:eastAsia="Times New Roman" w:hAnsi="Arial"/>
          <w:color w:val="0D0D0D" w:themeColor="text1" w:themeTint="F2"/>
          <w:szCs w:val="20"/>
          <w:lang w:val="en-GB"/>
        </w:rPr>
        <w:t xml:space="preserve">In line with the requirements of the CPRA Stats NZ’s next Child Poverty Statistics </w:t>
      </w:r>
      <w:r w:rsidR="00AC6FA4">
        <w:rPr>
          <w:rFonts w:ascii="Arial" w:eastAsia="Times New Roman" w:hAnsi="Arial"/>
          <w:color w:val="0D0D0D" w:themeColor="text1" w:themeTint="F2"/>
          <w:szCs w:val="20"/>
          <w:lang w:val="en-GB"/>
        </w:rPr>
        <w:t>(early 2027) is scheduled to</w:t>
      </w:r>
      <w:r>
        <w:rPr>
          <w:rFonts w:ascii="Arial" w:eastAsia="Times New Roman" w:hAnsi="Arial"/>
          <w:color w:val="0D0D0D" w:themeColor="text1" w:themeTint="F2"/>
          <w:szCs w:val="20"/>
          <w:lang w:val="en-GB"/>
        </w:rPr>
        <w:t xml:space="preserve"> have </w:t>
      </w:r>
      <w:r w:rsidR="00AC6FA4">
        <w:rPr>
          <w:rFonts w:ascii="Arial" w:eastAsia="Times New Roman" w:hAnsi="Arial"/>
          <w:color w:val="0D0D0D" w:themeColor="text1" w:themeTint="F2"/>
          <w:szCs w:val="20"/>
          <w:lang w:val="en-GB"/>
        </w:rPr>
        <w:t>the first official estimates of</w:t>
      </w:r>
      <w:r>
        <w:rPr>
          <w:rFonts w:ascii="Arial" w:eastAsia="Times New Roman" w:hAnsi="Arial"/>
          <w:color w:val="0D0D0D" w:themeColor="text1" w:themeTint="F2"/>
          <w:szCs w:val="20"/>
          <w:lang w:val="en-GB"/>
        </w:rPr>
        <w:t xml:space="preserve"> persistent </w:t>
      </w:r>
      <w:r w:rsidR="00551879">
        <w:rPr>
          <w:rFonts w:ascii="Arial" w:eastAsia="Times New Roman" w:hAnsi="Arial"/>
          <w:color w:val="0D0D0D" w:themeColor="text1" w:themeTint="F2"/>
          <w:szCs w:val="20"/>
          <w:lang w:val="en-GB"/>
        </w:rPr>
        <w:t>poverty</w:t>
      </w:r>
      <w:r>
        <w:rPr>
          <w:rFonts w:ascii="Arial" w:eastAsia="Times New Roman" w:hAnsi="Arial"/>
          <w:color w:val="0D0D0D" w:themeColor="text1" w:themeTint="F2"/>
          <w:szCs w:val="20"/>
          <w:lang w:val="en-GB"/>
        </w:rPr>
        <w:t xml:space="preserve"> rates for children in their households.</w:t>
      </w:r>
      <w:r w:rsidR="001C5E91">
        <w:rPr>
          <w:rStyle w:val="FootnoteReference"/>
          <w:rFonts w:ascii="Arial" w:eastAsia="Times New Roman" w:hAnsi="Arial"/>
          <w:color w:val="0D0D0D" w:themeColor="text1" w:themeTint="F2"/>
          <w:szCs w:val="20"/>
          <w:lang w:val="en-GB"/>
        </w:rPr>
        <w:footnoteReference w:id="30"/>
      </w:r>
      <w:r>
        <w:rPr>
          <w:rFonts w:ascii="Arial" w:eastAsia="Times New Roman" w:hAnsi="Arial"/>
          <w:color w:val="0D0D0D" w:themeColor="text1" w:themeTint="F2"/>
          <w:szCs w:val="20"/>
          <w:lang w:val="en-GB"/>
        </w:rPr>
        <w:t xml:space="preserve"> </w:t>
      </w:r>
    </w:p>
    <w:p w14:paraId="26DAF506" w14:textId="77777777" w:rsidR="007D3E3A" w:rsidRDefault="007D3E3A" w:rsidP="00215A81">
      <w:pPr>
        <w:spacing w:before="120" w:after="0" w:line="240" w:lineRule="auto"/>
        <w:rPr>
          <w:rFonts w:ascii="Arial" w:hAnsi="Arial"/>
          <w:b/>
          <w:bCs/>
          <w:color w:val="000000" w:themeColor="text1"/>
          <w:sz w:val="24"/>
          <w:szCs w:val="24"/>
        </w:rPr>
      </w:pPr>
    </w:p>
    <w:p w14:paraId="710BDCA2" w14:textId="77777777" w:rsidR="00C402DD" w:rsidRDefault="00C402DD">
      <w:pPr>
        <w:spacing w:after="0" w:line="240" w:lineRule="auto"/>
        <w:rPr>
          <w:rFonts w:ascii="Arial" w:hAnsi="Arial"/>
          <w:b/>
          <w:bCs/>
          <w:color w:val="000000" w:themeColor="text1"/>
          <w:sz w:val="24"/>
          <w:szCs w:val="24"/>
        </w:rPr>
      </w:pPr>
      <w:r>
        <w:rPr>
          <w:rFonts w:ascii="Arial" w:hAnsi="Arial"/>
          <w:b/>
          <w:bCs/>
          <w:color w:val="000000" w:themeColor="text1"/>
          <w:sz w:val="24"/>
          <w:szCs w:val="24"/>
        </w:rPr>
        <w:br w:type="page"/>
      </w:r>
    </w:p>
    <w:p w14:paraId="742AA2CE" w14:textId="42FFF94D" w:rsidR="009A0132" w:rsidRPr="008A33CF" w:rsidRDefault="007C325A" w:rsidP="00215A81">
      <w:pPr>
        <w:spacing w:before="120" w:after="0" w:line="240" w:lineRule="auto"/>
        <w:rPr>
          <w:rFonts w:ascii="Arial" w:hAnsi="Arial"/>
          <w:color w:val="000000" w:themeColor="text1"/>
          <w:sz w:val="22"/>
        </w:rPr>
      </w:pPr>
      <w:r w:rsidRPr="008A33CF">
        <w:rPr>
          <w:rFonts w:ascii="Arial" w:hAnsi="Arial"/>
          <w:b/>
          <w:bCs/>
          <w:color w:val="000000" w:themeColor="text1"/>
          <w:sz w:val="24"/>
          <w:szCs w:val="24"/>
        </w:rPr>
        <w:lastRenderedPageBreak/>
        <w:t>Poverty e</w:t>
      </w:r>
      <w:r w:rsidR="009A0132" w:rsidRPr="008A33CF">
        <w:rPr>
          <w:rFonts w:ascii="Arial" w:hAnsi="Arial"/>
          <w:b/>
          <w:bCs/>
          <w:color w:val="000000" w:themeColor="text1"/>
          <w:sz w:val="24"/>
          <w:szCs w:val="24"/>
        </w:rPr>
        <w:t>xperienced</w:t>
      </w:r>
      <w:r w:rsidR="009A0132" w:rsidRPr="008A33CF">
        <w:rPr>
          <w:rFonts w:ascii="Arial" w:hAnsi="Arial"/>
          <w:b/>
          <w:bCs/>
          <w:color w:val="000000" w:themeColor="text1"/>
          <w:sz w:val="22"/>
        </w:rPr>
        <w:t xml:space="preserve"> </w:t>
      </w:r>
      <w:r w:rsidRPr="008A33CF">
        <w:rPr>
          <w:rFonts w:ascii="Arial" w:hAnsi="Arial"/>
          <w:b/>
          <w:bCs/>
          <w:color w:val="000000" w:themeColor="text1"/>
          <w:sz w:val="22"/>
        </w:rPr>
        <w:tab/>
      </w:r>
    </w:p>
    <w:p w14:paraId="22B4AF00" w14:textId="77777777" w:rsidR="009A0132" w:rsidRPr="008A33CF" w:rsidRDefault="009A0132" w:rsidP="009A0132">
      <w:pPr>
        <w:spacing w:after="0" w:line="240" w:lineRule="auto"/>
        <w:jc w:val="both"/>
        <w:rPr>
          <w:rFonts w:ascii="Arial" w:eastAsia="Times New Roman" w:hAnsi="Arial" w:cs="Times New Roman"/>
          <w:color w:val="000000" w:themeColor="text1"/>
          <w:sz w:val="16"/>
          <w:szCs w:val="16"/>
          <w:lang w:val="en-GB"/>
        </w:rPr>
      </w:pPr>
    </w:p>
    <w:p w14:paraId="08AA57B7" w14:textId="352C05C0" w:rsidR="009A0132" w:rsidRPr="008A33CF" w:rsidRDefault="009A0132" w:rsidP="009A0132">
      <w:pPr>
        <w:spacing w:after="0" w:line="240" w:lineRule="auto"/>
        <w:rPr>
          <w:rFonts w:ascii="Arial" w:eastAsia="Times New Roman" w:hAnsi="Arial" w:cs="Times New Roman"/>
          <w:color w:val="000000" w:themeColor="text1"/>
          <w:szCs w:val="20"/>
          <w:lang w:val="en-GB"/>
        </w:rPr>
      </w:pPr>
      <w:r w:rsidRPr="008A33CF">
        <w:rPr>
          <w:rFonts w:ascii="Arial" w:eastAsia="Times New Roman" w:hAnsi="Arial" w:cs="Times New Roman"/>
          <w:color w:val="000000" w:themeColor="text1"/>
          <w:szCs w:val="20"/>
          <w:lang w:val="en-GB"/>
        </w:rPr>
        <w:t xml:space="preserve">The understanding of poverty and the associated measurement approach used in this report (and in </w:t>
      </w:r>
      <w:r w:rsidR="00E33D4F">
        <w:rPr>
          <w:rFonts w:ascii="Arial" w:eastAsia="Times New Roman" w:hAnsi="Arial" w:cs="Times New Roman"/>
          <w:color w:val="000000" w:themeColor="text1"/>
          <w:szCs w:val="20"/>
          <w:lang w:val="en-GB"/>
        </w:rPr>
        <w:t>other</w:t>
      </w:r>
      <w:r w:rsidRPr="008A33CF">
        <w:rPr>
          <w:rFonts w:ascii="Arial" w:eastAsia="Times New Roman" w:hAnsi="Arial" w:cs="Times New Roman"/>
          <w:color w:val="000000" w:themeColor="text1"/>
          <w:szCs w:val="20"/>
          <w:lang w:val="en-GB"/>
        </w:rPr>
        <w:t xml:space="preserve"> MSD reports) is narrowly focussed. It is about ‘unacceptable financial or material hardship’ and the insights about this that can be gleaned from a large-scale national survey.</w:t>
      </w:r>
    </w:p>
    <w:p w14:paraId="09F3AA40" w14:textId="77777777" w:rsidR="009A0132" w:rsidRPr="008A33CF" w:rsidRDefault="009A0132" w:rsidP="009A0132">
      <w:pPr>
        <w:spacing w:after="0" w:line="240" w:lineRule="auto"/>
        <w:rPr>
          <w:rFonts w:ascii="Arial" w:eastAsia="Times New Roman" w:hAnsi="Arial" w:cs="Times New Roman"/>
          <w:color w:val="000000" w:themeColor="text1"/>
          <w:szCs w:val="20"/>
          <w:lang w:val="en-GB"/>
        </w:rPr>
      </w:pPr>
    </w:p>
    <w:p w14:paraId="63D71783" w14:textId="77777777" w:rsidR="009A0132" w:rsidRPr="008A33CF" w:rsidRDefault="009A0132" w:rsidP="009A0132">
      <w:pPr>
        <w:spacing w:after="0" w:line="240" w:lineRule="auto"/>
        <w:rPr>
          <w:rFonts w:ascii="Arial" w:eastAsia="Times New Roman" w:hAnsi="Arial" w:cs="Times New Roman"/>
          <w:color w:val="000000" w:themeColor="text1"/>
          <w:szCs w:val="20"/>
          <w:lang w:val="en-GB"/>
        </w:rPr>
      </w:pPr>
      <w:r w:rsidRPr="008A33CF">
        <w:rPr>
          <w:rFonts w:ascii="Arial" w:eastAsia="Times New Roman" w:hAnsi="Arial" w:cs="Times New Roman"/>
          <w:color w:val="000000" w:themeColor="text1"/>
          <w:szCs w:val="20"/>
          <w:lang w:val="en-GB"/>
        </w:rPr>
        <w:t>This is a legitimate focus but, in pursuing it, it is important to be aware that there is much more to ‘poverty’ than what can be measured (albeit imperfectly) through analysis of data from income or deprivation surveys. These can tell us about the material core (‘unacceptable material or financial hardship’), but a different type of research is needed to give insight into how this unacceptable hardship is experienced and understood and felt.</w:t>
      </w:r>
      <w:r w:rsidRPr="008A33CF">
        <w:rPr>
          <w:rStyle w:val="FootnoteReference"/>
          <w:rFonts w:ascii="Arial" w:eastAsia="Times New Roman" w:hAnsi="Arial" w:cs="Times New Roman"/>
          <w:color w:val="000000" w:themeColor="text1"/>
          <w:szCs w:val="20"/>
          <w:lang w:val="en-GB"/>
        </w:rPr>
        <w:footnoteReference w:id="31"/>
      </w:r>
      <w:r w:rsidRPr="008A33CF">
        <w:rPr>
          <w:rFonts w:ascii="Arial" w:eastAsia="Times New Roman" w:hAnsi="Arial" w:cs="Times New Roman"/>
          <w:color w:val="000000" w:themeColor="text1"/>
          <w:szCs w:val="20"/>
          <w:lang w:val="en-GB"/>
        </w:rPr>
        <w:t xml:space="preserve">  </w:t>
      </w:r>
    </w:p>
    <w:p w14:paraId="4DADFA9E" w14:textId="77777777" w:rsidR="009A0132" w:rsidRPr="008A33CF" w:rsidRDefault="009A0132" w:rsidP="009A0132">
      <w:pPr>
        <w:tabs>
          <w:tab w:val="right" w:pos="8010"/>
        </w:tabs>
        <w:spacing w:after="0" w:line="240" w:lineRule="auto"/>
        <w:ind w:left="720" w:right="648"/>
        <w:rPr>
          <w:rFonts w:ascii="Arial" w:eastAsia="Times New Roman" w:hAnsi="Arial" w:cs="Times New Roman"/>
          <w:color w:val="000000" w:themeColor="text1"/>
          <w:sz w:val="18"/>
          <w:szCs w:val="20"/>
          <w:lang w:val="en-GB"/>
        </w:rPr>
      </w:pPr>
    </w:p>
    <w:p w14:paraId="26746D2C" w14:textId="77777777" w:rsidR="009A0132" w:rsidRPr="008A33CF" w:rsidRDefault="009A0132" w:rsidP="009A0132">
      <w:pPr>
        <w:tabs>
          <w:tab w:val="left" w:pos="7088"/>
        </w:tabs>
        <w:spacing w:after="0" w:line="220" w:lineRule="exact"/>
        <w:ind w:left="426" w:right="379"/>
        <w:rPr>
          <w:rFonts w:ascii="Arial" w:eastAsia="Times New Roman" w:hAnsi="Arial" w:cs="Times New Roman"/>
          <w:color w:val="000000" w:themeColor="text1"/>
          <w:sz w:val="18"/>
          <w:szCs w:val="20"/>
          <w:lang w:val="en-GB"/>
        </w:rPr>
      </w:pPr>
      <w:r w:rsidRPr="008A33CF">
        <w:rPr>
          <w:rFonts w:ascii="Arial" w:eastAsia="Times New Roman" w:hAnsi="Arial" w:cs="Times New Roman"/>
          <w:color w:val="000000" w:themeColor="text1"/>
          <w:sz w:val="18"/>
          <w:szCs w:val="20"/>
          <w:lang w:val="en-GB"/>
        </w:rPr>
        <w:t xml:space="preserve">What is at issue here is the non-material as well as the material manifestations of poverty.  Poverty has to be understood not just as a disadvantaged and insecure economic </w:t>
      </w:r>
      <w:r w:rsidRPr="008A33CF">
        <w:rPr>
          <w:rFonts w:ascii="Arial" w:eastAsia="Times New Roman" w:hAnsi="Arial" w:cs="Times New Roman"/>
          <w:i/>
          <w:color w:val="000000" w:themeColor="text1"/>
          <w:sz w:val="18"/>
          <w:szCs w:val="20"/>
          <w:lang w:val="en-GB"/>
        </w:rPr>
        <w:t>condition</w:t>
      </w:r>
      <w:r w:rsidRPr="008A33CF">
        <w:rPr>
          <w:rFonts w:ascii="Arial" w:eastAsia="Times New Roman" w:hAnsi="Arial" w:cs="Times New Roman"/>
          <w:color w:val="000000" w:themeColor="text1"/>
          <w:sz w:val="18"/>
          <w:szCs w:val="20"/>
          <w:lang w:val="en-GB"/>
        </w:rPr>
        <w:t xml:space="preserve"> but also as a shameful and corrosive social </w:t>
      </w:r>
      <w:r w:rsidRPr="008A33CF">
        <w:rPr>
          <w:rFonts w:ascii="Arial" w:eastAsia="Times New Roman" w:hAnsi="Arial" w:cs="Times New Roman"/>
          <w:i/>
          <w:color w:val="000000" w:themeColor="text1"/>
          <w:sz w:val="18"/>
          <w:szCs w:val="20"/>
          <w:lang w:val="en-GB"/>
        </w:rPr>
        <w:t>relation</w:t>
      </w:r>
      <w:r w:rsidRPr="008A33CF">
        <w:rPr>
          <w:rFonts w:ascii="Arial" w:eastAsia="Times New Roman" w:hAnsi="Arial" w:cs="Times New Roman"/>
          <w:color w:val="000000" w:themeColor="text1"/>
          <w:sz w:val="18"/>
          <w:szCs w:val="20"/>
          <w:lang w:val="en-GB"/>
        </w:rPr>
        <w:t xml:space="preserve"> …  [The non-material aspects include] … lack of voice; disrespect, humiliation and assault on dignity and self-esteem; shame and stigma; powerlessness; denial of rights and diminished citizenship … They stem from people in poverty’s everyday interactions with the wider society and from the way they are talked about and treated by politicians, officials, the media and other influential bodies.</w:t>
      </w:r>
      <w:r w:rsidRPr="008A33CF">
        <w:rPr>
          <w:rFonts w:ascii="Arial" w:eastAsia="Times New Roman" w:hAnsi="Arial" w:cs="Times New Roman"/>
          <w:color w:val="000000" w:themeColor="text1"/>
          <w:sz w:val="18"/>
          <w:szCs w:val="20"/>
          <w:lang w:val="en-GB"/>
        </w:rPr>
        <w:tab/>
        <w:t>Lister (2004, p7)</w:t>
      </w:r>
      <w:r w:rsidRPr="008A33CF">
        <w:rPr>
          <w:rStyle w:val="FootnoteReference"/>
          <w:rFonts w:ascii="Arial" w:eastAsia="Times New Roman" w:hAnsi="Arial" w:cs="Times New Roman"/>
          <w:color w:val="000000" w:themeColor="text1"/>
          <w:szCs w:val="20"/>
          <w:lang w:val="en-GB"/>
        </w:rPr>
        <w:t xml:space="preserve"> </w:t>
      </w:r>
    </w:p>
    <w:p w14:paraId="5B8CE86E" w14:textId="77777777" w:rsidR="009A0132" w:rsidRPr="008A33CF" w:rsidRDefault="009A0132" w:rsidP="009A0132">
      <w:pPr>
        <w:spacing w:after="0" w:line="240" w:lineRule="auto"/>
        <w:ind w:left="426" w:right="379"/>
        <w:outlineLvl w:val="2"/>
        <w:rPr>
          <w:rFonts w:ascii="Arial" w:eastAsia="Times New Roman" w:hAnsi="Arial" w:cs="Times New Roman"/>
          <w:b/>
          <w:color w:val="000000" w:themeColor="text1"/>
          <w:szCs w:val="24"/>
          <w:lang w:val="en-GB"/>
        </w:rPr>
      </w:pPr>
    </w:p>
    <w:p w14:paraId="47BDADAF" w14:textId="77777777" w:rsidR="009A0132" w:rsidRPr="008A33CF" w:rsidRDefault="009A0132" w:rsidP="009A0132">
      <w:pPr>
        <w:tabs>
          <w:tab w:val="left" w:pos="5812"/>
          <w:tab w:val="right" w:pos="8364"/>
        </w:tabs>
        <w:spacing w:after="0" w:line="220" w:lineRule="exact"/>
        <w:ind w:left="426" w:right="379"/>
        <w:rPr>
          <w:rFonts w:ascii="Arial" w:eastAsia="Times New Roman" w:hAnsi="Arial" w:cs="Times New Roman"/>
          <w:color w:val="000000" w:themeColor="text1"/>
          <w:sz w:val="18"/>
          <w:szCs w:val="18"/>
          <w:lang w:val="en-GB"/>
        </w:rPr>
      </w:pPr>
      <w:r w:rsidRPr="008A33CF">
        <w:rPr>
          <w:rFonts w:ascii="Arial" w:eastAsia="Times New Roman" w:hAnsi="Arial" w:cs="Times New Roman"/>
          <w:color w:val="000000" w:themeColor="text1"/>
          <w:sz w:val="18"/>
          <w:szCs w:val="18"/>
          <w:lang w:val="en-GB"/>
        </w:rPr>
        <w:t>What people on low incomes report is a situation of great complexity in which the pressures they face are cumulative.  Basics become luxuries that have to be prioritised and saved for.  Solutions to one problem create problems of their own, as when saving on heating exacerbates illness and borrowing from the rent money generates arrears and threats of eviction. Poverty feels like entrapment when options are always lacking, the future is looming and unpredictable, and guilt seems ever present, arising from an inability to meet one’s children’s needs, one’s own expectations and society’s demands.</w:t>
      </w:r>
      <w:r w:rsidRPr="008A33CF">
        <w:rPr>
          <w:rFonts w:ascii="Arial" w:eastAsia="Times New Roman" w:hAnsi="Arial" w:cs="Times New Roman"/>
          <w:color w:val="000000" w:themeColor="text1"/>
          <w:sz w:val="18"/>
          <w:szCs w:val="18"/>
          <w:lang w:val="en-GB"/>
        </w:rPr>
        <w:tab/>
        <w:t>Tomlinson and Walker (2009, p16)</w:t>
      </w:r>
    </w:p>
    <w:p w14:paraId="52BCF7BA" w14:textId="77777777" w:rsidR="009A0132" w:rsidRPr="008A33CF" w:rsidRDefault="009A0132" w:rsidP="009A0132">
      <w:pPr>
        <w:spacing w:after="0" w:line="240" w:lineRule="auto"/>
        <w:ind w:left="426" w:right="379"/>
        <w:rPr>
          <w:rFonts w:ascii="Arial" w:hAnsi="Arial"/>
          <w:color w:val="000000" w:themeColor="text1"/>
          <w:szCs w:val="20"/>
        </w:rPr>
      </w:pPr>
    </w:p>
    <w:p w14:paraId="36787CA7" w14:textId="77777777" w:rsidR="009A0132" w:rsidRPr="008A33CF" w:rsidRDefault="009A0132" w:rsidP="009A0132">
      <w:pPr>
        <w:tabs>
          <w:tab w:val="left" w:pos="7088"/>
        </w:tabs>
        <w:spacing w:after="0" w:line="240" w:lineRule="auto"/>
        <w:ind w:left="426" w:right="379"/>
        <w:rPr>
          <w:rFonts w:ascii="Arial" w:hAnsi="Arial"/>
          <w:color w:val="000000" w:themeColor="text1"/>
          <w:sz w:val="18"/>
          <w:szCs w:val="18"/>
        </w:rPr>
      </w:pPr>
      <w:r w:rsidRPr="008A33CF">
        <w:rPr>
          <w:rFonts w:ascii="Arial" w:hAnsi="Arial"/>
          <w:color w:val="000000" w:themeColor="text1"/>
          <w:sz w:val="18"/>
          <w:szCs w:val="18"/>
        </w:rPr>
        <w:t xml:space="preserve">[Poverty] is to live under the dictatorship of material necessity without choice and control in one’s daily life. That’s what poverty </w:t>
      </w:r>
      <w:r w:rsidRPr="008A33CF">
        <w:rPr>
          <w:rFonts w:ascii="Arial" w:hAnsi="Arial"/>
          <w:i/>
          <w:iCs/>
          <w:color w:val="000000" w:themeColor="text1"/>
          <w:sz w:val="18"/>
          <w:szCs w:val="18"/>
        </w:rPr>
        <w:t>is</w:t>
      </w:r>
      <w:r w:rsidRPr="008A33CF">
        <w:rPr>
          <w:rFonts w:ascii="Arial" w:hAnsi="Arial"/>
          <w:color w:val="000000" w:themeColor="text1"/>
          <w:sz w:val="18"/>
          <w:szCs w:val="18"/>
        </w:rPr>
        <w:t xml:space="preserve">, it’s about freedom and power and the lack thereof. </w:t>
      </w:r>
      <w:r w:rsidRPr="008A33CF">
        <w:rPr>
          <w:rFonts w:ascii="Arial" w:hAnsi="Arial"/>
          <w:color w:val="000000" w:themeColor="text1"/>
          <w:sz w:val="18"/>
          <w:szCs w:val="18"/>
        </w:rPr>
        <w:tab/>
        <w:t>Ringen (2009, p7)</w:t>
      </w:r>
    </w:p>
    <w:p w14:paraId="51F1F84A" w14:textId="77777777" w:rsidR="009A0132" w:rsidRPr="008A33CF" w:rsidRDefault="009A0132" w:rsidP="009A0132">
      <w:pPr>
        <w:spacing w:after="0" w:line="240" w:lineRule="auto"/>
        <w:rPr>
          <w:rFonts w:ascii="Arial" w:eastAsia="Times New Roman" w:hAnsi="Arial" w:cs="Times New Roman"/>
          <w:b/>
          <w:color w:val="000000" w:themeColor="text1"/>
          <w:sz w:val="22"/>
          <w:szCs w:val="24"/>
          <w:lang w:val="en-GB"/>
        </w:rPr>
      </w:pPr>
    </w:p>
    <w:p w14:paraId="4ACEFFF4" w14:textId="77777777" w:rsidR="009A0132" w:rsidRPr="008A33CF" w:rsidRDefault="009A0132" w:rsidP="009A0132">
      <w:pPr>
        <w:spacing w:after="0" w:line="240" w:lineRule="auto"/>
        <w:rPr>
          <w:rFonts w:ascii="Arial" w:eastAsia="Times New Roman" w:hAnsi="Arial" w:cs="Times New Roman"/>
          <w:b/>
          <w:color w:val="000000" w:themeColor="text1"/>
          <w:lang w:val="en-GB"/>
        </w:rPr>
      </w:pPr>
      <w:r w:rsidRPr="008A33CF">
        <w:rPr>
          <w:rFonts w:ascii="Arial" w:eastAsia="Times New Roman" w:hAnsi="Arial" w:cs="Times New Roman"/>
          <w:b/>
          <w:color w:val="000000" w:themeColor="text1"/>
          <w:lang w:val="en-GB"/>
        </w:rPr>
        <w:t>Sen and shame</w:t>
      </w:r>
    </w:p>
    <w:p w14:paraId="023E2204" w14:textId="77777777" w:rsidR="009A0132" w:rsidRPr="008A33CF" w:rsidRDefault="009A0132" w:rsidP="009A0132">
      <w:pPr>
        <w:spacing w:after="0" w:line="240" w:lineRule="auto"/>
        <w:rPr>
          <w:rFonts w:ascii="Arial" w:eastAsia="Times New Roman" w:hAnsi="Arial" w:cs="Times New Roman"/>
          <w:b/>
          <w:color w:val="000000" w:themeColor="text1"/>
          <w:sz w:val="16"/>
          <w:szCs w:val="18"/>
          <w:lang w:val="en-GB"/>
        </w:rPr>
      </w:pPr>
    </w:p>
    <w:p w14:paraId="24AB95EC" w14:textId="77777777" w:rsidR="009A0132" w:rsidRPr="008A33CF" w:rsidRDefault="009A0132" w:rsidP="009A0132">
      <w:pPr>
        <w:spacing w:after="0" w:line="240" w:lineRule="auto"/>
        <w:rPr>
          <w:rFonts w:ascii="Arial" w:eastAsia="Times New Roman" w:hAnsi="Arial" w:cs="Times New Roman"/>
          <w:color w:val="000000" w:themeColor="text1"/>
          <w:lang w:val="en-GB"/>
        </w:rPr>
      </w:pPr>
      <w:r w:rsidRPr="008A33CF">
        <w:rPr>
          <w:rFonts w:ascii="Arial" w:eastAsia="Times New Roman" w:hAnsi="Arial" w:cs="Times New Roman"/>
          <w:color w:val="000000" w:themeColor="text1"/>
          <w:lang w:val="en-GB"/>
        </w:rPr>
        <w:t xml:space="preserve">It has become popular in discussions of human wellbeing to use Amartya Sen’s dictum that </w:t>
      </w:r>
      <w:r w:rsidRPr="008A33CF">
        <w:rPr>
          <w:rFonts w:ascii="Arial" w:eastAsia="Times New Roman" w:hAnsi="Arial"/>
          <w:color w:val="000000" w:themeColor="text1"/>
          <w:szCs w:val="20"/>
          <w:lang w:val="en-GB"/>
        </w:rPr>
        <w:t>the basic concern of human development or of ‘the good life’ is ‘our capability to lead the kind of lives we have reason to value’.</w:t>
      </w:r>
      <w:r w:rsidRPr="008A33CF">
        <w:rPr>
          <w:rFonts w:ascii="Arial" w:eastAsia="Times New Roman" w:hAnsi="Arial" w:cs="Times New Roman"/>
          <w:color w:val="000000" w:themeColor="text1"/>
          <w:lang w:val="en-GB"/>
        </w:rPr>
        <w:t xml:space="preserve"> The same language is sometimes used in relation to discussions around strategies to address poverty, with the goal of poverty alleviation intervention being characterised as helping people ‘lead the kind of lives they have reason to value’.  </w:t>
      </w:r>
    </w:p>
    <w:p w14:paraId="65A3477D" w14:textId="77777777" w:rsidR="009A0132" w:rsidRPr="008A33CF" w:rsidRDefault="009A0132" w:rsidP="009A0132">
      <w:pPr>
        <w:spacing w:after="0" w:line="240" w:lineRule="auto"/>
        <w:rPr>
          <w:rFonts w:ascii="Arial" w:eastAsia="Times New Roman" w:hAnsi="Arial" w:cs="Times New Roman"/>
          <w:color w:val="000000" w:themeColor="text1"/>
          <w:lang w:val="en-GB"/>
        </w:rPr>
      </w:pPr>
    </w:p>
    <w:p w14:paraId="43FA8590" w14:textId="71B49C18" w:rsidR="009A0132" w:rsidRPr="008A33CF" w:rsidRDefault="009A0132" w:rsidP="009A0132">
      <w:pPr>
        <w:spacing w:after="0" w:line="240" w:lineRule="auto"/>
        <w:rPr>
          <w:rFonts w:ascii="Arial" w:eastAsia="Times New Roman" w:hAnsi="Arial"/>
          <w:color w:val="000000" w:themeColor="text1"/>
          <w:szCs w:val="20"/>
          <w:vertAlign w:val="superscript"/>
          <w:lang w:val="en-GB"/>
        </w:rPr>
      </w:pPr>
      <w:r w:rsidRPr="008A33CF">
        <w:rPr>
          <w:rFonts w:ascii="Arial" w:eastAsia="Times New Roman" w:hAnsi="Arial" w:cs="Times New Roman"/>
          <w:color w:val="000000" w:themeColor="text1"/>
          <w:lang w:val="en-GB"/>
        </w:rPr>
        <w:t xml:space="preserve">In using only this aspect of Sen’s thinking, </w:t>
      </w:r>
      <w:r w:rsidR="009C507C" w:rsidRPr="008A33CF">
        <w:rPr>
          <w:rFonts w:ascii="Arial" w:eastAsia="Times New Roman" w:hAnsi="Arial" w:cs="Times New Roman"/>
          <w:color w:val="000000" w:themeColor="text1"/>
          <w:lang w:val="en-GB"/>
        </w:rPr>
        <w:t>that sort of narrative</w:t>
      </w:r>
      <w:r w:rsidRPr="008A33CF">
        <w:rPr>
          <w:rFonts w:ascii="Arial" w:eastAsia="Times New Roman" w:hAnsi="Arial" w:cs="Times New Roman"/>
          <w:color w:val="000000" w:themeColor="text1"/>
          <w:lang w:val="en-GB"/>
        </w:rPr>
        <w:t xml:space="preserve"> misses two key elements that Sen </w:t>
      </w:r>
      <w:r w:rsidRPr="008A33CF">
        <w:rPr>
          <w:rFonts w:ascii="Arial" w:eastAsia="Times New Roman" w:hAnsi="Arial" w:cs="Times New Roman"/>
          <w:color w:val="000000" w:themeColor="text1"/>
          <w:szCs w:val="20"/>
          <w:lang w:val="en-GB"/>
        </w:rPr>
        <w:t>himself identifies in his writing on the conceptualisation of poverty. The first is the matter of the ‘irreducible absolutist core’– poverty alleviation is about having households attain a minimum acceptable standard, which may nevertheless be (well) below ‘leading the kind of lives they have reason to value’. The second is how for Sen and for ‘the poor’, shame is at the core of poverty experienced.</w:t>
      </w:r>
      <w:r w:rsidRPr="008A33CF">
        <w:rPr>
          <w:rFonts w:ascii="Arial" w:eastAsia="Times New Roman" w:hAnsi="Arial"/>
          <w:color w:val="000000" w:themeColor="text1"/>
          <w:szCs w:val="20"/>
          <w:vertAlign w:val="superscript"/>
          <w:lang w:val="en-GB"/>
        </w:rPr>
        <w:t xml:space="preserve"> </w:t>
      </w:r>
      <w:r w:rsidRPr="008A33CF">
        <w:rPr>
          <w:rFonts w:ascii="Arial" w:eastAsia="Times New Roman" w:hAnsi="Arial" w:cs="Times New Roman"/>
          <w:color w:val="000000" w:themeColor="text1"/>
          <w:szCs w:val="20"/>
          <w:lang w:val="en-GB"/>
        </w:rPr>
        <w:t>There is a case that the bumper-sticker type of use of the notion of ‘</w:t>
      </w:r>
      <w:r w:rsidRPr="008A33CF">
        <w:rPr>
          <w:rFonts w:ascii="Arial" w:eastAsia="Times New Roman" w:hAnsi="Arial"/>
          <w:color w:val="000000" w:themeColor="text1"/>
          <w:szCs w:val="20"/>
          <w:lang w:val="en-GB"/>
        </w:rPr>
        <w:t>leading the kind of lives we have reason to value</w:t>
      </w:r>
      <w:r w:rsidRPr="008A33CF">
        <w:rPr>
          <w:rFonts w:ascii="Arial" w:eastAsia="Times New Roman" w:hAnsi="Arial" w:cs="Times New Roman"/>
          <w:color w:val="000000" w:themeColor="text1"/>
          <w:szCs w:val="20"/>
          <w:lang w:val="en-GB"/>
        </w:rPr>
        <w:t>’ in the context of poverty discourse both misrepresents Sen on poverty and understates the stress of life at the hard end.</w:t>
      </w:r>
      <w:r w:rsidRPr="008A33CF">
        <w:rPr>
          <w:rStyle w:val="FootnoteReference"/>
          <w:rFonts w:ascii="Arial" w:hAnsi="Arial"/>
          <w:bCs/>
          <w:color w:val="000000" w:themeColor="text1"/>
          <w:sz w:val="22"/>
          <w:szCs w:val="24"/>
        </w:rPr>
        <w:footnoteReference w:id="32"/>
      </w:r>
      <w:r w:rsidRPr="008A33CF">
        <w:rPr>
          <w:rFonts w:ascii="Arial" w:eastAsia="Times New Roman" w:hAnsi="Arial"/>
          <w:color w:val="000000" w:themeColor="text1"/>
          <w:szCs w:val="20"/>
          <w:vertAlign w:val="superscript"/>
          <w:lang w:val="en-GB"/>
        </w:rPr>
        <w:t xml:space="preserve"> </w:t>
      </w:r>
    </w:p>
    <w:p w14:paraId="7CE2C884" w14:textId="77777777" w:rsidR="009A0132" w:rsidRPr="00DE29A3" w:rsidRDefault="009A0132" w:rsidP="009A0132">
      <w:pPr>
        <w:spacing w:after="0" w:line="240" w:lineRule="auto"/>
        <w:rPr>
          <w:rFonts w:ascii="Arial" w:hAnsi="Arial"/>
          <w:bCs/>
          <w:color w:val="0000FF"/>
          <w:szCs w:val="20"/>
          <w:highlight w:val="yellow"/>
        </w:rPr>
      </w:pPr>
    </w:p>
    <w:p w14:paraId="23335CAD" w14:textId="6E3985F4" w:rsidR="009A0132" w:rsidRPr="00DE29A3" w:rsidRDefault="009A0132" w:rsidP="009A0132">
      <w:pPr>
        <w:spacing w:after="0" w:line="240" w:lineRule="auto"/>
        <w:rPr>
          <w:rFonts w:ascii="Arial" w:hAnsi="Arial"/>
          <w:b/>
          <w:bCs/>
          <w:color w:val="0000FF"/>
          <w:sz w:val="24"/>
          <w:szCs w:val="24"/>
        </w:rPr>
      </w:pPr>
      <w:r w:rsidRPr="00DE29A3">
        <w:rPr>
          <w:rFonts w:ascii="Arial" w:hAnsi="Arial"/>
          <w:b/>
          <w:bCs/>
          <w:noProof/>
          <w:color w:val="0000FF"/>
          <w:sz w:val="24"/>
          <w:szCs w:val="24"/>
        </w:rPr>
        <mc:AlternateContent>
          <mc:Choice Requires="wps">
            <w:drawing>
              <wp:anchor distT="0" distB="0" distL="114300" distR="114300" simplePos="0" relativeHeight="252696576" behindDoc="0" locked="0" layoutInCell="1" allowOverlap="1" wp14:anchorId="24BBF139" wp14:editId="51C2A40E">
                <wp:simplePos x="0" y="0"/>
                <wp:positionH relativeFrom="margin">
                  <wp:align>center</wp:align>
                </wp:positionH>
                <wp:positionV relativeFrom="paragraph">
                  <wp:posOffset>31750</wp:posOffset>
                </wp:positionV>
                <wp:extent cx="3530600" cy="704850"/>
                <wp:effectExtent l="0" t="0" r="12700" b="19050"/>
                <wp:wrapNone/>
                <wp:docPr id="232" name="Text Box 232"/>
                <wp:cNvGraphicFramePr/>
                <a:graphic xmlns:a="http://schemas.openxmlformats.org/drawingml/2006/main">
                  <a:graphicData uri="http://schemas.microsoft.com/office/word/2010/wordprocessingShape">
                    <wps:wsp>
                      <wps:cNvSpPr txBox="1"/>
                      <wps:spPr>
                        <a:xfrm>
                          <a:off x="0" y="0"/>
                          <a:ext cx="3530600" cy="704850"/>
                        </a:xfrm>
                        <a:prstGeom prst="rect">
                          <a:avLst/>
                        </a:prstGeom>
                        <a:solidFill>
                          <a:sysClr val="window" lastClr="FFFFFF"/>
                        </a:solidFill>
                        <a:ln w="6350">
                          <a:solidFill>
                            <a:prstClr val="black"/>
                          </a:solidFill>
                        </a:ln>
                      </wps:spPr>
                      <wps:txbx>
                        <w:txbxContent>
                          <w:p w14:paraId="1ADEE602" w14:textId="20A325AC" w:rsidR="009A0132" w:rsidRPr="00313463" w:rsidRDefault="009A0132" w:rsidP="009A0132">
                            <w:pPr>
                              <w:spacing w:after="0" w:line="264" w:lineRule="auto"/>
                              <w:rPr>
                                <w:rFonts w:ascii="Arial" w:hAnsi="Arial"/>
                                <w:color w:val="000000" w:themeColor="text1"/>
                                <w:sz w:val="18"/>
                                <w:szCs w:val="18"/>
                              </w:rPr>
                            </w:pPr>
                            <w:r w:rsidRPr="00313463">
                              <w:rPr>
                                <w:rFonts w:ascii="Arial" w:hAnsi="Arial"/>
                                <w:color w:val="000000" w:themeColor="text1"/>
                                <w:sz w:val="18"/>
                                <w:szCs w:val="18"/>
                              </w:rPr>
                              <w:t xml:space="preserve">Whatever else poverty is understood to be it is in essence an </w:t>
                            </w:r>
                            <w:r w:rsidRPr="00313463">
                              <w:rPr>
                                <w:rFonts w:ascii="Arial" w:hAnsi="Arial"/>
                                <w:color w:val="000000" w:themeColor="text1"/>
                                <w:sz w:val="18"/>
                                <w:szCs w:val="18"/>
                                <w:u w:val="single"/>
                              </w:rPr>
                              <w:t>unacceptable state-of-affairs</w:t>
                            </w:r>
                            <w:r w:rsidRPr="00313463">
                              <w:rPr>
                                <w:rFonts w:ascii="Arial" w:hAnsi="Arial"/>
                                <w:color w:val="000000" w:themeColor="text1"/>
                                <w:sz w:val="18"/>
                                <w:szCs w:val="18"/>
                              </w:rPr>
                              <w:t>. Properly understood, “use of the term ‘poverty’ carries with it an implication and moral imperative that something should be done about it” (Piachaud</w:t>
                            </w:r>
                            <w:r w:rsidR="00091FBA">
                              <w:rPr>
                                <w:rFonts w:ascii="Arial" w:hAnsi="Arial"/>
                                <w:color w:val="000000" w:themeColor="text1"/>
                                <w:sz w:val="18"/>
                                <w:szCs w:val="18"/>
                              </w:rPr>
                              <w:t xml:space="preserve"> (</w:t>
                            </w:r>
                            <w:r w:rsidRPr="00313463">
                              <w:rPr>
                                <w:rFonts w:ascii="Arial" w:hAnsi="Arial"/>
                                <w:color w:val="000000" w:themeColor="text1"/>
                                <w:sz w:val="18"/>
                                <w:szCs w:val="18"/>
                              </w:rPr>
                              <w:t>1987</w:t>
                            </w:r>
                            <w:r w:rsidR="00091FBA">
                              <w:rPr>
                                <w:rFonts w:ascii="Arial" w:hAnsi="Arial"/>
                                <w:color w:val="000000" w:themeColor="text1"/>
                                <w:sz w:val="18"/>
                                <w:szCs w:val="18"/>
                              </w:rPr>
                              <w:t>) p</w:t>
                            </w:r>
                            <w:r w:rsidRPr="00313463">
                              <w:rPr>
                                <w:rFonts w:ascii="Arial" w:hAnsi="Arial"/>
                                <w:color w:val="000000" w:themeColor="text1"/>
                                <w:sz w:val="18"/>
                                <w:szCs w:val="18"/>
                              </w:rPr>
                              <w:t>161).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BF139" id="Text Box 232" o:spid="_x0000_s1039" type="#_x0000_t202" style="position:absolute;margin-left:0;margin-top:2.5pt;width:278pt;height:55.5pt;z-index:252696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" fillcolor="window" strokeweight=".5pt">
                <v:textbox>
                  <w:txbxContent>
                    <w:p w14:paraId="1ADEE602" w14:textId="20A325AC" w:rsidR="009A0132" w:rsidRPr="00313463" w:rsidRDefault="009A0132" w:rsidP="009A0132">
                      <w:pPr>
                        <w:spacing w:after="0" w:line="264" w:lineRule="auto"/>
                        <w:rPr>
                          <w:rFonts w:ascii="Arial" w:hAnsi="Arial"/>
                          <w:color w:val="000000" w:themeColor="text1"/>
                          <w:sz w:val="18"/>
                          <w:szCs w:val="18"/>
                        </w:rPr>
                      </w:pPr>
                      <w:r w:rsidRPr="00313463">
                        <w:rPr>
                          <w:rFonts w:ascii="Arial" w:hAnsi="Arial"/>
                          <w:color w:val="000000" w:themeColor="text1"/>
                          <w:sz w:val="18"/>
                          <w:szCs w:val="18"/>
                        </w:rPr>
                        <w:t xml:space="preserve">Whatever else poverty is understood to be it is in essence an </w:t>
                      </w:r>
                      <w:r w:rsidRPr="00313463">
                        <w:rPr>
                          <w:rFonts w:ascii="Arial" w:hAnsi="Arial"/>
                          <w:color w:val="000000" w:themeColor="text1"/>
                          <w:sz w:val="18"/>
                          <w:szCs w:val="18"/>
                          <w:u w:val="single"/>
                        </w:rPr>
                        <w:t>unacceptable state-of-affairs</w:t>
                      </w:r>
                      <w:r w:rsidRPr="00313463">
                        <w:rPr>
                          <w:rFonts w:ascii="Arial" w:hAnsi="Arial"/>
                          <w:color w:val="000000" w:themeColor="text1"/>
                          <w:sz w:val="18"/>
                          <w:szCs w:val="18"/>
                        </w:rPr>
                        <w:t>. Properly understood, “use of the term ‘poverty’ carries with it an implication and moral imperative that something should be done about it” (Piachaud</w:t>
                      </w:r>
                      <w:r w:rsidR="00091FBA">
                        <w:rPr>
                          <w:rFonts w:ascii="Arial" w:hAnsi="Arial"/>
                          <w:color w:val="000000" w:themeColor="text1"/>
                          <w:sz w:val="18"/>
                          <w:szCs w:val="18"/>
                        </w:rPr>
                        <w:t xml:space="preserve"> (</w:t>
                      </w:r>
                      <w:r w:rsidRPr="00313463">
                        <w:rPr>
                          <w:rFonts w:ascii="Arial" w:hAnsi="Arial"/>
                          <w:color w:val="000000" w:themeColor="text1"/>
                          <w:sz w:val="18"/>
                          <w:szCs w:val="18"/>
                        </w:rPr>
                        <w:t>1987</w:t>
                      </w:r>
                      <w:r w:rsidR="00091FBA">
                        <w:rPr>
                          <w:rFonts w:ascii="Arial" w:hAnsi="Arial"/>
                          <w:color w:val="000000" w:themeColor="text1"/>
                          <w:sz w:val="18"/>
                          <w:szCs w:val="18"/>
                        </w:rPr>
                        <w:t>) p</w:t>
                      </w:r>
                      <w:r w:rsidRPr="00313463">
                        <w:rPr>
                          <w:rFonts w:ascii="Arial" w:hAnsi="Arial"/>
                          <w:color w:val="000000" w:themeColor="text1"/>
                          <w:sz w:val="18"/>
                          <w:szCs w:val="18"/>
                        </w:rPr>
                        <w:t>161).</w:t>
                      </w:r>
                    </w:p>
                  </w:txbxContent>
                </v:textbox>
                <w10:wrap anchorx="margin"/>
              </v:shape>
            </w:pict>
          </mc:Fallback>
        </mc:AlternateContent>
      </w:r>
      <w:r w:rsidRPr="00DE29A3">
        <w:rPr>
          <w:rFonts w:ascii="Arial" w:hAnsi="Arial"/>
          <w:b/>
          <w:bCs/>
          <w:color w:val="0000FF"/>
          <w:sz w:val="24"/>
          <w:szCs w:val="24"/>
        </w:rPr>
        <w:br w:type="page"/>
      </w:r>
    </w:p>
    <w:p w14:paraId="2FD4CDEA" w14:textId="69DAC63C" w:rsidR="00C276D0" w:rsidRPr="00EE14F4" w:rsidRDefault="00C276D0" w:rsidP="00C276D0">
      <w:pPr>
        <w:spacing w:after="0" w:line="240" w:lineRule="auto"/>
        <w:rPr>
          <w:rFonts w:ascii="Arial" w:hAnsi="Arial"/>
          <w:b/>
          <w:bCs/>
          <w:color w:val="000000" w:themeColor="text1"/>
          <w:sz w:val="24"/>
          <w:szCs w:val="24"/>
        </w:rPr>
      </w:pPr>
      <w:r w:rsidRPr="00EE14F4">
        <w:rPr>
          <w:rFonts w:ascii="Arial" w:hAnsi="Arial"/>
          <w:b/>
          <w:bCs/>
          <w:color w:val="000000" w:themeColor="text1"/>
          <w:sz w:val="24"/>
          <w:szCs w:val="24"/>
        </w:rPr>
        <w:lastRenderedPageBreak/>
        <w:t>Rationale for a focus on child pov</w:t>
      </w:r>
      <w:r w:rsidR="00E6081B" w:rsidRPr="00EE14F4">
        <w:rPr>
          <w:rFonts w:ascii="Arial" w:hAnsi="Arial"/>
          <w:b/>
          <w:bCs/>
          <w:color w:val="000000" w:themeColor="text1"/>
          <w:sz w:val="24"/>
          <w:szCs w:val="24"/>
        </w:rPr>
        <w:t>erty</w:t>
      </w:r>
    </w:p>
    <w:p w14:paraId="11EC4F9F" w14:textId="77777777" w:rsidR="00C276D0" w:rsidRPr="00657BE4" w:rsidRDefault="00C276D0" w:rsidP="00C276D0">
      <w:pPr>
        <w:spacing w:after="0" w:line="240" w:lineRule="auto"/>
        <w:rPr>
          <w:rFonts w:ascii="Arial" w:hAnsi="Arial"/>
          <w:b/>
          <w:bCs/>
          <w:color w:val="0000FF"/>
          <w:sz w:val="28"/>
          <w:szCs w:val="28"/>
        </w:rPr>
      </w:pPr>
    </w:p>
    <w:p w14:paraId="11DBC8BC" w14:textId="77777777" w:rsidR="00E6081B" w:rsidRPr="00BF2CF5" w:rsidRDefault="00E6081B" w:rsidP="00E6081B">
      <w:pPr>
        <w:spacing w:after="0" w:line="240" w:lineRule="auto"/>
        <w:jc w:val="both"/>
        <w:rPr>
          <w:rFonts w:ascii="Arial" w:eastAsia="Times New Roman" w:hAnsi="Arial"/>
          <w:color w:val="000000" w:themeColor="text1"/>
          <w:szCs w:val="20"/>
          <w:lang w:val="en-GB" w:eastAsia="en-GB"/>
        </w:rPr>
      </w:pPr>
      <w:r w:rsidRPr="00BF2CF5">
        <w:rPr>
          <w:rFonts w:ascii="Arial" w:eastAsia="Times New Roman" w:hAnsi="Arial"/>
          <w:color w:val="000000" w:themeColor="text1"/>
          <w:szCs w:val="20"/>
          <w:lang w:val="en-GB" w:eastAsia="en-GB"/>
        </w:rPr>
        <w:t xml:space="preserve">There is considerable public, media and political interest in the wellbeing of children, including their material wellbeing – how they are faring in </w:t>
      </w:r>
      <w:r>
        <w:rPr>
          <w:rFonts w:ascii="Arial" w:eastAsia="Times New Roman" w:hAnsi="Arial"/>
          <w:color w:val="000000" w:themeColor="text1"/>
          <w:szCs w:val="20"/>
          <w:lang w:val="en-GB" w:eastAsia="en-GB"/>
        </w:rPr>
        <w:t>satisfying</w:t>
      </w:r>
      <w:r w:rsidRPr="00BF2CF5">
        <w:rPr>
          <w:rFonts w:ascii="Arial" w:eastAsia="Times New Roman" w:hAnsi="Arial"/>
          <w:color w:val="000000" w:themeColor="text1"/>
          <w:szCs w:val="20"/>
          <w:lang w:val="en-GB" w:eastAsia="en-GB"/>
        </w:rPr>
        <w:t xml:space="preserve"> their material needs and </w:t>
      </w:r>
      <w:r>
        <w:rPr>
          <w:rFonts w:ascii="Arial" w:eastAsia="Times New Roman" w:hAnsi="Arial"/>
          <w:color w:val="000000" w:themeColor="text1"/>
          <w:szCs w:val="20"/>
          <w:lang w:val="en-GB" w:eastAsia="en-GB"/>
        </w:rPr>
        <w:t xml:space="preserve">accessing </w:t>
      </w:r>
      <w:r w:rsidRPr="00BF2CF5">
        <w:rPr>
          <w:rFonts w:ascii="Arial" w:eastAsia="Times New Roman" w:hAnsi="Arial"/>
          <w:color w:val="000000" w:themeColor="text1"/>
          <w:szCs w:val="20"/>
          <w:lang w:val="en-GB" w:eastAsia="en-GB"/>
        </w:rPr>
        <w:t>the necessities of life. The special interest derives from two considerations:</w:t>
      </w:r>
    </w:p>
    <w:p w14:paraId="37B08CA5" w14:textId="77777777" w:rsidR="00E6081B" w:rsidRPr="00BF2CF5" w:rsidRDefault="00E6081B">
      <w:pPr>
        <w:numPr>
          <w:ilvl w:val="0"/>
          <w:numId w:val="67"/>
        </w:numPr>
        <w:spacing w:before="120" w:after="0" w:line="240" w:lineRule="auto"/>
        <w:ind w:left="567" w:hanging="218"/>
        <w:jc w:val="both"/>
        <w:rPr>
          <w:rFonts w:ascii="Arial" w:eastAsia="Times New Roman" w:hAnsi="Arial"/>
          <w:color w:val="000000" w:themeColor="text1"/>
          <w:szCs w:val="20"/>
          <w:lang w:val="en-GB" w:eastAsia="en-GB"/>
        </w:rPr>
      </w:pPr>
      <w:r w:rsidRPr="00BF2CF5">
        <w:rPr>
          <w:rFonts w:ascii="Arial" w:eastAsia="Times New Roman" w:hAnsi="Arial"/>
          <w:color w:val="000000" w:themeColor="text1"/>
          <w:szCs w:val="20"/>
          <w:lang w:val="en-GB" w:eastAsia="en-GB"/>
        </w:rPr>
        <w:t xml:space="preserve">Children are very dependent on others for their survival, for having their material needs met and for the opportunities to grow and develop in a positive healthy way. Parents, the wider family, the community and the state all have a part to play. No one wants to see children missing out on the basics and being unable to participate in the childhood activities our society expects and values for all children. </w:t>
      </w:r>
    </w:p>
    <w:p w14:paraId="0B106033" w14:textId="77777777" w:rsidR="00E6081B" w:rsidRPr="00BF2CF5" w:rsidRDefault="00E6081B">
      <w:pPr>
        <w:numPr>
          <w:ilvl w:val="0"/>
          <w:numId w:val="67"/>
        </w:numPr>
        <w:spacing w:before="120" w:after="0" w:line="240" w:lineRule="auto"/>
        <w:ind w:left="567" w:hanging="218"/>
        <w:jc w:val="both"/>
        <w:rPr>
          <w:rFonts w:ascii="Arial" w:eastAsia="Times New Roman" w:hAnsi="Arial"/>
          <w:color w:val="000000" w:themeColor="text1"/>
          <w:szCs w:val="20"/>
          <w:lang w:val="en-GB" w:eastAsia="en-GB"/>
        </w:rPr>
      </w:pPr>
      <w:r w:rsidRPr="00BF2CF5">
        <w:rPr>
          <w:rFonts w:ascii="Arial" w:eastAsia="Times New Roman" w:hAnsi="Arial"/>
          <w:color w:val="000000" w:themeColor="text1"/>
          <w:szCs w:val="20"/>
          <w:lang w:val="en-GB" w:eastAsia="en-GB"/>
        </w:rPr>
        <w:t xml:space="preserve">Living in persistent low income or hardship is not only an experience that impacts negatively on children in the here-and-now, it also increases the chances of poor outcomes later in childhood and in adulthood. While much of the observed association between persistent low income and hardship (‘poverty’) and poor outcomes can be explained by other factors that drive both the ‘poverty’ and the other poor outcomes, not all of it can. There is now good evidence that childhood experience of persistent low income or material hardship can in itself have a negative impact later on. The impact operates through pathways such as: </w:t>
      </w:r>
    </w:p>
    <w:p w14:paraId="0E47383B" w14:textId="77777777" w:rsidR="00E6081B" w:rsidRPr="00BF2CF5" w:rsidRDefault="00E6081B">
      <w:pPr>
        <w:numPr>
          <w:ilvl w:val="0"/>
          <w:numId w:val="68"/>
        </w:numPr>
        <w:spacing w:before="120" w:after="0" w:line="240" w:lineRule="auto"/>
        <w:ind w:left="1134" w:hanging="322"/>
        <w:jc w:val="both"/>
        <w:rPr>
          <w:rFonts w:ascii="Arial" w:eastAsia="Times New Roman" w:hAnsi="Arial"/>
          <w:color w:val="000000" w:themeColor="text1"/>
          <w:szCs w:val="20"/>
          <w:lang w:val="en-GB" w:eastAsia="en-GB"/>
        </w:rPr>
      </w:pPr>
      <w:r w:rsidRPr="00BF2CF5">
        <w:rPr>
          <w:rFonts w:ascii="Arial" w:eastAsia="Times New Roman" w:hAnsi="Arial"/>
          <w:color w:val="000000" w:themeColor="text1"/>
          <w:szCs w:val="20"/>
          <w:lang w:val="en-GB" w:eastAsia="en-GB"/>
        </w:rPr>
        <w:t xml:space="preserve">the more limited (financial) resources available for investment in children and their development </w:t>
      </w:r>
    </w:p>
    <w:p w14:paraId="5D44EFA5" w14:textId="2966ED02" w:rsidR="00E6081B" w:rsidRPr="00BF2CF5" w:rsidRDefault="00E6081B">
      <w:pPr>
        <w:numPr>
          <w:ilvl w:val="0"/>
          <w:numId w:val="68"/>
        </w:numPr>
        <w:spacing w:before="120" w:after="0" w:line="240" w:lineRule="auto"/>
        <w:ind w:left="1134" w:hanging="322"/>
        <w:jc w:val="both"/>
        <w:rPr>
          <w:rFonts w:ascii="Arial" w:eastAsia="Times New Roman" w:hAnsi="Arial"/>
          <w:color w:val="000000" w:themeColor="text1"/>
          <w:szCs w:val="20"/>
          <w:lang w:val="en-GB" w:eastAsia="en-GB"/>
        </w:rPr>
      </w:pPr>
      <w:r w:rsidRPr="00BF2CF5">
        <w:rPr>
          <w:rFonts w:ascii="Arial" w:eastAsia="Times New Roman" w:hAnsi="Arial"/>
          <w:color w:val="000000" w:themeColor="text1"/>
          <w:szCs w:val="20"/>
          <w:lang w:val="en-GB" w:eastAsia="en-GB"/>
        </w:rPr>
        <w:t>the parental stress arising from the daily pressure of not being able to pay the bills, of having to make difficult trade-off decisions where solutions to one problem create problems of their own in another area, and from a sense of shame and disappointment at not being able to provide for the children</w:t>
      </w:r>
      <w:r>
        <w:rPr>
          <w:rFonts w:ascii="Arial" w:eastAsia="Times New Roman" w:hAnsi="Arial"/>
          <w:color w:val="000000" w:themeColor="text1"/>
          <w:szCs w:val="20"/>
          <w:lang w:val="en-GB" w:eastAsia="en-GB"/>
        </w:rPr>
        <w:t>.</w:t>
      </w:r>
    </w:p>
    <w:p w14:paraId="38AA8055" w14:textId="77777777" w:rsidR="00E6081B" w:rsidRDefault="00E6081B" w:rsidP="00E6081B">
      <w:pPr>
        <w:spacing w:after="0" w:line="240" w:lineRule="auto"/>
        <w:jc w:val="both"/>
        <w:rPr>
          <w:rFonts w:ascii="Arial" w:eastAsia="Times New Roman" w:hAnsi="Arial"/>
          <w:color w:val="000000" w:themeColor="text1"/>
          <w:szCs w:val="20"/>
          <w:lang w:val="en-GB" w:eastAsia="en-GB"/>
        </w:rPr>
      </w:pPr>
    </w:p>
    <w:p w14:paraId="000A0C3B" w14:textId="77777777" w:rsidR="00E6081B" w:rsidRPr="00BF2CF5" w:rsidRDefault="00E6081B" w:rsidP="00E6081B">
      <w:pPr>
        <w:spacing w:after="0" w:line="240" w:lineRule="auto"/>
        <w:jc w:val="both"/>
        <w:rPr>
          <w:rFonts w:ascii="Arial" w:eastAsia="Times New Roman" w:hAnsi="Arial"/>
          <w:color w:val="000000" w:themeColor="text1"/>
          <w:szCs w:val="20"/>
          <w:lang w:val="en-GB" w:eastAsia="en-GB"/>
        </w:rPr>
      </w:pPr>
      <w:r>
        <w:rPr>
          <w:rFonts w:ascii="Arial" w:eastAsia="Times New Roman" w:hAnsi="Arial"/>
          <w:color w:val="000000" w:themeColor="text1"/>
          <w:szCs w:val="20"/>
          <w:lang w:val="en-GB" w:eastAsia="en-GB"/>
        </w:rPr>
        <w:t xml:space="preserve">The </w:t>
      </w:r>
      <w:r w:rsidRPr="00BF2CF5">
        <w:rPr>
          <w:rFonts w:ascii="Arial" w:eastAsia="Times New Roman" w:hAnsi="Arial"/>
          <w:color w:val="000000" w:themeColor="text1"/>
          <w:szCs w:val="20"/>
          <w:lang w:val="en-GB" w:eastAsia="en-GB"/>
        </w:rPr>
        <w:t xml:space="preserve">fact that the negative impacts show up across multiple domains </w:t>
      </w:r>
      <w:r>
        <w:rPr>
          <w:rFonts w:ascii="Arial" w:eastAsia="Times New Roman" w:hAnsi="Arial"/>
          <w:color w:val="000000" w:themeColor="text1"/>
          <w:szCs w:val="20"/>
          <w:lang w:val="en-GB" w:eastAsia="en-GB"/>
        </w:rPr>
        <w:t>contributes</w:t>
      </w:r>
      <w:r w:rsidRPr="00BF2CF5">
        <w:rPr>
          <w:rFonts w:ascii="Arial" w:eastAsia="Times New Roman" w:hAnsi="Arial"/>
          <w:color w:val="000000" w:themeColor="text1"/>
          <w:szCs w:val="20"/>
          <w:lang w:val="en-GB" w:eastAsia="en-GB"/>
        </w:rPr>
        <w:t xml:space="preserve"> to a larger cumulative impact</w:t>
      </w:r>
      <w:r>
        <w:rPr>
          <w:rFonts w:ascii="Arial" w:eastAsia="Times New Roman" w:hAnsi="Arial"/>
          <w:color w:val="000000" w:themeColor="text1"/>
          <w:szCs w:val="20"/>
          <w:lang w:val="en-GB" w:eastAsia="en-GB"/>
        </w:rPr>
        <w:t xml:space="preserve"> that is greater than the sum of the negative impacts taken one at a time.</w:t>
      </w:r>
      <w:r w:rsidRPr="00BF2CF5">
        <w:rPr>
          <w:rFonts w:ascii="Arial" w:eastAsia="Times New Roman" w:hAnsi="Arial"/>
          <w:color w:val="000000" w:themeColor="text1"/>
          <w:szCs w:val="20"/>
          <w:lang w:val="en-GB" w:eastAsia="en-GB"/>
        </w:rPr>
        <w:t xml:space="preserve"> </w:t>
      </w:r>
    </w:p>
    <w:p w14:paraId="2EBA2618" w14:textId="77777777" w:rsidR="00E6081B" w:rsidRDefault="00E6081B" w:rsidP="00E6081B">
      <w:pPr>
        <w:spacing w:after="0" w:line="240" w:lineRule="auto"/>
        <w:jc w:val="both"/>
        <w:rPr>
          <w:rFonts w:ascii="Arial" w:eastAsia="Times New Roman" w:hAnsi="Arial"/>
          <w:color w:val="000000" w:themeColor="text1"/>
          <w:szCs w:val="20"/>
          <w:lang w:val="en-GB" w:eastAsia="en-GB"/>
        </w:rPr>
      </w:pPr>
      <w:bookmarkStart w:id="6" w:name="_Hlk115087380"/>
    </w:p>
    <w:p w14:paraId="1C83F4A0" w14:textId="7CC8643B" w:rsidR="00E6081B" w:rsidRDefault="00E6081B" w:rsidP="00E6081B">
      <w:pPr>
        <w:spacing w:after="0" w:line="240" w:lineRule="auto"/>
        <w:jc w:val="both"/>
        <w:rPr>
          <w:rFonts w:ascii="Arial" w:eastAsia="Times New Roman" w:hAnsi="Arial"/>
          <w:color w:val="000000" w:themeColor="text1"/>
          <w:szCs w:val="20"/>
          <w:lang w:val="en-GB" w:eastAsia="en-GB"/>
        </w:rPr>
      </w:pPr>
      <w:r>
        <w:rPr>
          <w:rFonts w:ascii="Arial" w:eastAsia="Times New Roman" w:hAnsi="Arial"/>
          <w:color w:val="000000" w:themeColor="text1"/>
          <w:szCs w:val="20"/>
          <w:lang w:val="en-GB" w:eastAsia="en-GB"/>
        </w:rPr>
        <w:t xml:space="preserve">In addition to the diminished life chances, the assault on dignity and self-worth and the undermining of life satisfaction, child poverty </w:t>
      </w:r>
      <w:r w:rsidRPr="00BF2CF5">
        <w:rPr>
          <w:rFonts w:ascii="Arial" w:eastAsia="Times New Roman" w:hAnsi="Arial"/>
          <w:color w:val="000000" w:themeColor="text1"/>
          <w:szCs w:val="20"/>
          <w:lang w:val="en-GB" w:eastAsia="en-GB"/>
        </w:rPr>
        <w:t>is al</w:t>
      </w:r>
      <w:r>
        <w:rPr>
          <w:rFonts w:ascii="Arial" w:eastAsia="Times New Roman" w:hAnsi="Arial"/>
          <w:color w:val="000000" w:themeColor="text1"/>
          <w:szCs w:val="20"/>
          <w:lang w:val="en-GB" w:eastAsia="en-GB"/>
        </w:rPr>
        <w:t>so</w:t>
      </w:r>
      <w:r w:rsidRPr="00BF2CF5">
        <w:rPr>
          <w:rFonts w:ascii="Arial" w:eastAsia="Times New Roman" w:hAnsi="Arial"/>
          <w:color w:val="000000" w:themeColor="text1"/>
          <w:szCs w:val="20"/>
          <w:lang w:val="en-GB" w:eastAsia="en-GB"/>
        </w:rPr>
        <w:t xml:space="preserve"> costly</w:t>
      </w:r>
      <w:r>
        <w:rPr>
          <w:rFonts w:ascii="Arial" w:eastAsia="Times New Roman" w:hAnsi="Arial"/>
          <w:color w:val="000000" w:themeColor="text1"/>
          <w:szCs w:val="20"/>
          <w:lang w:val="en-GB" w:eastAsia="en-GB"/>
        </w:rPr>
        <w:t xml:space="preserve"> in a fiscal sense </w:t>
      </w:r>
      <w:r w:rsidRPr="00BF2CF5">
        <w:rPr>
          <w:rFonts w:ascii="Arial" w:eastAsia="Times New Roman" w:hAnsi="Arial"/>
          <w:color w:val="000000" w:themeColor="text1"/>
          <w:szCs w:val="20"/>
          <w:lang w:val="en-GB" w:eastAsia="en-GB"/>
        </w:rPr>
        <w:t>for society as a whole through higher health costs, lower employment, lower wages, lower tax revenue and lower productivity</w:t>
      </w:r>
      <w:r>
        <w:rPr>
          <w:rFonts w:ascii="Arial" w:eastAsia="Times New Roman" w:hAnsi="Arial"/>
          <w:color w:val="000000" w:themeColor="text1"/>
          <w:szCs w:val="20"/>
          <w:lang w:val="en-GB" w:eastAsia="en-GB"/>
        </w:rPr>
        <w:t>.</w:t>
      </w:r>
    </w:p>
    <w:p w14:paraId="557D6AD1" w14:textId="77777777" w:rsidR="00E6081B" w:rsidRDefault="00E6081B" w:rsidP="00E6081B">
      <w:pPr>
        <w:spacing w:after="0" w:line="240" w:lineRule="auto"/>
        <w:jc w:val="both"/>
        <w:rPr>
          <w:rFonts w:ascii="Arial" w:eastAsia="Times New Roman" w:hAnsi="Arial"/>
          <w:color w:val="000000" w:themeColor="text1"/>
          <w:szCs w:val="20"/>
          <w:lang w:val="en-GB" w:eastAsia="en-GB"/>
        </w:rPr>
      </w:pPr>
    </w:p>
    <w:p w14:paraId="2CAA33E8" w14:textId="5EA7C065" w:rsidR="003241C6" w:rsidRDefault="00E6081B" w:rsidP="00E6081B">
      <w:pPr>
        <w:spacing w:after="0" w:line="240" w:lineRule="auto"/>
        <w:jc w:val="both"/>
        <w:rPr>
          <w:rFonts w:ascii="Arial" w:eastAsia="Times New Roman" w:hAnsi="Arial"/>
          <w:color w:val="000000" w:themeColor="text1"/>
          <w:szCs w:val="20"/>
          <w:lang w:eastAsia="en-GB"/>
        </w:rPr>
      </w:pPr>
      <w:r>
        <w:rPr>
          <w:rFonts w:ascii="Arial" w:eastAsia="Times New Roman" w:hAnsi="Arial"/>
          <w:color w:val="000000" w:themeColor="text1"/>
          <w:szCs w:val="20"/>
          <w:lang w:val="en-GB" w:eastAsia="en-GB"/>
        </w:rPr>
        <w:t xml:space="preserve">Finally, we have international </w:t>
      </w:r>
      <w:r w:rsidR="003241C6">
        <w:rPr>
          <w:rFonts w:ascii="Arial" w:eastAsia="Times New Roman" w:hAnsi="Arial"/>
          <w:color w:val="000000" w:themeColor="text1"/>
          <w:szCs w:val="20"/>
          <w:lang w:val="en-GB" w:eastAsia="en-GB"/>
        </w:rPr>
        <w:t xml:space="preserve">treaty </w:t>
      </w:r>
      <w:r>
        <w:rPr>
          <w:rFonts w:ascii="Arial" w:eastAsia="Times New Roman" w:hAnsi="Arial"/>
          <w:color w:val="000000" w:themeColor="text1"/>
          <w:szCs w:val="20"/>
          <w:lang w:val="en-GB" w:eastAsia="en-GB"/>
        </w:rPr>
        <w:t>obligations</w:t>
      </w:r>
      <w:r w:rsidR="003241C6">
        <w:rPr>
          <w:rFonts w:ascii="Arial" w:eastAsia="Times New Roman" w:hAnsi="Arial"/>
          <w:color w:val="000000" w:themeColor="text1"/>
          <w:szCs w:val="20"/>
          <w:lang w:val="en-GB" w:eastAsia="en-GB"/>
        </w:rPr>
        <w:t xml:space="preserve">, the main one being the </w:t>
      </w:r>
      <w:r w:rsidR="003241C6" w:rsidRPr="00D524E0">
        <w:rPr>
          <w:rFonts w:ascii="Arial" w:eastAsia="Times New Roman" w:hAnsi="Arial"/>
          <w:color w:val="000000" w:themeColor="text1"/>
          <w:szCs w:val="20"/>
          <w:lang w:val="en-GB" w:eastAsia="en-GB"/>
        </w:rPr>
        <w:t>U</w:t>
      </w:r>
      <w:r w:rsidR="003241C6" w:rsidRPr="00D524E0">
        <w:rPr>
          <w:rFonts w:ascii="Arial" w:eastAsia="Times New Roman" w:hAnsi="Arial"/>
          <w:color w:val="000000" w:themeColor="text1"/>
          <w:szCs w:val="20"/>
          <w:lang w:eastAsia="en-GB"/>
        </w:rPr>
        <w:t>nited Nations Convention on the Rights of the Child (UNCRC)</w:t>
      </w:r>
      <w:r w:rsidR="003241C6">
        <w:rPr>
          <w:rFonts w:ascii="Arial" w:eastAsia="Times New Roman" w:hAnsi="Arial"/>
          <w:b/>
          <w:bCs/>
          <w:color w:val="000000" w:themeColor="text1"/>
          <w:szCs w:val="20"/>
          <w:lang w:eastAsia="en-GB"/>
        </w:rPr>
        <w:t xml:space="preserve"> </w:t>
      </w:r>
      <w:r w:rsidR="003241C6" w:rsidRPr="003241C6">
        <w:rPr>
          <w:rFonts w:ascii="Arial" w:eastAsia="Times New Roman" w:hAnsi="Arial"/>
          <w:color w:val="000000" w:themeColor="text1"/>
          <w:szCs w:val="20"/>
          <w:lang w:eastAsia="en-GB"/>
        </w:rPr>
        <w:t>which New Zealand ratified in 1993.</w:t>
      </w:r>
      <w:r w:rsidR="003241C6">
        <w:rPr>
          <w:rFonts w:ascii="Arial" w:eastAsia="Times New Roman" w:hAnsi="Arial"/>
          <w:b/>
          <w:bCs/>
          <w:color w:val="000000" w:themeColor="text1"/>
          <w:szCs w:val="20"/>
          <w:lang w:eastAsia="en-GB"/>
        </w:rPr>
        <w:t xml:space="preserve"> </w:t>
      </w:r>
      <w:r w:rsidR="003241C6" w:rsidRPr="003241C6">
        <w:rPr>
          <w:rFonts w:ascii="Arial" w:eastAsia="Times New Roman" w:hAnsi="Arial"/>
          <w:color w:val="000000" w:themeColor="text1"/>
          <w:szCs w:val="20"/>
          <w:lang w:eastAsia="en-GB"/>
        </w:rPr>
        <w:t>Under Article 27, New Zealand is obligated to recognize the right of every child to a standard of living adequate for their physical, mental, spiritual, moral, and social development. It mandates that the government take appropriate measures to assist parents and guardians in fulfilling this right.</w:t>
      </w:r>
    </w:p>
    <w:p w14:paraId="3BB93C2F" w14:textId="77777777" w:rsidR="000418AB" w:rsidRDefault="000418AB" w:rsidP="00E6081B">
      <w:pPr>
        <w:spacing w:after="0" w:line="240" w:lineRule="auto"/>
        <w:jc w:val="both"/>
        <w:rPr>
          <w:rFonts w:ascii="Arial" w:eastAsia="Times New Roman" w:hAnsi="Arial"/>
          <w:color w:val="000000" w:themeColor="text1"/>
          <w:szCs w:val="20"/>
          <w:lang w:eastAsia="en-GB"/>
        </w:rPr>
      </w:pPr>
    </w:p>
    <w:p w14:paraId="4C4BF1B8" w14:textId="31C3F96E" w:rsidR="000418AB" w:rsidRDefault="000418AB" w:rsidP="002B04DB">
      <w:pPr>
        <w:spacing w:after="60" w:line="240" w:lineRule="auto"/>
        <w:jc w:val="both"/>
        <w:rPr>
          <w:rFonts w:ascii="Arial" w:eastAsia="Times New Roman" w:hAnsi="Arial"/>
          <w:color w:val="000000" w:themeColor="text1"/>
          <w:szCs w:val="20"/>
          <w:lang w:eastAsia="en-GB"/>
        </w:rPr>
      </w:pPr>
      <w:r>
        <w:rPr>
          <w:rFonts w:ascii="Arial" w:eastAsia="Times New Roman" w:hAnsi="Arial"/>
          <w:color w:val="000000" w:themeColor="text1"/>
          <w:szCs w:val="20"/>
          <w:lang w:eastAsia="en-GB"/>
        </w:rPr>
        <w:t xml:space="preserve">New Zealand also committed (in 2015) to the UN’s 2030 Agenda which includes a commitment to the </w:t>
      </w:r>
      <w:r w:rsidRPr="00D524E0">
        <w:rPr>
          <w:rFonts w:ascii="Arial" w:eastAsia="Times New Roman" w:hAnsi="Arial"/>
          <w:color w:val="000000" w:themeColor="text1"/>
          <w:szCs w:val="20"/>
          <w:lang w:eastAsia="en-GB"/>
        </w:rPr>
        <w:t>UN’s Sustainable Development Goals (SDGs).</w:t>
      </w:r>
      <w:r>
        <w:rPr>
          <w:rFonts w:ascii="Arial" w:eastAsia="Times New Roman" w:hAnsi="Arial"/>
          <w:color w:val="000000" w:themeColor="text1"/>
          <w:szCs w:val="20"/>
          <w:lang w:eastAsia="en-GB"/>
        </w:rPr>
        <w:t xml:space="preserve"> Two of the SDGs are of direct relevance to the measurement and addressing of child poverty:</w:t>
      </w:r>
    </w:p>
    <w:p w14:paraId="4F66BA5E" w14:textId="51FF01BB" w:rsidR="002B04DB" w:rsidRPr="002B04DB" w:rsidRDefault="00F037F2">
      <w:pPr>
        <w:pStyle w:val="ListParagraph"/>
        <w:numPr>
          <w:ilvl w:val="0"/>
          <w:numId w:val="87"/>
        </w:numPr>
        <w:spacing w:after="60" w:line="240" w:lineRule="auto"/>
        <w:contextualSpacing w:val="0"/>
        <w:jc w:val="both"/>
        <w:rPr>
          <w:rFonts w:ascii="Arial" w:eastAsia="Times New Roman" w:hAnsi="Arial"/>
          <w:i/>
          <w:iCs/>
          <w:color w:val="000000" w:themeColor="text1"/>
          <w:szCs w:val="20"/>
          <w:lang w:eastAsia="en-GB"/>
        </w:rPr>
      </w:pPr>
      <w:r w:rsidRPr="002B04DB">
        <w:rPr>
          <w:rFonts w:ascii="Arial" w:eastAsia="Times New Roman" w:hAnsi="Arial"/>
          <w:color w:val="000000" w:themeColor="text1"/>
          <w:szCs w:val="20"/>
          <w:u w:val="single"/>
          <w:lang w:eastAsia="en-GB"/>
        </w:rPr>
        <w:t>SDG 1: No Poverty</w:t>
      </w:r>
      <w:r w:rsidRPr="002B04DB">
        <w:rPr>
          <w:rFonts w:ascii="Arial" w:eastAsia="Times New Roman" w:hAnsi="Arial"/>
          <w:color w:val="000000" w:themeColor="text1"/>
          <w:szCs w:val="20"/>
          <w:lang w:eastAsia="en-GB"/>
        </w:rPr>
        <w:t xml:space="preserve"> </w:t>
      </w:r>
      <w:r w:rsidR="002B04DB" w:rsidRPr="002B04DB">
        <w:rPr>
          <w:rFonts w:ascii="Arial" w:eastAsia="Times New Roman" w:hAnsi="Arial"/>
          <w:color w:val="000000" w:themeColor="text1"/>
          <w:szCs w:val="20"/>
          <w:lang w:eastAsia="en-GB"/>
        </w:rPr>
        <w:t>–</w:t>
      </w:r>
      <w:r w:rsidRPr="002B04DB">
        <w:rPr>
          <w:rFonts w:ascii="Arial" w:eastAsia="Times New Roman" w:hAnsi="Arial"/>
          <w:color w:val="000000" w:themeColor="text1"/>
          <w:szCs w:val="20"/>
          <w:lang w:eastAsia="en-GB"/>
        </w:rPr>
        <w:t xml:space="preserve"> </w:t>
      </w:r>
      <w:r w:rsidR="002B04DB" w:rsidRPr="002B04DB">
        <w:rPr>
          <w:rFonts w:ascii="Arial" w:eastAsia="Times New Roman" w:hAnsi="Arial"/>
          <w:color w:val="000000" w:themeColor="text1"/>
          <w:szCs w:val="20"/>
          <w:lang w:eastAsia="en-GB"/>
        </w:rPr>
        <w:t xml:space="preserve">End poverty in all its forms everywhere. The target of particular relevance for New Zealand and other similar countries is </w:t>
      </w:r>
      <w:r w:rsidR="002B04DB" w:rsidRPr="002B04DB">
        <w:rPr>
          <w:rFonts w:ascii="Arial" w:eastAsia="Times New Roman" w:hAnsi="Arial"/>
          <w:i/>
          <w:iCs/>
          <w:color w:val="000000" w:themeColor="text1"/>
          <w:szCs w:val="20"/>
          <w:lang w:eastAsia="en-GB"/>
        </w:rPr>
        <w:t>"By 2030, reduce at least by half the proportion of men, women and children of all ages living in poverty in all its dimensions according to national definitions."</w:t>
      </w:r>
    </w:p>
    <w:p w14:paraId="2DDC2613" w14:textId="3174578E" w:rsidR="00F037F2" w:rsidRPr="002B04DB" w:rsidRDefault="00F037F2">
      <w:pPr>
        <w:pStyle w:val="ListParagraph"/>
        <w:numPr>
          <w:ilvl w:val="0"/>
          <w:numId w:val="87"/>
        </w:numPr>
        <w:spacing w:after="0" w:line="240" w:lineRule="auto"/>
        <w:jc w:val="both"/>
        <w:rPr>
          <w:rFonts w:ascii="Arial" w:eastAsia="Times New Roman" w:hAnsi="Arial"/>
          <w:color w:val="000000" w:themeColor="text1"/>
          <w:szCs w:val="20"/>
          <w:lang w:val="en-GB" w:eastAsia="en-GB"/>
        </w:rPr>
      </w:pPr>
      <w:r w:rsidRPr="002B04DB">
        <w:rPr>
          <w:rFonts w:ascii="Arial" w:eastAsia="Times New Roman" w:hAnsi="Arial"/>
          <w:color w:val="000000" w:themeColor="text1"/>
          <w:szCs w:val="20"/>
          <w:u w:val="single"/>
          <w:lang w:eastAsia="en-GB"/>
        </w:rPr>
        <w:t>SDG 2: Zero Hunger</w:t>
      </w:r>
      <w:r w:rsidRPr="002B04DB">
        <w:rPr>
          <w:rFonts w:ascii="Arial" w:eastAsia="Times New Roman" w:hAnsi="Arial"/>
          <w:color w:val="000000" w:themeColor="text1"/>
          <w:szCs w:val="20"/>
          <w:lang w:eastAsia="en-GB"/>
        </w:rPr>
        <w:t xml:space="preserve"> - Aims to end malnutrition and stunting in children under five, ensuring every child has access to safe, nutritious food.</w:t>
      </w:r>
    </w:p>
    <w:bookmarkEnd w:id="6"/>
    <w:p w14:paraId="0D4C52A8" w14:textId="77777777" w:rsidR="00E6081B" w:rsidRPr="00BF2CF5" w:rsidRDefault="00E6081B" w:rsidP="00E6081B">
      <w:pPr>
        <w:spacing w:after="0" w:line="240" w:lineRule="auto"/>
        <w:rPr>
          <w:rFonts w:ascii="Arial" w:hAnsi="Arial"/>
          <w:color w:val="000000" w:themeColor="text1"/>
        </w:rPr>
      </w:pPr>
    </w:p>
    <w:p w14:paraId="0101595A" w14:textId="77777777" w:rsidR="00A67B7E" w:rsidRDefault="00A67B7E">
      <w:pPr>
        <w:spacing w:after="0" w:line="240" w:lineRule="auto"/>
        <w:rPr>
          <w:rFonts w:ascii="Arial" w:hAnsi="Arial"/>
          <w:b/>
          <w:bCs/>
          <w:color w:val="0D0D0D" w:themeColor="text1" w:themeTint="F2"/>
          <w:szCs w:val="20"/>
        </w:rPr>
      </w:pPr>
      <w:r>
        <w:rPr>
          <w:rFonts w:ascii="Arial" w:hAnsi="Arial"/>
          <w:b/>
          <w:bCs/>
          <w:color w:val="0D0D0D" w:themeColor="text1" w:themeTint="F2"/>
          <w:szCs w:val="20"/>
        </w:rPr>
        <w:br w:type="page"/>
      </w:r>
    </w:p>
    <w:p w14:paraId="207AFC3B" w14:textId="7AF76C44" w:rsidR="00C276D0" w:rsidRPr="00E45919" w:rsidRDefault="00E45919" w:rsidP="00C276D0">
      <w:pPr>
        <w:spacing w:after="0" w:line="240" w:lineRule="auto"/>
        <w:rPr>
          <w:rFonts w:ascii="Arial" w:hAnsi="Arial"/>
          <w:b/>
          <w:bCs/>
          <w:color w:val="0D0D0D" w:themeColor="text1" w:themeTint="F2"/>
          <w:szCs w:val="20"/>
        </w:rPr>
      </w:pPr>
      <w:r w:rsidRPr="00E45919">
        <w:rPr>
          <w:rFonts w:ascii="Arial" w:hAnsi="Arial"/>
          <w:b/>
          <w:bCs/>
          <w:color w:val="0D0D0D" w:themeColor="text1" w:themeTint="F2"/>
          <w:szCs w:val="20"/>
        </w:rPr>
        <w:lastRenderedPageBreak/>
        <w:t xml:space="preserve">Factors that impact on current levels of </w:t>
      </w:r>
      <w:r w:rsidR="00CC3032">
        <w:rPr>
          <w:rFonts w:ascii="Arial" w:hAnsi="Arial"/>
          <w:b/>
          <w:bCs/>
          <w:color w:val="0D0D0D" w:themeColor="text1" w:themeTint="F2"/>
          <w:szCs w:val="20"/>
        </w:rPr>
        <w:t xml:space="preserve">child </w:t>
      </w:r>
      <w:r w:rsidRPr="00E45919">
        <w:rPr>
          <w:rFonts w:ascii="Arial" w:hAnsi="Arial"/>
          <w:b/>
          <w:bCs/>
          <w:color w:val="0D0D0D" w:themeColor="text1" w:themeTint="F2"/>
          <w:szCs w:val="20"/>
        </w:rPr>
        <w:t>poverty as measured by material hardship indices and</w:t>
      </w:r>
      <w:r w:rsidR="00CC3032">
        <w:rPr>
          <w:rFonts w:ascii="Arial" w:hAnsi="Arial"/>
          <w:b/>
          <w:bCs/>
          <w:color w:val="0D0D0D" w:themeColor="text1" w:themeTint="F2"/>
          <w:szCs w:val="20"/>
        </w:rPr>
        <w:t xml:space="preserve"> household</w:t>
      </w:r>
      <w:r w:rsidRPr="00E45919">
        <w:rPr>
          <w:rFonts w:ascii="Arial" w:hAnsi="Arial"/>
          <w:b/>
          <w:bCs/>
          <w:color w:val="0D0D0D" w:themeColor="text1" w:themeTint="F2"/>
          <w:szCs w:val="20"/>
        </w:rPr>
        <w:t xml:space="preserve"> low-income rates</w:t>
      </w:r>
    </w:p>
    <w:p w14:paraId="2745DA74" w14:textId="77777777" w:rsidR="00E45919" w:rsidRDefault="00E45919" w:rsidP="00C276D0">
      <w:pPr>
        <w:spacing w:after="0" w:line="240" w:lineRule="auto"/>
        <w:rPr>
          <w:rFonts w:ascii="Arial" w:hAnsi="Arial"/>
          <w:color w:val="0000FF"/>
          <w:szCs w:val="20"/>
        </w:rPr>
      </w:pPr>
    </w:p>
    <w:p w14:paraId="33321EB2" w14:textId="77777777" w:rsidR="00AA4F22" w:rsidRDefault="00B34896" w:rsidP="00C276D0">
      <w:pPr>
        <w:spacing w:after="0" w:line="240" w:lineRule="auto"/>
        <w:rPr>
          <w:rFonts w:ascii="Arial" w:hAnsi="Arial"/>
          <w:color w:val="0D0D0D" w:themeColor="text1" w:themeTint="F2"/>
          <w:szCs w:val="20"/>
        </w:rPr>
      </w:pPr>
      <w:r>
        <w:rPr>
          <w:rFonts w:ascii="Arial" w:hAnsi="Arial"/>
          <w:color w:val="0D0D0D" w:themeColor="text1" w:themeTint="F2"/>
          <w:szCs w:val="20"/>
        </w:rPr>
        <w:t>There are a wide range of factors that impact c</w:t>
      </w:r>
      <w:r w:rsidR="0088646B">
        <w:rPr>
          <w:rFonts w:ascii="Arial" w:hAnsi="Arial"/>
          <w:color w:val="0D0D0D" w:themeColor="text1" w:themeTint="F2"/>
          <w:szCs w:val="20"/>
        </w:rPr>
        <w:t xml:space="preserve">urrent levels of poverty </w:t>
      </w:r>
      <w:r w:rsidR="00CC3032">
        <w:rPr>
          <w:rFonts w:ascii="Arial" w:hAnsi="Arial"/>
          <w:color w:val="0D0D0D" w:themeColor="text1" w:themeTint="F2"/>
          <w:szCs w:val="20"/>
        </w:rPr>
        <w:t>as measured through surveys of people in private dwellings</w:t>
      </w:r>
      <w:r>
        <w:rPr>
          <w:rFonts w:ascii="Arial" w:hAnsi="Arial"/>
          <w:color w:val="0D0D0D" w:themeColor="text1" w:themeTint="F2"/>
          <w:szCs w:val="20"/>
        </w:rPr>
        <w:t xml:space="preserve">, </w:t>
      </w:r>
      <w:r w:rsidR="0088646B">
        <w:rPr>
          <w:rFonts w:ascii="Arial" w:hAnsi="Arial"/>
          <w:color w:val="0D0D0D" w:themeColor="text1" w:themeTint="F2"/>
          <w:szCs w:val="20"/>
        </w:rPr>
        <w:t xml:space="preserve">both household level variables and wider social and economic factors. </w:t>
      </w:r>
      <w:r w:rsidR="00AA4F22">
        <w:rPr>
          <w:rFonts w:ascii="Arial" w:hAnsi="Arial"/>
          <w:color w:val="0D0D0D" w:themeColor="text1" w:themeTint="F2"/>
          <w:szCs w:val="20"/>
        </w:rPr>
        <w:t xml:space="preserve"> </w:t>
      </w:r>
    </w:p>
    <w:p w14:paraId="690AD79D" w14:textId="77777777" w:rsidR="00AA4F22" w:rsidRDefault="00AA4F22" w:rsidP="00C276D0">
      <w:pPr>
        <w:spacing w:after="0" w:line="240" w:lineRule="auto"/>
        <w:rPr>
          <w:rFonts w:ascii="Arial" w:hAnsi="Arial"/>
          <w:color w:val="0D0D0D" w:themeColor="text1" w:themeTint="F2"/>
          <w:szCs w:val="20"/>
        </w:rPr>
      </w:pPr>
    </w:p>
    <w:p w14:paraId="292B3029" w14:textId="24D0604B" w:rsidR="00C276D0" w:rsidRDefault="00AA4F22" w:rsidP="00C276D0">
      <w:pPr>
        <w:spacing w:after="0" w:line="240" w:lineRule="auto"/>
        <w:rPr>
          <w:rFonts w:ascii="Arial" w:hAnsi="Arial"/>
          <w:color w:val="0D0D0D" w:themeColor="text1" w:themeTint="F2"/>
          <w:szCs w:val="20"/>
        </w:rPr>
      </w:pPr>
      <w:r>
        <w:rPr>
          <w:rFonts w:ascii="Arial" w:hAnsi="Arial"/>
          <w:color w:val="0D0D0D" w:themeColor="text1" w:themeTint="F2"/>
          <w:szCs w:val="20"/>
        </w:rPr>
        <w:t xml:space="preserve">The framework in Figure A.1 above is a useful schema to underline at a very simple level that there are many factors involved in determining current levels of material hardship or low-income rates. The more developed stylised schema in Appendix 17 in MSD’s 2019 Household Incomes Report elaborates in more detail – see </w:t>
      </w:r>
      <w:hyperlink r:id="rId24" w:history="1">
        <w:r w:rsidRPr="004C3661">
          <w:rPr>
            <w:rStyle w:val="Hyperlink"/>
            <w:rFonts w:ascii="Arial" w:hAnsi="Arial"/>
            <w:szCs w:val="20"/>
            <w14:textFill>
              <w14:solidFill>
                <w14:srgbClr w14:val="0000FF">
                  <w14:lumMod w14:val="95000"/>
                  <w14:lumOff w14:val="5000"/>
                </w14:srgbClr>
              </w14:solidFill>
            </w14:textFill>
          </w:rPr>
          <w:t>https://www.msd.govt.nz/about-msd-and-our-work/publications-resources/monitoring/household-incomes/household-incomes-1982-to-2018.html</w:t>
        </w:r>
      </w:hyperlink>
      <w:r>
        <w:rPr>
          <w:rFonts w:ascii="Arial" w:hAnsi="Arial"/>
          <w:color w:val="0D0D0D" w:themeColor="text1" w:themeTint="F2"/>
          <w:szCs w:val="20"/>
        </w:rPr>
        <w:t>.</w:t>
      </w:r>
    </w:p>
    <w:p w14:paraId="53635409" w14:textId="77777777" w:rsidR="00AA4F22" w:rsidRDefault="00AA4F22" w:rsidP="00C276D0">
      <w:pPr>
        <w:spacing w:after="0" w:line="240" w:lineRule="auto"/>
        <w:rPr>
          <w:rFonts w:ascii="Arial" w:hAnsi="Arial"/>
          <w:color w:val="0D0D0D" w:themeColor="text1" w:themeTint="F2"/>
          <w:szCs w:val="20"/>
        </w:rPr>
      </w:pPr>
    </w:p>
    <w:p w14:paraId="78E36EBB" w14:textId="05F56423" w:rsidR="00C276D0" w:rsidRPr="00777AB6" w:rsidRDefault="00B34896" w:rsidP="006E2907">
      <w:pPr>
        <w:spacing w:after="0" w:line="240" w:lineRule="auto"/>
        <w:rPr>
          <w:rFonts w:ascii="Arial" w:hAnsi="Arial"/>
          <w:color w:val="0000FF"/>
          <w:szCs w:val="20"/>
        </w:rPr>
      </w:pPr>
      <w:r>
        <w:rPr>
          <w:rFonts w:ascii="Arial" w:hAnsi="Arial"/>
          <w:color w:val="0D0D0D" w:themeColor="text1" w:themeTint="F2"/>
          <w:szCs w:val="20"/>
        </w:rPr>
        <w:t xml:space="preserve">A synthesis of the literature on this theme is </w:t>
      </w:r>
      <w:r w:rsidR="006E2907">
        <w:rPr>
          <w:rFonts w:ascii="Arial" w:hAnsi="Arial"/>
          <w:color w:val="0D0D0D" w:themeColor="text1" w:themeTint="F2"/>
          <w:szCs w:val="20"/>
        </w:rPr>
        <w:t xml:space="preserve">currently </w:t>
      </w:r>
      <w:r>
        <w:rPr>
          <w:rFonts w:ascii="Arial" w:hAnsi="Arial"/>
          <w:color w:val="0D0D0D" w:themeColor="text1" w:themeTint="F2"/>
          <w:szCs w:val="20"/>
        </w:rPr>
        <w:t>beyond the scope of this report</w:t>
      </w:r>
      <w:r w:rsidR="001610AD">
        <w:rPr>
          <w:rFonts w:ascii="Arial" w:hAnsi="Arial"/>
          <w:color w:val="0D0D0D" w:themeColor="text1" w:themeTint="F2"/>
          <w:szCs w:val="20"/>
        </w:rPr>
        <w:t>.</w:t>
      </w:r>
      <w:r w:rsidR="006E2907">
        <w:rPr>
          <w:rStyle w:val="FootnoteReference"/>
          <w:rFonts w:ascii="Arial" w:hAnsi="Arial"/>
          <w:color w:val="0D0D0D" w:themeColor="text1" w:themeTint="F2"/>
          <w:szCs w:val="20"/>
        </w:rPr>
        <w:footnoteReference w:id="33"/>
      </w:r>
      <w:r>
        <w:rPr>
          <w:rFonts w:ascii="Arial" w:hAnsi="Arial"/>
          <w:color w:val="0D0D0D" w:themeColor="text1" w:themeTint="F2"/>
          <w:szCs w:val="20"/>
        </w:rPr>
        <w:t xml:space="preserve"> </w:t>
      </w:r>
    </w:p>
    <w:p w14:paraId="78DE3F28" w14:textId="22E449EE" w:rsidR="00610D0B" w:rsidRDefault="00406906">
      <w:pPr>
        <w:spacing w:after="0" w:line="240" w:lineRule="auto"/>
        <w:rPr>
          <w:rFonts w:ascii="Arial" w:hAnsi="Arial"/>
          <w:b/>
          <w:bCs/>
          <w:color w:val="000000" w:themeColor="text1"/>
          <w:sz w:val="36"/>
          <w:szCs w:val="36"/>
        </w:rPr>
      </w:pPr>
      <w:r>
        <w:rPr>
          <w:rFonts w:ascii="Arial" w:hAnsi="Arial"/>
          <w:b/>
          <w:bCs/>
          <w:noProof/>
          <w:color w:val="000000" w:themeColor="text1"/>
          <w:sz w:val="36"/>
          <w:szCs w:val="36"/>
        </w:rPr>
        <mc:AlternateContent>
          <mc:Choice Requires="wps">
            <w:drawing>
              <wp:anchor distT="0" distB="0" distL="114300" distR="114300" simplePos="0" relativeHeight="253188096" behindDoc="0" locked="0" layoutInCell="1" allowOverlap="1" wp14:anchorId="2AF4FC90" wp14:editId="0FFA72AF">
                <wp:simplePos x="0" y="0"/>
                <wp:positionH relativeFrom="column">
                  <wp:posOffset>273050</wp:posOffset>
                </wp:positionH>
                <wp:positionV relativeFrom="paragraph">
                  <wp:posOffset>342265</wp:posOffset>
                </wp:positionV>
                <wp:extent cx="5257800" cy="5683250"/>
                <wp:effectExtent l="0" t="0" r="19050" b="12700"/>
                <wp:wrapNone/>
                <wp:docPr id="1775164730" name="Text Box 29"/>
                <wp:cNvGraphicFramePr/>
                <a:graphic xmlns:a="http://schemas.openxmlformats.org/drawingml/2006/main">
                  <a:graphicData uri="http://schemas.microsoft.com/office/word/2010/wordprocessingShape">
                    <wps:wsp>
                      <wps:cNvSpPr txBox="1"/>
                      <wps:spPr>
                        <a:xfrm>
                          <a:off x="0" y="0"/>
                          <a:ext cx="5257800" cy="5683250"/>
                        </a:xfrm>
                        <a:prstGeom prst="rect">
                          <a:avLst/>
                        </a:prstGeom>
                        <a:solidFill>
                          <a:schemeClr val="lt1"/>
                        </a:solidFill>
                        <a:ln w="6350">
                          <a:solidFill>
                            <a:prstClr val="black"/>
                          </a:solidFill>
                        </a:ln>
                      </wps:spPr>
                      <wps:txbx>
                        <w:txbxContent>
                          <w:p w14:paraId="32044FA3" w14:textId="38EA52F8" w:rsidR="00406906" w:rsidRDefault="00F5494A" w:rsidP="00F5494A">
                            <w:pPr>
                              <w:spacing w:after="0" w:line="240" w:lineRule="auto"/>
                              <w:jc w:val="center"/>
                              <w:rPr>
                                <w:rFonts w:ascii="Arial" w:hAnsi="Arial"/>
                                <w:b/>
                                <w:bCs/>
                                <w:szCs w:val="20"/>
                              </w:rPr>
                            </w:pPr>
                            <w:r w:rsidRPr="00F5494A">
                              <w:rPr>
                                <w:rFonts w:ascii="Arial" w:hAnsi="Arial"/>
                                <w:b/>
                                <w:bCs/>
                                <w:szCs w:val="20"/>
                              </w:rPr>
                              <w:t>The UK’s possible new supplementary</w:t>
                            </w:r>
                            <w:r w:rsidR="00406906" w:rsidRPr="00F5494A">
                              <w:rPr>
                                <w:rFonts w:ascii="Arial" w:hAnsi="Arial"/>
                                <w:b/>
                                <w:bCs/>
                                <w:szCs w:val="20"/>
                              </w:rPr>
                              <w:t xml:space="preserve"> measure</w:t>
                            </w:r>
                            <w:r w:rsidRPr="00F5494A">
                              <w:rPr>
                                <w:rFonts w:ascii="Arial" w:hAnsi="Arial"/>
                                <w:b/>
                                <w:bCs/>
                                <w:szCs w:val="20"/>
                              </w:rPr>
                              <w:t xml:space="preserve"> of poverty</w:t>
                            </w:r>
                            <w:r w:rsidR="00D8454F">
                              <w:rPr>
                                <w:rFonts w:ascii="Arial" w:hAnsi="Arial"/>
                                <w:b/>
                                <w:bCs/>
                                <w:szCs w:val="20"/>
                              </w:rPr>
                              <w:t>:</w:t>
                            </w:r>
                          </w:p>
                          <w:p w14:paraId="1B868DE9" w14:textId="3B6ABB63" w:rsidR="00D8454F" w:rsidRDefault="00D8454F" w:rsidP="00D8454F">
                            <w:pPr>
                              <w:spacing w:after="0" w:line="240" w:lineRule="auto"/>
                              <w:jc w:val="center"/>
                              <w:rPr>
                                <w:rFonts w:ascii="Arial" w:hAnsi="Arial"/>
                                <w:b/>
                                <w:bCs/>
                                <w:szCs w:val="20"/>
                              </w:rPr>
                            </w:pPr>
                            <w:r w:rsidRPr="00F5494A">
                              <w:rPr>
                                <w:rFonts w:ascii="Arial" w:hAnsi="Arial"/>
                                <w:b/>
                                <w:bCs/>
                                <w:szCs w:val="20"/>
                              </w:rPr>
                              <w:t>BAR (Below Average Resources)</w:t>
                            </w:r>
                          </w:p>
                          <w:p w14:paraId="42A72A8C" w14:textId="77777777" w:rsidR="00617CFB" w:rsidRDefault="00617CFB" w:rsidP="00617CFB">
                            <w:pPr>
                              <w:spacing w:after="0" w:line="240" w:lineRule="auto"/>
                              <w:rPr>
                                <w:rFonts w:ascii="Arial" w:hAnsi="Arial"/>
                                <w:sz w:val="18"/>
                                <w:szCs w:val="18"/>
                              </w:rPr>
                            </w:pPr>
                          </w:p>
                          <w:p w14:paraId="0E6AF65F" w14:textId="68C3863E" w:rsidR="00B82470" w:rsidRDefault="00B82470" w:rsidP="00161B3E">
                            <w:pPr>
                              <w:spacing w:after="0" w:line="240" w:lineRule="auto"/>
                              <w:ind w:left="142"/>
                              <w:rPr>
                                <w:rFonts w:ascii="Arial" w:hAnsi="Arial"/>
                                <w:sz w:val="18"/>
                                <w:szCs w:val="18"/>
                              </w:rPr>
                            </w:pPr>
                            <w:r>
                              <w:rPr>
                                <w:rFonts w:ascii="Arial" w:hAnsi="Arial"/>
                                <w:sz w:val="18"/>
                                <w:szCs w:val="18"/>
                              </w:rPr>
                              <w:t xml:space="preserve">When poverty is conceptualised in terms of </w:t>
                            </w:r>
                            <w:r w:rsidR="008D751C">
                              <w:rPr>
                                <w:rFonts w:ascii="Arial" w:hAnsi="Arial"/>
                                <w:sz w:val="18"/>
                                <w:szCs w:val="18"/>
                              </w:rPr>
                              <w:t>‘</w:t>
                            </w:r>
                            <w:r w:rsidRPr="00B82470">
                              <w:rPr>
                                <w:rFonts w:ascii="Arial" w:eastAsia="Times New Roman" w:hAnsi="Arial"/>
                                <w:color w:val="000000" w:themeColor="text1"/>
                                <w:sz w:val="18"/>
                                <w:szCs w:val="18"/>
                                <w:lang w:val="en-GB"/>
                              </w:rPr>
                              <w:t>household resources being insufficient to enable households to meet basic needs</w:t>
                            </w:r>
                            <w:r w:rsidR="008D751C">
                              <w:rPr>
                                <w:rFonts w:ascii="Arial" w:eastAsia="Times New Roman" w:hAnsi="Arial"/>
                                <w:color w:val="000000" w:themeColor="text1"/>
                                <w:sz w:val="18"/>
                                <w:szCs w:val="18"/>
                                <w:lang w:val="en-GB"/>
                              </w:rPr>
                              <w:t>’</w:t>
                            </w:r>
                            <w:r w:rsidRPr="00B82470">
                              <w:rPr>
                                <w:rFonts w:ascii="Arial" w:hAnsi="Arial"/>
                                <w:sz w:val="18"/>
                                <w:szCs w:val="18"/>
                              </w:rPr>
                              <w:t xml:space="preserve"> </w:t>
                            </w:r>
                            <w:r>
                              <w:rPr>
                                <w:rFonts w:ascii="Arial" w:hAnsi="Arial"/>
                                <w:sz w:val="18"/>
                                <w:szCs w:val="18"/>
                              </w:rPr>
                              <w:t xml:space="preserve">(as in this report and elsewhere), </w:t>
                            </w:r>
                            <w:r w:rsidR="004A2A9F" w:rsidRPr="00B82470">
                              <w:rPr>
                                <w:rFonts w:ascii="Arial" w:hAnsi="Arial"/>
                                <w:sz w:val="18"/>
                                <w:szCs w:val="18"/>
                              </w:rPr>
                              <w:t xml:space="preserve">the value and need for including resources beyond direct household income for estimating ‘income-based’ poverty rates has long been recognised. </w:t>
                            </w:r>
                            <w:r>
                              <w:rPr>
                                <w:rFonts w:ascii="Arial" w:hAnsi="Arial"/>
                                <w:sz w:val="18"/>
                                <w:szCs w:val="18"/>
                              </w:rPr>
                              <w:t>For example:</w:t>
                            </w:r>
                          </w:p>
                          <w:p w14:paraId="0973F540" w14:textId="6F10DA00" w:rsidR="008D751C" w:rsidRDefault="00501A89" w:rsidP="009A0193">
                            <w:pPr>
                              <w:pStyle w:val="ListParagraph"/>
                              <w:numPr>
                                <w:ilvl w:val="0"/>
                                <w:numId w:val="117"/>
                              </w:numPr>
                              <w:spacing w:after="0" w:line="240" w:lineRule="auto"/>
                              <w:contextualSpacing w:val="0"/>
                              <w:rPr>
                                <w:rFonts w:ascii="Arial" w:hAnsi="Arial"/>
                                <w:sz w:val="18"/>
                                <w:szCs w:val="18"/>
                              </w:rPr>
                            </w:pPr>
                            <w:r>
                              <w:rPr>
                                <w:rFonts w:ascii="Arial" w:hAnsi="Arial"/>
                                <w:sz w:val="18"/>
                                <w:szCs w:val="18"/>
                              </w:rPr>
                              <w:t xml:space="preserve">The </w:t>
                            </w:r>
                            <w:r w:rsidR="008D751C" w:rsidRPr="008D751C">
                              <w:rPr>
                                <w:rFonts w:ascii="Arial" w:hAnsi="Arial"/>
                                <w:sz w:val="18"/>
                                <w:szCs w:val="18"/>
                              </w:rPr>
                              <w:t xml:space="preserve">Stiglitz-Sen-Fitoussi Commission (2009) recommended </w:t>
                            </w:r>
                            <w:r>
                              <w:rPr>
                                <w:rFonts w:ascii="Arial" w:hAnsi="Arial"/>
                                <w:sz w:val="18"/>
                                <w:szCs w:val="18"/>
                              </w:rPr>
                              <w:t>looking</w:t>
                            </w:r>
                            <w:r w:rsidR="008D751C" w:rsidRPr="008D751C">
                              <w:rPr>
                                <w:rFonts w:ascii="Arial" w:hAnsi="Arial"/>
                                <w:sz w:val="18"/>
                                <w:szCs w:val="18"/>
                              </w:rPr>
                              <w:t xml:space="preserve"> at the joint distribution of economic resources.</w:t>
                            </w:r>
                          </w:p>
                          <w:p w14:paraId="6B6E9844" w14:textId="51B1A73D" w:rsidR="008D751C" w:rsidRDefault="008D751C" w:rsidP="009A0193">
                            <w:pPr>
                              <w:pStyle w:val="ListParagraph"/>
                              <w:numPr>
                                <w:ilvl w:val="0"/>
                                <w:numId w:val="116"/>
                              </w:numPr>
                              <w:spacing w:after="0" w:line="240" w:lineRule="auto"/>
                              <w:contextualSpacing w:val="0"/>
                              <w:rPr>
                                <w:rFonts w:ascii="Arial" w:hAnsi="Arial"/>
                                <w:sz w:val="18"/>
                                <w:szCs w:val="18"/>
                              </w:rPr>
                            </w:pPr>
                            <w:r>
                              <w:rPr>
                                <w:rFonts w:ascii="Arial" w:hAnsi="Arial"/>
                                <w:sz w:val="18"/>
                                <w:szCs w:val="18"/>
                              </w:rPr>
                              <w:t>An</w:t>
                            </w:r>
                            <w:r w:rsidRPr="008D751C">
                              <w:rPr>
                                <w:rFonts w:ascii="Arial" w:hAnsi="Arial"/>
                                <w:sz w:val="18"/>
                                <w:szCs w:val="18"/>
                              </w:rPr>
                              <w:t xml:space="preserve"> OECD-Eurostat Expert Group on</w:t>
                            </w:r>
                            <w:r>
                              <w:rPr>
                                <w:rFonts w:ascii="Arial" w:hAnsi="Arial"/>
                                <w:sz w:val="18"/>
                                <w:szCs w:val="18"/>
                              </w:rPr>
                              <w:t xml:space="preserve"> </w:t>
                            </w:r>
                            <w:r w:rsidRPr="008D751C">
                              <w:rPr>
                                <w:rFonts w:ascii="Arial" w:hAnsi="Arial"/>
                                <w:sz w:val="18"/>
                                <w:szCs w:val="18"/>
                              </w:rPr>
                              <w:t>the joint distribution of income,</w:t>
                            </w:r>
                            <w:r>
                              <w:rPr>
                                <w:rFonts w:ascii="Arial" w:hAnsi="Arial"/>
                                <w:sz w:val="18"/>
                                <w:szCs w:val="18"/>
                              </w:rPr>
                              <w:t xml:space="preserve"> </w:t>
                            </w:r>
                            <w:r w:rsidRPr="008D751C">
                              <w:rPr>
                                <w:rFonts w:ascii="Arial" w:hAnsi="Arial"/>
                                <w:sz w:val="18"/>
                                <w:szCs w:val="18"/>
                              </w:rPr>
                              <w:t xml:space="preserve">consumption and wealth </w:t>
                            </w:r>
                            <w:r w:rsidR="00501A89">
                              <w:rPr>
                                <w:rFonts w:ascii="Arial" w:hAnsi="Arial"/>
                                <w:sz w:val="18"/>
                                <w:szCs w:val="18"/>
                              </w:rPr>
                              <w:t xml:space="preserve">was </w:t>
                            </w:r>
                            <w:r w:rsidRPr="008D751C">
                              <w:rPr>
                                <w:rFonts w:ascii="Arial" w:hAnsi="Arial"/>
                                <w:sz w:val="18"/>
                                <w:szCs w:val="18"/>
                              </w:rPr>
                              <w:t>launched in</w:t>
                            </w:r>
                            <w:r>
                              <w:rPr>
                                <w:rFonts w:ascii="Arial" w:hAnsi="Arial"/>
                                <w:sz w:val="18"/>
                                <w:szCs w:val="18"/>
                              </w:rPr>
                              <w:t xml:space="preserve"> </w:t>
                            </w:r>
                            <w:r w:rsidRPr="008D751C">
                              <w:rPr>
                                <w:rFonts w:ascii="Arial" w:hAnsi="Arial"/>
                                <w:sz w:val="18"/>
                                <w:szCs w:val="18"/>
                              </w:rPr>
                              <w:t>November 2017.</w:t>
                            </w:r>
                          </w:p>
                          <w:p w14:paraId="44BD6FC4" w14:textId="34AC5CDD" w:rsidR="00B82470" w:rsidRPr="008D751C" w:rsidRDefault="004A2A9F" w:rsidP="009A0193">
                            <w:pPr>
                              <w:pStyle w:val="ListParagraph"/>
                              <w:numPr>
                                <w:ilvl w:val="0"/>
                                <w:numId w:val="116"/>
                              </w:numPr>
                              <w:spacing w:after="0" w:line="240" w:lineRule="auto"/>
                              <w:contextualSpacing w:val="0"/>
                              <w:rPr>
                                <w:rFonts w:ascii="Arial" w:hAnsi="Arial"/>
                                <w:sz w:val="18"/>
                                <w:szCs w:val="18"/>
                              </w:rPr>
                            </w:pPr>
                            <w:r w:rsidRPr="008D751C">
                              <w:rPr>
                                <w:rFonts w:ascii="Arial" w:hAnsi="Arial"/>
                                <w:sz w:val="18"/>
                                <w:szCs w:val="18"/>
                              </w:rPr>
                              <w:t>The academi</w:t>
                            </w:r>
                            <w:r w:rsidR="00B82470" w:rsidRPr="008D751C">
                              <w:rPr>
                                <w:rFonts w:ascii="Arial" w:hAnsi="Arial"/>
                                <w:sz w:val="18"/>
                                <w:szCs w:val="18"/>
                              </w:rPr>
                              <w:t>c</w:t>
                            </w:r>
                            <w:r w:rsidRPr="008D751C">
                              <w:rPr>
                                <w:rFonts w:ascii="Arial" w:hAnsi="Arial"/>
                                <w:sz w:val="18"/>
                                <w:szCs w:val="18"/>
                              </w:rPr>
                              <w:t xml:space="preserve"> literature</w:t>
                            </w:r>
                            <w:r w:rsidR="00501A89">
                              <w:rPr>
                                <w:rFonts w:ascii="Arial" w:hAnsi="Arial"/>
                                <w:sz w:val="18"/>
                                <w:szCs w:val="18"/>
                              </w:rPr>
                              <w:t xml:space="preserve"> has research on the theme</w:t>
                            </w:r>
                            <w:r w:rsidR="00F5494A" w:rsidRPr="008D751C">
                              <w:rPr>
                                <w:rFonts w:ascii="Arial" w:hAnsi="Arial"/>
                                <w:sz w:val="18"/>
                                <w:szCs w:val="18"/>
                              </w:rPr>
                              <w:t xml:space="preserve"> (</w:t>
                            </w:r>
                            <w:r w:rsidR="00501A89">
                              <w:rPr>
                                <w:rFonts w:ascii="Arial" w:hAnsi="Arial"/>
                                <w:sz w:val="18"/>
                                <w:szCs w:val="18"/>
                              </w:rPr>
                              <w:t xml:space="preserve">eg </w:t>
                            </w:r>
                            <w:r w:rsidR="00F5494A" w:rsidRPr="008D751C">
                              <w:rPr>
                                <w:rFonts w:ascii="Arial" w:hAnsi="Arial"/>
                                <w:sz w:val="18"/>
                                <w:szCs w:val="18"/>
                              </w:rPr>
                              <w:t>Kuypers and Marx</w:t>
                            </w:r>
                            <w:r w:rsidR="00A713F5">
                              <w:rPr>
                                <w:rFonts w:ascii="Arial" w:hAnsi="Arial"/>
                                <w:sz w:val="18"/>
                                <w:szCs w:val="18"/>
                              </w:rPr>
                              <w:t xml:space="preserve"> (</w:t>
                            </w:r>
                            <w:r w:rsidR="00F5494A" w:rsidRPr="008D751C">
                              <w:rPr>
                                <w:rFonts w:ascii="Arial" w:hAnsi="Arial"/>
                                <w:sz w:val="18"/>
                                <w:szCs w:val="18"/>
                              </w:rPr>
                              <w:t>2016</w:t>
                            </w:r>
                            <w:r w:rsidR="00A713F5">
                              <w:rPr>
                                <w:rFonts w:ascii="Arial" w:hAnsi="Arial"/>
                                <w:sz w:val="18"/>
                                <w:szCs w:val="18"/>
                              </w:rPr>
                              <w:t>), Davidson et al (2025)</w:t>
                            </w:r>
                            <w:r w:rsidR="00F5494A" w:rsidRPr="008D751C">
                              <w:rPr>
                                <w:rFonts w:ascii="Arial" w:hAnsi="Arial"/>
                                <w:sz w:val="18"/>
                                <w:szCs w:val="18"/>
                              </w:rPr>
                              <w:t>)</w:t>
                            </w:r>
                            <w:r w:rsidR="00501A89">
                              <w:rPr>
                                <w:rFonts w:ascii="Arial" w:hAnsi="Arial"/>
                                <w:sz w:val="18"/>
                                <w:szCs w:val="18"/>
                              </w:rPr>
                              <w:t>.</w:t>
                            </w:r>
                            <w:r w:rsidRPr="008D751C">
                              <w:rPr>
                                <w:rFonts w:ascii="Arial" w:hAnsi="Arial"/>
                                <w:sz w:val="18"/>
                                <w:szCs w:val="18"/>
                              </w:rPr>
                              <w:t xml:space="preserve">  </w:t>
                            </w:r>
                          </w:p>
                          <w:p w14:paraId="7379D5F7" w14:textId="191A6EE5" w:rsidR="004A2A9F" w:rsidRPr="00B82470" w:rsidRDefault="004A2A9F" w:rsidP="009A0193">
                            <w:pPr>
                              <w:pStyle w:val="ListParagraph"/>
                              <w:numPr>
                                <w:ilvl w:val="0"/>
                                <w:numId w:val="116"/>
                              </w:numPr>
                              <w:spacing w:after="0" w:line="240" w:lineRule="auto"/>
                              <w:contextualSpacing w:val="0"/>
                              <w:rPr>
                                <w:rFonts w:ascii="Arial" w:hAnsi="Arial"/>
                                <w:sz w:val="18"/>
                                <w:szCs w:val="18"/>
                              </w:rPr>
                            </w:pPr>
                            <w:r w:rsidRPr="00B82470">
                              <w:rPr>
                                <w:rFonts w:ascii="Arial" w:hAnsi="Arial"/>
                                <w:sz w:val="18"/>
                                <w:szCs w:val="18"/>
                              </w:rPr>
                              <w:t xml:space="preserve">The OECD </w:t>
                            </w:r>
                            <w:r w:rsidR="008D751C">
                              <w:rPr>
                                <w:rFonts w:ascii="Arial" w:hAnsi="Arial"/>
                                <w:sz w:val="18"/>
                                <w:szCs w:val="18"/>
                              </w:rPr>
                              <w:t>has published analysis on</w:t>
                            </w:r>
                            <w:r w:rsidR="00F5494A" w:rsidRPr="00B82470">
                              <w:rPr>
                                <w:rFonts w:ascii="Arial" w:hAnsi="Arial"/>
                                <w:sz w:val="18"/>
                                <w:szCs w:val="18"/>
                              </w:rPr>
                              <w:t xml:space="preserve"> ‘asset-based poverty’</w:t>
                            </w:r>
                            <w:r w:rsidR="008D751C">
                              <w:rPr>
                                <w:rFonts w:ascii="Arial" w:hAnsi="Arial"/>
                                <w:sz w:val="18"/>
                                <w:szCs w:val="18"/>
                              </w:rPr>
                              <w:t xml:space="preserve"> using various definitions – see for example an overview PowerPoint</w:t>
                            </w:r>
                            <w:r w:rsidR="009A0193">
                              <w:rPr>
                                <w:rFonts w:ascii="Arial" w:hAnsi="Arial"/>
                                <w:sz w:val="18"/>
                                <w:szCs w:val="18"/>
                              </w:rPr>
                              <w:t>:</w:t>
                            </w:r>
                          </w:p>
                          <w:p w14:paraId="4D0EB342" w14:textId="2303AEF0" w:rsidR="00F5494A" w:rsidRPr="00617CFB" w:rsidRDefault="009A0193" w:rsidP="00730E03">
                            <w:pPr>
                              <w:widowControl w:val="0"/>
                              <w:autoSpaceDE w:val="0"/>
                              <w:autoSpaceDN w:val="0"/>
                              <w:adjustRightInd w:val="0"/>
                              <w:spacing w:line="240" w:lineRule="auto"/>
                              <w:ind w:left="284" w:firstLine="578"/>
                              <w:rPr>
                                <w:rFonts w:ascii="Arial" w:hAnsi="Arial"/>
                                <w:sz w:val="18"/>
                                <w:szCs w:val="18"/>
                              </w:rPr>
                            </w:pPr>
                            <w:hyperlink r:id="rId25" w:history="1">
                              <w:r w:rsidRPr="00B06352">
                                <w:rPr>
                                  <w:rStyle w:val="Hyperlink"/>
                                  <w:rFonts w:ascii="Arial" w:hAnsi="Arial"/>
                                  <w:sz w:val="18"/>
                                  <w:szCs w:val="18"/>
                                </w:rPr>
                                <w:t>https://ec.europa.eu/social/BlobServlet?docId=19263&amp;langId=en</w:t>
                              </w:r>
                            </w:hyperlink>
                            <w:r w:rsidR="00F5494A">
                              <w:rPr>
                                <w:rFonts w:ascii="Arial" w:hAnsi="Arial"/>
                                <w:sz w:val="18"/>
                                <w:szCs w:val="18"/>
                              </w:rPr>
                              <w:t xml:space="preserve">  </w:t>
                            </w:r>
                          </w:p>
                          <w:p w14:paraId="08F91F04" w14:textId="026EC6B7" w:rsidR="00617CFB" w:rsidRDefault="004A2A9F" w:rsidP="00730E03">
                            <w:pPr>
                              <w:spacing w:line="240" w:lineRule="auto"/>
                              <w:ind w:left="142"/>
                              <w:rPr>
                                <w:rFonts w:ascii="Arial" w:hAnsi="Arial"/>
                                <w:sz w:val="18"/>
                                <w:szCs w:val="18"/>
                              </w:rPr>
                            </w:pPr>
                            <w:r w:rsidRPr="00617CFB">
                              <w:rPr>
                                <w:rFonts w:ascii="Arial" w:hAnsi="Arial"/>
                                <w:sz w:val="18"/>
                                <w:szCs w:val="18"/>
                              </w:rPr>
                              <w:t xml:space="preserve">It is also recognised that households have varying needs that go beyond housing costs (addressed </w:t>
                            </w:r>
                            <w:r w:rsidR="00161B3E">
                              <w:rPr>
                                <w:rFonts w:ascii="Arial" w:hAnsi="Arial"/>
                                <w:sz w:val="18"/>
                                <w:szCs w:val="18"/>
                              </w:rPr>
                              <w:t xml:space="preserve">to some degree </w:t>
                            </w:r>
                            <w:r w:rsidRPr="00617CFB">
                              <w:rPr>
                                <w:rFonts w:ascii="Arial" w:hAnsi="Arial"/>
                                <w:sz w:val="18"/>
                                <w:szCs w:val="18"/>
                              </w:rPr>
                              <w:t>through the use of AHC incomes</w:t>
                            </w:r>
                            <w:r w:rsidR="00161B3E">
                              <w:rPr>
                                <w:rFonts w:ascii="Arial" w:hAnsi="Arial"/>
                                <w:sz w:val="18"/>
                                <w:szCs w:val="18"/>
                              </w:rPr>
                              <w:t>),</w:t>
                            </w:r>
                            <w:r w:rsidRPr="00617CFB">
                              <w:rPr>
                                <w:rFonts w:ascii="Arial" w:hAnsi="Arial"/>
                                <w:sz w:val="18"/>
                                <w:szCs w:val="18"/>
                              </w:rPr>
                              <w:t xml:space="preserve"> and household size and composition (addressed via equivalisation).</w:t>
                            </w:r>
                            <w:r w:rsidR="00161B3E">
                              <w:rPr>
                                <w:rFonts w:ascii="Arial" w:hAnsi="Arial"/>
                                <w:sz w:val="18"/>
                                <w:szCs w:val="18"/>
                              </w:rPr>
                              <w:t xml:space="preserve"> </w:t>
                            </w:r>
                          </w:p>
                          <w:p w14:paraId="42C134BF" w14:textId="3CC2BB29" w:rsidR="00F5494A" w:rsidRPr="00617CFB" w:rsidRDefault="004A2A9F" w:rsidP="00730E03">
                            <w:pPr>
                              <w:spacing w:line="240" w:lineRule="auto"/>
                              <w:ind w:left="142"/>
                              <w:rPr>
                                <w:rFonts w:ascii="Arial" w:hAnsi="Arial"/>
                                <w:sz w:val="18"/>
                                <w:szCs w:val="18"/>
                              </w:rPr>
                            </w:pPr>
                            <w:r w:rsidRPr="00617CFB">
                              <w:rPr>
                                <w:rFonts w:ascii="Arial" w:hAnsi="Arial"/>
                                <w:sz w:val="18"/>
                                <w:szCs w:val="18"/>
                              </w:rPr>
                              <w:t>In the UK</w:t>
                            </w:r>
                            <w:r w:rsidR="00252C14">
                              <w:rPr>
                                <w:rFonts w:ascii="Arial" w:hAnsi="Arial"/>
                                <w:sz w:val="18"/>
                                <w:szCs w:val="18"/>
                              </w:rPr>
                              <w:t>,</w:t>
                            </w:r>
                            <w:r w:rsidRPr="00617CFB">
                              <w:rPr>
                                <w:rFonts w:ascii="Arial" w:hAnsi="Arial"/>
                                <w:sz w:val="18"/>
                                <w:szCs w:val="18"/>
                              </w:rPr>
                              <w:t xml:space="preserve"> the Social Metrics Commission</w:t>
                            </w:r>
                            <w:r w:rsidR="00252C14">
                              <w:rPr>
                                <w:rFonts w:ascii="Arial" w:hAnsi="Arial"/>
                                <w:sz w:val="18"/>
                                <w:szCs w:val="18"/>
                              </w:rPr>
                              <w:t xml:space="preserve"> (SMC) has developed an experimental poverty measure that is still essentially income-based (ie it is not a non-income based approach using material wellbeing questions as </w:t>
                            </w:r>
                            <w:r w:rsidR="002440A7">
                              <w:rPr>
                                <w:rFonts w:ascii="Arial" w:hAnsi="Arial"/>
                                <w:sz w:val="18"/>
                                <w:szCs w:val="18"/>
                              </w:rPr>
                              <w:t xml:space="preserve">in </w:t>
                            </w:r>
                            <w:r w:rsidR="00252C14">
                              <w:rPr>
                                <w:rFonts w:ascii="Arial" w:hAnsi="Arial"/>
                                <w:sz w:val="18"/>
                                <w:szCs w:val="18"/>
                              </w:rPr>
                              <w:t>DEP-17, MH-18 and EU-13)</w:t>
                            </w:r>
                            <w:r w:rsidR="00F5494A">
                              <w:rPr>
                                <w:rFonts w:ascii="Arial" w:hAnsi="Arial"/>
                                <w:sz w:val="18"/>
                                <w:szCs w:val="18"/>
                              </w:rPr>
                              <w:t xml:space="preserve"> </w:t>
                            </w:r>
                            <w:r w:rsidR="00252C14">
                              <w:rPr>
                                <w:rFonts w:ascii="Arial" w:hAnsi="Arial"/>
                                <w:sz w:val="18"/>
                                <w:szCs w:val="18"/>
                              </w:rPr>
                              <w:t xml:space="preserve">but which </w:t>
                            </w:r>
                            <w:r w:rsidR="002440A7">
                              <w:rPr>
                                <w:rFonts w:ascii="Arial" w:hAnsi="Arial"/>
                                <w:sz w:val="18"/>
                                <w:szCs w:val="18"/>
                              </w:rPr>
                              <w:t xml:space="preserve">moves beyond income to </w:t>
                            </w:r>
                            <w:r w:rsidR="00252C14">
                              <w:rPr>
                                <w:rFonts w:ascii="Arial" w:hAnsi="Arial"/>
                                <w:sz w:val="18"/>
                                <w:szCs w:val="18"/>
                              </w:rPr>
                              <w:t xml:space="preserve">take a </w:t>
                            </w:r>
                            <w:r w:rsidR="00F5494A">
                              <w:rPr>
                                <w:rFonts w:ascii="Arial" w:hAnsi="Arial"/>
                                <w:sz w:val="18"/>
                                <w:szCs w:val="18"/>
                              </w:rPr>
                              <w:t>more expansive view of</w:t>
                            </w:r>
                            <w:r w:rsidR="00252C14">
                              <w:rPr>
                                <w:rFonts w:ascii="Arial" w:hAnsi="Arial"/>
                                <w:sz w:val="18"/>
                                <w:szCs w:val="18"/>
                              </w:rPr>
                              <w:t xml:space="preserve"> </w:t>
                            </w:r>
                            <w:r w:rsidR="00252C14" w:rsidRPr="00252C14">
                              <w:rPr>
                                <w:rFonts w:ascii="Arial" w:hAnsi="Arial"/>
                                <w:sz w:val="18"/>
                                <w:szCs w:val="18"/>
                              </w:rPr>
                              <w:t xml:space="preserve">available resources </w:t>
                            </w:r>
                            <w:r w:rsidR="002440A7">
                              <w:rPr>
                                <w:rFonts w:ascii="Arial" w:hAnsi="Arial"/>
                                <w:sz w:val="18"/>
                                <w:szCs w:val="18"/>
                              </w:rPr>
                              <w:t xml:space="preserve">that </w:t>
                            </w:r>
                            <w:r w:rsidR="00252C14">
                              <w:rPr>
                                <w:rFonts w:ascii="Arial" w:hAnsi="Arial"/>
                                <w:sz w:val="18"/>
                                <w:szCs w:val="18"/>
                              </w:rPr>
                              <w:t>include</w:t>
                            </w:r>
                            <w:r w:rsidR="002440A7">
                              <w:rPr>
                                <w:rFonts w:ascii="Arial" w:hAnsi="Arial"/>
                                <w:sz w:val="18"/>
                                <w:szCs w:val="18"/>
                              </w:rPr>
                              <w:t>s</w:t>
                            </w:r>
                            <w:r w:rsidR="00252C14">
                              <w:rPr>
                                <w:rFonts w:ascii="Arial" w:hAnsi="Arial"/>
                                <w:sz w:val="18"/>
                                <w:szCs w:val="18"/>
                              </w:rPr>
                              <w:t xml:space="preserve"> </w:t>
                            </w:r>
                            <w:r w:rsidR="00252C14" w:rsidRPr="00252C14">
                              <w:rPr>
                                <w:rFonts w:ascii="Arial" w:hAnsi="Arial"/>
                                <w:sz w:val="18"/>
                                <w:szCs w:val="18"/>
                              </w:rPr>
                              <w:t>both savings and inescapable costs</w:t>
                            </w:r>
                            <w:r w:rsidR="00252C14">
                              <w:rPr>
                                <w:rFonts w:ascii="Arial" w:hAnsi="Arial"/>
                                <w:sz w:val="18"/>
                                <w:szCs w:val="18"/>
                              </w:rPr>
                              <w:t xml:space="preserve">. </w:t>
                            </w:r>
                            <w:hyperlink r:id="rId26" w:history="1">
                              <w:r w:rsidR="00A42D6E" w:rsidRPr="00B06352">
                                <w:rPr>
                                  <w:rStyle w:val="Hyperlink"/>
                                  <w:rFonts w:ascii="Arial" w:hAnsi="Arial"/>
                                  <w:sz w:val="18"/>
                                  <w:szCs w:val="18"/>
                                </w:rPr>
                                <w:t>https://socialmetricscommission.org.uk/</w:t>
                              </w:r>
                            </w:hyperlink>
                            <w:r w:rsidR="00161B3E">
                              <w:rPr>
                                <w:rFonts w:ascii="Arial" w:hAnsi="Arial"/>
                                <w:sz w:val="18"/>
                                <w:szCs w:val="18"/>
                              </w:rPr>
                              <w:t xml:space="preserve"> </w:t>
                            </w:r>
                          </w:p>
                          <w:p w14:paraId="400B5B00" w14:textId="646AD5A0" w:rsidR="004A2A9F" w:rsidRPr="00617CFB" w:rsidRDefault="004A2A9F" w:rsidP="002440A7">
                            <w:pPr>
                              <w:spacing w:after="0" w:line="240" w:lineRule="auto"/>
                              <w:ind w:left="142"/>
                              <w:rPr>
                                <w:rFonts w:ascii="Arial" w:hAnsi="Arial"/>
                                <w:sz w:val="18"/>
                                <w:szCs w:val="18"/>
                              </w:rPr>
                            </w:pPr>
                            <w:r w:rsidRPr="00617CFB">
                              <w:rPr>
                                <w:rFonts w:ascii="Arial" w:hAnsi="Arial"/>
                                <w:sz w:val="18"/>
                                <w:szCs w:val="18"/>
                              </w:rPr>
                              <w:t>This has led to the Office for National Statistics</w:t>
                            </w:r>
                            <w:r w:rsidR="00252C14">
                              <w:rPr>
                                <w:rFonts w:ascii="Arial" w:hAnsi="Arial"/>
                                <w:sz w:val="18"/>
                                <w:szCs w:val="18"/>
                              </w:rPr>
                              <w:t xml:space="preserve"> formally </w:t>
                            </w:r>
                            <w:r w:rsidR="00F5494A">
                              <w:rPr>
                                <w:rFonts w:ascii="Arial" w:hAnsi="Arial"/>
                                <w:sz w:val="18"/>
                                <w:szCs w:val="18"/>
                              </w:rPr>
                              <w:t>recommending that</w:t>
                            </w:r>
                            <w:r w:rsidRPr="00617CFB">
                              <w:rPr>
                                <w:rFonts w:ascii="Arial" w:hAnsi="Arial"/>
                                <w:sz w:val="18"/>
                                <w:szCs w:val="18"/>
                              </w:rPr>
                              <w:t xml:space="preserve"> the DWP </w:t>
                            </w:r>
                            <w:r w:rsidR="00F5494A">
                              <w:rPr>
                                <w:rFonts w:ascii="Arial" w:hAnsi="Arial"/>
                                <w:sz w:val="18"/>
                                <w:szCs w:val="18"/>
                              </w:rPr>
                              <w:t>assess how the SMC proposals ‘can enhance</w:t>
                            </w:r>
                            <w:r w:rsidR="00B22D46">
                              <w:rPr>
                                <w:rFonts w:ascii="Arial" w:hAnsi="Arial"/>
                                <w:sz w:val="18"/>
                                <w:szCs w:val="18"/>
                              </w:rPr>
                              <w:t xml:space="preserve"> the public value of our statistics’.</w:t>
                            </w:r>
                            <w:r w:rsidR="00A42D6E">
                              <w:rPr>
                                <w:rFonts w:ascii="Arial" w:hAnsi="Arial"/>
                                <w:sz w:val="18"/>
                                <w:szCs w:val="18"/>
                              </w:rPr>
                              <w:tab/>
                            </w:r>
                          </w:p>
                          <w:p w14:paraId="00690538" w14:textId="26B0905F" w:rsidR="00406906" w:rsidRDefault="00AC00AE" w:rsidP="00730E03">
                            <w:pPr>
                              <w:widowControl w:val="0"/>
                              <w:autoSpaceDE w:val="0"/>
                              <w:autoSpaceDN w:val="0"/>
                              <w:adjustRightInd w:val="0"/>
                              <w:spacing w:line="240" w:lineRule="auto"/>
                              <w:ind w:left="142"/>
                              <w:rPr>
                                <w:rFonts w:ascii="Arial" w:hAnsi="Arial"/>
                                <w:sz w:val="18"/>
                                <w:szCs w:val="18"/>
                              </w:rPr>
                            </w:pPr>
                            <w:hyperlink r:id="rId27" w:history="1">
                              <w:r w:rsidRPr="00B06352">
                                <w:rPr>
                                  <w:rStyle w:val="Hyperlink"/>
                                  <w:rFonts w:ascii="Arial" w:hAnsi="Arial"/>
                                  <w:sz w:val="18"/>
                                  <w:szCs w:val="18"/>
                                </w:rPr>
                                <w:t>https://www.gov.uk/government/statistics/below-average-resources-developing-a-new-poverty-measure/below-average-resources-developing-a-new-poverty-measure</w:t>
                              </w:r>
                            </w:hyperlink>
                            <w:r w:rsidR="00406906">
                              <w:rPr>
                                <w:rFonts w:ascii="Arial" w:hAnsi="Arial"/>
                                <w:sz w:val="18"/>
                                <w:szCs w:val="18"/>
                              </w:rPr>
                              <w:t xml:space="preserve"> </w:t>
                            </w:r>
                          </w:p>
                          <w:p w14:paraId="1CC066B9" w14:textId="72BE385E" w:rsidR="00612F2C" w:rsidRDefault="006E2907" w:rsidP="002440A7">
                            <w:pPr>
                              <w:widowControl w:val="0"/>
                              <w:autoSpaceDE w:val="0"/>
                              <w:autoSpaceDN w:val="0"/>
                              <w:adjustRightInd w:val="0"/>
                              <w:spacing w:after="0" w:line="240" w:lineRule="auto"/>
                              <w:ind w:left="142"/>
                              <w:rPr>
                                <w:rFonts w:ascii="Arial" w:hAnsi="Arial"/>
                                <w:sz w:val="18"/>
                                <w:szCs w:val="18"/>
                              </w:rPr>
                            </w:pPr>
                            <w:r>
                              <w:rPr>
                                <w:rFonts w:ascii="Arial" w:hAnsi="Arial"/>
                                <w:sz w:val="18"/>
                                <w:szCs w:val="18"/>
                              </w:rPr>
                              <w:t xml:space="preserve">In association with their established Households Below Average Income report, the DWP have published some preliminary analysis using their version of the </w:t>
                            </w:r>
                            <w:r w:rsidR="00252C14">
                              <w:rPr>
                                <w:rFonts w:ascii="Arial" w:hAnsi="Arial"/>
                                <w:sz w:val="18"/>
                                <w:szCs w:val="18"/>
                              </w:rPr>
                              <w:t>SMC’s</w:t>
                            </w:r>
                            <w:r>
                              <w:rPr>
                                <w:rFonts w:ascii="Arial" w:hAnsi="Arial"/>
                                <w:sz w:val="18"/>
                                <w:szCs w:val="18"/>
                              </w:rPr>
                              <w:t xml:space="preserve"> measure.</w:t>
                            </w:r>
                          </w:p>
                          <w:p w14:paraId="7DF5163F" w14:textId="702B8AE6" w:rsidR="00161B3E" w:rsidRDefault="00612F2C" w:rsidP="002440A7">
                            <w:pPr>
                              <w:widowControl w:val="0"/>
                              <w:autoSpaceDE w:val="0"/>
                              <w:autoSpaceDN w:val="0"/>
                              <w:adjustRightInd w:val="0"/>
                              <w:spacing w:after="0" w:line="240" w:lineRule="auto"/>
                              <w:ind w:left="142"/>
                              <w:rPr>
                                <w:rFonts w:ascii="Arial" w:hAnsi="Arial"/>
                                <w:sz w:val="18"/>
                                <w:szCs w:val="18"/>
                              </w:rPr>
                            </w:pPr>
                            <w:hyperlink r:id="rId28" w:history="1">
                              <w:r w:rsidRPr="00612F2C">
                                <w:rPr>
                                  <w:rStyle w:val="Hyperlink"/>
                                  <w:rFonts w:ascii="Arial" w:hAnsi="Arial"/>
                                  <w:sz w:val="18"/>
                                  <w:szCs w:val="18"/>
                                </w:rPr>
                                <w:t>Below Average Resources: for financial years ending 2001 to 2023 - GOV.UK</w:t>
                              </w:r>
                            </w:hyperlink>
                          </w:p>
                          <w:p w14:paraId="0EA4819F" w14:textId="77777777" w:rsidR="002440A7" w:rsidRDefault="002440A7" w:rsidP="00161B3E">
                            <w:pPr>
                              <w:widowControl w:val="0"/>
                              <w:autoSpaceDE w:val="0"/>
                              <w:autoSpaceDN w:val="0"/>
                              <w:adjustRightInd w:val="0"/>
                              <w:spacing w:after="60" w:line="240" w:lineRule="auto"/>
                              <w:ind w:left="142"/>
                              <w:rPr>
                                <w:rFonts w:ascii="Arial" w:hAnsi="Arial"/>
                                <w:sz w:val="18"/>
                                <w:szCs w:val="18"/>
                              </w:rPr>
                            </w:pPr>
                          </w:p>
                          <w:p w14:paraId="12D72056" w14:textId="2FDED3C1" w:rsidR="002440A7" w:rsidRPr="002440A7" w:rsidRDefault="002440A7" w:rsidP="002440A7">
                            <w:pPr>
                              <w:widowControl w:val="0"/>
                              <w:autoSpaceDE w:val="0"/>
                              <w:autoSpaceDN w:val="0"/>
                              <w:adjustRightInd w:val="0"/>
                              <w:spacing w:after="60" w:line="240" w:lineRule="auto"/>
                              <w:jc w:val="center"/>
                              <w:rPr>
                                <w:rFonts w:ascii="Arial" w:hAnsi="Arial"/>
                                <w:sz w:val="18"/>
                                <w:szCs w:val="18"/>
                              </w:rPr>
                            </w:pPr>
                            <w:r w:rsidRPr="002440A7">
                              <w:rPr>
                                <w:rFonts w:ascii="Arial" w:hAnsi="Arial"/>
                                <w:sz w:val="18"/>
                                <w:szCs w:val="18"/>
                              </w:rPr>
                              <w:t>* * * * * * * * * * * * * * * * * * * * * *</w:t>
                            </w:r>
                          </w:p>
                          <w:p w14:paraId="28126139" w14:textId="147D6C84" w:rsidR="00406906" w:rsidRDefault="00441BA9" w:rsidP="002440A7">
                            <w:pPr>
                              <w:widowControl w:val="0"/>
                              <w:autoSpaceDE w:val="0"/>
                              <w:autoSpaceDN w:val="0"/>
                              <w:adjustRightInd w:val="0"/>
                              <w:spacing w:before="120" w:after="0" w:line="240" w:lineRule="auto"/>
                              <w:ind w:left="142"/>
                              <w:rPr>
                                <w:rFonts w:ascii="Arial" w:hAnsi="Arial"/>
                                <w:sz w:val="18"/>
                                <w:szCs w:val="18"/>
                              </w:rPr>
                            </w:pPr>
                            <w:r>
                              <w:rPr>
                                <w:rFonts w:ascii="Arial" w:hAnsi="Arial"/>
                                <w:sz w:val="18"/>
                                <w:szCs w:val="18"/>
                              </w:rPr>
                              <w:t>Baroness Stroud</w:t>
                            </w:r>
                            <w:r w:rsidR="00CB2FB3">
                              <w:rPr>
                                <w:rFonts w:ascii="Arial" w:hAnsi="Arial"/>
                                <w:sz w:val="18"/>
                                <w:szCs w:val="18"/>
                              </w:rPr>
                              <w:t>,</w:t>
                            </w:r>
                            <w:r>
                              <w:rPr>
                                <w:rFonts w:ascii="Arial" w:hAnsi="Arial"/>
                                <w:sz w:val="18"/>
                                <w:szCs w:val="18"/>
                              </w:rPr>
                              <w:t xml:space="preserve"> who led the work of the</w:t>
                            </w:r>
                            <w:r w:rsidR="00161B3E">
                              <w:rPr>
                                <w:rFonts w:ascii="Arial" w:hAnsi="Arial"/>
                                <w:sz w:val="18"/>
                                <w:szCs w:val="18"/>
                              </w:rPr>
                              <w:t xml:space="preserve"> Social Metrics Commission</w:t>
                            </w:r>
                            <w:r w:rsidR="00CB2FB3">
                              <w:rPr>
                                <w:rFonts w:ascii="Arial" w:hAnsi="Arial"/>
                                <w:sz w:val="18"/>
                                <w:szCs w:val="18"/>
                              </w:rPr>
                              <w:t>,</w:t>
                            </w:r>
                            <w:r w:rsidR="00161B3E">
                              <w:rPr>
                                <w:rFonts w:ascii="Arial" w:hAnsi="Arial"/>
                                <w:sz w:val="18"/>
                                <w:szCs w:val="18"/>
                              </w:rPr>
                              <w:t xml:space="preserve"> </w:t>
                            </w:r>
                            <w:r>
                              <w:rPr>
                                <w:rFonts w:ascii="Arial" w:hAnsi="Arial"/>
                                <w:sz w:val="18"/>
                                <w:szCs w:val="18"/>
                              </w:rPr>
                              <w:t xml:space="preserve">now also leads the work of the London-based charity the </w:t>
                            </w:r>
                            <w:r w:rsidR="00161B3E">
                              <w:rPr>
                                <w:rFonts w:ascii="Arial" w:hAnsi="Arial"/>
                                <w:sz w:val="18"/>
                                <w:szCs w:val="18"/>
                              </w:rPr>
                              <w:t>Poverty Strategy Commis</w:t>
                            </w:r>
                            <w:r w:rsidR="00B82470">
                              <w:rPr>
                                <w:rFonts w:ascii="Arial" w:hAnsi="Arial"/>
                                <w:sz w:val="18"/>
                                <w:szCs w:val="18"/>
                              </w:rPr>
                              <w:t>s</w:t>
                            </w:r>
                            <w:r w:rsidR="00161B3E">
                              <w:rPr>
                                <w:rFonts w:ascii="Arial" w:hAnsi="Arial"/>
                                <w:sz w:val="18"/>
                                <w:szCs w:val="18"/>
                              </w:rPr>
                              <w:t>ion</w:t>
                            </w:r>
                            <w:r>
                              <w:rPr>
                                <w:rFonts w:ascii="Arial" w:hAnsi="Arial"/>
                                <w:sz w:val="18"/>
                                <w:szCs w:val="18"/>
                              </w:rPr>
                              <w:t xml:space="preserve"> (PSC). </w:t>
                            </w:r>
                            <w:r w:rsidR="00B82470" w:rsidRPr="00B82470">
                              <w:rPr>
                                <w:rFonts w:ascii="Arial" w:hAnsi="Arial"/>
                                <w:sz w:val="18"/>
                                <w:szCs w:val="18"/>
                              </w:rPr>
                              <w:t xml:space="preserve">The </w:t>
                            </w:r>
                            <w:r>
                              <w:rPr>
                                <w:rFonts w:ascii="Arial" w:hAnsi="Arial"/>
                                <w:sz w:val="18"/>
                                <w:szCs w:val="18"/>
                              </w:rPr>
                              <w:t>PSC</w:t>
                            </w:r>
                            <w:r w:rsidR="00B82470" w:rsidRPr="00B82470">
                              <w:rPr>
                                <w:rFonts w:ascii="Arial" w:hAnsi="Arial"/>
                                <w:sz w:val="18"/>
                                <w:szCs w:val="18"/>
                              </w:rPr>
                              <w:t xml:space="preserve"> is an independent Commission formed to develop consensus around a strategy for tackling poverty in the UK</w:t>
                            </w:r>
                            <w:r>
                              <w:rPr>
                                <w:rFonts w:ascii="Arial" w:hAnsi="Arial"/>
                                <w:sz w:val="18"/>
                                <w:szCs w:val="18"/>
                              </w:rPr>
                              <w:t xml:space="preserve"> and is</w:t>
                            </w:r>
                            <w:r w:rsidRPr="00B82470">
                              <w:rPr>
                                <w:rFonts w:ascii="Arial" w:hAnsi="Arial"/>
                                <w:sz w:val="18"/>
                                <w:szCs w:val="18"/>
                              </w:rPr>
                              <w:t xml:space="preserve"> hosted within the Centre for Social Policy Studies.</w:t>
                            </w:r>
                            <w:r w:rsidR="00B82470" w:rsidRPr="00B82470">
                              <w:rPr>
                                <w:rFonts w:ascii="Arial" w:hAnsi="Arial"/>
                                <w:sz w:val="18"/>
                                <w:szCs w:val="18"/>
                              </w:rPr>
                              <w:t xml:space="preserve"> </w:t>
                            </w:r>
                            <w:r>
                              <w:rPr>
                                <w:rFonts w:ascii="Arial" w:hAnsi="Arial"/>
                                <w:sz w:val="18"/>
                                <w:szCs w:val="18"/>
                              </w:rPr>
                              <w:t>Its work</w:t>
                            </w:r>
                            <w:r w:rsidR="00B82470" w:rsidRPr="00B82470">
                              <w:rPr>
                                <w:rFonts w:ascii="Arial" w:hAnsi="Arial"/>
                                <w:sz w:val="18"/>
                                <w:szCs w:val="18"/>
                              </w:rPr>
                              <w:t xml:space="preserve"> build</w:t>
                            </w:r>
                            <w:r>
                              <w:rPr>
                                <w:rFonts w:ascii="Arial" w:hAnsi="Arial"/>
                                <w:sz w:val="18"/>
                                <w:szCs w:val="18"/>
                              </w:rPr>
                              <w:t>s</w:t>
                            </w:r>
                            <w:r w:rsidR="00B82470" w:rsidRPr="00B82470">
                              <w:rPr>
                                <w:rFonts w:ascii="Arial" w:hAnsi="Arial"/>
                                <w:sz w:val="18"/>
                                <w:szCs w:val="18"/>
                              </w:rPr>
                              <w:t xml:space="preserve"> on the poverty measure developed by the </w:t>
                            </w:r>
                            <w:r w:rsidR="00CB2FB3">
                              <w:rPr>
                                <w:rFonts w:ascii="Arial" w:hAnsi="Arial"/>
                                <w:sz w:val="18"/>
                                <w:szCs w:val="18"/>
                              </w:rPr>
                              <w:t>SMC</w:t>
                            </w:r>
                            <w:r w:rsidR="00B82470" w:rsidRPr="00B82470">
                              <w:rPr>
                                <w:rFonts w:ascii="Arial" w:hAnsi="Arial"/>
                                <w:sz w:val="18"/>
                                <w:szCs w:val="18"/>
                              </w:rPr>
                              <w:t>.</w:t>
                            </w:r>
                            <w:r w:rsidR="00B82470">
                              <w:rPr>
                                <w:rFonts w:ascii="Arial" w:hAnsi="Arial"/>
                                <w:sz w:val="18"/>
                                <w:szCs w:val="18"/>
                              </w:rPr>
                              <w:t xml:space="preserve"> </w:t>
                            </w:r>
                            <w:hyperlink r:id="rId29" w:history="1">
                              <w:r w:rsidR="00406906" w:rsidRPr="004D3673">
                                <w:rPr>
                                  <w:rStyle w:val="Hyperlink"/>
                                  <w:rFonts w:ascii="Arial" w:hAnsi="Arial"/>
                                  <w:sz w:val="18"/>
                                  <w:szCs w:val="18"/>
                                </w:rPr>
                                <w:t>https://povertystrategycommission.org.uk/</w:t>
                              </w:r>
                            </w:hyperlink>
                            <w:r w:rsidR="00406906">
                              <w:rPr>
                                <w:rFonts w:ascii="Arial" w:hAnsi="Arial"/>
                                <w:sz w:val="18"/>
                                <w:szCs w:val="18"/>
                              </w:rPr>
                              <w:t xml:space="preserve"> </w:t>
                            </w:r>
                          </w:p>
                          <w:p w14:paraId="264883BF" w14:textId="77777777" w:rsidR="00406906" w:rsidRPr="00406906" w:rsidRDefault="00406906">
                            <w:pPr>
                              <w:rPr>
                                <w:rFonts w:ascii="Arial" w:hAns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4FC90" id="Text Box 29" o:spid="_x0000_s1040" type="#_x0000_t202" style="position:absolute;margin-left:21.5pt;margin-top:26.95pt;width:414pt;height:447.5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" fillcolor="white [3201]" strokeweight=".5pt">
                <v:textbox>
                  <w:txbxContent>
                    <w:p w14:paraId="32044FA3" w14:textId="38EA52F8" w:rsidR="00406906" w:rsidRDefault="00F5494A" w:rsidP="00F5494A">
                      <w:pPr>
                        <w:spacing w:after="0" w:line="240" w:lineRule="auto"/>
                        <w:jc w:val="center"/>
                        <w:rPr>
                          <w:rFonts w:ascii="Arial" w:hAnsi="Arial"/>
                          <w:b/>
                          <w:bCs/>
                          <w:szCs w:val="20"/>
                        </w:rPr>
                      </w:pPr>
                      <w:r w:rsidRPr="00F5494A">
                        <w:rPr>
                          <w:rFonts w:ascii="Arial" w:hAnsi="Arial"/>
                          <w:b/>
                          <w:bCs/>
                          <w:szCs w:val="20"/>
                        </w:rPr>
                        <w:t>The UK’s possible new supplementary</w:t>
                      </w:r>
                      <w:r w:rsidR="00406906" w:rsidRPr="00F5494A">
                        <w:rPr>
                          <w:rFonts w:ascii="Arial" w:hAnsi="Arial"/>
                          <w:b/>
                          <w:bCs/>
                          <w:szCs w:val="20"/>
                        </w:rPr>
                        <w:t xml:space="preserve"> measure</w:t>
                      </w:r>
                      <w:r w:rsidRPr="00F5494A">
                        <w:rPr>
                          <w:rFonts w:ascii="Arial" w:hAnsi="Arial"/>
                          <w:b/>
                          <w:bCs/>
                          <w:szCs w:val="20"/>
                        </w:rPr>
                        <w:t xml:space="preserve"> of poverty</w:t>
                      </w:r>
                      <w:r w:rsidR="00D8454F">
                        <w:rPr>
                          <w:rFonts w:ascii="Arial" w:hAnsi="Arial"/>
                          <w:b/>
                          <w:bCs/>
                          <w:szCs w:val="20"/>
                        </w:rPr>
                        <w:t>:</w:t>
                      </w:r>
                    </w:p>
                    <w:p w14:paraId="1B868DE9" w14:textId="3B6ABB63" w:rsidR="00D8454F" w:rsidRDefault="00D8454F" w:rsidP="00D8454F">
                      <w:pPr>
                        <w:spacing w:after="0" w:line="240" w:lineRule="auto"/>
                        <w:jc w:val="center"/>
                        <w:rPr>
                          <w:rFonts w:ascii="Arial" w:hAnsi="Arial"/>
                          <w:b/>
                          <w:bCs/>
                          <w:szCs w:val="20"/>
                        </w:rPr>
                      </w:pPr>
                      <w:r w:rsidRPr="00F5494A">
                        <w:rPr>
                          <w:rFonts w:ascii="Arial" w:hAnsi="Arial"/>
                          <w:b/>
                          <w:bCs/>
                          <w:szCs w:val="20"/>
                        </w:rPr>
                        <w:t>BAR (Below Average Resources)</w:t>
                      </w:r>
                    </w:p>
                    <w:p w14:paraId="42A72A8C" w14:textId="77777777" w:rsidR="00617CFB" w:rsidRDefault="00617CFB" w:rsidP="00617CFB">
                      <w:pPr>
                        <w:spacing w:after="0" w:line="240" w:lineRule="auto"/>
                        <w:rPr>
                          <w:rFonts w:ascii="Arial" w:hAnsi="Arial"/>
                          <w:sz w:val="18"/>
                          <w:szCs w:val="18"/>
                        </w:rPr>
                      </w:pPr>
                    </w:p>
                    <w:p w14:paraId="0E6AF65F" w14:textId="68C3863E" w:rsidR="00B82470" w:rsidRDefault="00B82470" w:rsidP="00161B3E">
                      <w:pPr>
                        <w:spacing w:after="0" w:line="240" w:lineRule="auto"/>
                        <w:ind w:left="142"/>
                        <w:rPr>
                          <w:rFonts w:ascii="Arial" w:hAnsi="Arial"/>
                          <w:sz w:val="18"/>
                          <w:szCs w:val="18"/>
                        </w:rPr>
                      </w:pPr>
                      <w:r>
                        <w:rPr>
                          <w:rFonts w:ascii="Arial" w:hAnsi="Arial"/>
                          <w:sz w:val="18"/>
                          <w:szCs w:val="18"/>
                        </w:rPr>
                        <w:t xml:space="preserve">When poverty is conceptualised in terms of </w:t>
                      </w:r>
                      <w:r w:rsidR="008D751C">
                        <w:rPr>
                          <w:rFonts w:ascii="Arial" w:hAnsi="Arial"/>
                          <w:sz w:val="18"/>
                          <w:szCs w:val="18"/>
                        </w:rPr>
                        <w:t>‘</w:t>
                      </w:r>
                      <w:r w:rsidRPr="00B82470">
                        <w:rPr>
                          <w:rFonts w:ascii="Arial" w:eastAsia="Times New Roman" w:hAnsi="Arial"/>
                          <w:color w:val="000000" w:themeColor="text1"/>
                          <w:sz w:val="18"/>
                          <w:szCs w:val="18"/>
                          <w:lang w:val="en-GB"/>
                        </w:rPr>
                        <w:t>household resources being insufficient to enable households to meet basic needs</w:t>
                      </w:r>
                      <w:r w:rsidR="008D751C">
                        <w:rPr>
                          <w:rFonts w:ascii="Arial" w:eastAsia="Times New Roman" w:hAnsi="Arial"/>
                          <w:color w:val="000000" w:themeColor="text1"/>
                          <w:sz w:val="18"/>
                          <w:szCs w:val="18"/>
                          <w:lang w:val="en-GB"/>
                        </w:rPr>
                        <w:t>’</w:t>
                      </w:r>
                      <w:r w:rsidRPr="00B82470">
                        <w:rPr>
                          <w:rFonts w:ascii="Arial" w:hAnsi="Arial"/>
                          <w:sz w:val="18"/>
                          <w:szCs w:val="18"/>
                        </w:rPr>
                        <w:t xml:space="preserve"> </w:t>
                      </w:r>
                      <w:r>
                        <w:rPr>
                          <w:rFonts w:ascii="Arial" w:hAnsi="Arial"/>
                          <w:sz w:val="18"/>
                          <w:szCs w:val="18"/>
                        </w:rPr>
                        <w:t xml:space="preserve">(as in this report and elsewhere), </w:t>
                      </w:r>
                      <w:r w:rsidR="004A2A9F" w:rsidRPr="00B82470">
                        <w:rPr>
                          <w:rFonts w:ascii="Arial" w:hAnsi="Arial"/>
                          <w:sz w:val="18"/>
                          <w:szCs w:val="18"/>
                        </w:rPr>
                        <w:t xml:space="preserve">the value and need for including resources beyond direct household income for estimating ‘income-based’ poverty rates has long been recognised. </w:t>
                      </w:r>
                      <w:r>
                        <w:rPr>
                          <w:rFonts w:ascii="Arial" w:hAnsi="Arial"/>
                          <w:sz w:val="18"/>
                          <w:szCs w:val="18"/>
                        </w:rPr>
                        <w:t>For example:</w:t>
                      </w:r>
                    </w:p>
                    <w:p w14:paraId="0973F540" w14:textId="6F10DA00" w:rsidR="008D751C" w:rsidRDefault="00501A89" w:rsidP="009A0193">
                      <w:pPr>
                        <w:pStyle w:val="ListParagraph"/>
                        <w:numPr>
                          <w:ilvl w:val="0"/>
                          <w:numId w:val="117"/>
                        </w:numPr>
                        <w:spacing w:after="0" w:line="240" w:lineRule="auto"/>
                        <w:contextualSpacing w:val="0"/>
                        <w:rPr>
                          <w:rFonts w:ascii="Arial" w:hAnsi="Arial"/>
                          <w:sz w:val="18"/>
                          <w:szCs w:val="18"/>
                        </w:rPr>
                      </w:pPr>
                      <w:r>
                        <w:rPr>
                          <w:rFonts w:ascii="Arial" w:hAnsi="Arial"/>
                          <w:sz w:val="18"/>
                          <w:szCs w:val="18"/>
                        </w:rPr>
                        <w:t xml:space="preserve">The </w:t>
                      </w:r>
                      <w:r w:rsidR="008D751C" w:rsidRPr="008D751C">
                        <w:rPr>
                          <w:rFonts w:ascii="Arial" w:hAnsi="Arial"/>
                          <w:sz w:val="18"/>
                          <w:szCs w:val="18"/>
                        </w:rPr>
                        <w:t xml:space="preserve">Stiglitz-Sen-Fitoussi Commission (2009) recommended </w:t>
                      </w:r>
                      <w:r>
                        <w:rPr>
                          <w:rFonts w:ascii="Arial" w:hAnsi="Arial"/>
                          <w:sz w:val="18"/>
                          <w:szCs w:val="18"/>
                        </w:rPr>
                        <w:t>looking</w:t>
                      </w:r>
                      <w:r w:rsidR="008D751C" w:rsidRPr="008D751C">
                        <w:rPr>
                          <w:rFonts w:ascii="Arial" w:hAnsi="Arial"/>
                          <w:sz w:val="18"/>
                          <w:szCs w:val="18"/>
                        </w:rPr>
                        <w:t xml:space="preserve"> at the joint distribution of economic resources.</w:t>
                      </w:r>
                    </w:p>
                    <w:p w14:paraId="6B6E9844" w14:textId="51B1A73D" w:rsidR="008D751C" w:rsidRDefault="008D751C" w:rsidP="009A0193">
                      <w:pPr>
                        <w:pStyle w:val="ListParagraph"/>
                        <w:numPr>
                          <w:ilvl w:val="0"/>
                          <w:numId w:val="116"/>
                        </w:numPr>
                        <w:spacing w:after="0" w:line="240" w:lineRule="auto"/>
                        <w:contextualSpacing w:val="0"/>
                        <w:rPr>
                          <w:rFonts w:ascii="Arial" w:hAnsi="Arial"/>
                          <w:sz w:val="18"/>
                          <w:szCs w:val="18"/>
                        </w:rPr>
                      </w:pPr>
                      <w:r>
                        <w:rPr>
                          <w:rFonts w:ascii="Arial" w:hAnsi="Arial"/>
                          <w:sz w:val="18"/>
                          <w:szCs w:val="18"/>
                        </w:rPr>
                        <w:t>An</w:t>
                      </w:r>
                      <w:r w:rsidRPr="008D751C">
                        <w:rPr>
                          <w:rFonts w:ascii="Arial" w:hAnsi="Arial"/>
                          <w:sz w:val="18"/>
                          <w:szCs w:val="18"/>
                        </w:rPr>
                        <w:t xml:space="preserve"> OECD-Eurostat Expert Group on</w:t>
                      </w:r>
                      <w:r>
                        <w:rPr>
                          <w:rFonts w:ascii="Arial" w:hAnsi="Arial"/>
                          <w:sz w:val="18"/>
                          <w:szCs w:val="18"/>
                        </w:rPr>
                        <w:t xml:space="preserve"> </w:t>
                      </w:r>
                      <w:r w:rsidRPr="008D751C">
                        <w:rPr>
                          <w:rFonts w:ascii="Arial" w:hAnsi="Arial"/>
                          <w:sz w:val="18"/>
                          <w:szCs w:val="18"/>
                        </w:rPr>
                        <w:t>the joint distribution of income,</w:t>
                      </w:r>
                      <w:r>
                        <w:rPr>
                          <w:rFonts w:ascii="Arial" w:hAnsi="Arial"/>
                          <w:sz w:val="18"/>
                          <w:szCs w:val="18"/>
                        </w:rPr>
                        <w:t xml:space="preserve"> </w:t>
                      </w:r>
                      <w:r w:rsidRPr="008D751C">
                        <w:rPr>
                          <w:rFonts w:ascii="Arial" w:hAnsi="Arial"/>
                          <w:sz w:val="18"/>
                          <w:szCs w:val="18"/>
                        </w:rPr>
                        <w:t xml:space="preserve">consumption and wealth </w:t>
                      </w:r>
                      <w:r w:rsidR="00501A89">
                        <w:rPr>
                          <w:rFonts w:ascii="Arial" w:hAnsi="Arial"/>
                          <w:sz w:val="18"/>
                          <w:szCs w:val="18"/>
                        </w:rPr>
                        <w:t xml:space="preserve">was </w:t>
                      </w:r>
                      <w:r w:rsidRPr="008D751C">
                        <w:rPr>
                          <w:rFonts w:ascii="Arial" w:hAnsi="Arial"/>
                          <w:sz w:val="18"/>
                          <w:szCs w:val="18"/>
                        </w:rPr>
                        <w:t>launched in</w:t>
                      </w:r>
                      <w:r>
                        <w:rPr>
                          <w:rFonts w:ascii="Arial" w:hAnsi="Arial"/>
                          <w:sz w:val="18"/>
                          <w:szCs w:val="18"/>
                        </w:rPr>
                        <w:t xml:space="preserve"> </w:t>
                      </w:r>
                      <w:r w:rsidRPr="008D751C">
                        <w:rPr>
                          <w:rFonts w:ascii="Arial" w:hAnsi="Arial"/>
                          <w:sz w:val="18"/>
                          <w:szCs w:val="18"/>
                        </w:rPr>
                        <w:t>November 2017.</w:t>
                      </w:r>
                    </w:p>
                    <w:p w14:paraId="44BD6FC4" w14:textId="34AC5CDD" w:rsidR="00B82470" w:rsidRPr="008D751C" w:rsidRDefault="004A2A9F" w:rsidP="009A0193">
                      <w:pPr>
                        <w:pStyle w:val="ListParagraph"/>
                        <w:numPr>
                          <w:ilvl w:val="0"/>
                          <w:numId w:val="116"/>
                        </w:numPr>
                        <w:spacing w:after="0" w:line="240" w:lineRule="auto"/>
                        <w:contextualSpacing w:val="0"/>
                        <w:rPr>
                          <w:rFonts w:ascii="Arial" w:hAnsi="Arial"/>
                          <w:sz w:val="18"/>
                          <w:szCs w:val="18"/>
                        </w:rPr>
                      </w:pPr>
                      <w:r w:rsidRPr="008D751C">
                        <w:rPr>
                          <w:rFonts w:ascii="Arial" w:hAnsi="Arial"/>
                          <w:sz w:val="18"/>
                          <w:szCs w:val="18"/>
                        </w:rPr>
                        <w:t>The academi</w:t>
                      </w:r>
                      <w:r w:rsidR="00B82470" w:rsidRPr="008D751C">
                        <w:rPr>
                          <w:rFonts w:ascii="Arial" w:hAnsi="Arial"/>
                          <w:sz w:val="18"/>
                          <w:szCs w:val="18"/>
                        </w:rPr>
                        <w:t>c</w:t>
                      </w:r>
                      <w:r w:rsidRPr="008D751C">
                        <w:rPr>
                          <w:rFonts w:ascii="Arial" w:hAnsi="Arial"/>
                          <w:sz w:val="18"/>
                          <w:szCs w:val="18"/>
                        </w:rPr>
                        <w:t xml:space="preserve"> literature</w:t>
                      </w:r>
                      <w:r w:rsidR="00501A89">
                        <w:rPr>
                          <w:rFonts w:ascii="Arial" w:hAnsi="Arial"/>
                          <w:sz w:val="18"/>
                          <w:szCs w:val="18"/>
                        </w:rPr>
                        <w:t xml:space="preserve"> has research on the theme</w:t>
                      </w:r>
                      <w:r w:rsidR="00F5494A" w:rsidRPr="008D751C">
                        <w:rPr>
                          <w:rFonts w:ascii="Arial" w:hAnsi="Arial"/>
                          <w:sz w:val="18"/>
                          <w:szCs w:val="18"/>
                        </w:rPr>
                        <w:t xml:space="preserve"> (</w:t>
                      </w:r>
                      <w:r w:rsidR="00501A89">
                        <w:rPr>
                          <w:rFonts w:ascii="Arial" w:hAnsi="Arial"/>
                          <w:sz w:val="18"/>
                          <w:szCs w:val="18"/>
                        </w:rPr>
                        <w:t xml:space="preserve">eg </w:t>
                      </w:r>
                      <w:r w:rsidR="00F5494A" w:rsidRPr="008D751C">
                        <w:rPr>
                          <w:rFonts w:ascii="Arial" w:hAnsi="Arial"/>
                          <w:sz w:val="18"/>
                          <w:szCs w:val="18"/>
                        </w:rPr>
                        <w:t>Kuypers and Marx</w:t>
                      </w:r>
                      <w:r w:rsidR="00A713F5">
                        <w:rPr>
                          <w:rFonts w:ascii="Arial" w:hAnsi="Arial"/>
                          <w:sz w:val="18"/>
                          <w:szCs w:val="18"/>
                        </w:rPr>
                        <w:t xml:space="preserve"> (</w:t>
                      </w:r>
                      <w:r w:rsidR="00F5494A" w:rsidRPr="008D751C">
                        <w:rPr>
                          <w:rFonts w:ascii="Arial" w:hAnsi="Arial"/>
                          <w:sz w:val="18"/>
                          <w:szCs w:val="18"/>
                        </w:rPr>
                        <w:t>2016</w:t>
                      </w:r>
                      <w:r w:rsidR="00A713F5">
                        <w:rPr>
                          <w:rFonts w:ascii="Arial" w:hAnsi="Arial"/>
                          <w:sz w:val="18"/>
                          <w:szCs w:val="18"/>
                        </w:rPr>
                        <w:t>), Davidson et al (2025)</w:t>
                      </w:r>
                      <w:r w:rsidR="00F5494A" w:rsidRPr="008D751C">
                        <w:rPr>
                          <w:rFonts w:ascii="Arial" w:hAnsi="Arial"/>
                          <w:sz w:val="18"/>
                          <w:szCs w:val="18"/>
                        </w:rPr>
                        <w:t>)</w:t>
                      </w:r>
                      <w:r w:rsidR="00501A89">
                        <w:rPr>
                          <w:rFonts w:ascii="Arial" w:hAnsi="Arial"/>
                          <w:sz w:val="18"/>
                          <w:szCs w:val="18"/>
                        </w:rPr>
                        <w:t>.</w:t>
                      </w:r>
                      <w:r w:rsidRPr="008D751C">
                        <w:rPr>
                          <w:rFonts w:ascii="Arial" w:hAnsi="Arial"/>
                          <w:sz w:val="18"/>
                          <w:szCs w:val="18"/>
                        </w:rPr>
                        <w:t xml:space="preserve">  </w:t>
                      </w:r>
                    </w:p>
                    <w:p w14:paraId="7379D5F7" w14:textId="191A6EE5" w:rsidR="004A2A9F" w:rsidRPr="00B82470" w:rsidRDefault="004A2A9F" w:rsidP="009A0193">
                      <w:pPr>
                        <w:pStyle w:val="ListParagraph"/>
                        <w:numPr>
                          <w:ilvl w:val="0"/>
                          <w:numId w:val="116"/>
                        </w:numPr>
                        <w:spacing w:after="0" w:line="240" w:lineRule="auto"/>
                        <w:contextualSpacing w:val="0"/>
                        <w:rPr>
                          <w:rFonts w:ascii="Arial" w:hAnsi="Arial"/>
                          <w:sz w:val="18"/>
                          <w:szCs w:val="18"/>
                        </w:rPr>
                      </w:pPr>
                      <w:r w:rsidRPr="00B82470">
                        <w:rPr>
                          <w:rFonts w:ascii="Arial" w:hAnsi="Arial"/>
                          <w:sz w:val="18"/>
                          <w:szCs w:val="18"/>
                        </w:rPr>
                        <w:t xml:space="preserve">The OECD </w:t>
                      </w:r>
                      <w:r w:rsidR="008D751C">
                        <w:rPr>
                          <w:rFonts w:ascii="Arial" w:hAnsi="Arial"/>
                          <w:sz w:val="18"/>
                          <w:szCs w:val="18"/>
                        </w:rPr>
                        <w:t>has published analysis on</w:t>
                      </w:r>
                      <w:r w:rsidR="00F5494A" w:rsidRPr="00B82470">
                        <w:rPr>
                          <w:rFonts w:ascii="Arial" w:hAnsi="Arial"/>
                          <w:sz w:val="18"/>
                          <w:szCs w:val="18"/>
                        </w:rPr>
                        <w:t xml:space="preserve"> ‘asset-based poverty’</w:t>
                      </w:r>
                      <w:r w:rsidR="008D751C">
                        <w:rPr>
                          <w:rFonts w:ascii="Arial" w:hAnsi="Arial"/>
                          <w:sz w:val="18"/>
                          <w:szCs w:val="18"/>
                        </w:rPr>
                        <w:t xml:space="preserve"> using various definitions – see for example an overview PowerPoint</w:t>
                      </w:r>
                      <w:r w:rsidR="009A0193">
                        <w:rPr>
                          <w:rFonts w:ascii="Arial" w:hAnsi="Arial"/>
                          <w:sz w:val="18"/>
                          <w:szCs w:val="18"/>
                        </w:rPr>
                        <w:t>:</w:t>
                      </w:r>
                    </w:p>
                    <w:p w14:paraId="4D0EB342" w14:textId="2303AEF0" w:rsidR="00F5494A" w:rsidRPr="00617CFB" w:rsidRDefault="009A0193" w:rsidP="00730E03">
                      <w:pPr>
                        <w:widowControl w:val="0"/>
                        <w:autoSpaceDE w:val="0"/>
                        <w:autoSpaceDN w:val="0"/>
                        <w:adjustRightInd w:val="0"/>
                        <w:spacing w:line="240" w:lineRule="auto"/>
                        <w:ind w:left="284" w:firstLine="578"/>
                        <w:rPr>
                          <w:rFonts w:ascii="Arial" w:hAnsi="Arial"/>
                          <w:sz w:val="18"/>
                          <w:szCs w:val="18"/>
                        </w:rPr>
                      </w:pPr>
                      <w:hyperlink r:id="rId30" w:history="1">
                        <w:r w:rsidRPr="00B06352">
                          <w:rPr>
                            <w:rStyle w:val="Hyperlink"/>
                            <w:rFonts w:ascii="Arial" w:hAnsi="Arial"/>
                            <w:sz w:val="18"/>
                            <w:szCs w:val="18"/>
                          </w:rPr>
                          <w:t>https://ec.europa.eu/social/BlobServlet?docId=19263&amp;langId=en</w:t>
                        </w:r>
                      </w:hyperlink>
                      <w:r w:rsidR="00F5494A">
                        <w:rPr>
                          <w:rFonts w:ascii="Arial" w:hAnsi="Arial"/>
                          <w:sz w:val="18"/>
                          <w:szCs w:val="18"/>
                        </w:rPr>
                        <w:t xml:space="preserve">  </w:t>
                      </w:r>
                    </w:p>
                    <w:p w14:paraId="08F91F04" w14:textId="026EC6B7" w:rsidR="00617CFB" w:rsidRDefault="004A2A9F" w:rsidP="00730E03">
                      <w:pPr>
                        <w:spacing w:line="240" w:lineRule="auto"/>
                        <w:ind w:left="142"/>
                        <w:rPr>
                          <w:rFonts w:ascii="Arial" w:hAnsi="Arial"/>
                          <w:sz w:val="18"/>
                          <w:szCs w:val="18"/>
                        </w:rPr>
                      </w:pPr>
                      <w:r w:rsidRPr="00617CFB">
                        <w:rPr>
                          <w:rFonts w:ascii="Arial" w:hAnsi="Arial"/>
                          <w:sz w:val="18"/>
                          <w:szCs w:val="18"/>
                        </w:rPr>
                        <w:t xml:space="preserve">It is also recognised that households have varying needs that go beyond housing costs (addressed </w:t>
                      </w:r>
                      <w:r w:rsidR="00161B3E">
                        <w:rPr>
                          <w:rFonts w:ascii="Arial" w:hAnsi="Arial"/>
                          <w:sz w:val="18"/>
                          <w:szCs w:val="18"/>
                        </w:rPr>
                        <w:t xml:space="preserve">to some degree </w:t>
                      </w:r>
                      <w:r w:rsidRPr="00617CFB">
                        <w:rPr>
                          <w:rFonts w:ascii="Arial" w:hAnsi="Arial"/>
                          <w:sz w:val="18"/>
                          <w:szCs w:val="18"/>
                        </w:rPr>
                        <w:t>through the use of AHC incomes</w:t>
                      </w:r>
                      <w:r w:rsidR="00161B3E">
                        <w:rPr>
                          <w:rFonts w:ascii="Arial" w:hAnsi="Arial"/>
                          <w:sz w:val="18"/>
                          <w:szCs w:val="18"/>
                        </w:rPr>
                        <w:t>),</w:t>
                      </w:r>
                      <w:r w:rsidRPr="00617CFB">
                        <w:rPr>
                          <w:rFonts w:ascii="Arial" w:hAnsi="Arial"/>
                          <w:sz w:val="18"/>
                          <w:szCs w:val="18"/>
                        </w:rPr>
                        <w:t xml:space="preserve"> and household size and composition (addressed via equivalisation).</w:t>
                      </w:r>
                      <w:r w:rsidR="00161B3E">
                        <w:rPr>
                          <w:rFonts w:ascii="Arial" w:hAnsi="Arial"/>
                          <w:sz w:val="18"/>
                          <w:szCs w:val="18"/>
                        </w:rPr>
                        <w:t xml:space="preserve"> </w:t>
                      </w:r>
                    </w:p>
                    <w:p w14:paraId="42C134BF" w14:textId="3CC2BB29" w:rsidR="00F5494A" w:rsidRPr="00617CFB" w:rsidRDefault="004A2A9F" w:rsidP="00730E03">
                      <w:pPr>
                        <w:spacing w:line="240" w:lineRule="auto"/>
                        <w:ind w:left="142"/>
                        <w:rPr>
                          <w:rFonts w:ascii="Arial" w:hAnsi="Arial"/>
                          <w:sz w:val="18"/>
                          <w:szCs w:val="18"/>
                        </w:rPr>
                      </w:pPr>
                      <w:r w:rsidRPr="00617CFB">
                        <w:rPr>
                          <w:rFonts w:ascii="Arial" w:hAnsi="Arial"/>
                          <w:sz w:val="18"/>
                          <w:szCs w:val="18"/>
                        </w:rPr>
                        <w:t>In the UK</w:t>
                      </w:r>
                      <w:r w:rsidR="00252C14">
                        <w:rPr>
                          <w:rFonts w:ascii="Arial" w:hAnsi="Arial"/>
                          <w:sz w:val="18"/>
                          <w:szCs w:val="18"/>
                        </w:rPr>
                        <w:t>,</w:t>
                      </w:r>
                      <w:r w:rsidRPr="00617CFB">
                        <w:rPr>
                          <w:rFonts w:ascii="Arial" w:hAnsi="Arial"/>
                          <w:sz w:val="18"/>
                          <w:szCs w:val="18"/>
                        </w:rPr>
                        <w:t xml:space="preserve"> the Social Metrics Commission</w:t>
                      </w:r>
                      <w:r w:rsidR="00252C14">
                        <w:rPr>
                          <w:rFonts w:ascii="Arial" w:hAnsi="Arial"/>
                          <w:sz w:val="18"/>
                          <w:szCs w:val="18"/>
                        </w:rPr>
                        <w:t xml:space="preserve"> (SMC) has developed an experimental poverty measure that is still essentially income-based (ie it is not a non-income based approach using material wellbeing questions as </w:t>
                      </w:r>
                      <w:r w:rsidR="002440A7">
                        <w:rPr>
                          <w:rFonts w:ascii="Arial" w:hAnsi="Arial"/>
                          <w:sz w:val="18"/>
                          <w:szCs w:val="18"/>
                        </w:rPr>
                        <w:t xml:space="preserve">in </w:t>
                      </w:r>
                      <w:r w:rsidR="00252C14">
                        <w:rPr>
                          <w:rFonts w:ascii="Arial" w:hAnsi="Arial"/>
                          <w:sz w:val="18"/>
                          <w:szCs w:val="18"/>
                        </w:rPr>
                        <w:t>DEP-17, MH-18 and EU-13)</w:t>
                      </w:r>
                      <w:r w:rsidR="00F5494A">
                        <w:rPr>
                          <w:rFonts w:ascii="Arial" w:hAnsi="Arial"/>
                          <w:sz w:val="18"/>
                          <w:szCs w:val="18"/>
                        </w:rPr>
                        <w:t xml:space="preserve"> </w:t>
                      </w:r>
                      <w:r w:rsidR="00252C14">
                        <w:rPr>
                          <w:rFonts w:ascii="Arial" w:hAnsi="Arial"/>
                          <w:sz w:val="18"/>
                          <w:szCs w:val="18"/>
                        </w:rPr>
                        <w:t xml:space="preserve">but which </w:t>
                      </w:r>
                      <w:r w:rsidR="002440A7">
                        <w:rPr>
                          <w:rFonts w:ascii="Arial" w:hAnsi="Arial"/>
                          <w:sz w:val="18"/>
                          <w:szCs w:val="18"/>
                        </w:rPr>
                        <w:t xml:space="preserve">moves beyond income to </w:t>
                      </w:r>
                      <w:r w:rsidR="00252C14">
                        <w:rPr>
                          <w:rFonts w:ascii="Arial" w:hAnsi="Arial"/>
                          <w:sz w:val="18"/>
                          <w:szCs w:val="18"/>
                        </w:rPr>
                        <w:t xml:space="preserve">take a </w:t>
                      </w:r>
                      <w:r w:rsidR="00F5494A">
                        <w:rPr>
                          <w:rFonts w:ascii="Arial" w:hAnsi="Arial"/>
                          <w:sz w:val="18"/>
                          <w:szCs w:val="18"/>
                        </w:rPr>
                        <w:t>more expansive view of</w:t>
                      </w:r>
                      <w:r w:rsidR="00252C14">
                        <w:rPr>
                          <w:rFonts w:ascii="Arial" w:hAnsi="Arial"/>
                          <w:sz w:val="18"/>
                          <w:szCs w:val="18"/>
                        </w:rPr>
                        <w:t xml:space="preserve"> </w:t>
                      </w:r>
                      <w:r w:rsidR="00252C14" w:rsidRPr="00252C14">
                        <w:rPr>
                          <w:rFonts w:ascii="Arial" w:hAnsi="Arial"/>
                          <w:sz w:val="18"/>
                          <w:szCs w:val="18"/>
                        </w:rPr>
                        <w:t xml:space="preserve">available resources </w:t>
                      </w:r>
                      <w:r w:rsidR="002440A7">
                        <w:rPr>
                          <w:rFonts w:ascii="Arial" w:hAnsi="Arial"/>
                          <w:sz w:val="18"/>
                          <w:szCs w:val="18"/>
                        </w:rPr>
                        <w:t xml:space="preserve">that </w:t>
                      </w:r>
                      <w:r w:rsidR="00252C14">
                        <w:rPr>
                          <w:rFonts w:ascii="Arial" w:hAnsi="Arial"/>
                          <w:sz w:val="18"/>
                          <w:szCs w:val="18"/>
                        </w:rPr>
                        <w:t>include</w:t>
                      </w:r>
                      <w:r w:rsidR="002440A7">
                        <w:rPr>
                          <w:rFonts w:ascii="Arial" w:hAnsi="Arial"/>
                          <w:sz w:val="18"/>
                          <w:szCs w:val="18"/>
                        </w:rPr>
                        <w:t>s</w:t>
                      </w:r>
                      <w:r w:rsidR="00252C14">
                        <w:rPr>
                          <w:rFonts w:ascii="Arial" w:hAnsi="Arial"/>
                          <w:sz w:val="18"/>
                          <w:szCs w:val="18"/>
                        </w:rPr>
                        <w:t xml:space="preserve"> </w:t>
                      </w:r>
                      <w:r w:rsidR="00252C14" w:rsidRPr="00252C14">
                        <w:rPr>
                          <w:rFonts w:ascii="Arial" w:hAnsi="Arial"/>
                          <w:sz w:val="18"/>
                          <w:szCs w:val="18"/>
                        </w:rPr>
                        <w:t>both savings and inescapable costs</w:t>
                      </w:r>
                      <w:r w:rsidR="00252C14">
                        <w:rPr>
                          <w:rFonts w:ascii="Arial" w:hAnsi="Arial"/>
                          <w:sz w:val="18"/>
                          <w:szCs w:val="18"/>
                        </w:rPr>
                        <w:t xml:space="preserve">. </w:t>
                      </w:r>
                      <w:hyperlink r:id="rId31" w:history="1">
                        <w:r w:rsidR="00A42D6E" w:rsidRPr="00B06352">
                          <w:rPr>
                            <w:rStyle w:val="Hyperlink"/>
                            <w:rFonts w:ascii="Arial" w:hAnsi="Arial"/>
                            <w:sz w:val="18"/>
                            <w:szCs w:val="18"/>
                          </w:rPr>
                          <w:t>https://socialmetricscommission.org.uk/</w:t>
                        </w:r>
                      </w:hyperlink>
                      <w:r w:rsidR="00161B3E">
                        <w:rPr>
                          <w:rFonts w:ascii="Arial" w:hAnsi="Arial"/>
                          <w:sz w:val="18"/>
                          <w:szCs w:val="18"/>
                        </w:rPr>
                        <w:t xml:space="preserve"> </w:t>
                      </w:r>
                    </w:p>
                    <w:p w14:paraId="400B5B00" w14:textId="646AD5A0" w:rsidR="004A2A9F" w:rsidRPr="00617CFB" w:rsidRDefault="004A2A9F" w:rsidP="002440A7">
                      <w:pPr>
                        <w:spacing w:after="0" w:line="240" w:lineRule="auto"/>
                        <w:ind w:left="142"/>
                        <w:rPr>
                          <w:rFonts w:ascii="Arial" w:hAnsi="Arial"/>
                          <w:sz w:val="18"/>
                          <w:szCs w:val="18"/>
                        </w:rPr>
                      </w:pPr>
                      <w:r w:rsidRPr="00617CFB">
                        <w:rPr>
                          <w:rFonts w:ascii="Arial" w:hAnsi="Arial"/>
                          <w:sz w:val="18"/>
                          <w:szCs w:val="18"/>
                        </w:rPr>
                        <w:t>This has led to the Office for National Statistics</w:t>
                      </w:r>
                      <w:r w:rsidR="00252C14">
                        <w:rPr>
                          <w:rFonts w:ascii="Arial" w:hAnsi="Arial"/>
                          <w:sz w:val="18"/>
                          <w:szCs w:val="18"/>
                        </w:rPr>
                        <w:t xml:space="preserve"> formally </w:t>
                      </w:r>
                      <w:r w:rsidR="00F5494A">
                        <w:rPr>
                          <w:rFonts w:ascii="Arial" w:hAnsi="Arial"/>
                          <w:sz w:val="18"/>
                          <w:szCs w:val="18"/>
                        </w:rPr>
                        <w:t>recommending that</w:t>
                      </w:r>
                      <w:r w:rsidRPr="00617CFB">
                        <w:rPr>
                          <w:rFonts w:ascii="Arial" w:hAnsi="Arial"/>
                          <w:sz w:val="18"/>
                          <w:szCs w:val="18"/>
                        </w:rPr>
                        <w:t xml:space="preserve"> the DWP </w:t>
                      </w:r>
                      <w:r w:rsidR="00F5494A">
                        <w:rPr>
                          <w:rFonts w:ascii="Arial" w:hAnsi="Arial"/>
                          <w:sz w:val="18"/>
                          <w:szCs w:val="18"/>
                        </w:rPr>
                        <w:t>assess how the SMC proposals ‘can enhance</w:t>
                      </w:r>
                      <w:r w:rsidR="00B22D46">
                        <w:rPr>
                          <w:rFonts w:ascii="Arial" w:hAnsi="Arial"/>
                          <w:sz w:val="18"/>
                          <w:szCs w:val="18"/>
                        </w:rPr>
                        <w:t xml:space="preserve"> the public value of our statistics’.</w:t>
                      </w:r>
                      <w:r w:rsidR="00A42D6E">
                        <w:rPr>
                          <w:rFonts w:ascii="Arial" w:hAnsi="Arial"/>
                          <w:sz w:val="18"/>
                          <w:szCs w:val="18"/>
                        </w:rPr>
                        <w:tab/>
                      </w:r>
                    </w:p>
                    <w:p w14:paraId="00690538" w14:textId="26B0905F" w:rsidR="00406906" w:rsidRDefault="00AC00AE" w:rsidP="00730E03">
                      <w:pPr>
                        <w:widowControl w:val="0"/>
                        <w:autoSpaceDE w:val="0"/>
                        <w:autoSpaceDN w:val="0"/>
                        <w:adjustRightInd w:val="0"/>
                        <w:spacing w:line="240" w:lineRule="auto"/>
                        <w:ind w:left="142"/>
                        <w:rPr>
                          <w:rFonts w:ascii="Arial" w:hAnsi="Arial"/>
                          <w:sz w:val="18"/>
                          <w:szCs w:val="18"/>
                        </w:rPr>
                      </w:pPr>
                      <w:hyperlink r:id="rId32" w:history="1">
                        <w:r w:rsidRPr="00B06352">
                          <w:rPr>
                            <w:rStyle w:val="Hyperlink"/>
                            <w:rFonts w:ascii="Arial" w:hAnsi="Arial"/>
                            <w:sz w:val="18"/>
                            <w:szCs w:val="18"/>
                          </w:rPr>
                          <w:t>https://www.gov.uk/government/statistics/below-average-resources-developing-a-new-poverty-measure/below-average-resources-developing-a-new-poverty-measure</w:t>
                        </w:r>
                      </w:hyperlink>
                      <w:r w:rsidR="00406906">
                        <w:rPr>
                          <w:rFonts w:ascii="Arial" w:hAnsi="Arial"/>
                          <w:sz w:val="18"/>
                          <w:szCs w:val="18"/>
                        </w:rPr>
                        <w:t xml:space="preserve"> </w:t>
                      </w:r>
                    </w:p>
                    <w:p w14:paraId="1CC066B9" w14:textId="72BE385E" w:rsidR="00612F2C" w:rsidRDefault="006E2907" w:rsidP="002440A7">
                      <w:pPr>
                        <w:widowControl w:val="0"/>
                        <w:autoSpaceDE w:val="0"/>
                        <w:autoSpaceDN w:val="0"/>
                        <w:adjustRightInd w:val="0"/>
                        <w:spacing w:after="0" w:line="240" w:lineRule="auto"/>
                        <w:ind w:left="142"/>
                        <w:rPr>
                          <w:rFonts w:ascii="Arial" w:hAnsi="Arial"/>
                          <w:sz w:val="18"/>
                          <w:szCs w:val="18"/>
                        </w:rPr>
                      </w:pPr>
                      <w:r>
                        <w:rPr>
                          <w:rFonts w:ascii="Arial" w:hAnsi="Arial"/>
                          <w:sz w:val="18"/>
                          <w:szCs w:val="18"/>
                        </w:rPr>
                        <w:t xml:space="preserve">In association with their established Households Below Average Income report, the DWP have published some preliminary analysis using their version of the </w:t>
                      </w:r>
                      <w:r w:rsidR="00252C14">
                        <w:rPr>
                          <w:rFonts w:ascii="Arial" w:hAnsi="Arial"/>
                          <w:sz w:val="18"/>
                          <w:szCs w:val="18"/>
                        </w:rPr>
                        <w:t>SMC’s</w:t>
                      </w:r>
                      <w:r>
                        <w:rPr>
                          <w:rFonts w:ascii="Arial" w:hAnsi="Arial"/>
                          <w:sz w:val="18"/>
                          <w:szCs w:val="18"/>
                        </w:rPr>
                        <w:t xml:space="preserve"> measure.</w:t>
                      </w:r>
                    </w:p>
                    <w:p w14:paraId="7DF5163F" w14:textId="702B8AE6" w:rsidR="00161B3E" w:rsidRDefault="00612F2C" w:rsidP="002440A7">
                      <w:pPr>
                        <w:widowControl w:val="0"/>
                        <w:autoSpaceDE w:val="0"/>
                        <w:autoSpaceDN w:val="0"/>
                        <w:adjustRightInd w:val="0"/>
                        <w:spacing w:after="0" w:line="240" w:lineRule="auto"/>
                        <w:ind w:left="142"/>
                        <w:rPr>
                          <w:rFonts w:ascii="Arial" w:hAnsi="Arial"/>
                          <w:sz w:val="18"/>
                          <w:szCs w:val="18"/>
                        </w:rPr>
                      </w:pPr>
                      <w:hyperlink r:id="rId33" w:history="1">
                        <w:r w:rsidRPr="00612F2C">
                          <w:rPr>
                            <w:rStyle w:val="Hyperlink"/>
                            <w:rFonts w:ascii="Arial" w:hAnsi="Arial"/>
                            <w:sz w:val="18"/>
                            <w:szCs w:val="18"/>
                          </w:rPr>
                          <w:t>Below Average Resources: for financial years ending 2001 to 2023 - GOV.UK</w:t>
                        </w:r>
                      </w:hyperlink>
                    </w:p>
                    <w:p w14:paraId="0EA4819F" w14:textId="77777777" w:rsidR="002440A7" w:rsidRDefault="002440A7" w:rsidP="00161B3E">
                      <w:pPr>
                        <w:widowControl w:val="0"/>
                        <w:autoSpaceDE w:val="0"/>
                        <w:autoSpaceDN w:val="0"/>
                        <w:adjustRightInd w:val="0"/>
                        <w:spacing w:after="60" w:line="240" w:lineRule="auto"/>
                        <w:ind w:left="142"/>
                        <w:rPr>
                          <w:rFonts w:ascii="Arial" w:hAnsi="Arial"/>
                          <w:sz w:val="18"/>
                          <w:szCs w:val="18"/>
                        </w:rPr>
                      </w:pPr>
                    </w:p>
                    <w:p w14:paraId="12D72056" w14:textId="2FDED3C1" w:rsidR="002440A7" w:rsidRPr="002440A7" w:rsidRDefault="002440A7" w:rsidP="002440A7">
                      <w:pPr>
                        <w:widowControl w:val="0"/>
                        <w:autoSpaceDE w:val="0"/>
                        <w:autoSpaceDN w:val="0"/>
                        <w:adjustRightInd w:val="0"/>
                        <w:spacing w:after="60" w:line="240" w:lineRule="auto"/>
                        <w:jc w:val="center"/>
                        <w:rPr>
                          <w:rFonts w:ascii="Arial" w:hAnsi="Arial"/>
                          <w:sz w:val="18"/>
                          <w:szCs w:val="18"/>
                        </w:rPr>
                      </w:pPr>
                      <w:r w:rsidRPr="002440A7">
                        <w:rPr>
                          <w:rFonts w:ascii="Arial" w:hAnsi="Arial"/>
                          <w:sz w:val="18"/>
                          <w:szCs w:val="18"/>
                        </w:rPr>
                        <w:t>* * * * * * * * * * * * * * * * * * * * * *</w:t>
                      </w:r>
                    </w:p>
                    <w:p w14:paraId="28126139" w14:textId="147D6C84" w:rsidR="00406906" w:rsidRDefault="00441BA9" w:rsidP="002440A7">
                      <w:pPr>
                        <w:widowControl w:val="0"/>
                        <w:autoSpaceDE w:val="0"/>
                        <w:autoSpaceDN w:val="0"/>
                        <w:adjustRightInd w:val="0"/>
                        <w:spacing w:before="120" w:after="0" w:line="240" w:lineRule="auto"/>
                        <w:ind w:left="142"/>
                        <w:rPr>
                          <w:rFonts w:ascii="Arial" w:hAnsi="Arial"/>
                          <w:sz w:val="18"/>
                          <w:szCs w:val="18"/>
                        </w:rPr>
                      </w:pPr>
                      <w:r>
                        <w:rPr>
                          <w:rFonts w:ascii="Arial" w:hAnsi="Arial"/>
                          <w:sz w:val="18"/>
                          <w:szCs w:val="18"/>
                        </w:rPr>
                        <w:t>Baroness Stroud</w:t>
                      </w:r>
                      <w:r w:rsidR="00CB2FB3">
                        <w:rPr>
                          <w:rFonts w:ascii="Arial" w:hAnsi="Arial"/>
                          <w:sz w:val="18"/>
                          <w:szCs w:val="18"/>
                        </w:rPr>
                        <w:t>,</w:t>
                      </w:r>
                      <w:r>
                        <w:rPr>
                          <w:rFonts w:ascii="Arial" w:hAnsi="Arial"/>
                          <w:sz w:val="18"/>
                          <w:szCs w:val="18"/>
                        </w:rPr>
                        <w:t xml:space="preserve"> who led the work of the</w:t>
                      </w:r>
                      <w:r w:rsidR="00161B3E">
                        <w:rPr>
                          <w:rFonts w:ascii="Arial" w:hAnsi="Arial"/>
                          <w:sz w:val="18"/>
                          <w:szCs w:val="18"/>
                        </w:rPr>
                        <w:t xml:space="preserve"> Social Metrics Commission</w:t>
                      </w:r>
                      <w:r w:rsidR="00CB2FB3">
                        <w:rPr>
                          <w:rFonts w:ascii="Arial" w:hAnsi="Arial"/>
                          <w:sz w:val="18"/>
                          <w:szCs w:val="18"/>
                        </w:rPr>
                        <w:t>,</w:t>
                      </w:r>
                      <w:r w:rsidR="00161B3E">
                        <w:rPr>
                          <w:rFonts w:ascii="Arial" w:hAnsi="Arial"/>
                          <w:sz w:val="18"/>
                          <w:szCs w:val="18"/>
                        </w:rPr>
                        <w:t xml:space="preserve"> </w:t>
                      </w:r>
                      <w:r>
                        <w:rPr>
                          <w:rFonts w:ascii="Arial" w:hAnsi="Arial"/>
                          <w:sz w:val="18"/>
                          <w:szCs w:val="18"/>
                        </w:rPr>
                        <w:t xml:space="preserve">now also leads the work of the London-based charity the </w:t>
                      </w:r>
                      <w:r w:rsidR="00161B3E">
                        <w:rPr>
                          <w:rFonts w:ascii="Arial" w:hAnsi="Arial"/>
                          <w:sz w:val="18"/>
                          <w:szCs w:val="18"/>
                        </w:rPr>
                        <w:t>Poverty Strategy Commis</w:t>
                      </w:r>
                      <w:r w:rsidR="00B82470">
                        <w:rPr>
                          <w:rFonts w:ascii="Arial" w:hAnsi="Arial"/>
                          <w:sz w:val="18"/>
                          <w:szCs w:val="18"/>
                        </w:rPr>
                        <w:t>s</w:t>
                      </w:r>
                      <w:r w:rsidR="00161B3E">
                        <w:rPr>
                          <w:rFonts w:ascii="Arial" w:hAnsi="Arial"/>
                          <w:sz w:val="18"/>
                          <w:szCs w:val="18"/>
                        </w:rPr>
                        <w:t>ion</w:t>
                      </w:r>
                      <w:r>
                        <w:rPr>
                          <w:rFonts w:ascii="Arial" w:hAnsi="Arial"/>
                          <w:sz w:val="18"/>
                          <w:szCs w:val="18"/>
                        </w:rPr>
                        <w:t xml:space="preserve"> (PSC). </w:t>
                      </w:r>
                      <w:r w:rsidR="00B82470" w:rsidRPr="00B82470">
                        <w:rPr>
                          <w:rFonts w:ascii="Arial" w:hAnsi="Arial"/>
                          <w:sz w:val="18"/>
                          <w:szCs w:val="18"/>
                        </w:rPr>
                        <w:t xml:space="preserve">The </w:t>
                      </w:r>
                      <w:r>
                        <w:rPr>
                          <w:rFonts w:ascii="Arial" w:hAnsi="Arial"/>
                          <w:sz w:val="18"/>
                          <w:szCs w:val="18"/>
                        </w:rPr>
                        <w:t>PSC</w:t>
                      </w:r>
                      <w:r w:rsidR="00B82470" w:rsidRPr="00B82470">
                        <w:rPr>
                          <w:rFonts w:ascii="Arial" w:hAnsi="Arial"/>
                          <w:sz w:val="18"/>
                          <w:szCs w:val="18"/>
                        </w:rPr>
                        <w:t xml:space="preserve"> is an independent Commission formed to develop consensus around a strategy for tackling poverty in the UK</w:t>
                      </w:r>
                      <w:r>
                        <w:rPr>
                          <w:rFonts w:ascii="Arial" w:hAnsi="Arial"/>
                          <w:sz w:val="18"/>
                          <w:szCs w:val="18"/>
                        </w:rPr>
                        <w:t xml:space="preserve"> and is</w:t>
                      </w:r>
                      <w:r w:rsidRPr="00B82470">
                        <w:rPr>
                          <w:rFonts w:ascii="Arial" w:hAnsi="Arial"/>
                          <w:sz w:val="18"/>
                          <w:szCs w:val="18"/>
                        </w:rPr>
                        <w:t xml:space="preserve"> hosted within the Centre for Social Policy Studies.</w:t>
                      </w:r>
                      <w:r w:rsidR="00B82470" w:rsidRPr="00B82470">
                        <w:rPr>
                          <w:rFonts w:ascii="Arial" w:hAnsi="Arial"/>
                          <w:sz w:val="18"/>
                          <w:szCs w:val="18"/>
                        </w:rPr>
                        <w:t xml:space="preserve"> </w:t>
                      </w:r>
                      <w:r>
                        <w:rPr>
                          <w:rFonts w:ascii="Arial" w:hAnsi="Arial"/>
                          <w:sz w:val="18"/>
                          <w:szCs w:val="18"/>
                        </w:rPr>
                        <w:t>Its work</w:t>
                      </w:r>
                      <w:r w:rsidR="00B82470" w:rsidRPr="00B82470">
                        <w:rPr>
                          <w:rFonts w:ascii="Arial" w:hAnsi="Arial"/>
                          <w:sz w:val="18"/>
                          <w:szCs w:val="18"/>
                        </w:rPr>
                        <w:t xml:space="preserve"> build</w:t>
                      </w:r>
                      <w:r>
                        <w:rPr>
                          <w:rFonts w:ascii="Arial" w:hAnsi="Arial"/>
                          <w:sz w:val="18"/>
                          <w:szCs w:val="18"/>
                        </w:rPr>
                        <w:t>s</w:t>
                      </w:r>
                      <w:r w:rsidR="00B82470" w:rsidRPr="00B82470">
                        <w:rPr>
                          <w:rFonts w:ascii="Arial" w:hAnsi="Arial"/>
                          <w:sz w:val="18"/>
                          <w:szCs w:val="18"/>
                        </w:rPr>
                        <w:t xml:space="preserve"> on the poverty measure developed by the </w:t>
                      </w:r>
                      <w:r w:rsidR="00CB2FB3">
                        <w:rPr>
                          <w:rFonts w:ascii="Arial" w:hAnsi="Arial"/>
                          <w:sz w:val="18"/>
                          <w:szCs w:val="18"/>
                        </w:rPr>
                        <w:t>SMC</w:t>
                      </w:r>
                      <w:r w:rsidR="00B82470" w:rsidRPr="00B82470">
                        <w:rPr>
                          <w:rFonts w:ascii="Arial" w:hAnsi="Arial"/>
                          <w:sz w:val="18"/>
                          <w:szCs w:val="18"/>
                        </w:rPr>
                        <w:t>.</w:t>
                      </w:r>
                      <w:r w:rsidR="00B82470">
                        <w:rPr>
                          <w:rFonts w:ascii="Arial" w:hAnsi="Arial"/>
                          <w:sz w:val="18"/>
                          <w:szCs w:val="18"/>
                        </w:rPr>
                        <w:t xml:space="preserve"> </w:t>
                      </w:r>
                      <w:hyperlink r:id="rId34" w:history="1">
                        <w:r w:rsidR="00406906" w:rsidRPr="004D3673">
                          <w:rPr>
                            <w:rStyle w:val="Hyperlink"/>
                            <w:rFonts w:ascii="Arial" w:hAnsi="Arial"/>
                            <w:sz w:val="18"/>
                            <w:szCs w:val="18"/>
                          </w:rPr>
                          <w:t>https://povertystrategycommission.org.uk/</w:t>
                        </w:r>
                      </w:hyperlink>
                      <w:r w:rsidR="00406906">
                        <w:rPr>
                          <w:rFonts w:ascii="Arial" w:hAnsi="Arial"/>
                          <w:sz w:val="18"/>
                          <w:szCs w:val="18"/>
                        </w:rPr>
                        <w:t xml:space="preserve"> </w:t>
                      </w:r>
                    </w:p>
                    <w:p w14:paraId="264883BF" w14:textId="77777777" w:rsidR="00406906" w:rsidRPr="00406906" w:rsidRDefault="00406906">
                      <w:pPr>
                        <w:rPr>
                          <w:rFonts w:ascii="Arial" w:hAnsi="Arial"/>
                        </w:rPr>
                      </w:pPr>
                    </w:p>
                  </w:txbxContent>
                </v:textbox>
              </v:shape>
            </w:pict>
          </mc:Fallback>
        </mc:AlternateContent>
      </w:r>
      <w:r w:rsidR="007F4F8A">
        <w:rPr>
          <w:rFonts w:ascii="Arial" w:hAnsi="Arial"/>
          <w:b/>
          <w:bCs/>
          <w:color w:val="000000" w:themeColor="text1"/>
          <w:sz w:val="36"/>
          <w:szCs w:val="36"/>
        </w:rPr>
        <w:br w:type="page"/>
      </w:r>
    </w:p>
    <w:p w14:paraId="2FFCE51A" w14:textId="69891E13" w:rsidR="005A3A05" w:rsidRPr="008D002C" w:rsidRDefault="005A3A05" w:rsidP="00C276D0">
      <w:pPr>
        <w:spacing w:after="60" w:line="240" w:lineRule="auto"/>
        <w:rPr>
          <w:rFonts w:ascii="Arial" w:hAnsi="Arial"/>
          <w:b/>
          <w:bCs/>
          <w:color w:val="000000" w:themeColor="text1"/>
          <w:sz w:val="36"/>
          <w:szCs w:val="36"/>
        </w:rPr>
      </w:pPr>
      <w:r w:rsidRPr="008D002C">
        <w:rPr>
          <w:rFonts w:ascii="Arial" w:hAnsi="Arial"/>
          <w:b/>
          <w:bCs/>
          <w:color w:val="000000" w:themeColor="text1"/>
          <w:sz w:val="36"/>
          <w:szCs w:val="36"/>
        </w:rPr>
        <w:lastRenderedPageBreak/>
        <w:t>Section B</w:t>
      </w:r>
    </w:p>
    <w:p w14:paraId="4851036A" w14:textId="0B2B70BE" w:rsidR="00501F4B" w:rsidRPr="008D002C" w:rsidRDefault="00501F4B" w:rsidP="00501F4B">
      <w:pPr>
        <w:spacing w:after="0" w:line="240" w:lineRule="auto"/>
        <w:rPr>
          <w:rFonts w:ascii="Arial" w:hAnsi="Arial"/>
          <w:b/>
          <w:bCs/>
          <w:color w:val="000000" w:themeColor="text1"/>
          <w:sz w:val="22"/>
        </w:rPr>
      </w:pPr>
      <w:r w:rsidRPr="008D002C">
        <w:rPr>
          <w:rFonts w:ascii="Arial" w:hAnsi="Arial"/>
          <w:b/>
          <w:bCs/>
          <w:color w:val="000000" w:themeColor="text1"/>
          <w:sz w:val="28"/>
          <w:szCs w:val="28"/>
        </w:rPr>
        <w:t>Data sources: Stats NZ’s Household Economic Survey (HES)</w:t>
      </w:r>
      <w:r w:rsidR="00BC52E1" w:rsidRPr="008D002C">
        <w:rPr>
          <w:rFonts w:ascii="Arial" w:hAnsi="Arial"/>
          <w:b/>
          <w:bCs/>
          <w:color w:val="000000" w:themeColor="text1"/>
          <w:sz w:val="28"/>
          <w:szCs w:val="28"/>
        </w:rPr>
        <w:t xml:space="preserve">, Household Income and Living Survey (HILS) </w:t>
      </w:r>
      <w:r w:rsidRPr="008D002C">
        <w:rPr>
          <w:rFonts w:ascii="Arial" w:hAnsi="Arial"/>
          <w:b/>
          <w:bCs/>
          <w:color w:val="000000" w:themeColor="text1"/>
          <w:sz w:val="28"/>
          <w:szCs w:val="28"/>
        </w:rPr>
        <w:t>and associated administrative data for income information</w:t>
      </w:r>
    </w:p>
    <w:p w14:paraId="5FEB6C6D" w14:textId="77777777" w:rsidR="002565F8" w:rsidRDefault="002565F8" w:rsidP="008D002C">
      <w:pPr>
        <w:spacing w:after="0" w:line="240" w:lineRule="auto"/>
        <w:rPr>
          <w:rFonts w:ascii="Arial" w:hAnsi="Arial"/>
          <w:color w:val="000000" w:themeColor="text1"/>
        </w:rPr>
      </w:pPr>
    </w:p>
    <w:p w14:paraId="3DEDC2C7" w14:textId="07EB10AD" w:rsidR="008D002C" w:rsidRPr="008D002C" w:rsidRDefault="008D002C" w:rsidP="008D002C">
      <w:pPr>
        <w:spacing w:after="0" w:line="240" w:lineRule="auto"/>
        <w:rPr>
          <w:rFonts w:ascii="Arial" w:hAnsi="Arial"/>
          <w:color w:val="000000" w:themeColor="text1"/>
          <w:u w:val="single"/>
        </w:rPr>
      </w:pPr>
      <w:r w:rsidRPr="008D002C">
        <w:rPr>
          <w:rFonts w:ascii="Arial" w:hAnsi="Arial"/>
          <w:color w:val="000000" w:themeColor="text1"/>
        </w:rPr>
        <w:t>The analysis and findings in MSD’s Child Poverty Reports are based mainly on data from Stats NZ’s Household Economic Survey (HES)</w:t>
      </w:r>
      <w:r w:rsidR="00274738">
        <w:rPr>
          <w:rFonts w:ascii="Arial" w:hAnsi="Arial"/>
          <w:color w:val="000000" w:themeColor="text1"/>
        </w:rPr>
        <w:t xml:space="preserve"> with some of the survey data going as far back as the early 1980s.</w:t>
      </w:r>
      <w:r w:rsidRPr="008D002C">
        <w:rPr>
          <w:rFonts w:ascii="Arial" w:hAnsi="Arial"/>
          <w:color w:val="000000" w:themeColor="text1"/>
        </w:rPr>
        <w:t xml:space="preserve"> </w:t>
      </w:r>
    </w:p>
    <w:p w14:paraId="65560F34" w14:textId="77777777" w:rsidR="008D002C" w:rsidRPr="008D002C" w:rsidRDefault="008D002C" w:rsidP="008D002C">
      <w:pPr>
        <w:spacing w:after="0" w:line="240" w:lineRule="auto"/>
        <w:rPr>
          <w:rFonts w:ascii="Arial" w:hAnsi="Arial"/>
          <w:color w:val="000000" w:themeColor="text1"/>
        </w:rPr>
      </w:pPr>
    </w:p>
    <w:p w14:paraId="31921F99" w14:textId="745364B5" w:rsidR="008D002C" w:rsidRPr="008D002C" w:rsidRDefault="008D002C" w:rsidP="008D002C">
      <w:pPr>
        <w:spacing w:after="0" w:line="240" w:lineRule="auto"/>
        <w:rPr>
          <w:rFonts w:ascii="Arial" w:hAnsi="Arial"/>
          <w:color w:val="000000" w:themeColor="text1"/>
        </w:rPr>
      </w:pPr>
      <w:bookmarkStart w:id="7" w:name="_Hlk166060757"/>
      <w:r w:rsidRPr="008D002C">
        <w:rPr>
          <w:rFonts w:ascii="Arial" w:hAnsi="Arial"/>
          <w:color w:val="000000" w:themeColor="text1"/>
        </w:rPr>
        <w:t xml:space="preserve">Up to and including the 2017-18 HES, the data available to MSD for its reports was the ‘HES-TAWA’ data. This analytical dataset is made up of the original survey data with some of the more problematic survey-based income information that respondents </w:t>
      </w:r>
      <w:r w:rsidR="009E43E8">
        <w:rPr>
          <w:rFonts w:ascii="Arial" w:hAnsi="Arial"/>
          <w:color w:val="000000" w:themeColor="text1"/>
        </w:rPr>
        <w:t>are more likely to incorrectly estimate</w:t>
      </w:r>
      <w:r w:rsidRPr="008D002C">
        <w:rPr>
          <w:rFonts w:ascii="Arial" w:hAnsi="Arial"/>
          <w:color w:val="000000" w:themeColor="text1"/>
        </w:rPr>
        <w:t xml:space="preserve"> (for example, benefit and Working for Families income and the Accommodation Supplement) replaced by </w:t>
      </w:r>
      <w:r w:rsidR="00274738">
        <w:rPr>
          <w:rFonts w:ascii="Arial" w:hAnsi="Arial"/>
          <w:color w:val="000000" w:themeColor="text1"/>
        </w:rPr>
        <w:t xml:space="preserve">modelled estimates provided by the </w:t>
      </w:r>
      <w:r w:rsidRPr="008D002C">
        <w:rPr>
          <w:rFonts w:ascii="Arial" w:hAnsi="Arial"/>
          <w:color w:val="000000" w:themeColor="text1"/>
        </w:rPr>
        <w:t xml:space="preserve">Treasury using their Tax and Welfare Analysis (TAWA) model or its predecessors. </w:t>
      </w:r>
    </w:p>
    <w:p w14:paraId="4DD30507" w14:textId="77777777" w:rsidR="008D002C" w:rsidRPr="008D002C" w:rsidRDefault="008D002C" w:rsidP="008D002C">
      <w:pPr>
        <w:spacing w:after="0" w:line="240" w:lineRule="auto"/>
        <w:rPr>
          <w:rFonts w:ascii="Arial" w:hAnsi="Arial"/>
          <w:color w:val="000000" w:themeColor="text1"/>
        </w:rPr>
      </w:pPr>
    </w:p>
    <w:p w14:paraId="3374AC38" w14:textId="77777777" w:rsidR="008D002C" w:rsidRPr="008D002C" w:rsidRDefault="008D002C" w:rsidP="008D002C">
      <w:pPr>
        <w:spacing w:after="0" w:line="240" w:lineRule="auto"/>
        <w:rPr>
          <w:rFonts w:ascii="Arial" w:hAnsi="Arial"/>
          <w:color w:val="000000" w:themeColor="text1"/>
        </w:rPr>
      </w:pPr>
      <w:r w:rsidRPr="008D002C">
        <w:rPr>
          <w:rFonts w:ascii="Arial" w:hAnsi="Arial"/>
          <w:color w:val="000000" w:themeColor="text1"/>
        </w:rPr>
        <w:t>Starting with the 2018-19 HES, Stats NZ moved to using administrative data for most of the income information. Tax data from Inland Revenue and data from MSD on benefits paid has been used to provide salary and wages and benefit income. Working for Families tax credit information comes from IR or MSD depending on which agency made the payment. Information on other sources of income such as self-employment income, investment income, income earned overseas, and irregular income is provided by the respondent at interview time. The sample sizes are much larger, more effort was made to get a better sample / response at the bottom end, and a more comprehensive set of benchmarks was used to weight up to population estimates. These datasets (‘HES-Admin’) are available to MSD for use for this and other reports.</w:t>
      </w:r>
      <w:r w:rsidRPr="008D002C">
        <w:rPr>
          <w:rStyle w:val="FootnoteReference"/>
          <w:rFonts w:ascii="Arial" w:hAnsi="Arial"/>
          <w:color w:val="000000" w:themeColor="text1"/>
        </w:rPr>
        <w:footnoteReference w:id="34"/>
      </w:r>
    </w:p>
    <w:p w14:paraId="1DFFAF8C" w14:textId="77777777" w:rsidR="008D002C" w:rsidRPr="005A3A05" w:rsidRDefault="008D002C" w:rsidP="008D002C">
      <w:pPr>
        <w:spacing w:after="0" w:line="240" w:lineRule="auto"/>
        <w:rPr>
          <w:rFonts w:ascii="Arial" w:hAnsi="Arial"/>
          <w:color w:val="0000FF"/>
        </w:rPr>
      </w:pPr>
    </w:p>
    <w:p w14:paraId="74FE411C" w14:textId="77777777" w:rsidR="008D002C" w:rsidRPr="008D002C" w:rsidRDefault="008D002C" w:rsidP="008D002C">
      <w:pPr>
        <w:spacing w:after="0" w:line="240" w:lineRule="auto"/>
        <w:rPr>
          <w:rFonts w:ascii="Arial" w:hAnsi="Arial"/>
          <w:color w:val="000000" w:themeColor="text1"/>
        </w:rPr>
      </w:pPr>
      <w:r w:rsidRPr="008D002C">
        <w:rPr>
          <w:rFonts w:ascii="Arial" w:hAnsi="Arial"/>
          <w:color w:val="000000" w:themeColor="text1"/>
        </w:rPr>
        <w:t xml:space="preserve">The increased sample size starting with the 2018-19 survey allows more detailed breakdowns for children in different contexts to be reported with greater confidence (for example, poverty rates by their household type, the tenure of their household, the labour market status of their households, their ethnicity, and so on). </w:t>
      </w:r>
    </w:p>
    <w:bookmarkEnd w:id="7"/>
    <w:p w14:paraId="5914B24D" w14:textId="77777777" w:rsidR="008D002C" w:rsidRPr="009F656D" w:rsidRDefault="008D002C" w:rsidP="008D002C">
      <w:pPr>
        <w:spacing w:after="0" w:line="240" w:lineRule="auto"/>
        <w:rPr>
          <w:rFonts w:ascii="Arial" w:hAnsi="Arial"/>
          <w:color w:val="000000" w:themeColor="text1"/>
        </w:rPr>
      </w:pPr>
    </w:p>
    <w:p w14:paraId="18B2E91A" w14:textId="4B1B15C9" w:rsidR="001C12E9" w:rsidRPr="00202A78" w:rsidRDefault="001C12E9" w:rsidP="001C12E9">
      <w:pPr>
        <w:spacing w:after="0" w:line="240" w:lineRule="auto"/>
        <w:rPr>
          <w:rFonts w:ascii="Arial" w:hAnsi="Arial"/>
          <w:b/>
          <w:bCs/>
          <w:color w:val="000000" w:themeColor="text1"/>
          <w:szCs w:val="20"/>
        </w:rPr>
      </w:pPr>
      <w:r w:rsidRPr="00202A78">
        <w:rPr>
          <w:rFonts w:ascii="Arial" w:hAnsi="Arial"/>
          <w:b/>
          <w:bCs/>
          <w:color w:val="000000" w:themeColor="text1"/>
          <w:szCs w:val="20"/>
        </w:rPr>
        <w:t>The shift from HES to HILS</w:t>
      </w:r>
    </w:p>
    <w:p w14:paraId="22A53B00" w14:textId="77777777" w:rsidR="001C12E9" w:rsidRPr="00202A78" w:rsidRDefault="001C12E9" w:rsidP="001C12E9">
      <w:pPr>
        <w:spacing w:after="0" w:line="240" w:lineRule="auto"/>
        <w:rPr>
          <w:rFonts w:ascii="Arial" w:hAnsi="Arial"/>
          <w:b/>
          <w:bCs/>
          <w:color w:val="000000" w:themeColor="text1"/>
          <w:szCs w:val="20"/>
        </w:rPr>
      </w:pPr>
    </w:p>
    <w:p w14:paraId="6BC1E411" w14:textId="77777777" w:rsidR="003C0C57" w:rsidRPr="00202A78" w:rsidRDefault="003C0C57" w:rsidP="003C0C57">
      <w:pPr>
        <w:spacing w:after="0" w:line="240" w:lineRule="auto"/>
        <w:rPr>
          <w:rFonts w:ascii="Arial" w:hAnsi="Arial"/>
          <w:color w:val="000000" w:themeColor="text1"/>
          <w:szCs w:val="20"/>
        </w:rPr>
      </w:pPr>
      <w:r w:rsidRPr="00202A78">
        <w:rPr>
          <w:rFonts w:ascii="Arial" w:hAnsi="Arial"/>
          <w:color w:val="000000" w:themeColor="text1"/>
          <w:szCs w:val="20"/>
        </w:rPr>
        <w:t xml:space="preserve">In 2022 Stats NZ started interviews and data collection for the new longitudinal Living in Aotearoa (LIA) survey and followed up with the second wave in 2023. The LIA was to provide the needed longitudinal data for reporting on poverty persistence as required by the CPRA and was intended to replace the </w:t>
      </w:r>
      <w:r w:rsidRPr="00202A78">
        <w:rPr>
          <w:rFonts w:ascii="Arial" w:hAnsi="Arial"/>
          <w:color w:val="000000" w:themeColor="text1"/>
        </w:rPr>
        <w:t xml:space="preserve">Household Economic Survey (HES) </w:t>
      </w:r>
      <w:r w:rsidRPr="00202A78">
        <w:rPr>
          <w:rFonts w:ascii="Arial" w:hAnsi="Arial"/>
          <w:color w:val="000000" w:themeColor="text1"/>
          <w:szCs w:val="20"/>
        </w:rPr>
        <w:t>after an overlap period. In early 2024 the Government Statistician terminated the LIA survey because of data collection challenges and increasing costs.</w:t>
      </w:r>
    </w:p>
    <w:p w14:paraId="0857433C" w14:textId="77777777" w:rsidR="003C0C57" w:rsidRPr="00202A78" w:rsidRDefault="003C0C57" w:rsidP="003C0C57">
      <w:pPr>
        <w:spacing w:after="0" w:line="240" w:lineRule="auto"/>
        <w:rPr>
          <w:rFonts w:ascii="Arial" w:hAnsi="Arial"/>
          <w:color w:val="000000" w:themeColor="text1"/>
          <w:szCs w:val="20"/>
        </w:rPr>
      </w:pPr>
    </w:p>
    <w:p w14:paraId="16BB0D5F" w14:textId="77777777" w:rsidR="003C0C57" w:rsidRPr="00202A78" w:rsidRDefault="003C0C57" w:rsidP="003C0C57">
      <w:pPr>
        <w:spacing w:after="0" w:line="240" w:lineRule="auto"/>
        <w:rPr>
          <w:rFonts w:ascii="Arial" w:hAnsi="Arial"/>
          <w:color w:val="000000" w:themeColor="text1"/>
          <w:szCs w:val="20"/>
        </w:rPr>
      </w:pPr>
      <w:r w:rsidRPr="00202A78">
        <w:rPr>
          <w:rFonts w:ascii="Arial" w:hAnsi="Arial"/>
          <w:color w:val="000000" w:themeColor="text1"/>
          <w:szCs w:val="20"/>
        </w:rPr>
        <w:t xml:space="preserve">After the 2023-24 survey Stats NZ discontinued HES </w:t>
      </w:r>
      <w:r w:rsidRPr="00202A78">
        <w:rPr>
          <w:rFonts w:ascii="Arial" w:hAnsi="Arial"/>
          <w:color w:val="000000" w:themeColor="text1"/>
        </w:rPr>
        <w:t>and replaced it with HILS (Household Income and Living Survey) as the main source for the data for measuring material and financial wellbeing and housing costs.</w:t>
      </w:r>
    </w:p>
    <w:p w14:paraId="20FCAE4F" w14:textId="77777777" w:rsidR="003C0C57" w:rsidRPr="00202A78" w:rsidRDefault="003C0C57" w:rsidP="003C0C57">
      <w:pPr>
        <w:spacing w:after="0" w:line="240" w:lineRule="auto"/>
        <w:rPr>
          <w:rFonts w:ascii="Arial" w:hAnsi="Arial"/>
          <w:color w:val="000000" w:themeColor="text1"/>
          <w:szCs w:val="20"/>
        </w:rPr>
      </w:pPr>
    </w:p>
    <w:p w14:paraId="70801F6A" w14:textId="249ABD25" w:rsidR="00A310E9" w:rsidRPr="00202A78" w:rsidRDefault="003C0C57" w:rsidP="00A310E9">
      <w:pPr>
        <w:spacing w:after="0" w:line="240" w:lineRule="auto"/>
        <w:rPr>
          <w:rFonts w:ascii="Arial" w:hAnsi="Arial"/>
          <w:color w:val="000000" w:themeColor="text1"/>
          <w:szCs w:val="20"/>
        </w:rPr>
      </w:pPr>
      <w:r w:rsidRPr="00202A78">
        <w:rPr>
          <w:rFonts w:ascii="Arial" w:hAnsi="Arial"/>
          <w:color w:val="000000" w:themeColor="text1"/>
          <w:szCs w:val="20"/>
        </w:rPr>
        <w:t>The main change in terms of impact on the CPRA measures was a revised set of material wellbeing questions (MWQs).</w:t>
      </w:r>
      <w:r w:rsidR="00FC5363" w:rsidRPr="00202A78">
        <w:rPr>
          <w:rStyle w:val="FootnoteReference"/>
          <w:rFonts w:ascii="Arial" w:hAnsi="Arial"/>
          <w:color w:val="000000" w:themeColor="text1"/>
          <w:szCs w:val="20"/>
        </w:rPr>
        <w:footnoteReference w:id="35"/>
      </w:r>
      <w:r w:rsidRPr="00202A78">
        <w:rPr>
          <w:rFonts w:ascii="Arial" w:hAnsi="Arial"/>
          <w:color w:val="000000" w:themeColor="text1"/>
          <w:szCs w:val="20"/>
        </w:rPr>
        <w:t xml:space="preserve"> These had first been used in the LIA then were included in the 2024-25 HILS. A subset of these items in the HES is used for the DEP-17 material hardship (MH) index. When the DEP-17 (6+/17) methodology was applied to the revised MWQs the resulting MH rates were considerably higher than the corresponding ones using the HES data for the same time period. The </w:t>
      </w:r>
      <w:r w:rsidRPr="00202A78">
        <w:rPr>
          <w:rFonts w:ascii="Arial" w:hAnsi="Arial"/>
          <w:color w:val="000000" w:themeColor="text1"/>
          <w:szCs w:val="20"/>
        </w:rPr>
        <w:lastRenderedPageBreak/>
        <w:t>revised MWQs had in effect made it easier to score 6+/17, so the same level of MH was not being measured</w:t>
      </w:r>
      <w:r w:rsidR="0092445B" w:rsidRPr="00202A78">
        <w:rPr>
          <w:rFonts w:ascii="Arial" w:hAnsi="Arial"/>
          <w:color w:val="000000" w:themeColor="text1"/>
          <w:szCs w:val="20"/>
        </w:rPr>
        <w:t xml:space="preserve">. </w:t>
      </w:r>
      <w:r w:rsidR="00A310E9" w:rsidRPr="00202A78">
        <w:rPr>
          <w:rFonts w:ascii="Arial" w:hAnsi="Arial"/>
          <w:color w:val="000000" w:themeColor="text1"/>
          <w:szCs w:val="20"/>
        </w:rPr>
        <w:t xml:space="preserve">This meant that the MH time series would have been broken if that methodology was applied to HILS. </w:t>
      </w:r>
    </w:p>
    <w:p w14:paraId="604262C1" w14:textId="77777777" w:rsidR="003C0C57" w:rsidRPr="00202A78" w:rsidRDefault="003C0C57" w:rsidP="003C0C57">
      <w:pPr>
        <w:spacing w:after="0" w:line="240" w:lineRule="auto"/>
        <w:rPr>
          <w:rFonts w:ascii="Arial" w:hAnsi="Arial"/>
          <w:color w:val="000000" w:themeColor="text1"/>
          <w:szCs w:val="20"/>
        </w:rPr>
      </w:pPr>
    </w:p>
    <w:p w14:paraId="3C9F4768" w14:textId="755482AF" w:rsidR="00FC5363" w:rsidRPr="00202A78" w:rsidRDefault="003E2520" w:rsidP="00FC5363">
      <w:pPr>
        <w:spacing w:after="0" w:line="240" w:lineRule="auto"/>
        <w:rPr>
          <w:rFonts w:ascii="Arial" w:hAnsi="Arial"/>
          <w:color w:val="000000" w:themeColor="text1"/>
          <w:szCs w:val="20"/>
        </w:rPr>
      </w:pPr>
      <w:r w:rsidRPr="00202A78">
        <w:rPr>
          <w:rFonts w:ascii="Arial" w:hAnsi="Arial"/>
          <w:color w:val="000000" w:themeColor="text1"/>
          <w:szCs w:val="20"/>
        </w:rPr>
        <w:t>To ensure continuity in the time series a revised MH measure was required. Stats NZ developed a work programme to deliver this and in December 2025 the Government Statistician approved a HILS-based 18-item index (MH-18) with a 7+/18 threshold which achieves this</w:t>
      </w:r>
      <w:r w:rsidR="009E43E8" w:rsidRPr="00202A78">
        <w:rPr>
          <w:rFonts w:ascii="Arial" w:hAnsi="Arial"/>
          <w:color w:val="000000" w:themeColor="text1"/>
          <w:szCs w:val="20"/>
        </w:rPr>
        <w:t xml:space="preserve"> continuity</w:t>
      </w:r>
      <w:r w:rsidRPr="00202A78">
        <w:rPr>
          <w:rFonts w:ascii="Arial" w:hAnsi="Arial"/>
          <w:color w:val="000000" w:themeColor="text1"/>
          <w:szCs w:val="20"/>
        </w:rPr>
        <w:t xml:space="preserve">. </w:t>
      </w:r>
      <w:r w:rsidR="00FC5363" w:rsidRPr="00202A78">
        <w:rPr>
          <w:rFonts w:ascii="Arial" w:hAnsi="Arial"/>
          <w:color w:val="000000" w:themeColor="text1"/>
          <w:szCs w:val="20"/>
        </w:rPr>
        <w:t>The HES to HILS transition and especially the change from DEP-17 (6+) to HILS-18 (7+) is discussed and reported on in detail in technical papers from Stats NZ</w:t>
      </w:r>
      <w:r w:rsidR="00FC5363" w:rsidRPr="00202A78">
        <w:rPr>
          <w:rStyle w:val="FootnoteReference"/>
          <w:rFonts w:ascii="Arial" w:hAnsi="Arial"/>
          <w:color w:val="000000" w:themeColor="text1"/>
          <w:szCs w:val="20"/>
        </w:rPr>
        <w:footnoteReference w:id="36"/>
      </w:r>
      <w:r w:rsidR="00FC5363" w:rsidRPr="00202A78">
        <w:rPr>
          <w:rFonts w:ascii="Arial" w:hAnsi="Arial"/>
          <w:color w:val="000000" w:themeColor="text1"/>
          <w:szCs w:val="20"/>
        </w:rPr>
        <w:t xml:space="preserve"> and from MSD. MSD’s HES-based MWI-24 index also required revision to ensure continuity of the MH time series when using it as the MH measure. The HES-based MWI-24 (12-) was replaced by MWI-26 (11-).</w:t>
      </w:r>
      <w:r w:rsidR="00FC5363" w:rsidRPr="00202A78">
        <w:rPr>
          <w:rStyle w:val="FootnoteReference"/>
          <w:rFonts w:ascii="Arial" w:hAnsi="Arial"/>
          <w:color w:val="000000" w:themeColor="text1"/>
          <w:szCs w:val="20"/>
        </w:rPr>
        <w:footnoteReference w:id="37"/>
      </w:r>
      <w:r w:rsidR="00FC5363" w:rsidRPr="00202A78">
        <w:rPr>
          <w:rFonts w:ascii="Arial" w:hAnsi="Arial"/>
          <w:color w:val="000000" w:themeColor="text1"/>
          <w:szCs w:val="20"/>
        </w:rPr>
        <w:t xml:space="preserve">  </w:t>
      </w:r>
      <w:r w:rsidR="00357431" w:rsidRPr="00202A78">
        <w:rPr>
          <w:rFonts w:ascii="Arial" w:hAnsi="Arial"/>
          <w:color w:val="000000" w:themeColor="text1"/>
          <w:szCs w:val="20"/>
        </w:rPr>
        <w:t>Short-form i</w:t>
      </w:r>
      <w:r w:rsidR="00FC5363" w:rsidRPr="00202A78">
        <w:rPr>
          <w:rFonts w:ascii="Arial" w:hAnsi="Arial"/>
          <w:color w:val="000000" w:themeColor="text1"/>
          <w:szCs w:val="20"/>
        </w:rPr>
        <w:t xml:space="preserve">tem lists comparing the HES-based and HILS-based indices are provided in this report in </w:t>
      </w:r>
      <w:r w:rsidR="002B32F4" w:rsidRPr="00202A78">
        <w:rPr>
          <w:rFonts w:ascii="Arial" w:hAnsi="Arial"/>
          <w:b/>
          <w:bCs/>
          <w:color w:val="000000" w:themeColor="text1"/>
          <w:szCs w:val="20"/>
        </w:rPr>
        <w:t>Appendix 3</w:t>
      </w:r>
      <w:r w:rsidR="002B32F4" w:rsidRPr="00202A78">
        <w:rPr>
          <w:rFonts w:ascii="Arial" w:hAnsi="Arial"/>
          <w:color w:val="000000" w:themeColor="text1"/>
          <w:szCs w:val="20"/>
        </w:rPr>
        <w:t xml:space="preserve"> and full text comparisons in </w:t>
      </w:r>
      <w:r w:rsidR="00FC5363" w:rsidRPr="00202A78">
        <w:rPr>
          <w:rFonts w:ascii="Arial" w:hAnsi="Arial"/>
          <w:b/>
          <w:bCs/>
          <w:color w:val="000000" w:themeColor="text1"/>
          <w:szCs w:val="20"/>
        </w:rPr>
        <w:t>Appendix 2</w:t>
      </w:r>
      <w:r w:rsidR="00A93363" w:rsidRPr="00202A78">
        <w:rPr>
          <w:rFonts w:ascii="Arial" w:hAnsi="Arial"/>
          <w:b/>
          <w:bCs/>
          <w:color w:val="000000" w:themeColor="text1"/>
          <w:szCs w:val="20"/>
        </w:rPr>
        <w:t>0</w:t>
      </w:r>
      <w:r w:rsidR="00357431" w:rsidRPr="00202A78">
        <w:rPr>
          <w:rFonts w:ascii="Arial" w:hAnsi="Arial"/>
          <w:b/>
          <w:bCs/>
          <w:color w:val="000000" w:themeColor="text1"/>
          <w:szCs w:val="20"/>
        </w:rPr>
        <w:t>.</w:t>
      </w:r>
      <w:r w:rsidR="00FC5363" w:rsidRPr="00202A78">
        <w:rPr>
          <w:rFonts w:ascii="Arial" w:hAnsi="Arial"/>
          <w:color w:val="000000" w:themeColor="text1"/>
          <w:szCs w:val="20"/>
        </w:rPr>
        <w:t xml:space="preserve"> </w:t>
      </w:r>
      <w:r w:rsidR="00A93363" w:rsidRPr="00202A78">
        <w:rPr>
          <w:rFonts w:ascii="Arial" w:hAnsi="Arial"/>
          <w:color w:val="000000" w:themeColor="text1"/>
          <w:szCs w:val="20"/>
        </w:rPr>
        <w:t xml:space="preserve"> </w:t>
      </w:r>
    </w:p>
    <w:p w14:paraId="19E1BD41" w14:textId="458325DD" w:rsidR="00FC5363" w:rsidRPr="00202A78" w:rsidRDefault="00FC5363" w:rsidP="003E2520">
      <w:pPr>
        <w:spacing w:after="0" w:line="240" w:lineRule="auto"/>
        <w:rPr>
          <w:rFonts w:ascii="Arial" w:hAnsi="Arial"/>
          <w:color w:val="000000" w:themeColor="text1"/>
          <w:szCs w:val="20"/>
        </w:rPr>
      </w:pPr>
    </w:p>
    <w:p w14:paraId="20B0C1BD" w14:textId="337F7063" w:rsidR="003C0C57" w:rsidRPr="00202A78" w:rsidRDefault="003C0C57" w:rsidP="003C0C57">
      <w:pPr>
        <w:spacing w:after="0" w:line="240" w:lineRule="auto"/>
        <w:rPr>
          <w:rFonts w:ascii="Arial" w:hAnsi="Arial"/>
          <w:color w:val="000000" w:themeColor="text1"/>
          <w:szCs w:val="20"/>
        </w:rPr>
      </w:pPr>
      <w:r w:rsidRPr="00202A78">
        <w:rPr>
          <w:noProof/>
          <w:color w:val="000000" w:themeColor="text1"/>
        </w:rPr>
        <w:drawing>
          <wp:anchor distT="0" distB="0" distL="114300" distR="114300" simplePos="0" relativeHeight="253054976" behindDoc="0" locked="0" layoutInCell="1" allowOverlap="1" wp14:anchorId="3F8104C1" wp14:editId="53A027BE">
            <wp:simplePos x="0" y="0"/>
            <wp:positionH relativeFrom="margin">
              <wp:align>right</wp:align>
            </wp:positionH>
            <wp:positionV relativeFrom="paragraph">
              <wp:posOffset>88900</wp:posOffset>
            </wp:positionV>
            <wp:extent cx="2626360" cy="1617980"/>
            <wp:effectExtent l="0" t="0" r="2540" b="1270"/>
            <wp:wrapSquare wrapText="bothSides"/>
            <wp:docPr id="662111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0704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6360" cy="1617980"/>
                    </a:xfrm>
                    <a:prstGeom prst="rect">
                      <a:avLst/>
                    </a:prstGeom>
                  </pic:spPr>
                </pic:pic>
              </a:graphicData>
            </a:graphic>
            <wp14:sizeRelH relativeFrom="page">
              <wp14:pctWidth>0</wp14:pctWidth>
            </wp14:sizeRelH>
            <wp14:sizeRelV relativeFrom="page">
              <wp14:pctHeight>0</wp14:pctHeight>
            </wp14:sizeRelV>
          </wp:anchor>
        </w:drawing>
      </w:r>
      <w:r w:rsidRPr="00202A78">
        <w:rPr>
          <w:rFonts w:ascii="Arial" w:hAnsi="Arial"/>
          <w:color w:val="000000" w:themeColor="text1"/>
          <w:szCs w:val="20"/>
        </w:rPr>
        <w:t>For international comparisons of MH levels and trends the report has used the EU-13 measure. This is not used for HILS 2024-25 MH reporting as we have not yet developed a satisfactory replication using the revised MWQs.</w:t>
      </w:r>
    </w:p>
    <w:p w14:paraId="380523A9" w14:textId="77777777" w:rsidR="003C0C57" w:rsidRPr="00202A78" w:rsidRDefault="003C0C57" w:rsidP="003C0C57">
      <w:pPr>
        <w:spacing w:after="0" w:line="240" w:lineRule="auto"/>
        <w:rPr>
          <w:rFonts w:ascii="Arial" w:hAnsi="Arial"/>
          <w:color w:val="000000" w:themeColor="text1"/>
          <w:szCs w:val="20"/>
        </w:rPr>
      </w:pPr>
    </w:p>
    <w:p w14:paraId="0E667ABB" w14:textId="12A08B67" w:rsidR="00252817" w:rsidRPr="00202A78" w:rsidRDefault="003C0C57" w:rsidP="00252817">
      <w:pPr>
        <w:spacing w:after="0" w:line="240" w:lineRule="auto"/>
        <w:rPr>
          <w:rFonts w:ascii="Arial" w:hAnsi="Arial"/>
          <w:color w:val="000000" w:themeColor="text1"/>
          <w:szCs w:val="20"/>
        </w:rPr>
      </w:pPr>
      <w:r w:rsidRPr="00202A78">
        <w:rPr>
          <w:rFonts w:ascii="Arial" w:hAnsi="Arial"/>
          <w:color w:val="000000" w:themeColor="text1"/>
          <w:szCs w:val="20"/>
        </w:rPr>
        <w:t xml:space="preserve">The chart on the right (from </w:t>
      </w:r>
      <w:r w:rsidRPr="00202A78">
        <w:rPr>
          <w:rFonts w:ascii="Arial" w:hAnsi="Arial"/>
          <w:b/>
          <w:bCs/>
          <w:color w:val="000000" w:themeColor="text1"/>
          <w:szCs w:val="20"/>
        </w:rPr>
        <w:t xml:space="preserve">Appendix </w:t>
      </w:r>
      <w:r w:rsidR="00202A78">
        <w:rPr>
          <w:rFonts w:ascii="Arial" w:hAnsi="Arial"/>
          <w:b/>
          <w:bCs/>
          <w:color w:val="000000" w:themeColor="text1"/>
          <w:szCs w:val="20"/>
        </w:rPr>
        <w:t>4</w:t>
      </w:r>
      <w:r w:rsidRPr="00202A78">
        <w:rPr>
          <w:rFonts w:ascii="Arial" w:hAnsi="Arial"/>
          <w:color w:val="000000" w:themeColor="text1"/>
          <w:szCs w:val="20"/>
        </w:rPr>
        <w:t xml:space="preserve">) shows the very close similarity of material hardship levels and trends for children using the various indices </w:t>
      </w:r>
      <w:r w:rsidR="00252817" w:rsidRPr="00202A78">
        <w:rPr>
          <w:rFonts w:ascii="Arial" w:hAnsi="Arial"/>
          <w:color w:val="000000" w:themeColor="text1"/>
          <w:szCs w:val="20"/>
        </w:rPr>
        <w:t xml:space="preserve">(DEP-17 / MH-18 and MWI-24 / MWI-26 to 2024-25, and EU-13 to 2023-24). </w:t>
      </w:r>
    </w:p>
    <w:p w14:paraId="3835E67B" w14:textId="0C7F0F75" w:rsidR="003C0C57" w:rsidRPr="00A93363" w:rsidRDefault="003C0C57" w:rsidP="003C0C57">
      <w:pPr>
        <w:spacing w:after="0" w:line="240" w:lineRule="auto"/>
        <w:rPr>
          <w:rFonts w:ascii="Arial" w:hAnsi="Arial"/>
          <w:color w:val="0000FF"/>
          <w:szCs w:val="20"/>
        </w:rPr>
      </w:pPr>
    </w:p>
    <w:p w14:paraId="45FE4324" w14:textId="3410B35A" w:rsidR="00953562" w:rsidRPr="00EB5B39" w:rsidRDefault="00953562" w:rsidP="00953562">
      <w:pPr>
        <w:spacing w:after="0" w:line="240" w:lineRule="auto"/>
        <w:rPr>
          <w:rFonts w:ascii="Arial" w:hAnsi="Arial"/>
          <w:szCs w:val="20"/>
        </w:rPr>
      </w:pPr>
      <w:r w:rsidRPr="00EB5B39">
        <w:rPr>
          <w:rFonts w:ascii="Arial" w:hAnsi="Arial"/>
          <w:szCs w:val="20"/>
        </w:rPr>
        <w:t xml:space="preserve">There are a few other areas that impact comparability between HES and HILS due to changes in the survey design. For the child-specific MWQs the data is available in HILS for </w:t>
      </w:r>
      <w:r w:rsidRPr="00953562">
        <w:rPr>
          <w:rFonts w:ascii="Arial" w:hAnsi="Arial"/>
          <w:szCs w:val="20"/>
        </w:rPr>
        <w:t>1-14 year olds not for 1-17 year olds as it was</w:t>
      </w:r>
      <w:r w:rsidRPr="00EB5B39">
        <w:rPr>
          <w:rFonts w:ascii="Arial" w:hAnsi="Arial"/>
          <w:szCs w:val="20"/>
        </w:rPr>
        <w:t xml:space="preserve"> in the HES. HILS also introduced a ‘proxy’ questionnaire module that contained only a limited set of questions, meaning that there is missing information for some variables for individuals that were proxied for; in HES, proxy responses involved someone responding on another’s behalf to the entire questionnaire (but there was no information on quality). The consequence for this report is that for several tables or charts the latest information is for 2023-24 from the HES, particularly where complete information on number of jobs or total hours in employment was required for comparison over time.</w:t>
      </w:r>
    </w:p>
    <w:p w14:paraId="728F7443" w14:textId="336DFB7A" w:rsidR="001C12E9" w:rsidRPr="00E931BB" w:rsidRDefault="001C12E9" w:rsidP="009D4C56">
      <w:pPr>
        <w:spacing w:after="0" w:line="240" w:lineRule="auto"/>
        <w:rPr>
          <w:rFonts w:ascii="Arial" w:hAnsi="Arial"/>
          <w:i/>
          <w:iCs/>
          <w:color w:val="000000" w:themeColor="text1"/>
          <w:szCs w:val="20"/>
        </w:rPr>
      </w:pPr>
    </w:p>
    <w:p w14:paraId="247DBBC6" w14:textId="77777777" w:rsidR="00F7667E" w:rsidRPr="009F656D" w:rsidRDefault="00F7667E" w:rsidP="00F7667E">
      <w:pPr>
        <w:spacing w:after="0" w:line="240" w:lineRule="auto"/>
        <w:rPr>
          <w:rFonts w:ascii="Arial" w:hAnsi="Arial"/>
          <w:b/>
          <w:bCs/>
          <w:color w:val="000000" w:themeColor="text1"/>
          <w:szCs w:val="20"/>
        </w:rPr>
      </w:pPr>
      <w:r w:rsidRPr="009F656D">
        <w:rPr>
          <w:rFonts w:ascii="Arial" w:hAnsi="Arial"/>
          <w:b/>
          <w:bCs/>
          <w:color w:val="000000" w:themeColor="text1"/>
          <w:szCs w:val="20"/>
        </w:rPr>
        <w:t>Sample size and data collection challenges</w:t>
      </w:r>
    </w:p>
    <w:p w14:paraId="06995E25" w14:textId="77777777" w:rsidR="00F7667E" w:rsidRPr="009F656D" w:rsidRDefault="00F7667E" w:rsidP="00F7667E">
      <w:pPr>
        <w:spacing w:after="0" w:line="240" w:lineRule="auto"/>
        <w:rPr>
          <w:rFonts w:ascii="Arial" w:hAnsi="Arial"/>
          <w:color w:val="000000" w:themeColor="text1"/>
          <w:szCs w:val="20"/>
        </w:rPr>
      </w:pPr>
    </w:p>
    <w:p w14:paraId="44BD624B" w14:textId="77777777" w:rsidR="00F7667E" w:rsidRPr="009F656D" w:rsidRDefault="00F7667E">
      <w:pPr>
        <w:pStyle w:val="ListParagraph"/>
        <w:numPr>
          <w:ilvl w:val="0"/>
          <w:numId w:val="35"/>
        </w:numPr>
        <w:spacing w:line="240" w:lineRule="auto"/>
        <w:ind w:left="714" w:hanging="357"/>
        <w:contextualSpacing w:val="0"/>
        <w:rPr>
          <w:rFonts w:ascii="Arial" w:hAnsi="Arial"/>
          <w:color w:val="000000" w:themeColor="text1"/>
          <w:szCs w:val="20"/>
        </w:rPr>
      </w:pPr>
      <w:r w:rsidRPr="009F656D">
        <w:rPr>
          <w:rFonts w:ascii="Arial" w:hAnsi="Arial"/>
          <w:color w:val="000000" w:themeColor="text1"/>
          <w:szCs w:val="20"/>
        </w:rPr>
        <w:t xml:space="preserve">The achieved sample for the 2018-19 HES was 21,000 households compared with previous HES samples of 3500 to 5500. Importantly for reporting on child poverty, the 2018-19 HES sample has around 7500 households with children, compared with the previous 1100 to 1800 in the years prior to 2018-19. </w:t>
      </w:r>
    </w:p>
    <w:p w14:paraId="4CF58563" w14:textId="77777777" w:rsidR="003E2520" w:rsidRDefault="00F7667E">
      <w:pPr>
        <w:pStyle w:val="ListParagraph"/>
        <w:numPr>
          <w:ilvl w:val="0"/>
          <w:numId w:val="35"/>
        </w:numPr>
        <w:spacing w:line="240" w:lineRule="auto"/>
        <w:ind w:left="714" w:hanging="357"/>
        <w:contextualSpacing w:val="0"/>
        <w:rPr>
          <w:rFonts w:ascii="Arial" w:hAnsi="Arial"/>
          <w:color w:val="000000" w:themeColor="text1"/>
          <w:szCs w:val="20"/>
        </w:rPr>
      </w:pPr>
      <w:r w:rsidRPr="009F656D">
        <w:rPr>
          <w:rFonts w:ascii="Arial" w:hAnsi="Arial"/>
          <w:color w:val="000000" w:themeColor="text1"/>
          <w:szCs w:val="20"/>
        </w:rPr>
        <w:t>The 2019-20 and 2020-21 HES samples are a little smaller than the 2018-19 HES as in each case the surveying was unable to be carried out over the full 12 months because of COVID-related restrictions (~16,000 households, 5600 with children).</w:t>
      </w:r>
    </w:p>
    <w:p w14:paraId="6AAC4915" w14:textId="04DD3243" w:rsidR="008A4710" w:rsidRPr="003E2520" w:rsidRDefault="00F7667E">
      <w:pPr>
        <w:pStyle w:val="ListParagraph"/>
        <w:numPr>
          <w:ilvl w:val="0"/>
          <w:numId w:val="35"/>
        </w:numPr>
        <w:spacing w:line="240" w:lineRule="auto"/>
        <w:ind w:left="714" w:hanging="357"/>
        <w:contextualSpacing w:val="0"/>
        <w:rPr>
          <w:rFonts w:ascii="Arial" w:hAnsi="Arial"/>
          <w:color w:val="000000" w:themeColor="text1"/>
          <w:szCs w:val="20"/>
        </w:rPr>
      </w:pPr>
      <w:r w:rsidRPr="003E2520">
        <w:rPr>
          <w:rFonts w:ascii="Arial" w:hAnsi="Arial"/>
          <w:color w:val="000000" w:themeColor="text1"/>
          <w:szCs w:val="20"/>
        </w:rPr>
        <w:t>The data collection for the 2021-22 HES was severely hampered by both COVID- and weather-related events: only 9000 households were interviewed (3000 with children) and the data quality was not as good as in the other surveys</w:t>
      </w:r>
      <w:r w:rsidR="003E2520">
        <w:rPr>
          <w:rFonts w:ascii="Arial" w:hAnsi="Arial"/>
          <w:color w:val="000000" w:themeColor="text1"/>
          <w:szCs w:val="20"/>
        </w:rPr>
        <w:t>, especially for reporting on sub-groups.</w:t>
      </w:r>
    </w:p>
    <w:p w14:paraId="62F9D517" w14:textId="557F42C4" w:rsidR="00F7667E" w:rsidRPr="009F656D" w:rsidRDefault="00F7667E">
      <w:pPr>
        <w:pStyle w:val="ListParagraph"/>
        <w:numPr>
          <w:ilvl w:val="0"/>
          <w:numId w:val="35"/>
        </w:numPr>
        <w:spacing w:line="240" w:lineRule="auto"/>
        <w:ind w:left="714" w:hanging="357"/>
        <w:contextualSpacing w:val="0"/>
        <w:rPr>
          <w:rFonts w:ascii="Arial" w:hAnsi="Arial"/>
          <w:color w:val="000000" w:themeColor="text1"/>
          <w:szCs w:val="20"/>
        </w:rPr>
      </w:pPr>
      <w:r w:rsidRPr="009F656D">
        <w:rPr>
          <w:rFonts w:ascii="Arial" w:hAnsi="Arial"/>
          <w:color w:val="000000" w:themeColor="text1"/>
          <w:szCs w:val="20"/>
        </w:rPr>
        <w:t xml:space="preserve">The 2022-23 HES sample was 14,000 households (4500 with children). Stats NZ </w:t>
      </w:r>
      <w:r w:rsidR="00FD1926">
        <w:rPr>
          <w:rFonts w:ascii="Arial" w:hAnsi="Arial"/>
          <w:color w:val="000000" w:themeColor="text1"/>
          <w:szCs w:val="20"/>
        </w:rPr>
        <w:t xml:space="preserve">intentionally </w:t>
      </w:r>
      <w:r w:rsidRPr="009F656D">
        <w:rPr>
          <w:rFonts w:ascii="Arial" w:hAnsi="Arial"/>
          <w:color w:val="000000" w:themeColor="text1"/>
          <w:szCs w:val="20"/>
        </w:rPr>
        <w:t>set a lower target of 15,000 (ie less than the 20,000 desired) to ensure that a good quality representative sample could be achieved in</w:t>
      </w:r>
      <w:r w:rsidR="00FD1926">
        <w:rPr>
          <w:rFonts w:ascii="Arial" w:hAnsi="Arial"/>
          <w:color w:val="000000" w:themeColor="text1"/>
          <w:szCs w:val="20"/>
        </w:rPr>
        <w:t xml:space="preserve"> an orderly way in</w:t>
      </w:r>
      <w:r w:rsidRPr="009F656D">
        <w:rPr>
          <w:rFonts w:ascii="Arial" w:hAnsi="Arial"/>
          <w:color w:val="000000" w:themeColor="text1"/>
          <w:szCs w:val="20"/>
        </w:rPr>
        <w:t xml:space="preserve"> the still-restricted collection environment.</w:t>
      </w:r>
    </w:p>
    <w:p w14:paraId="2570CDB7" w14:textId="03A9181B" w:rsidR="00F7667E" w:rsidRDefault="003E2520">
      <w:pPr>
        <w:pStyle w:val="ListParagraph"/>
        <w:numPr>
          <w:ilvl w:val="0"/>
          <w:numId w:val="35"/>
        </w:numPr>
        <w:spacing w:line="240" w:lineRule="auto"/>
        <w:ind w:left="714" w:hanging="357"/>
        <w:contextualSpacing w:val="0"/>
        <w:rPr>
          <w:rFonts w:ascii="Arial" w:hAnsi="Arial"/>
          <w:color w:val="000000" w:themeColor="text1"/>
          <w:szCs w:val="20"/>
        </w:rPr>
      </w:pPr>
      <w:r>
        <w:rPr>
          <w:rFonts w:ascii="Arial" w:hAnsi="Arial"/>
          <w:color w:val="000000" w:themeColor="text1"/>
          <w:szCs w:val="20"/>
        </w:rPr>
        <w:lastRenderedPageBreak/>
        <w:t>The</w:t>
      </w:r>
      <w:r w:rsidR="00F7667E" w:rsidRPr="009F656D">
        <w:rPr>
          <w:rFonts w:ascii="Arial" w:hAnsi="Arial"/>
          <w:color w:val="000000" w:themeColor="text1"/>
          <w:szCs w:val="20"/>
        </w:rPr>
        <w:t xml:space="preserve"> 2023-24 HES data collection went well </w:t>
      </w:r>
      <w:r w:rsidR="00F5338F">
        <w:rPr>
          <w:rFonts w:ascii="Arial" w:hAnsi="Arial"/>
          <w:color w:val="000000" w:themeColor="text1"/>
          <w:szCs w:val="20"/>
        </w:rPr>
        <w:t xml:space="preserve">with </w:t>
      </w:r>
      <w:r w:rsidR="00FD1926">
        <w:rPr>
          <w:rFonts w:ascii="Arial" w:hAnsi="Arial"/>
          <w:color w:val="000000" w:themeColor="text1"/>
          <w:szCs w:val="20"/>
        </w:rPr>
        <w:t>a response rate of 78% and</w:t>
      </w:r>
      <w:r>
        <w:rPr>
          <w:rFonts w:ascii="Arial" w:hAnsi="Arial"/>
          <w:color w:val="000000" w:themeColor="text1"/>
          <w:szCs w:val="20"/>
        </w:rPr>
        <w:t xml:space="preserve"> an achieved sample size of </w:t>
      </w:r>
      <w:r w:rsidR="00FD1926">
        <w:rPr>
          <w:rFonts w:ascii="Arial" w:hAnsi="Arial"/>
          <w:color w:val="000000" w:themeColor="text1"/>
          <w:szCs w:val="20"/>
        </w:rPr>
        <w:t>19,000.</w:t>
      </w:r>
      <w:r w:rsidR="00F7667E" w:rsidRPr="009F656D">
        <w:rPr>
          <w:rFonts w:ascii="Arial" w:hAnsi="Arial"/>
          <w:color w:val="000000" w:themeColor="text1"/>
          <w:szCs w:val="20"/>
        </w:rPr>
        <w:t xml:space="preserve">  </w:t>
      </w:r>
    </w:p>
    <w:p w14:paraId="549DCEA0" w14:textId="46AAF07D" w:rsidR="003E2520" w:rsidRPr="009F656D" w:rsidRDefault="003E2520">
      <w:pPr>
        <w:pStyle w:val="ListParagraph"/>
        <w:numPr>
          <w:ilvl w:val="0"/>
          <w:numId w:val="35"/>
        </w:numPr>
        <w:spacing w:after="0" w:line="240" w:lineRule="auto"/>
        <w:rPr>
          <w:rFonts w:ascii="Arial" w:hAnsi="Arial"/>
          <w:color w:val="000000" w:themeColor="text1"/>
          <w:szCs w:val="20"/>
        </w:rPr>
      </w:pPr>
      <w:r>
        <w:rPr>
          <w:rFonts w:ascii="Arial" w:hAnsi="Arial"/>
          <w:color w:val="000000" w:themeColor="text1"/>
          <w:szCs w:val="20"/>
        </w:rPr>
        <w:t>HILS 2024-25</w:t>
      </w:r>
      <w:r w:rsidR="00FD1926">
        <w:rPr>
          <w:rFonts w:ascii="Arial" w:hAnsi="Arial"/>
          <w:color w:val="000000" w:themeColor="text1"/>
          <w:szCs w:val="20"/>
        </w:rPr>
        <w:t xml:space="preserve"> had a response rate of 82% and an achieved sample size of just under 18,000.</w:t>
      </w:r>
      <w:r>
        <w:rPr>
          <w:rFonts w:ascii="Arial" w:hAnsi="Arial"/>
          <w:color w:val="000000" w:themeColor="text1"/>
          <w:szCs w:val="20"/>
        </w:rPr>
        <w:t xml:space="preserve"> </w:t>
      </w:r>
    </w:p>
    <w:p w14:paraId="10D7F7AF" w14:textId="77777777" w:rsidR="00F7667E" w:rsidRDefault="00F7667E" w:rsidP="00F7667E">
      <w:pPr>
        <w:spacing w:after="0" w:line="240" w:lineRule="auto"/>
        <w:rPr>
          <w:rFonts w:ascii="Arial" w:hAnsi="Arial"/>
          <w:b/>
          <w:bCs/>
          <w:color w:val="3333FF"/>
          <w:szCs w:val="20"/>
        </w:rPr>
      </w:pPr>
    </w:p>
    <w:p w14:paraId="3C956E7C" w14:textId="6E20C118" w:rsidR="005B0A9E" w:rsidRPr="009F656D" w:rsidRDefault="005B0A9E" w:rsidP="005B0A9E">
      <w:pPr>
        <w:spacing w:after="0" w:line="240" w:lineRule="auto"/>
        <w:rPr>
          <w:rFonts w:ascii="Arial" w:hAnsi="Arial"/>
          <w:b/>
          <w:bCs/>
          <w:color w:val="000000" w:themeColor="text1"/>
          <w:szCs w:val="20"/>
        </w:rPr>
      </w:pPr>
      <w:r w:rsidRPr="009F656D">
        <w:rPr>
          <w:rFonts w:ascii="Arial" w:hAnsi="Arial"/>
          <w:b/>
          <w:bCs/>
          <w:color w:val="000000" w:themeColor="text1"/>
          <w:szCs w:val="20"/>
        </w:rPr>
        <w:t xml:space="preserve">Labelling of </w:t>
      </w:r>
      <w:r w:rsidR="00D94C40">
        <w:rPr>
          <w:rFonts w:ascii="Arial" w:hAnsi="Arial"/>
          <w:b/>
          <w:bCs/>
          <w:color w:val="000000" w:themeColor="text1"/>
          <w:szCs w:val="20"/>
        </w:rPr>
        <w:t>HES and HILS</w:t>
      </w:r>
      <w:r w:rsidRPr="009F656D">
        <w:rPr>
          <w:rFonts w:ascii="Arial" w:hAnsi="Arial"/>
          <w:b/>
          <w:bCs/>
          <w:color w:val="000000" w:themeColor="text1"/>
          <w:szCs w:val="20"/>
        </w:rPr>
        <w:t xml:space="preserve"> years</w:t>
      </w:r>
    </w:p>
    <w:p w14:paraId="4BBC559A" w14:textId="77777777" w:rsidR="005B0A9E" w:rsidRPr="009F656D" w:rsidRDefault="005B0A9E" w:rsidP="005B0A9E">
      <w:pPr>
        <w:spacing w:after="0" w:line="240" w:lineRule="auto"/>
        <w:contextualSpacing/>
        <w:rPr>
          <w:rFonts w:ascii="Arial" w:hAnsi="Arial"/>
          <w:color w:val="000000" w:themeColor="text1"/>
        </w:rPr>
      </w:pPr>
    </w:p>
    <w:p w14:paraId="132CC486" w14:textId="12020D05" w:rsidR="005B0A9E" w:rsidRPr="009F656D" w:rsidRDefault="005B0A9E" w:rsidP="005B0A9E">
      <w:pPr>
        <w:spacing w:after="0" w:line="240" w:lineRule="auto"/>
        <w:jc w:val="both"/>
        <w:rPr>
          <w:rFonts w:ascii="Arial" w:hAnsi="Arial"/>
          <w:color w:val="000000" w:themeColor="text1"/>
          <w:szCs w:val="20"/>
        </w:rPr>
      </w:pPr>
      <w:r w:rsidRPr="009F656D">
        <w:rPr>
          <w:rFonts w:ascii="Arial" w:hAnsi="Arial"/>
          <w:color w:val="000000" w:themeColor="text1"/>
          <w:szCs w:val="20"/>
        </w:rPr>
        <w:t>When reporting findings from the HES</w:t>
      </w:r>
      <w:r w:rsidR="00D94C40">
        <w:rPr>
          <w:rFonts w:ascii="Arial" w:hAnsi="Arial"/>
          <w:color w:val="000000" w:themeColor="text1"/>
          <w:szCs w:val="20"/>
        </w:rPr>
        <w:t xml:space="preserve"> and HILS</w:t>
      </w:r>
      <w:r w:rsidRPr="009F656D">
        <w:rPr>
          <w:rFonts w:ascii="Arial" w:hAnsi="Arial"/>
          <w:color w:val="000000" w:themeColor="text1"/>
          <w:szCs w:val="20"/>
        </w:rPr>
        <w:t xml:space="preserve">, ‘2017’ is short-hand for ‘2016-17’, and so on. The ‘2017’ survey ran from July 2016 to June 2017. Some of the items refer to how households were faring in the 12 months prior to the interview. </w:t>
      </w:r>
    </w:p>
    <w:p w14:paraId="377BF869" w14:textId="77777777" w:rsidR="005B0A9E" w:rsidRPr="009F656D" w:rsidRDefault="005B0A9E">
      <w:pPr>
        <w:numPr>
          <w:ilvl w:val="0"/>
          <w:numId w:val="31"/>
        </w:numPr>
        <w:spacing w:before="120" w:after="0" w:line="240" w:lineRule="auto"/>
        <w:ind w:left="714" w:hanging="357"/>
        <w:jc w:val="both"/>
        <w:rPr>
          <w:rFonts w:ascii="Arial" w:hAnsi="Arial"/>
          <w:color w:val="000000" w:themeColor="text1"/>
          <w:szCs w:val="20"/>
        </w:rPr>
      </w:pPr>
      <w:r w:rsidRPr="009F656D">
        <w:rPr>
          <w:rFonts w:ascii="Arial" w:hAnsi="Arial"/>
          <w:color w:val="000000" w:themeColor="text1"/>
          <w:szCs w:val="20"/>
        </w:rPr>
        <w:t xml:space="preserve">This means that the ‘2017’ material wellbeing scores / hardship rates reflect on average how households were faring towards the end of 2016. </w:t>
      </w:r>
    </w:p>
    <w:p w14:paraId="29F5A2AC" w14:textId="77777777" w:rsidR="005B0A9E" w:rsidRPr="009F656D" w:rsidRDefault="005B0A9E">
      <w:pPr>
        <w:numPr>
          <w:ilvl w:val="0"/>
          <w:numId w:val="31"/>
        </w:numPr>
        <w:spacing w:before="120" w:after="0" w:line="240" w:lineRule="auto"/>
        <w:ind w:left="714" w:hanging="357"/>
        <w:jc w:val="both"/>
        <w:rPr>
          <w:rFonts w:ascii="Arial" w:hAnsi="Arial"/>
          <w:color w:val="000000" w:themeColor="text1"/>
          <w:szCs w:val="20"/>
        </w:rPr>
      </w:pPr>
      <w:r w:rsidRPr="009F656D">
        <w:rPr>
          <w:rFonts w:ascii="Arial" w:hAnsi="Arial"/>
          <w:color w:val="000000" w:themeColor="text1"/>
          <w:szCs w:val="20"/>
        </w:rPr>
        <w:t xml:space="preserve">The HES income information is about income in the twelve months prior to the interview. For those interviewed early in the survey (eg July 2016) the income information is for July 2015 to June 2016, for those interviewed in August 2016 the income information is for August 2015 to July 2016, and so on. This means that ‘2017’ income-based figures include information from July 2015 through to June 2017. </w:t>
      </w:r>
    </w:p>
    <w:p w14:paraId="4F6E61BF" w14:textId="77777777" w:rsidR="005B0A9E" w:rsidRPr="009F656D" w:rsidRDefault="005B0A9E">
      <w:pPr>
        <w:numPr>
          <w:ilvl w:val="0"/>
          <w:numId w:val="31"/>
        </w:numPr>
        <w:spacing w:before="120" w:after="0" w:line="240" w:lineRule="auto"/>
        <w:ind w:left="714" w:hanging="357"/>
        <w:jc w:val="both"/>
        <w:rPr>
          <w:rFonts w:ascii="Arial" w:hAnsi="Arial"/>
          <w:color w:val="000000" w:themeColor="text1"/>
          <w:szCs w:val="20"/>
        </w:rPr>
      </w:pPr>
      <w:r w:rsidRPr="009F656D">
        <w:rPr>
          <w:rFonts w:ascii="Arial" w:hAnsi="Arial"/>
          <w:color w:val="000000" w:themeColor="text1"/>
          <w:szCs w:val="20"/>
        </w:rPr>
        <w:t>Both the ‘2017’ and 2016-17’ formats are used in the report, depending on the context.</w:t>
      </w:r>
    </w:p>
    <w:p w14:paraId="58A8BE3E" w14:textId="77777777" w:rsidR="005B0A9E" w:rsidRPr="009F656D" w:rsidRDefault="005B0A9E" w:rsidP="005B0A9E">
      <w:pPr>
        <w:spacing w:after="0" w:line="240" w:lineRule="auto"/>
        <w:jc w:val="both"/>
        <w:rPr>
          <w:rFonts w:ascii="Arial" w:hAnsi="Arial"/>
          <w:color w:val="000000" w:themeColor="text1"/>
          <w:szCs w:val="20"/>
        </w:rPr>
      </w:pPr>
    </w:p>
    <w:p w14:paraId="5C9732E7" w14:textId="1BEDB47E" w:rsidR="005B0A9E" w:rsidRDefault="005B0A9E" w:rsidP="005B0A9E">
      <w:pPr>
        <w:spacing w:after="0" w:line="240" w:lineRule="auto"/>
        <w:jc w:val="both"/>
        <w:rPr>
          <w:rFonts w:ascii="Arial" w:hAnsi="Arial"/>
          <w:bCs/>
          <w:color w:val="000000" w:themeColor="text1"/>
          <w:szCs w:val="20"/>
        </w:rPr>
      </w:pPr>
      <w:r w:rsidRPr="009F656D">
        <w:rPr>
          <w:rFonts w:ascii="Arial" w:hAnsi="Arial"/>
          <w:bCs/>
          <w:color w:val="000000" w:themeColor="text1"/>
          <w:szCs w:val="20"/>
        </w:rPr>
        <w:t>All this matters for the interpretation of trends in relation to assessing the impact of policy changes or major economic events and for assessing the performance of governments in the child poverty space. For example, the impact of a policy change which increased the Family Tax Credit in July 2030 would be only partially reflected in the 2030-31 survey results as only those households interviewed in June 2031 would have (close to) a full year’s impact of the change showing in their reported income. The impact of the change would be fully reflected in the 2031-32 survey, with the findings reported in early 2033</w:t>
      </w:r>
      <w:r w:rsidR="007F4AAA">
        <w:rPr>
          <w:rFonts w:ascii="Arial" w:hAnsi="Arial"/>
          <w:bCs/>
          <w:color w:val="000000" w:themeColor="text1"/>
          <w:szCs w:val="20"/>
        </w:rPr>
        <w:t xml:space="preserve"> on current patterns of reporting times.</w:t>
      </w:r>
      <w:r w:rsidRPr="009F656D">
        <w:rPr>
          <w:rFonts w:ascii="Arial" w:hAnsi="Arial"/>
          <w:bCs/>
          <w:color w:val="000000" w:themeColor="text1"/>
          <w:szCs w:val="20"/>
        </w:rPr>
        <w:t xml:space="preserve">   </w:t>
      </w:r>
    </w:p>
    <w:p w14:paraId="565891D3" w14:textId="77777777" w:rsidR="003F5607" w:rsidRDefault="003F5607" w:rsidP="00F7667E">
      <w:pPr>
        <w:tabs>
          <w:tab w:val="left" w:pos="426"/>
        </w:tabs>
        <w:spacing w:after="0" w:line="240" w:lineRule="auto"/>
        <w:jc w:val="both"/>
        <w:rPr>
          <w:rFonts w:ascii="Arial" w:hAnsi="Arial"/>
          <w:b/>
          <w:color w:val="000000" w:themeColor="text1"/>
          <w:szCs w:val="20"/>
        </w:rPr>
      </w:pPr>
    </w:p>
    <w:p w14:paraId="3F93F35F" w14:textId="47A08FF9" w:rsidR="00D37D0B" w:rsidRPr="00711FE4" w:rsidRDefault="00D37D0B" w:rsidP="00D37D0B">
      <w:pPr>
        <w:jc w:val="both"/>
        <w:rPr>
          <w:rFonts w:ascii="Arial" w:hAnsi="Arial"/>
          <w:b/>
          <w:color w:val="000000" w:themeColor="text1"/>
          <w:szCs w:val="20"/>
        </w:rPr>
      </w:pPr>
      <w:r w:rsidRPr="00711FE4">
        <w:rPr>
          <w:rFonts w:ascii="Arial" w:hAnsi="Arial"/>
          <w:b/>
          <w:color w:val="000000" w:themeColor="text1"/>
          <w:szCs w:val="20"/>
        </w:rPr>
        <w:t>The surveys gather information on the usually resident population living in private dwellings</w:t>
      </w:r>
    </w:p>
    <w:p w14:paraId="29EC643F" w14:textId="5FBD5CF2" w:rsidR="00D37D0B" w:rsidRPr="00711FE4" w:rsidRDefault="00D37D0B" w:rsidP="00D37D0B">
      <w:pPr>
        <w:spacing w:after="0" w:line="240" w:lineRule="auto"/>
        <w:jc w:val="both"/>
        <w:rPr>
          <w:rFonts w:ascii="Arial" w:hAnsi="Arial"/>
          <w:color w:val="000000" w:themeColor="text1"/>
          <w:szCs w:val="20"/>
        </w:rPr>
      </w:pPr>
      <w:r w:rsidRPr="00711FE4">
        <w:rPr>
          <w:rFonts w:ascii="Arial" w:hAnsi="Arial"/>
          <w:color w:val="000000" w:themeColor="text1"/>
          <w:szCs w:val="20"/>
        </w:rPr>
        <w:t>The survey therefore includes those living in retirement villages, but not those in non-private dwellings such as rest homes, hotels, motels, boarding houses and hostels.</w:t>
      </w:r>
      <w:r w:rsidRPr="00711FE4">
        <w:rPr>
          <w:rFonts w:ascii="Arial" w:hAnsi="Arial"/>
          <w:color w:val="000000" w:themeColor="text1"/>
          <w:szCs w:val="20"/>
          <w:vertAlign w:val="superscript"/>
        </w:rPr>
        <w:footnoteReference w:id="38"/>
      </w:r>
      <w:r w:rsidRPr="00711FE4">
        <w:rPr>
          <w:rFonts w:ascii="Arial" w:hAnsi="Arial"/>
          <w:color w:val="000000" w:themeColor="text1"/>
          <w:szCs w:val="20"/>
        </w:rPr>
        <w:t xml:space="preserve"> Other sorts of surveys are needed to obtain a picture of what life is like for those in more transient accommodation or those ‘living rough’.</w:t>
      </w:r>
      <w:r w:rsidR="00F07788" w:rsidRPr="009C0FFE">
        <w:rPr>
          <w:rStyle w:val="FootnoteReference"/>
          <w:rFonts w:ascii="Arial" w:hAnsi="Arial"/>
          <w:color w:val="000000" w:themeColor="text1"/>
          <w:szCs w:val="20"/>
        </w:rPr>
        <w:footnoteReference w:id="39"/>
      </w:r>
    </w:p>
    <w:p w14:paraId="6CCE8B77" w14:textId="77777777" w:rsidR="00D37D0B" w:rsidRPr="00711FE4" w:rsidRDefault="00D37D0B" w:rsidP="00D37D0B">
      <w:pPr>
        <w:spacing w:after="0" w:line="240" w:lineRule="auto"/>
        <w:jc w:val="both"/>
        <w:rPr>
          <w:rFonts w:ascii="Arial" w:hAnsi="Arial"/>
          <w:color w:val="000000" w:themeColor="text1"/>
          <w:szCs w:val="20"/>
        </w:rPr>
      </w:pPr>
    </w:p>
    <w:p w14:paraId="4AC9587B" w14:textId="77777777" w:rsidR="00D37D0B" w:rsidRDefault="00D37D0B" w:rsidP="00D37D0B">
      <w:pPr>
        <w:spacing w:after="0" w:line="240" w:lineRule="auto"/>
        <w:jc w:val="both"/>
        <w:rPr>
          <w:rFonts w:ascii="Arial" w:hAnsi="Arial"/>
          <w:color w:val="000000" w:themeColor="text1"/>
          <w:szCs w:val="20"/>
        </w:rPr>
      </w:pPr>
      <w:r w:rsidRPr="00711FE4">
        <w:rPr>
          <w:rFonts w:ascii="Arial" w:hAnsi="Arial"/>
          <w:color w:val="000000" w:themeColor="text1"/>
          <w:szCs w:val="20"/>
        </w:rPr>
        <w:t>This does not mean that the survey does not reach households with very limited financial resources or those in more severe hardship. For example, in the 2018-19 HES: 724 of the households interviewed reported receiving help from a food bank or other community organisation more than once in the previous 12 months, 1698 households reported putting up with feeling cold ‘a lot’ in the previous 12 months because of needing to spend on other basics, and 25% came from the two most deprived NZDep13 deciles (ie the most deprived 20%).</w:t>
      </w:r>
      <w:r w:rsidRPr="00711FE4">
        <w:rPr>
          <w:rFonts w:ascii="Arial" w:hAnsi="Arial"/>
          <w:color w:val="000000" w:themeColor="text1"/>
          <w:szCs w:val="20"/>
          <w:vertAlign w:val="superscript"/>
        </w:rPr>
        <w:footnoteReference w:id="40"/>
      </w:r>
      <w:r w:rsidRPr="00711FE4">
        <w:rPr>
          <w:rFonts w:ascii="Arial" w:hAnsi="Arial"/>
          <w:color w:val="000000" w:themeColor="text1"/>
          <w:szCs w:val="20"/>
        </w:rPr>
        <w:t xml:space="preserve"> The achieved response rates for the most deprived NZDep13 deciles are similar to the overall response rate – for example, 75% for 2020-21 for deciles 8, 9 and 10.</w:t>
      </w:r>
    </w:p>
    <w:p w14:paraId="6AC925AF" w14:textId="77777777" w:rsidR="00D37D0B" w:rsidRDefault="00D37D0B" w:rsidP="00D37D0B">
      <w:pPr>
        <w:spacing w:after="0" w:line="240" w:lineRule="auto"/>
        <w:jc w:val="both"/>
        <w:rPr>
          <w:rFonts w:ascii="Arial" w:hAnsi="Arial"/>
          <w:color w:val="000000" w:themeColor="text1"/>
          <w:szCs w:val="20"/>
        </w:rPr>
      </w:pPr>
    </w:p>
    <w:p w14:paraId="3D1F91A0" w14:textId="5F9C1C27" w:rsidR="00D37D0B" w:rsidRPr="003A5D30" w:rsidRDefault="003A5D30" w:rsidP="003A5D30">
      <w:pPr>
        <w:pStyle w:val="ListParagraph"/>
        <w:spacing w:after="0" w:line="240" w:lineRule="auto"/>
        <w:ind w:left="0"/>
        <w:jc w:val="center"/>
        <w:rPr>
          <w:rFonts w:ascii="Arial" w:hAnsi="Arial"/>
          <w:color w:val="000000" w:themeColor="text1"/>
          <w:szCs w:val="20"/>
        </w:rPr>
      </w:pPr>
      <w:r>
        <w:rPr>
          <w:rFonts w:ascii="Arial" w:hAnsi="Arial"/>
          <w:color w:val="000000" w:themeColor="text1"/>
          <w:szCs w:val="20"/>
        </w:rPr>
        <w:t>* * * * * * * * * * * * * * * * *</w:t>
      </w:r>
    </w:p>
    <w:p w14:paraId="794983AD" w14:textId="77777777" w:rsidR="003A5D30" w:rsidRDefault="003A5D30" w:rsidP="00D37D0B">
      <w:pPr>
        <w:tabs>
          <w:tab w:val="left" w:pos="426"/>
        </w:tabs>
        <w:spacing w:after="0" w:line="240" w:lineRule="auto"/>
        <w:jc w:val="both"/>
        <w:rPr>
          <w:rFonts w:ascii="Arial" w:hAnsi="Arial"/>
          <w:b/>
          <w:color w:val="000000" w:themeColor="text1"/>
          <w:szCs w:val="20"/>
        </w:rPr>
      </w:pPr>
    </w:p>
    <w:p w14:paraId="4A0A8CCD" w14:textId="7779088A" w:rsidR="00D37D0B" w:rsidRPr="007F4AAA" w:rsidRDefault="00D37D0B" w:rsidP="00D37D0B">
      <w:pPr>
        <w:tabs>
          <w:tab w:val="left" w:pos="426"/>
        </w:tabs>
        <w:spacing w:after="0" w:line="240" w:lineRule="auto"/>
        <w:jc w:val="both"/>
        <w:rPr>
          <w:rFonts w:ascii="Arial" w:hAnsi="Arial"/>
          <w:bCs/>
          <w:color w:val="000000" w:themeColor="text1"/>
          <w:szCs w:val="20"/>
        </w:rPr>
      </w:pPr>
      <w:r w:rsidRPr="007F4AAA">
        <w:rPr>
          <w:rFonts w:ascii="Arial" w:hAnsi="Arial"/>
          <w:b/>
          <w:color w:val="000000" w:themeColor="text1"/>
          <w:szCs w:val="20"/>
        </w:rPr>
        <w:t xml:space="preserve">Appendix 1 </w:t>
      </w:r>
      <w:r w:rsidRPr="007F4AAA">
        <w:rPr>
          <w:rFonts w:ascii="Arial" w:hAnsi="Arial"/>
          <w:bCs/>
          <w:color w:val="000000" w:themeColor="text1"/>
          <w:szCs w:val="20"/>
        </w:rPr>
        <w:t>has further information and discussion on the data sources</w:t>
      </w:r>
      <w:r>
        <w:rPr>
          <w:rFonts w:ascii="Arial" w:hAnsi="Arial"/>
          <w:bCs/>
          <w:color w:val="000000" w:themeColor="text1"/>
          <w:szCs w:val="20"/>
        </w:rPr>
        <w:t>.</w:t>
      </w:r>
      <w:r>
        <w:rPr>
          <w:rStyle w:val="FootnoteReference"/>
          <w:rFonts w:ascii="Arial" w:hAnsi="Arial"/>
          <w:bCs/>
          <w:color w:val="000000" w:themeColor="text1"/>
          <w:szCs w:val="20"/>
        </w:rPr>
        <w:footnoteReference w:id="41"/>
      </w:r>
      <w:r>
        <w:rPr>
          <w:rFonts w:ascii="Arial" w:hAnsi="Arial"/>
          <w:bCs/>
          <w:color w:val="000000" w:themeColor="text1"/>
          <w:szCs w:val="20"/>
        </w:rPr>
        <w:t xml:space="preserve"> </w:t>
      </w:r>
      <w:r>
        <w:rPr>
          <w:rStyle w:val="FootnoteReference"/>
          <w:rFonts w:ascii="Arial" w:hAnsi="Arial"/>
          <w:bCs/>
          <w:color w:val="000000" w:themeColor="text1"/>
          <w:szCs w:val="20"/>
        </w:rPr>
        <w:footnoteReference w:id="42"/>
      </w:r>
    </w:p>
    <w:p w14:paraId="11C16D7D" w14:textId="77777777" w:rsidR="00606C16" w:rsidRDefault="00606C16">
      <w:pPr>
        <w:spacing w:after="0" w:line="240" w:lineRule="auto"/>
        <w:rPr>
          <w:rFonts w:ascii="Arial" w:hAnsi="Arial"/>
          <w:b/>
          <w:bCs/>
          <w:color w:val="000000" w:themeColor="text1"/>
          <w:sz w:val="40"/>
          <w:szCs w:val="44"/>
        </w:rPr>
      </w:pPr>
      <w:r>
        <w:rPr>
          <w:rFonts w:ascii="Arial" w:hAnsi="Arial"/>
          <w:b/>
          <w:bCs/>
          <w:color w:val="000000" w:themeColor="text1"/>
          <w:sz w:val="40"/>
          <w:szCs w:val="44"/>
        </w:rPr>
        <w:lastRenderedPageBreak/>
        <w:br w:type="page"/>
      </w:r>
    </w:p>
    <w:p w14:paraId="5B6D39DE" w14:textId="52333692" w:rsidR="00E2613B" w:rsidRPr="00513247" w:rsidRDefault="00E2613B" w:rsidP="009549A5">
      <w:pPr>
        <w:spacing w:after="0" w:line="240" w:lineRule="auto"/>
        <w:rPr>
          <w:rFonts w:ascii="Arial" w:hAnsi="Arial"/>
          <w:b/>
          <w:bCs/>
          <w:color w:val="000000" w:themeColor="text1"/>
          <w:sz w:val="40"/>
          <w:szCs w:val="44"/>
        </w:rPr>
      </w:pPr>
      <w:r w:rsidRPr="00513247">
        <w:rPr>
          <w:rFonts w:ascii="Arial" w:hAnsi="Arial"/>
          <w:b/>
          <w:bCs/>
          <w:color w:val="000000" w:themeColor="text1"/>
          <w:sz w:val="40"/>
          <w:szCs w:val="44"/>
        </w:rPr>
        <w:lastRenderedPageBreak/>
        <w:t>Part Two</w:t>
      </w:r>
    </w:p>
    <w:p w14:paraId="47735C86" w14:textId="7F3A342B" w:rsidR="00E2613B" w:rsidRPr="00555067" w:rsidRDefault="00E2613B" w:rsidP="009549A5">
      <w:pPr>
        <w:spacing w:after="0" w:line="240" w:lineRule="auto"/>
        <w:rPr>
          <w:rFonts w:ascii="Arial" w:hAnsi="Arial"/>
          <w:b/>
          <w:bCs/>
          <w:color w:val="FF0000"/>
          <w:sz w:val="36"/>
          <w:szCs w:val="40"/>
        </w:rPr>
      </w:pPr>
      <w:r w:rsidRPr="00B151B2">
        <w:rPr>
          <w:rFonts w:ascii="Arial" w:hAnsi="Arial"/>
          <w:b/>
          <w:bCs/>
          <w:color w:val="000000" w:themeColor="text1"/>
          <w:sz w:val="32"/>
          <w:szCs w:val="36"/>
        </w:rPr>
        <w:t>Selected Findings</w:t>
      </w:r>
      <w:r w:rsidR="00555067" w:rsidRPr="00B151B2">
        <w:rPr>
          <w:rFonts w:ascii="Arial" w:hAnsi="Arial"/>
          <w:b/>
          <w:bCs/>
          <w:color w:val="000000" w:themeColor="text1"/>
          <w:sz w:val="32"/>
          <w:szCs w:val="36"/>
        </w:rPr>
        <w:t xml:space="preserve">   </w:t>
      </w:r>
    </w:p>
    <w:p w14:paraId="22D83419" w14:textId="77777777" w:rsidR="00E2613B" w:rsidRPr="001551F0" w:rsidRDefault="00E2613B" w:rsidP="009549A5">
      <w:pPr>
        <w:spacing w:after="0" w:line="240" w:lineRule="auto"/>
        <w:rPr>
          <w:rFonts w:ascii="Arial" w:hAnsi="Arial"/>
          <w:b/>
          <w:bCs/>
          <w:color w:val="000000" w:themeColor="text1"/>
          <w:sz w:val="36"/>
          <w:szCs w:val="40"/>
        </w:rPr>
      </w:pPr>
    </w:p>
    <w:p w14:paraId="14F1F417" w14:textId="593069D7" w:rsidR="00B067E1" w:rsidRPr="00BB152D" w:rsidRDefault="00B067E1" w:rsidP="00B067E1">
      <w:pPr>
        <w:tabs>
          <w:tab w:val="right" w:pos="9026"/>
        </w:tabs>
        <w:spacing w:after="60" w:line="240" w:lineRule="auto"/>
        <w:rPr>
          <w:rFonts w:ascii="Arial" w:hAnsi="Arial"/>
          <w:b/>
          <w:bCs/>
          <w:color w:val="000000" w:themeColor="text1"/>
          <w:sz w:val="36"/>
          <w:szCs w:val="36"/>
        </w:rPr>
      </w:pPr>
      <w:r w:rsidRPr="00BB152D">
        <w:rPr>
          <w:rFonts w:ascii="Arial" w:hAnsi="Arial"/>
          <w:b/>
          <w:bCs/>
          <w:color w:val="000000" w:themeColor="text1"/>
          <w:sz w:val="36"/>
          <w:szCs w:val="36"/>
        </w:rPr>
        <w:t>Section C</w:t>
      </w:r>
    </w:p>
    <w:p w14:paraId="212DD141" w14:textId="77777777" w:rsidR="00B067E1" w:rsidRPr="00BB152D" w:rsidRDefault="00B067E1" w:rsidP="00B067E1">
      <w:pPr>
        <w:tabs>
          <w:tab w:val="right" w:pos="9026"/>
        </w:tabs>
        <w:spacing w:after="0" w:line="240" w:lineRule="auto"/>
        <w:rPr>
          <w:rFonts w:ascii="Arial" w:hAnsi="Arial"/>
          <w:b/>
          <w:bCs/>
          <w:color w:val="000000" w:themeColor="text1"/>
          <w:sz w:val="22"/>
        </w:rPr>
      </w:pPr>
      <w:r w:rsidRPr="00BB152D">
        <w:rPr>
          <w:rFonts w:ascii="Arial" w:hAnsi="Arial"/>
          <w:b/>
          <w:bCs/>
          <w:color w:val="000000" w:themeColor="text1"/>
          <w:sz w:val="28"/>
          <w:szCs w:val="28"/>
        </w:rPr>
        <w:t xml:space="preserve">Material hardship comparisons with European countries   </w:t>
      </w:r>
    </w:p>
    <w:p w14:paraId="75C1639D" w14:textId="77777777" w:rsidR="00B067E1" w:rsidRPr="00BB152D" w:rsidRDefault="00B067E1" w:rsidP="00B067E1">
      <w:pPr>
        <w:spacing w:after="0" w:line="240" w:lineRule="auto"/>
        <w:rPr>
          <w:rFonts w:ascii="Arial" w:hAnsi="Arial"/>
          <w:color w:val="000000" w:themeColor="text1"/>
        </w:rPr>
      </w:pPr>
    </w:p>
    <w:p w14:paraId="5819F24C" w14:textId="77777777" w:rsidR="00E37D50" w:rsidRDefault="00997851" w:rsidP="00B067E1">
      <w:pPr>
        <w:spacing w:after="0" w:line="240" w:lineRule="auto"/>
        <w:rPr>
          <w:rFonts w:ascii="Arial" w:eastAsia="Times New Roman" w:hAnsi="Arial"/>
          <w:color w:val="000000" w:themeColor="text1"/>
          <w:szCs w:val="20"/>
        </w:rPr>
      </w:pPr>
      <w:bookmarkStart w:id="8" w:name="_Hlk174940888"/>
      <w:r w:rsidRPr="00BB152D">
        <w:rPr>
          <w:rFonts w:ascii="Arial" w:eastAsia="Times New Roman" w:hAnsi="Arial"/>
          <w:color w:val="000000" w:themeColor="text1"/>
          <w:szCs w:val="20"/>
        </w:rPr>
        <w:t xml:space="preserve">The material wellbeing questions in the HES allow us to closely replicate the EU’s measure of material </w:t>
      </w:r>
      <w:r w:rsidR="00EE0499" w:rsidRPr="00BB152D">
        <w:rPr>
          <w:rFonts w:ascii="Arial" w:eastAsia="Times New Roman" w:hAnsi="Arial"/>
          <w:color w:val="000000" w:themeColor="text1"/>
          <w:szCs w:val="20"/>
        </w:rPr>
        <w:t>and social deprivation</w:t>
      </w:r>
      <w:r w:rsidRPr="00BB152D">
        <w:rPr>
          <w:rFonts w:ascii="Arial" w:eastAsia="Times New Roman" w:hAnsi="Arial"/>
          <w:color w:val="000000" w:themeColor="text1"/>
          <w:szCs w:val="20"/>
        </w:rPr>
        <w:t xml:space="preserve"> (EU-13) which is based on Eurostat’s EU-SILC survey.</w:t>
      </w:r>
      <w:r w:rsidR="00F07CF3" w:rsidRPr="00BB152D">
        <w:rPr>
          <w:rStyle w:val="FootnoteReference"/>
          <w:rFonts w:ascii="Arial" w:eastAsia="Times New Roman" w:hAnsi="Arial"/>
          <w:color w:val="000000" w:themeColor="text1"/>
          <w:szCs w:val="20"/>
        </w:rPr>
        <w:footnoteReference w:id="43"/>
      </w:r>
      <w:r w:rsidR="00EE0499" w:rsidRPr="00BB152D">
        <w:rPr>
          <w:rFonts w:ascii="Arial" w:eastAsia="Times New Roman" w:hAnsi="Arial"/>
          <w:color w:val="000000" w:themeColor="text1"/>
          <w:szCs w:val="20"/>
        </w:rPr>
        <w:t xml:space="preserve"> For simplicity this section refers to the EU-13 rates as ‘material hardship rates’. See </w:t>
      </w:r>
      <w:r w:rsidR="00EE0499" w:rsidRPr="00881C20">
        <w:rPr>
          <w:rFonts w:ascii="Arial" w:eastAsia="Times New Roman" w:hAnsi="Arial"/>
          <w:b/>
          <w:bCs/>
          <w:color w:val="000000" w:themeColor="text1"/>
          <w:szCs w:val="20"/>
        </w:rPr>
        <w:t xml:space="preserve">Appendix </w:t>
      </w:r>
      <w:r w:rsidR="00881C20" w:rsidRPr="00881C20">
        <w:rPr>
          <w:rFonts w:ascii="Arial" w:eastAsia="Times New Roman" w:hAnsi="Arial"/>
          <w:b/>
          <w:bCs/>
          <w:color w:val="000000" w:themeColor="text1"/>
          <w:szCs w:val="20"/>
        </w:rPr>
        <w:t>3</w:t>
      </w:r>
      <w:r w:rsidR="00EE0499" w:rsidRPr="00BB152D">
        <w:rPr>
          <w:rFonts w:ascii="Arial" w:eastAsia="Times New Roman" w:hAnsi="Arial"/>
          <w:color w:val="000000" w:themeColor="text1"/>
          <w:szCs w:val="20"/>
        </w:rPr>
        <w:t xml:space="preserve"> for the item list.</w:t>
      </w:r>
    </w:p>
    <w:p w14:paraId="71E8AB92" w14:textId="77777777" w:rsidR="00E37D50" w:rsidRDefault="00E37D50" w:rsidP="00B067E1">
      <w:pPr>
        <w:spacing w:after="0" w:line="240" w:lineRule="auto"/>
        <w:rPr>
          <w:rFonts w:ascii="Arial" w:eastAsia="Times New Roman" w:hAnsi="Arial"/>
          <w:color w:val="000000" w:themeColor="text1"/>
          <w:szCs w:val="20"/>
        </w:rPr>
      </w:pPr>
    </w:p>
    <w:p w14:paraId="5828EB5F" w14:textId="35DFCF7C" w:rsidR="00E37D50" w:rsidRPr="00773268" w:rsidRDefault="00E37D50" w:rsidP="00E37D50">
      <w:pPr>
        <w:spacing w:after="0" w:line="240" w:lineRule="auto"/>
        <w:contextualSpacing/>
        <w:rPr>
          <w:rFonts w:ascii="Arial" w:eastAsia="Times New Roman" w:hAnsi="Arial"/>
          <w:color w:val="000000" w:themeColor="text1"/>
          <w:szCs w:val="20"/>
        </w:rPr>
      </w:pPr>
      <w:r>
        <w:rPr>
          <w:rFonts w:ascii="Arial" w:eastAsia="Times New Roman" w:hAnsi="Arial"/>
          <w:color w:val="000000" w:themeColor="text1"/>
          <w:szCs w:val="20"/>
        </w:rPr>
        <w:t xml:space="preserve">There are </w:t>
      </w:r>
      <w:r w:rsidR="00391657">
        <w:rPr>
          <w:rFonts w:ascii="Arial" w:eastAsia="Times New Roman" w:hAnsi="Arial"/>
          <w:color w:val="000000" w:themeColor="text1"/>
          <w:szCs w:val="20"/>
        </w:rPr>
        <w:t xml:space="preserve">two </w:t>
      </w:r>
      <w:r w:rsidRPr="00773268">
        <w:rPr>
          <w:rFonts w:ascii="Arial" w:eastAsia="Times New Roman" w:hAnsi="Arial"/>
          <w:color w:val="000000" w:themeColor="text1"/>
          <w:szCs w:val="20"/>
        </w:rPr>
        <w:t xml:space="preserve">ways to </w:t>
      </w:r>
      <w:r>
        <w:rPr>
          <w:rFonts w:ascii="Arial" w:eastAsia="Times New Roman" w:hAnsi="Arial"/>
          <w:color w:val="000000" w:themeColor="text1"/>
          <w:szCs w:val="20"/>
        </w:rPr>
        <w:t xml:space="preserve">show where </w:t>
      </w:r>
      <w:r w:rsidR="00391657">
        <w:rPr>
          <w:rFonts w:ascii="Arial" w:eastAsia="Times New Roman" w:hAnsi="Arial"/>
          <w:color w:val="000000" w:themeColor="text1"/>
          <w:szCs w:val="20"/>
        </w:rPr>
        <w:t>a country</w:t>
      </w:r>
      <w:r>
        <w:rPr>
          <w:rFonts w:ascii="Arial" w:eastAsia="Times New Roman" w:hAnsi="Arial"/>
          <w:color w:val="000000" w:themeColor="text1"/>
          <w:szCs w:val="20"/>
        </w:rPr>
        <w:t xml:space="preserve"> ranks</w:t>
      </w:r>
      <w:r w:rsidRPr="00773268">
        <w:rPr>
          <w:rFonts w:ascii="Arial" w:eastAsia="Times New Roman" w:hAnsi="Arial"/>
          <w:color w:val="000000" w:themeColor="text1"/>
          <w:szCs w:val="20"/>
        </w:rPr>
        <w:t xml:space="preserve">: </w:t>
      </w:r>
    </w:p>
    <w:p w14:paraId="3F7A809B" w14:textId="0BC972FC" w:rsidR="00E37D50" w:rsidRDefault="00E37D50">
      <w:pPr>
        <w:pStyle w:val="ListParagraph"/>
        <w:numPr>
          <w:ilvl w:val="0"/>
          <w:numId w:val="102"/>
        </w:numPr>
        <w:spacing w:after="0" w:line="240" w:lineRule="auto"/>
        <w:rPr>
          <w:rFonts w:ascii="Arial" w:eastAsia="Times New Roman" w:hAnsi="Arial"/>
          <w:color w:val="000000" w:themeColor="text1"/>
          <w:szCs w:val="20"/>
        </w:rPr>
      </w:pPr>
      <w:r>
        <w:rPr>
          <w:rFonts w:ascii="Arial" w:eastAsia="Times New Roman" w:hAnsi="Arial"/>
          <w:color w:val="000000" w:themeColor="text1"/>
          <w:szCs w:val="20"/>
        </w:rPr>
        <w:t>relative to the average rate for all children in Europe – the average is strongly influenced by the larger countries (2 in 3 children live in Germany, France, Italy, Spain and Poland)</w:t>
      </w:r>
    </w:p>
    <w:p w14:paraId="34DA7FB1" w14:textId="236CA3A2" w:rsidR="00E37D50" w:rsidRPr="00773268" w:rsidRDefault="00E37D50">
      <w:pPr>
        <w:pStyle w:val="ListParagraph"/>
        <w:numPr>
          <w:ilvl w:val="0"/>
          <w:numId w:val="102"/>
        </w:numPr>
        <w:spacing w:after="0" w:line="240" w:lineRule="auto"/>
        <w:rPr>
          <w:rFonts w:ascii="Arial" w:eastAsia="Times New Roman" w:hAnsi="Arial"/>
          <w:color w:val="000000" w:themeColor="text1"/>
          <w:szCs w:val="20"/>
        </w:rPr>
      </w:pPr>
      <w:r>
        <w:rPr>
          <w:rFonts w:ascii="Arial" w:eastAsia="Times New Roman" w:hAnsi="Arial"/>
          <w:color w:val="000000" w:themeColor="text1"/>
          <w:szCs w:val="20"/>
        </w:rPr>
        <w:t xml:space="preserve">relative to the median country </w:t>
      </w:r>
      <w:r w:rsidRPr="00773268">
        <w:rPr>
          <w:rFonts w:ascii="Arial" w:eastAsia="Times New Roman" w:hAnsi="Arial"/>
          <w:color w:val="000000" w:themeColor="text1"/>
          <w:szCs w:val="20"/>
        </w:rPr>
        <w:t xml:space="preserve">– </w:t>
      </w:r>
      <w:r>
        <w:rPr>
          <w:rFonts w:ascii="Arial" w:eastAsia="Times New Roman" w:hAnsi="Arial"/>
          <w:color w:val="000000" w:themeColor="text1"/>
          <w:szCs w:val="20"/>
        </w:rPr>
        <w:t xml:space="preserve">even if there is no change in </w:t>
      </w:r>
      <w:r w:rsidR="00391657">
        <w:rPr>
          <w:rFonts w:ascii="Arial" w:eastAsia="Times New Roman" w:hAnsi="Arial"/>
          <w:color w:val="000000" w:themeColor="text1"/>
          <w:szCs w:val="20"/>
        </w:rPr>
        <w:t>a country’s</w:t>
      </w:r>
      <w:r>
        <w:rPr>
          <w:rFonts w:ascii="Arial" w:eastAsia="Times New Roman" w:hAnsi="Arial"/>
          <w:color w:val="000000" w:themeColor="text1"/>
          <w:szCs w:val="20"/>
        </w:rPr>
        <w:t xml:space="preserve"> MH rate, the ranking </w:t>
      </w:r>
      <w:r w:rsidRPr="00773268">
        <w:rPr>
          <w:rFonts w:ascii="Arial" w:eastAsia="Times New Roman" w:hAnsi="Arial"/>
          <w:color w:val="000000" w:themeColor="text1"/>
          <w:szCs w:val="20"/>
        </w:rPr>
        <w:t xml:space="preserve">can change </w:t>
      </w:r>
      <w:r>
        <w:rPr>
          <w:rFonts w:ascii="Arial" w:eastAsia="Times New Roman" w:hAnsi="Arial"/>
          <w:color w:val="000000" w:themeColor="text1"/>
          <w:szCs w:val="20"/>
        </w:rPr>
        <w:t xml:space="preserve">over time </w:t>
      </w:r>
      <w:r w:rsidRPr="00773268">
        <w:rPr>
          <w:rFonts w:ascii="Arial" w:eastAsia="Times New Roman" w:hAnsi="Arial"/>
          <w:color w:val="000000" w:themeColor="text1"/>
          <w:szCs w:val="20"/>
        </w:rPr>
        <w:t xml:space="preserve">as countries move from above to below </w:t>
      </w:r>
      <w:r>
        <w:rPr>
          <w:rFonts w:ascii="Arial" w:eastAsia="Times New Roman" w:hAnsi="Arial"/>
          <w:color w:val="000000" w:themeColor="text1"/>
          <w:szCs w:val="20"/>
        </w:rPr>
        <w:t>(and vice versa) – in recent years</w:t>
      </w:r>
      <w:r w:rsidR="00391657">
        <w:rPr>
          <w:rFonts w:ascii="Arial" w:eastAsia="Times New Roman" w:hAnsi="Arial"/>
          <w:color w:val="000000" w:themeColor="text1"/>
          <w:szCs w:val="20"/>
        </w:rPr>
        <w:t xml:space="preserve"> there has also been an increased number of countries in the 9% to 14% zone which means that the New Zealand ranking can change with only small changes to rates.</w:t>
      </w:r>
    </w:p>
    <w:p w14:paraId="00FA8949" w14:textId="60193773" w:rsidR="00EE0499" w:rsidRPr="00BB152D" w:rsidRDefault="00EE0499" w:rsidP="00B067E1">
      <w:pPr>
        <w:spacing w:after="0" w:line="240" w:lineRule="auto"/>
        <w:rPr>
          <w:rFonts w:ascii="Arial" w:eastAsia="Times New Roman" w:hAnsi="Arial"/>
          <w:color w:val="000000" w:themeColor="text1"/>
          <w:szCs w:val="20"/>
        </w:rPr>
      </w:pPr>
      <w:r w:rsidRPr="00BB152D">
        <w:rPr>
          <w:rFonts w:ascii="Arial" w:eastAsia="Times New Roman" w:hAnsi="Arial"/>
          <w:color w:val="000000" w:themeColor="text1"/>
          <w:szCs w:val="20"/>
        </w:rPr>
        <w:tab/>
      </w:r>
    </w:p>
    <w:p w14:paraId="2C5443D9" w14:textId="4F08F334" w:rsidR="008A6D63" w:rsidRPr="00BB152D" w:rsidRDefault="00997851" w:rsidP="00B067E1">
      <w:pPr>
        <w:spacing w:after="0" w:line="240" w:lineRule="auto"/>
        <w:rPr>
          <w:rFonts w:ascii="Arial" w:eastAsia="Times New Roman" w:hAnsi="Arial"/>
          <w:color w:val="000000" w:themeColor="text1"/>
          <w:szCs w:val="20"/>
        </w:rPr>
      </w:pPr>
      <w:r w:rsidRPr="00BB152D">
        <w:rPr>
          <w:rFonts w:ascii="Arial" w:eastAsia="Times New Roman" w:hAnsi="Arial"/>
          <w:b/>
          <w:bCs/>
          <w:color w:val="000000" w:themeColor="text1"/>
          <w:szCs w:val="20"/>
        </w:rPr>
        <w:t>Table C.1</w:t>
      </w:r>
      <w:r w:rsidRPr="00BB152D">
        <w:rPr>
          <w:rFonts w:ascii="Arial" w:eastAsia="Times New Roman" w:hAnsi="Arial"/>
          <w:color w:val="000000" w:themeColor="text1"/>
          <w:szCs w:val="20"/>
        </w:rPr>
        <w:t xml:space="preserve"> shows </w:t>
      </w:r>
      <w:r w:rsidR="00391657">
        <w:rPr>
          <w:rFonts w:ascii="Arial" w:eastAsia="Times New Roman" w:hAnsi="Arial"/>
          <w:color w:val="000000" w:themeColor="text1"/>
          <w:szCs w:val="20"/>
        </w:rPr>
        <w:t>how</w:t>
      </w:r>
      <w:r w:rsidRPr="00BB152D">
        <w:rPr>
          <w:rFonts w:ascii="Arial" w:eastAsia="Times New Roman" w:hAnsi="Arial"/>
          <w:color w:val="000000" w:themeColor="text1"/>
          <w:szCs w:val="20"/>
        </w:rPr>
        <w:t xml:space="preserve"> New Zealand </w:t>
      </w:r>
      <w:r w:rsidR="00391657">
        <w:rPr>
          <w:rFonts w:ascii="Arial" w:eastAsia="Times New Roman" w:hAnsi="Arial"/>
          <w:color w:val="000000" w:themeColor="text1"/>
          <w:szCs w:val="20"/>
        </w:rPr>
        <w:t>compares</w:t>
      </w:r>
      <w:r w:rsidRPr="00BB152D">
        <w:rPr>
          <w:rFonts w:ascii="Arial" w:eastAsia="Times New Roman" w:hAnsi="Arial"/>
          <w:color w:val="000000" w:themeColor="text1"/>
          <w:szCs w:val="20"/>
        </w:rPr>
        <w:t xml:space="preserve"> </w:t>
      </w:r>
      <w:r w:rsidR="00391657">
        <w:rPr>
          <w:rFonts w:ascii="Arial" w:eastAsia="Times New Roman" w:hAnsi="Arial"/>
          <w:color w:val="000000" w:themeColor="text1"/>
          <w:szCs w:val="20"/>
        </w:rPr>
        <w:t>with the EU countries plus Switzerland and Norway.</w:t>
      </w:r>
      <w:r w:rsidR="007E5F28" w:rsidRPr="00BB152D">
        <w:rPr>
          <w:rFonts w:ascii="Arial" w:eastAsia="Times New Roman" w:hAnsi="Arial"/>
          <w:color w:val="000000" w:themeColor="text1"/>
          <w:szCs w:val="20"/>
        </w:rPr>
        <w:t xml:space="preserve"> </w:t>
      </w:r>
      <w:r w:rsidR="00B067E1" w:rsidRPr="00BB152D">
        <w:rPr>
          <w:rFonts w:ascii="Arial" w:eastAsia="Times New Roman" w:hAnsi="Arial"/>
          <w:color w:val="000000" w:themeColor="text1"/>
          <w:szCs w:val="20"/>
        </w:rPr>
        <w:t>New Zealand</w:t>
      </w:r>
      <w:r w:rsidR="00EE0499" w:rsidRPr="00BB152D">
        <w:rPr>
          <w:rFonts w:ascii="Arial" w:eastAsia="Times New Roman" w:hAnsi="Arial"/>
          <w:color w:val="000000" w:themeColor="text1"/>
          <w:szCs w:val="20"/>
        </w:rPr>
        <w:t>’s child material</w:t>
      </w:r>
      <w:r w:rsidR="00B067E1" w:rsidRPr="00BB152D">
        <w:rPr>
          <w:rFonts w:ascii="Arial" w:eastAsia="Times New Roman" w:hAnsi="Arial"/>
          <w:color w:val="000000" w:themeColor="text1"/>
          <w:szCs w:val="20"/>
        </w:rPr>
        <w:t xml:space="preserve"> hardship rate </w:t>
      </w:r>
      <w:r w:rsidR="00EE0499" w:rsidRPr="00BB152D">
        <w:rPr>
          <w:rFonts w:ascii="Arial" w:eastAsia="Times New Roman" w:hAnsi="Arial"/>
          <w:color w:val="000000" w:themeColor="text1"/>
          <w:szCs w:val="20"/>
        </w:rPr>
        <w:t xml:space="preserve">using the EU-13 measure </w:t>
      </w:r>
      <w:r w:rsidR="00B067E1" w:rsidRPr="00BB152D">
        <w:rPr>
          <w:rFonts w:ascii="Arial" w:eastAsia="Times New Roman" w:hAnsi="Arial"/>
          <w:color w:val="000000" w:themeColor="text1"/>
          <w:szCs w:val="20"/>
        </w:rPr>
        <w:t>for children was 13%</w:t>
      </w:r>
      <w:r w:rsidR="00EE0499" w:rsidRPr="00BB152D">
        <w:rPr>
          <w:rFonts w:ascii="Arial" w:eastAsia="Times New Roman" w:hAnsi="Arial"/>
          <w:color w:val="000000" w:themeColor="text1"/>
          <w:szCs w:val="20"/>
        </w:rPr>
        <w:t xml:space="preserve"> for 2023-24</w:t>
      </w:r>
      <w:r w:rsidR="00125A6F" w:rsidRPr="00BB152D">
        <w:rPr>
          <w:rFonts w:ascii="Arial" w:eastAsia="Times New Roman" w:hAnsi="Arial"/>
          <w:color w:val="000000" w:themeColor="text1"/>
          <w:szCs w:val="20"/>
        </w:rPr>
        <w:t xml:space="preserve"> (</w:t>
      </w:r>
      <w:r w:rsidR="00BB5463" w:rsidRPr="00BB152D">
        <w:rPr>
          <w:rFonts w:ascii="Arial" w:eastAsia="Times New Roman" w:hAnsi="Arial"/>
          <w:color w:val="000000" w:themeColor="text1"/>
          <w:szCs w:val="20"/>
        </w:rPr>
        <w:t>160</w:t>
      </w:r>
      <w:r w:rsidR="00125A6F" w:rsidRPr="00BB152D">
        <w:rPr>
          <w:rFonts w:ascii="Arial" w:eastAsia="Times New Roman" w:hAnsi="Arial"/>
          <w:color w:val="000000" w:themeColor="text1"/>
          <w:szCs w:val="20"/>
        </w:rPr>
        <w:t>,000)</w:t>
      </w:r>
      <w:r w:rsidR="00B067E1" w:rsidRPr="00BB152D">
        <w:rPr>
          <w:rFonts w:ascii="Arial" w:eastAsia="Times New Roman" w:hAnsi="Arial"/>
          <w:color w:val="000000" w:themeColor="text1"/>
          <w:szCs w:val="20"/>
        </w:rPr>
        <w:t xml:space="preserve">. This is </w:t>
      </w:r>
      <w:r w:rsidR="00391657">
        <w:rPr>
          <w:rFonts w:ascii="Arial" w:eastAsia="Times New Roman" w:hAnsi="Arial"/>
          <w:color w:val="000000" w:themeColor="text1"/>
          <w:szCs w:val="20"/>
        </w:rPr>
        <w:t xml:space="preserve">a little </w:t>
      </w:r>
      <w:r w:rsidR="00B067E1" w:rsidRPr="00BB152D">
        <w:rPr>
          <w:rFonts w:ascii="Arial" w:eastAsia="Times New Roman" w:hAnsi="Arial"/>
          <w:color w:val="000000" w:themeColor="text1"/>
          <w:szCs w:val="20"/>
        </w:rPr>
        <w:t xml:space="preserve">above </w:t>
      </w:r>
      <w:r w:rsidR="00BB5463" w:rsidRPr="00BB152D">
        <w:rPr>
          <w:rFonts w:ascii="Arial" w:eastAsia="Times New Roman" w:hAnsi="Arial"/>
          <w:color w:val="000000" w:themeColor="text1"/>
          <w:szCs w:val="20"/>
        </w:rPr>
        <w:t>the</w:t>
      </w:r>
      <w:r w:rsidR="00B067E1" w:rsidRPr="00BB152D">
        <w:rPr>
          <w:rFonts w:ascii="Arial" w:eastAsia="Times New Roman" w:hAnsi="Arial"/>
          <w:color w:val="000000" w:themeColor="text1"/>
          <w:szCs w:val="20"/>
        </w:rPr>
        <w:t xml:space="preserve"> </w:t>
      </w:r>
      <w:r w:rsidR="00DC3A69">
        <w:rPr>
          <w:rFonts w:ascii="Arial" w:eastAsia="Times New Roman" w:hAnsi="Arial"/>
          <w:color w:val="000000" w:themeColor="text1"/>
          <w:szCs w:val="20"/>
        </w:rPr>
        <w:t>11</w:t>
      </w:r>
      <w:r w:rsidR="00B067E1" w:rsidRPr="00BB152D">
        <w:rPr>
          <w:rFonts w:ascii="Arial" w:eastAsia="Times New Roman" w:hAnsi="Arial"/>
          <w:color w:val="000000" w:themeColor="text1"/>
          <w:szCs w:val="20"/>
        </w:rPr>
        <w:t>%</w:t>
      </w:r>
      <w:r w:rsidR="00BB5463" w:rsidRPr="00BB152D">
        <w:rPr>
          <w:rFonts w:ascii="Arial" w:eastAsia="Times New Roman" w:hAnsi="Arial"/>
          <w:color w:val="000000" w:themeColor="text1"/>
          <w:szCs w:val="20"/>
        </w:rPr>
        <w:t xml:space="preserve"> median for the European countries included in Table C.1,</w:t>
      </w:r>
      <w:r w:rsidR="00B067E1" w:rsidRPr="00BB152D">
        <w:rPr>
          <w:rFonts w:ascii="Arial" w:eastAsia="Times New Roman" w:hAnsi="Arial"/>
          <w:color w:val="000000" w:themeColor="text1"/>
          <w:szCs w:val="20"/>
        </w:rPr>
        <w:t xml:space="preserve"> </w:t>
      </w:r>
      <w:r w:rsidR="00113815" w:rsidRPr="00BB152D">
        <w:rPr>
          <w:rFonts w:ascii="Arial" w:eastAsia="Times New Roman" w:hAnsi="Arial"/>
          <w:color w:val="000000" w:themeColor="text1"/>
          <w:szCs w:val="20"/>
        </w:rPr>
        <w:t>but close to</w:t>
      </w:r>
      <w:r w:rsidR="00B067E1" w:rsidRPr="00BB152D">
        <w:rPr>
          <w:rFonts w:ascii="Arial" w:eastAsia="Times New Roman" w:hAnsi="Arial"/>
          <w:color w:val="000000" w:themeColor="text1"/>
          <w:szCs w:val="20"/>
        </w:rPr>
        <w:t xml:space="preserve"> the full population-weighted EU average of 1</w:t>
      </w:r>
      <w:r w:rsidR="007E5F28" w:rsidRPr="00BB152D">
        <w:rPr>
          <w:rFonts w:ascii="Arial" w:eastAsia="Times New Roman" w:hAnsi="Arial"/>
          <w:color w:val="000000" w:themeColor="text1"/>
          <w:szCs w:val="20"/>
        </w:rPr>
        <w:t>4</w:t>
      </w:r>
      <w:r w:rsidR="00B067E1" w:rsidRPr="00BB152D">
        <w:rPr>
          <w:rFonts w:ascii="Arial" w:eastAsia="Times New Roman" w:hAnsi="Arial"/>
          <w:color w:val="000000" w:themeColor="text1"/>
          <w:szCs w:val="20"/>
        </w:rPr>
        <w:t>%</w:t>
      </w:r>
      <w:r w:rsidR="00391657">
        <w:rPr>
          <w:rFonts w:ascii="Arial" w:eastAsia="Times New Roman" w:hAnsi="Arial"/>
          <w:color w:val="000000" w:themeColor="text1"/>
          <w:szCs w:val="20"/>
        </w:rPr>
        <w:t>.</w:t>
      </w:r>
      <w:r w:rsidR="00B067E1" w:rsidRPr="00BB152D">
        <w:rPr>
          <w:rFonts w:ascii="Arial" w:eastAsia="Times New Roman" w:hAnsi="Arial"/>
          <w:color w:val="000000" w:themeColor="text1"/>
          <w:szCs w:val="20"/>
        </w:rPr>
        <w:t xml:space="preserve"> </w:t>
      </w:r>
    </w:p>
    <w:p w14:paraId="323BF273" w14:textId="77777777" w:rsidR="008A6D63" w:rsidRPr="00BB152D" w:rsidRDefault="008A6D63" w:rsidP="00B067E1">
      <w:pPr>
        <w:spacing w:after="0" w:line="240" w:lineRule="auto"/>
        <w:rPr>
          <w:rFonts w:ascii="Arial" w:eastAsia="Times New Roman" w:hAnsi="Arial"/>
          <w:color w:val="000000" w:themeColor="text1"/>
          <w:szCs w:val="20"/>
        </w:rPr>
      </w:pPr>
    </w:p>
    <w:bookmarkEnd w:id="8"/>
    <w:p w14:paraId="443B9F59" w14:textId="2BB34C26" w:rsidR="00B067E1" w:rsidRPr="005B0D03" w:rsidRDefault="00B067E1" w:rsidP="00B067E1">
      <w:pPr>
        <w:spacing w:after="0" w:line="240" w:lineRule="auto"/>
        <w:jc w:val="center"/>
        <w:rPr>
          <w:rFonts w:ascii="Arial" w:eastAsia="Times New Roman" w:hAnsi="Arial" w:cs="Times New Roman"/>
          <w:b/>
          <w:color w:val="FF0000"/>
          <w:sz w:val="18"/>
          <w:szCs w:val="18"/>
        </w:rPr>
      </w:pPr>
      <w:r w:rsidRPr="00BB152D">
        <w:rPr>
          <w:rFonts w:ascii="Arial" w:eastAsia="Times New Roman" w:hAnsi="Arial" w:cs="Times New Roman"/>
          <w:b/>
          <w:color w:val="000000" w:themeColor="text1"/>
          <w:sz w:val="18"/>
          <w:szCs w:val="18"/>
        </w:rPr>
        <w:t>Table C.1</w:t>
      </w:r>
    </w:p>
    <w:p w14:paraId="3E5CE9E1" w14:textId="5039382C" w:rsidR="00B067E1" w:rsidRPr="00BB152D" w:rsidRDefault="00B067E1" w:rsidP="00B067E1">
      <w:pPr>
        <w:spacing w:after="0" w:line="240" w:lineRule="auto"/>
        <w:jc w:val="center"/>
        <w:rPr>
          <w:rFonts w:ascii="Arial" w:eastAsia="Times New Roman" w:hAnsi="Arial" w:cs="Times New Roman"/>
          <w:b/>
          <w:color w:val="000000" w:themeColor="text1"/>
          <w:sz w:val="18"/>
          <w:szCs w:val="18"/>
        </w:rPr>
      </w:pPr>
      <w:r w:rsidRPr="00BB152D">
        <w:rPr>
          <w:rFonts w:ascii="Arial" w:eastAsia="Times New Roman" w:hAnsi="Arial" w:cs="Times New Roman"/>
          <w:b/>
          <w:color w:val="000000" w:themeColor="text1"/>
          <w:sz w:val="18"/>
          <w:szCs w:val="18"/>
        </w:rPr>
        <w:t xml:space="preserve">Material </w:t>
      </w:r>
      <w:r w:rsidR="004A3238" w:rsidRPr="00BB152D">
        <w:rPr>
          <w:rFonts w:ascii="Arial" w:eastAsia="Times New Roman" w:hAnsi="Arial" w:cs="Times New Roman"/>
          <w:b/>
          <w:color w:val="000000" w:themeColor="text1"/>
          <w:sz w:val="18"/>
          <w:szCs w:val="18"/>
        </w:rPr>
        <w:t>hard</w:t>
      </w:r>
      <w:r w:rsidR="00BB152D" w:rsidRPr="00BB152D">
        <w:rPr>
          <w:rFonts w:ascii="Arial" w:eastAsia="Times New Roman" w:hAnsi="Arial" w:cs="Times New Roman"/>
          <w:b/>
          <w:color w:val="000000" w:themeColor="text1"/>
          <w:sz w:val="18"/>
          <w:szCs w:val="18"/>
        </w:rPr>
        <w:t>s</w:t>
      </w:r>
      <w:r w:rsidR="004A3238" w:rsidRPr="00BB152D">
        <w:rPr>
          <w:rFonts w:ascii="Arial" w:eastAsia="Times New Roman" w:hAnsi="Arial" w:cs="Times New Roman"/>
          <w:b/>
          <w:color w:val="000000" w:themeColor="text1"/>
          <w:sz w:val="18"/>
          <w:szCs w:val="18"/>
        </w:rPr>
        <w:t>hip</w:t>
      </w:r>
      <w:r w:rsidRPr="00BB152D">
        <w:rPr>
          <w:rFonts w:ascii="Arial" w:eastAsia="Times New Roman" w:hAnsi="Arial" w:cs="Times New Roman"/>
          <w:b/>
          <w:color w:val="000000" w:themeColor="text1"/>
          <w:sz w:val="18"/>
          <w:szCs w:val="18"/>
        </w:rPr>
        <w:t xml:space="preserve"> rates (%), 0-17 yrs</w:t>
      </w:r>
    </w:p>
    <w:p w14:paraId="0D8540B2" w14:textId="1DB2520B" w:rsidR="00B067E1" w:rsidRPr="00BB152D" w:rsidRDefault="00B067E1" w:rsidP="00B067E1">
      <w:pPr>
        <w:spacing w:line="240" w:lineRule="auto"/>
        <w:jc w:val="center"/>
        <w:rPr>
          <w:rFonts w:ascii="Arial" w:eastAsia="Times New Roman" w:hAnsi="Arial" w:cs="Times New Roman"/>
          <w:b/>
          <w:color w:val="000000" w:themeColor="text1"/>
          <w:sz w:val="18"/>
          <w:szCs w:val="18"/>
        </w:rPr>
      </w:pPr>
      <w:r w:rsidRPr="00BB152D">
        <w:rPr>
          <w:rFonts w:ascii="Arial" w:eastAsia="Times New Roman" w:hAnsi="Arial" w:cs="Times New Roman"/>
          <w:b/>
          <w:color w:val="000000" w:themeColor="text1"/>
          <w:sz w:val="18"/>
          <w:szCs w:val="18"/>
        </w:rPr>
        <w:t>2</w:t>
      </w:r>
      <w:r w:rsidR="00DC3A69">
        <w:rPr>
          <w:rFonts w:ascii="Arial" w:eastAsia="Times New Roman" w:hAnsi="Arial" w:cs="Times New Roman"/>
          <w:b/>
          <w:color w:val="000000" w:themeColor="text1"/>
          <w:sz w:val="18"/>
          <w:szCs w:val="18"/>
        </w:rPr>
        <w:t>9</w:t>
      </w:r>
      <w:r w:rsidRPr="00BB152D">
        <w:rPr>
          <w:rFonts w:ascii="Arial" w:eastAsia="Times New Roman" w:hAnsi="Arial" w:cs="Times New Roman"/>
          <w:b/>
          <w:color w:val="000000" w:themeColor="text1"/>
          <w:sz w:val="18"/>
          <w:szCs w:val="18"/>
        </w:rPr>
        <w:t xml:space="preserve"> European countries + New Zealand, EU-SILC 202</w:t>
      </w:r>
      <w:r w:rsidR="00BF1DB8" w:rsidRPr="00BB152D">
        <w:rPr>
          <w:rFonts w:ascii="Arial" w:eastAsia="Times New Roman" w:hAnsi="Arial" w:cs="Times New Roman"/>
          <w:b/>
          <w:color w:val="000000" w:themeColor="text1"/>
          <w:sz w:val="18"/>
          <w:szCs w:val="18"/>
        </w:rPr>
        <w:t>4</w:t>
      </w:r>
      <w:r w:rsidRPr="00BB152D">
        <w:rPr>
          <w:rFonts w:ascii="Arial" w:eastAsia="Times New Roman" w:hAnsi="Arial" w:cs="Times New Roman"/>
          <w:b/>
          <w:color w:val="000000" w:themeColor="text1"/>
          <w:sz w:val="18"/>
          <w:szCs w:val="18"/>
        </w:rPr>
        <w:t xml:space="preserve"> and NZ HES 2023-24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
        <w:gridCol w:w="567"/>
        <w:gridCol w:w="968"/>
        <w:gridCol w:w="851"/>
        <w:gridCol w:w="1276"/>
        <w:gridCol w:w="708"/>
        <w:gridCol w:w="993"/>
        <w:gridCol w:w="850"/>
      </w:tblGrid>
      <w:tr w:rsidR="00997851" w:rsidRPr="000510EE" w14:paraId="7D3B577A" w14:textId="77777777" w:rsidTr="00254EB4">
        <w:trPr>
          <w:trHeight w:val="227"/>
          <w:jc w:val="center"/>
        </w:trPr>
        <w:tc>
          <w:tcPr>
            <w:tcW w:w="1295"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2D990123" w14:textId="77777777" w:rsidR="00997851" w:rsidRPr="000510EE" w:rsidRDefault="00997851" w:rsidP="00254EB4">
            <w:pPr>
              <w:spacing w:before="60" w:after="60" w:line="240" w:lineRule="auto"/>
              <w:rPr>
                <w:rFonts w:ascii="Arial" w:eastAsia="Times New Roman" w:hAnsi="Arial"/>
                <w:color w:val="000000" w:themeColor="text1"/>
                <w:sz w:val="14"/>
                <w:szCs w:val="14"/>
              </w:rPr>
            </w:pPr>
            <w:r>
              <w:rPr>
                <w:rFonts w:ascii="Arial" w:hAnsi="Arial"/>
                <w:b/>
                <w:bCs/>
                <w:sz w:val="16"/>
                <w:szCs w:val="16"/>
              </w:rPr>
              <w:t> </w:t>
            </w:r>
          </w:p>
        </w:tc>
        <w:tc>
          <w:tcPr>
            <w:tcW w:w="567"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61CD5E79" w14:textId="77777777" w:rsidR="00997851" w:rsidRPr="000510EE" w:rsidRDefault="00997851" w:rsidP="00254EB4">
            <w:pPr>
              <w:spacing w:before="60" w:after="60" w:line="240" w:lineRule="auto"/>
              <w:jc w:val="center"/>
              <w:rPr>
                <w:rFonts w:ascii="Arial" w:eastAsia="Times New Roman" w:hAnsi="Arial" w:cs="Times New Roman"/>
                <w:color w:val="000000" w:themeColor="text1"/>
                <w:sz w:val="14"/>
                <w:szCs w:val="14"/>
              </w:rPr>
            </w:pPr>
            <w:r>
              <w:rPr>
                <w:rFonts w:ascii="Arial" w:hAnsi="Arial"/>
                <w:b/>
                <w:bCs/>
                <w:sz w:val="16"/>
                <w:szCs w:val="16"/>
              </w:rPr>
              <w:t> </w:t>
            </w:r>
          </w:p>
        </w:tc>
        <w:tc>
          <w:tcPr>
            <w:tcW w:w="968"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hideMark/>
          </w:tcPr>
          <w:p w14:paraId="1EAE4218" w14:textId="77777777" w:rsidR="00997851" w:rsidRPr="000510EE" w:rsidRDefault="00997851" w:rsidP="00254EB4">
            <w:pPr>
              <w:spacing w:before="60" w:after="60" w:line="240" w:lineRule="auto"/>
              <w:jc w:val="center"/>
              <w:rPr>
                <w:rFonts w:ascii="Arial" w:eastAsia="Times New Roman" w:hAnsi="Arial" w:cs="Times New Roman"/>
                <w:b/>
                <w:bCs/>
                <w:color w:val="000000" w:themeColor="text1"/>
                <w:sz w:val="14"/>
                <w:szCs w:val="14"/>
              </w:rPr>
            </w:pPr>
            <w:r>
              <w:rPr>
                <w:rFonts w:ascii="Arial" w:hAnsi="Arial"/>
                <w:b/>
                <w:bCs/>
                <w:sz w:val="14"/>
                <w:szCs w:val="14"/>
              </w:rPr>
              <w:t>Standard 5+</w:t>
            </w:r>
          </w:p>
        </w:tc>
        <w:tc>
          <w:tcPr>
            <w:tcW w:w="851" w:type="dxa"/>
            <w:tcBorders>
              <w:top w:val="single" w:sz="4" w:space="0" w:color="auto"/>
              <w:left w:val="single" w:sz="4" w:space="0" w:color="auto"/>
              <w:bottom w:val="single" w:sz="4" w:space="0" w:color="auto"/>
              <w:right w:val="single" w:sz="8" w:space="0" w:color="auto"/>
            </w:tcBorders>
            <w:noWrap/>
            <w:tcMar>
              <w:top w:w="0" w:type="dxa"/>
              <w:left w:w="57" w:type="dxa"/>
              <w:bottom w:w="0" w:type="dxa"/>
              <w:right w:w="57" w:type="dxa"/>
            </w:tcMar>
            <w:vAlign w:val="center"/>
            <w:hideMark/>
          </w:tcPr>
          <w:p w14:paraId="1E2A490B" w14:textId="19CAA17D" w:rsidR="00997851" w:rsidRPr="000510EE" w:rsidRDefault="00997851" w:rsidP="00254EB4">
            <w:pPr>
              <w:spacing w:before="60" w:after="60" w:line="240" w:lineRule="auto"/>
              <w:rPr>
                <w:rFonts w:ascii="Arial" w:eastAsia="Times New Roman" w:hAnsi="Arial" w:cs="Times New Roman"/>
                <w:b/>
                <w:bCs/>
                <w:color w:val="000000" w:themeColor="text1"/>
                <w:sz w:val="14"/>
                <w:szCs w:val="14"/>
              </w:rPr>
            </w:pPr>
            <w:r>
              <w:rPr>
                <w:rFonts w:ascii="Arial" w:hAnsi="Arial"/>
                <w:b/>
                <w:bCs/>
                <w:sz w:val="14"/>
                <w:szCs w:val="14"/>
              </w:rPr>
              <w:t>Severe 7+</w:t>
            </w:r>
          </w:p>
        </w:tc>
        <w:tc>
          <w:tcPr>
            <w:tcW w:w="1276" w:type="dxa"/>
            <w:tcBorders>
              <w:top w:val="single" w:sz="4" w:space="0" w:color="auto"/>
              <w:left w:val="single" w:sz="8" w:space="0" w:color="auto"/>
              <w:bottom w:val="single" w:sz="4" w:space="0" w:color="auto"/>
              <w:right w:val="single" w:sz="4" w:space="0" w:color="auto"/>
            </w:tcBorders>
            <w:noWrap/>
            <w:tcMar>
              <w:top w:w="0" w:type="dxa"/>
              <w:left w:w="57" w:type="dxa"/>
              <w:bottom w:w="0" w:type="dxa"/>
              <w:right w:w="57" w:type="dxa"/>
            </w:tcMar>
            <w:vAlign w:val="center"/>
          </w:tcPr>
          <w:p w14:paraId="5740F8EC" w14:textId="77777777" w:rsidR="00997851" w:rsidRPr="000510EE" w:rsidRDefault="00997851" w:rsidP="00254EB4">
            <w:pPr>
              <w:spacing w:before="60" w:after="60" w:line="240" w:lineRule="auto"/>
              <w:rPr>
                <w:rFonts w:ascii="Arial" w:eastAsia="Times New Roman" w:hAnsi="Arial" w:cs="Times New Roman"/>
                <w:color w:val="000000" w:themeColor="text1"/>
                <w:sz w:val="14"/>
                <w:szCs w:val="14"/>
              </w:rPr>
            </w:pPr>
            <w:r>
              <w:rPr>
                <w:rFonts w:ascii="Arial" w:hAnsi="Arial"/>
                <w:b/>
                <w:bCs/>
                <w:sz w:val="14"/>
                <w:szCs w:val="14"/>
              </w:rPr>
              <w:t> </w:t>
            </w:r>
          </w:p>
        </w:tc>
        <w:tc>
          <w:tcPr>
            <w:tcW w:w="708"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tcPr>
          <w:p w14:paraId="729A4BF9" w14:textId="77777777" w:rsidR="00997851" w:rsidRPr="000510EE" w:rsidRDefault="00997851" w:rsidP="00254EB4">
            <w:pPr>
              <w:spacing w:before="60" w:after="60" w:line="240" w:lineRule="auto"/>
              <w:jc w:val="center"/>
              <w:rPr>
                <w:rFonts w:ascii="Arial" w:eastAsia="Times New Roman" w:hAnsi="Arial" w:cs="Times New Roman"/>
                <w:color w:val="000000" w:themeColor="text1"/>
                <w:sz w:val="14"/>
                <w:szCs w:val="14"/>
              </w:rPr>
            </w:pPr>
            <w:r>
              <w:rPr>
                <w:rFonts w:ascii="Arial" w:hAnsi="Arial"/>
                <w:b/>
                <w:bCs/>
                <w:sz w:val="14"/>
                <w:szCs w:val="14"/>
              </w:rPr>
              <w:t> </w:t>
            </w:r>
          </w:p>
        </w:tc>
        <w:tc>
          <w:tcPr>
            <w:tcW w:w="993"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hideMark/>
          </w:tcPr>
          <w:p w14:paraId="24619249" w14:textId="77777777" w:rsidR="00997851" w:rsidRPr="000510EE" w:rsidRDefault="00997851" w:rsidP="00254EB4">
            <w:pPr>
              <w:spacing w:before="60" w:after="60" w:line="240" w:lineRule="auto"/>
              <w:jc w:val="center"/>
              <w:rPr>
                <w:rFonts w:ascii="Arial" w:eastAsia="Times New Roman" w:hAnsi="Arial" w:cs="Times New Roman"/>
                <w:color w:val="000000" w:themeColor="text1"/>
                <w:sz w:val="14"/>
                <w:szCs w:val="14"/>
              </w:rPr>
            </w:pPr>
            <w:r>
              <w:rPr>
                <w:rFonts w:ascii="Arial" w:hAnsi="Arial"/>
                <w:b/>
                <w:bCs/>
                <w:sz w:val="14"/>
                <w:szCs w:val="14"/>
              </w:rPr>
              <w:t>Standard 5+</w:t>
            </w:r>
          </w:p>
        </w:tc>
        <w:tc>
          <w:tcPr>
            <w:tcW w:w="850"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vAlign w:val="center"/>
            <w:hideMark/>
          </w:tcPr>
          <w:p w14:paraId="4E35B3B0" w14:textId="0BE43ED6" w:rsidR="00997851" w:rsidRPr="000510EE" w:rsidRDefault="00997851" w:rsidP="00254EB4">
            <w:pPr>
              <w:spacing w:before="60" w:after="60" w:line="240" w:lineRule="auto"/>
              <w:jc w:val="center"/>
              <w:rPr>
                <w:rFonts w:ascii="Arial" w:eastAsia="Times New Roman" w:hAnsi="Arial" w:cs="Times New Roman"/>
                <w:color w:val="000000" w:themeColor="text1"/>
                <w:sz w:val="14"/>
                <w:szCs w:val="14"/>
              </w:rPr>
            </w:pPr>
            <w:r>
              <w:rPr>
                <w:rFonts w:ascii="Arial" w:hAnsi="Arial"/>
                <w:b/>
                <w:bCs/>
                <w:sz w:val="14"/>
                <w:szCs w:val="14"/>
              </w:rPr>
              <w:t>Severe 7+</w:t>
            </w:r>
          </w:p>
        </w:tc>
      </w:tr>
      <w:tr w:rsidR="00F5582C" w:rsidRPr="000510EE" w14:paraId="6B86CED0"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6897DCC7"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Croatia</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FDA911"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HR</w:t>
            </w:r>
          </w:p>
        </w:tc>
        <w:tc>
          <w:tcPr>
            <w:tcW w:w="968" w:type="dxa"/>
            <w:tcBorders>
              <w:top w:val="single" w:sz="4" w:space="0" w:color="auto"/>
              <w:left w:val="single" w:sz="4" w:space="0" w:color="auto"/>
              <w:bottom w:val="single" w:sz="4" w:space="0" w:color="auto"/>
              <w:right w:val="single" w:sz="4" w:space="0" w:color="auto"/>
            </w:tcBorders>
            <w:vAlign w:val="center"/>
            <w:hideMark/>
          </w:tcPr>
          <w:p w14:paraId="324BC4CC"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4</w:t>
            </w:r>
          </w:p>
        </w:tc>
        <w:tc>
          <w:tcPr>
            <w:tcW w:w="851" w:type="dxa"/>
            <w:tcBorders>
              <w:top w:val="single" w:sz="4" w:space="0" w:color="auto"/>
              <w:left w:val="single" w:sz="4" w:space="0" w:color="auto"/>
              <w:bottom w:val="single" w:sz="4" w:space="0" w:color="auto"/>
              <w:right w:val="single" w:sz="8" w:space="0" w:color="auto"/>
            </w:tcBorders>
            <w:vAlign w:val="center"/>
            <w:hideMark/>
          </w:tcPr>
          <w:p w14:paraId="1FC994DC" w14:textId="77777777"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1</w:t>
            </w:r>
          </w:p>
        </w:tc>
        <w:tc>
          <w:tcPr>
            <w:tcW w:w="1276" w:type="dxa"/>
            <w:tcBorders>
              <w:top w:val="single" w:sz="4" w:space="0" w:color="auto"/>
              <w:left w:val="single" w:sz="8" w:space="0" w:color="auto"/>
              <w:bottom w:val="single" w:sz="4" w:space="0" w:color="auto"/>
              <w:right w:val="single" w:sz="4" w:space="0" w:color="auto"/>
            </w:tcBorders>
            <w:vAlign w:val="center"/>
          </w:tcPr>
          <w:p w14:paraId="13609218" w14:textId="2883E2B5"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Lithuania</w:t>
            </w:r>
          </w:p>
        </w:tc>
        <w:tc>
          <w:tcPr>
            <w:tcW w:w="708" w:type="dxa"/>
            <w:tcBorders>
              <w:top w:val="single" w:sz="4" w:space="0" w:color="auto"/>
              <w:left w:val="single" w:sz="4" w:space="0" w:color="auto"/>
              <w:bottom w:val="single" w:sz="4" w:space="0" w:color="auto"/>
              <w:right w:val="single" w:sz="4" w:space="0" w:color="auto"/>
            </w:tcBorders>
            <w:vAlign w:val="center"/>
          </w:tcPr>
          <w:p w14:paraId="7AD151D8" w14:textId="669CFEC3"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LT</w:t>
            </w:r>
          </w:p>
        </w:tc>
        <w:tc>
          <w:tcPr>
            <w:tcW w:w="993" w:type="dxa"/>
            <w:tcBorders>
              <w:top w:val="single" w:sz="4" w:space="0" w:color="auto"/>
              <w:left w:val="single" w:sz="4" w:space="0" w:color="auto"/>
              <w:bottom w:val="single" w:sz="4" w:space="0" w:color="auto"/>
              <w:right w:val="single" w:sz="4" w:space="0" w:color="auto"/>
            </w:tcBorders>
            <w:vAlign w:val="center"/>
          </w:tcPr>
          <w:p w14:paraId="4B3DD556" w14:textId="2FE663D8"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1E2E267A" w14:textId="3491299D"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5</w:t>
            </w:r>
          </w:p>
        </w:tc>
      </w:tr>
      <w:tr w:rsidR="00F5582C" w:rsidRPr="000510EE" w14:paraId="5BBB056E"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2DB9001E"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Slovenia</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50CC"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SI</w:t>
            </w:r>
          </w:p>
        </w:tc>
        <w:tc>
          <w:tcPr>
            <w:tcW w:w="968" w:type="dxa"/>
            <w:tcBorders>
              <w:top w:val="single" w:sz="4" w:space="0" w:color="auto"/>
              <w:left w:val="single" w:sz="4" w:space="0" w:color="auto"/>
              <w:bottom w:val="single" w:sz="4" w:space="0" w:color="auto"/>
              <w:right w:val="single" w:sz="4" w:space="0" w:color="auto"/>
            </w:tcBorders>
            <w:vAlign w:val="center"/>
            <w:hideMark/>
          </w:tcPr>
          <w:p w14:paraId="7D966A09"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4</w:t>
            </w:r>
          </w:p>
        </w:tc>
        <w:tc>
          <w:tcPr>
            <w:tcW w:w="851" w:type="dxa"/>
            <w:tcBorders>
              <w:top w:val="single" w:sz="4" w:space="0" w:color="auto"/>
              <w:left w:val="single" w:sz="4" w:space="0" w:color="auto"/>
              <w:bottom w:val="single" w:sz="4" w:space="0" w:color="auto"/>
              <w:right w:val="single" w:sz="8" w:space="0" w:color="auto"/>
            </w:tcBorders>
            <w:vAlign w:val="center"/>
            <w:hideMark/>
          </w:tcPr>
          <w:p w14:paraId="0E6EE9DD" w14:textId="77777777" w:rsidR="00F5582C" w:rsidRPr="000510EE" w:rsidRDefault="00F5582C" w:rsidP="00F5582C">
            <w:pPr>
              <w:spacing w:after="0" w:line="240" w:lineRule="auto"/>
              <w:jc w:val="center"/>
              <w:rPr>
                <w:rFonts w:ascii="Arial" w:eastAsia="Times New Roman" w:hAnsi="Arial"/>
                <w:b/>
                <w:bCs/>
                <w:color w:val="000000" w:themeColor="text1"/>
                <w:sz w:val="14"/>
                <w:szCs w:val="14"/>
              </w:rPr>
            </w:pPr>
            <w:r>
              <w:rPr>
                <w:rFonts w:ascii="Arial" w:hAnsi="Arial"/>
                <w:color w:val="000000"/>
                <w:sz w:val="14"/>
                <w:szCs w:val="14"/>
              </w:rPr>
              <w:t>2</w:t>
            </w:r>
          </w:p>
        </w:tc>
        <w:tc>
          <w:tcPr>
            <w:tcW w:w="1276" w:type="dxa"/>
            <w:tcBorders>
              <w:top w:val="single" w:sz="4" w:space="0" w:color="auto"/>
              <w:left w:val="single" w:sz="8" w:space="0" w:color="auto"/>
              <w:bottom w:val="single" w:sz="4" w:space="0" w:color="auto"/>
              <w:right w:val="single" w:sz="4" w:space="0" w:color="auto"/>
            </w:tcBorders>
            <w:vAlign w:val="center"/>
          </w:tcPr>
          <w:p w14:paraId="500E69DF" w14:textId="3FF64533"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Portugal</w:t>
            </w:r>
          </w:p>
        </w:tc>
        <w:tc>
          <w:tcPr>
            <w:tcW w:w="708" w:type="dxa"/>
            <w:tcBorders>
              <w:top w:val="single" w:sz="4" w:space="0" w:color="auto"/>
              <w:left w:val="single" w:sz="4" w:space="0" w:color="auto"/>
              <w:bottom w:val="single" w:sz="4" w:space="0" w:color="auto"/>
              <w:right w:val="single" w:sz="4" w:space="0" w:color="auto"/>
            </w:tcBorders>
            <w:vAlign w:val="center"/>
          </w:tcPr>
          <w:p w14:paraId="54007EC1" w14:textId="65C99535"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PT</w:t>
            </w:r>
          </w:p>
        </w:tc>
        <w:tc>
          <w:tcPr>
            <w:tcW w:w="993" w:type="dxa"/>
            <w:tcBorders>
              <w:top w:val="single" w:sz="4" w:space="0" w:color="auto"/>
              <w:left w:val="single" w:sz="4" w:space="0" w:color="auto"/>
              <w:bottom w:val="single" w:sz="4" w:space="0" w:color="auto"/>
              <w:right w:val="single" w:sz="4" w:space="0" w:color="auto"/>
            </w:tcBorders>
            <w:vAlign w:val="center"/>
          </w:tcPr>
          <w:p w14:paraId="320B9DC9" w14:textId="016E10BD"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02B10289" w14:textId="7684C726"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5</w:t>
            </w:r>
          </w:p>
        </w:tc>
      </w:tr>
      <w:tr w:rsidR="00F5582C" w:rsidRPr="000510EE" w14:paraId="3F3E4277"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30CC27A1"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Poland</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190DBA"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PL</w:t>
            </w:r>
          </w:p>
        </w:tc>
        <w:tc>
          <w:tcPr>
            <w:tcW w:w="968" w:type="dxa"/>
            <w:tcBorders>
              <w:top w:val="single" w:sz="4" w:space="0" w:color="auto"/>
              <w:left w:val="single" w:sz="4" w:space="0" w:color="auto"/>
              <w:bottom w:val="single" w:sz="4" w:space="0" w:color="auto"/>
              <w:right w:val="single" w:sz="4" w:space="0" w:color="auto"/>
            </w:tcBorders>
            <w:vAlign w:val="center"/>
            <w:hideMark/>
          </w:tcPr>
          <w:p w14:paraId="133061EE"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5</w:t>
            </w:r>
          </w:p>
        </w:tc>
        <w:tc>
          <w:tcPr>
            <w:tcW w:w="851" w:type="dxa"/>
            <w:tcBorders>
              <w:top w:val="single" w:sz="4" w:space="0" w:color="auto"/>
              <w:left w:val="single" w:sz="4" w:space="0" w:color="auto"/>
              <w:bottom w:val="single" w:sz="4" w:space="0" w:color="auto"/>
              <w:right w:val="single" w:sz="8" w:space="0" w:color="auto"/>
            </w:tcBorders>
            <w:vAlign w:val="center"/>
            <w:hideMark/>
          </w:tcPr>
          <w:p w14:paraId="42299445" w14:textId="77777777"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2</w:t>
            </w:r>
          </w:p>
        </w:tc>
        <w:tc>
          <w:tcPr>
            <w:tcW w:w="1276" w:type="dxa"/>
            <w:tcBorders>
              <w:top w:val="single" w:sz="4" w:space="0" w:color="auto"/>
              <w:left w:val="single" w:sz="8" w:space="0" w:color="auto"/>
              <w:bottom w:val="single" w:sz="4" w:space="0" w:color="auto"/>
              <w:right w:val="single" w:sz="4" w:space="0" w:color="auto"/>
            </w:tcBorders>
            <w:vAlign w:val="center"/>
          </w:tcPr>
          <w:p w14:paraId="5029E65E" w14:textId="5ED8E840" w:rsidR="00F5582C" w:rsidRPr="000510EE" w:rsidRDefault="00F5582C" w:rsidP="00F5582C">
            <w:pPr>
              <w:spacing w:after="0" w:line="240" w:lineRule="auto"/>
              <w:rPr>
                <w:rFonts w:ascii="Arial" w:eastAsia="Times New Roman" w:hAnsi="Arial" w:cs="Times New Roman"/>
                <w:b/>
                <w:bCs/>
                <w:color w:val="000000" w:themeColor="text1"/>
                <w:sz w:val="14"/>
                <w:szCs w:val="14"/>
              </w:rPr>
            </w:pPr>
            <w:r>
              <w:rPr>
                <w:rFonts w:ascii="Arial" w:hAnsi="Arial"/>
                <w:sz w:val="14"/>
                <w:szCs w:val="14"/>
              </w:rPr>
              <w:t>Malta</w:t>
            </w:r>
          </w:p>
        </w:tc>
        <w:tc>
          <w:tcPr>
            <w:tcW w:w="708" w:type="dxa"/>
            <w:tcBorders>
              <w:top w:val="single" w:sz="4" w:space="0" w:color="auto"/>
              <w:left w:val="single" w:sz="4" w:space="0" w:color="auto"/>
              <w:bottom w:val="single" w:sz="4" w:space="0" w:color="auto"/>
              <w:right w:val="single" w:sz="4" w:space="0" w:color="auto"/>
            </w:tcBorders>
            <w:vAlign w:val="center"/>
          </w:tcPr>
          <w:p w14:paraId="7277930A" w14:textId="4252D6C3" w:rsidR="00F5582C" w:rsidRPr="000510EE" w:rsidRDefault="00F5582C" w:rsidP="00F5582C">
            <w:pPr>
              <w:spacing w:after="0" w:line="240" w:lineRule="auto"/>
              <w:jc w:val="center"/>
              <w:rPr>
                <w:rFonts w:ascii="Arial" w:eastAsia="Times New Roman" w:hAnsi="Arial" w:cs="Times New Roman"/>
                <w:b/>
                <w:bCs/>
                <w:color w:val="000000" w:themeColor="text1"/>
                <w:sz w:val="14"/>
                <w:szCs w:val="14"/>
              </w:rPr>
            </w:pPr>
            <w:r>
              <w:rPr>
                <w:rFonts w:ascii="Arial" w:hAnsi="Arial"/>
                <w:sz w:val="14"/>
                <w:szCs w:val="14"/>
              </w:rPr>
              <w:t>MT</w:t>
            </w:r>
          </w:p>
        </w:tc>
        <w:tc>
          <w:tcPr>
            <w:tcW w:w="993" w:type="dxa"/>
            <w:tcBorders>
              <w:top w:val="single" w:sz="4" w:space="0" w:color="auto"/>
              <w:left w:val="single" w:sz="4" w:space="0" w:color="auto"/>
              <w:bottom w:val="single" w:sz="4" w:space="0" w:color="auto"/>
              <w:right w:val="single" w:sz="4" w:space="0" w:color="auto"/>
            </w:tcBorders>
            <w:vAlign w:val="center"/>
          </w:tcPr>
          <w:p w14:paraId="7050E03D" w14:textId="7F05C5D0"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69B77CDE" w14:textId="1B82A7A3"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7</w:t>
            </w:r>
          </w:p>
        </w:tc>
      </w:tr>
      <w:tr w:rsidR="00F5582C" w:rsidRPr="000510EE" w14:paraId="5191E3D7"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5288A5B2"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Switzerland</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498F07"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CH</w:t>
            </w:r>
          </w:p>
        </w:tc>
        <w:tc>
          <w:tcPr>
            <w:tcW w:w="968" w:type="dxa"/>
            <w:tcBorders>
              <w:top w:val="single" w:sz="4" w:space="0" w:color="auto"/>
              <w:left w:val="single" w:sz="4" w:space="0" w:color="auto"/>
              <w:bottom w:val="single" w:sz="4" w:space="0" w:color="auto"/>
              <w:right w:val="single" w:sz="4" w:space="0" w:color="auto"/>
            </w:tcBorders>
            <w:vAlign w:val="center"/>
            <w:hideMark/>
          </w:tcPr>
          <w:p w14:paraId="2400F8EE"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6</w:t>
            </w:r>
          </w:p>
        </w:tc>
        <w:tc>
          <w:tcPr>
            <w:tcW w:w="851" w:type="dxa"/>
            <w:tcBorders>
              <w:top w:val="single" w:sz="4" w:space="0" w:color="auto"/>
              <w:left w:val="single" w:sz="4" w:space="0" w:color="auto"/>
              <w:bottom w:val="single" w:sz="4" w:space="0" w:color="auto"/>
              <w:right w:val="single" w:sz="8" w:space="0" w:color="auto"/>
            </w:tcBorders>
            <w:vAlign w:val="center"/>
            <w:hideMark/>
          </w:tcPr>
          <w:p w14:paraId="545A7FD4" w14:textId="77777777"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3</w:t>
            </w:r>
          </w:p>
        </w:tc>
        <w:tc>
          <w:tcPr>
            <w:tcW w:w="1276" w:type="dxa"/>
            <w:tcBorders>
              <w:top w:val="single" w:sz="4" w:space="0" w:color="auto"/>
              <w:left w:val="single" w:sz="8" w:space="0" w:color="auto"/>
              <w:bottom w:val="single" w:sz="4" w:space="0" w:color="auto"/>
              <w:right w:val="single" w:sz="4" w:space="0" w:color="auto"/>
            </w:tcBorders>
            <w:vAlign w:val="center"/>
          </w:tcPr>
          <w:p w14:paraId="2EE6B8CA" w14:textId="7E65E16B"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Cyprus</w:t>
            </w:r>
          </w:p>
        </w:tc>
        <w:tc>
          <w:tcPr>
            <w:tcW w:w="708" w:type="dxa"/>
            <w:tcBorders>
              <w:top w:val="single" w:sz="4" w:space="0" w:color="auto"/>
              <w:left w:val="single" w:sz="4" w:space="0" w:color="auto"/>
              <w:bottom w:val="single" w:sz="4" w:space="0" w:color="auto"/>
              <w:right w:val="single" w:sz="4" w:space="0" w:color="auto"/>
            </w:tcBorders>
            <w:vAlign w:val="center"/>
          </w:tcPr>
          <w:p w14:paraId="644BEFE1" w14:textId="2585B178"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CY</w:t>
            </w:r>
          </w:p>
        </w:tc>
        <w:tc>
          <w:tcPr>
            <w:tcW w:w="993" w:type="dxa"/>
            <w:tcBorders>
              <w:top w:val="single" w:sz="4" w:space="0" w:color="auto"/>
              <w:left w:val="single" w:sz="4" w:space="0" w:color="auto"/>
              <w:bottom w:val="single" w:sz="4" w:space="0" w:color="auto"/>
              <w:right w:val="single" w:sz="4" w:space="0" w:color="auto"/>
            </w:tcBorders>
            <w:vAlign w:val="center"/>
          </w:tcPr>
          <w:p w14:paraId="503E640D" w14:textId="14F61C24"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11</w:t>
            </w:r>
          </w:p>
        </w:tc>
        <w:tc>
          <w:tcPr>
            <w:tcW w:w="850" w:type="dxa"/>
            <w:tcBorders>
              <w:top w:val="single" w:sz="4" w:space="0" w:color="auto"/>
              <w:left w:val="single" w:sz="4" w:space="0" w:color="auto"/>
              <w:bottom w:val="single" w:sz="4" w:space="0" w:color="auto"/>
              <w:right w:val="single" w:sz="4" w:space="0" w:color="auto"/>
            </w:tcBorders>
            <w:vAlign w:val="center"/>
          </w:tcPr>
          <w:p w14:paraId="04913459" w14:textId="40A258DC"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r>
      <w:tr w:rsidR="00F5582C" w:rsidRPr="000510EE" w14:paraId="3DC7CE42"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64DEA112"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Netherlands</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D613F1"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NL</w:t>
            </w:r>
          </w:p>
        </w:tc>
        <w:tc>
          <w:tcPr>
            <w:tcW w:w="968" w:type="dxa"/>
            <w:tcBorders>
              <w:top w:val="single" w:sz="4" w:space="0" w:color="auto"/>
              <w:left w:val="single" w:sz="4" w:space="0" w:color="auto"/>
              <w:bottom w:val="single" w:sz="4" w:space="0" w:color="auto"/>
              <w:right w:val="single" w:sz="4" w:space="0" w:color="auto"/>
            </w:tcBorders>
            <w:vAlign w:val="center"/>
            <w:hideMark/>
          </w:tcPr>
          <w:p w14:paraId="6EC7EDAC"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7</w:t>
            </w:r>
          </w:p>
        </w:tc>
        <w:tc>
          <w:tcPr>
            <w:tcW w:w="851" w:type="dxa"/>
            <w:tcBorders>
              <w:top w:val="single" w:sz="4" w:space="0" w:color="auto"/>
              <w:left w:val="single" w:sz="4" w:space="0" w:color="auto"/>
              <w:bottom w:val="single" w:sz="4" w:space="0" w:color="auto"/>
              <w:right w:val="single" w:sz="8" w:space="0" w:color="auto"/>
            </w:tcBorders>
            <w:vAlign w:val="center"/>
            <w:hideMark/>
          </w:tcPr>
          <w:p w14:paraId="06F5D99F" w14:textId="77777777"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20AA5F3D" w14:textId="2F37CA36" w:rsidR="00F5582C" w:rsidRPr="000510EE" w:rsidRDefault="00F5582C" w:rsidP="00F5582C">
            <w:pPr>
              <w:spacing w:after="0" w:line="240" w:lineRule="auto"/>
              <w:rPr>
                <w:rFonts w:ascii="Arial" w:eastAsia="Times New Roman" w:hAnsi="Arial" w:cs="Times New Roman"/>
                <w:color w:val="000000" w:themeColor="text1"/>
                <w:sz w:val="14"/>
                <w:szCs w:val="14"/>
              </w:rPr>
            </w:pPr>
            <w:r w:rsidRPr="008F6481">
              <w:rPr>
                <w:rFonts w:ascii="Arial" w:hAnsi="Arial"/>
                <w:color w:val="000000"/>
                <w:sz w:val="14"/>
                <w:szCs w:val="14"/>
              </w:rPr>
              <w:t>Germany</w:t>
            </w:r>
          </w:p>
        </w:tc>
        <w:tc>
          <w:tcPr>
            <w:tcW w:w="708" w:type="dxa"/>
            <w:tcBorders>
              <w:top w:val="single" w:sz="4" w:space="0" w:color="auto"/>
              <w:left w:val="single" w:sz="4" w:space="0" w:color="auto"/>
              <w:bottom w:val="single" w:sz="4" w:space="0" w:color="auto"/>
              <w:right w:val="single" w:sz="4" w:space="0" w:color="auto"/>
            </w:tcBorders>
            <w:vAlign w:val="center"/>
          </w:tcPr>
          <w:p w14:paraId="43145CA9" w14:textId="0A554EBD"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DE</w:t>
            </w:r>
          </w:p>
        </w:tc>
        <w:tc>
          <w:tcPr>
            <w:tcW w:w="993" w:type="dxa"/>
            <w:tcBorders>
              <w:top w:val="single" w:sz="4" w:space="0" w:color="auto"/>
              <w:left w:val="single" w:sz="4" w:space="0" w:color="auto"/>
              <w:bottom w:val="single" w:sz="4" w:space="0" w:color="auto"/>
              <w:right w:val="single" w:sz="4" w:space="0" w:color="auto"/>
            </w:tcBorders>
            <w:vAlign w:val="center"/>
          </w:tcPr>
          <w:p w14:paraId="7F338D64" w14:textId="05BA6954"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14:paraId="77C438E6" w14:textId="5B6765A0"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b/>
                <w:bCs/>
                <w:sz w:val="14"/>
                <w:szCs w:val="14"/>
              </w:rPr>
              <w:t>7</w:t>
            </w:r>
          </w:p>
        </w:tc>
      </w:tr>
      <w:tr w:rsidR="00F5582C" w:rsidRPr="000510EE" w14:paraId="3B5D32E5" w14:textId="77777777" w:rsidTr="00863C21">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354099D0"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Luxembourg</w:t>
            </w:r>
          </w:p>
        </w:tc>
        <w:tc>
          <w:tcPr>
            <w:tcW w:w="567" w:type="dxa"/>
            <w:tcBorders>
              <w:top w:val="single" w:sz="4" w:space="0" w:color="auto"/>
              <w:left w:val="single" w:sz="4" w:space="0" w:color="auto"/>
              <w:bottom w:val="single" w:sz="4" w:space="0" w:color="auto"/>
              <w:right w:val="single" w:sz="4" w:space="0" w:color="auto"/>
            </w:tcBorders>
            <w:vAlign w:val="center"/>
            <w:hideMark/>
          </w:tcPr>
          <w:p w14:paraId="0A598041"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LU</w:t>
            </w:r>
          </w:p>
        </w:tc>
        <w:tc>
          <w:tcPr>
            <w:tcW w:w="968" w:type="dxa"/>
            <w:tcBorders>
              <w:top w:val="single" w:sz="4" w:space="0" w:color="auto"/>
              <w:left w:val="single" w:sz="4" w:space="0" w:color="auto"/>
              <w:bottom w:val="single" w:sz="4" w:space="0" w:color="auto"/>
              <w:right w:val="single" w:sz="4" w:space="0" w:color="auto"/>
            </w:tcBorders>
            <w:vAlign w:val="center"/>
            <w:hideMark/>
          </w:tcPr>
          <w:p w14:paraId="269A003A"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7</w:t>
            </w:r>
          </w:p>
        </w:tc>
        <w:tc>
          <w:tcPr>
            <w:tcW w:w="851" w:type="dxa"/>
            <w:tcBorders>
              <w:top w:val="single" w:sz="4" w:space="0" w:color="auto"/>
              <w:left w:val="single" w:sz="4" w:space="0" w:color="auto"/>
              <w:bottom w:val="single" w:sz="4" w:space="0" w:color="auto"/>
              <w:right w:val="single" w:sz="8" w:space="0" w:color="auto"/>
            </w:tcBorders>
            <w:vAlign w:val="center"/>
            <w:hideMark/>
          </w:tcPr>
          <w:p w14:paraId="7D0776E6" w14:textId="77777777"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3</w:t>
            </w:r>
          </w:p>
        </w:tc>
        <w:tc>
          <w:tcPr>
            <w:tcW w:w="1276" w:type="dxa"/>
            <w:tcBorders>
              <w:top w:val="single" w:sz="4" w:space="0" w:color="auto"/>
              <w:left w:val="single" w:sz="8" w:space="0" w:color="auto"/>
              <w:bottom w:val="single" w:sz="4" w:space="0" w:color="auto"/>
              <w:right w:val="single" w:sz="4" w:space="0" w:color="auto"/>
            </w:tcBorders>
            <w:shd w:val="clear" w:color="auto" w:fill="F4B083" w:themeFill="accent2" w:themeFillTint="99"/>
            <w:vAlign w:val="center"/>
          </w:tcPr>
          <w:p w14:paraId="226960D9" w14:textId="28B2881D" w:rsidR="00F5582C" w:rsidRPr="008F6481" w:rsidRDefault="00F5582C" w:rsidP="00F5582C">
            <w:pPr>
              <w:spacing w:after="0" w:line="240" w:lineRule="auto"/>
              <w:rPr>
                <w:rFonts w:ascii="Arial" w:eastAsia="Times New Roman" w:hAnsi="Arial" w:cs="Times New Roman"/>
                <w:color w:val="000000" w:themeColor="text1"/>
                <w:sz w:val="14"/>
                <w:szCs w:val="14"/>
              </w:rPr>
            </w:pPr>
            <w:r w:rsidRPr="008F6481">
              <w:rPr>
                <w:rFonts w:ascii="Arial" w:hAnsi="Arial"/>
                <w:b/>
                <w:bCs/>
                <w:color w:val="000000"/>
                <w:sz w:val="14"/>
                <w:szCs w:val="14"/>
              </w:rPr>
              <w:t>New Zealand</w:t>
            </w:r>
          </w:p>
        </w:tc>
        <w:tc>
          <w:tcPr>
            <w:tcW w:w="708"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3FB53215" w14:textId="641C83F8"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b/>
                <w:bCs/>
                <w:color w:val="000000"/>
                <w:sz w:val="14"/>
                <w:szCs w:val="14"/>
              </w:rPr>
              <w:t>NZ</w:t>
            </w:r>
          </w:p>
        </w:tc>
        <w:tc>
          <w:tcPr>
            <w:tcW w:w="993"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254F33E3" w14:textId="34FFAD3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13</w:t>
            </w:r>
          </w:p>
        </w:tc>
        <w:tc>
          <w:tcPr>
            <w:tcW w:w="850"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6A864049" w14:textId="4FA4F4F1" w:rsidR="00F5582C" w:rsidRPr="000510EE" w:rsidRDefault="00F5582C" w:rsidP="00F5582C">
            <w:pPr>
              <w:spacing w:after="0" w:line="240" w:lineRule="auto"/>
              <w:jc w:val="center"/>
              <w:rPr>
                <w:rFonts w:ascii="Arial" w:eastAsia="Times New Roman" w:hAnsi="Arial" w:cs="Times New Roman"/>
                <w:b/>
                <w:bCs/>
                <w:color w:val="000000" w:themeColor="text1"/>
                <w:sz w:val="14"/>
                <w:szCs w:val="14"/>
              </w:rPr>
            </w:pPr>
            <w:r w:rsidRPr="008F6481">
              <w:rPr>
                <w:rFonts w:ascii="Arial" w:hAnsi="Arial"/>
                <w:b/>
                <w:bCs/>
                <w:color w:val="000000"/>
                <w:sz w:val="14"/>
                <w:szCs w:val="14"/>
              </w:rPr>
              <w:t>5</w:t>
            </w:r>
          </w:p>
        </w:tc>
      </w:tr>
      <w:tr w:rsidR="00F5582C" w:rsidRPr="000510EE" w14:paraId="06B95610" w14:textId="77777777" w:rsidTr="00863C21">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01765722" w14:textId="77777777" w:rsidR="00F5582C" w:rsidRPr="000510EE" w:rsidRDefault="00F5582C" w:rsidP="00F5582C">
            <w:pPr>
              <w:spacing w:after="0" w:line="240" w:lineRule="auto"/>
              <w:rPr>
                <w:rFonts w:ascii="Arial" w:eastAsia="Times New Roman" w:hAnsi="Arial" w:cs="Times New Roman"/>
                <w:color w:val="000000" w:themeColor="text1"/>
                <w:sz w:val="14"/>
                <w:szCs w:val="14"/>
              </w:rPr>
            </w:pPr>
            <w:r>
              <w:rPr>
                <w:rFonts w:ascii="Arial" w:hAnsi="Arial"/>
                <w:sz w:val="14"/>
                <w:szCs w:val="14"/>
              </w:rPr>
              <w:t>Sweden</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F961F5" w14:textId="77777777" w:rsidR="00F5582C" w:rsidRPr="000510EE" w:rsidRDefault="00F5582C" w:rsidP="00F5582C">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SE</w:t>
            </w:r>
          </w:p>
        </w:tc>
        <w:tc>
          <w:tcPr>
            <w:tcW w:w="968" w:type="dxa"/>
            <w:tcBorders>
              <w:top w:val="single" w:sz="4" w:space="0" w:color="auto"/>
              <w:left w:val="single" w:sz="4" w:space="0" w:color="auto"/>
              <w:bottom w:val="single" w:sz="4" w:space="0" w:color="auto"/>
              <w:right w:val="single" w:sz="4" w:space="0" w:color="auto"/>
            </w:tcBorders>
            <w:vAlign w:val="center"/>
            <w:hideMark/>
          </w:tcPr>
          <w:p w14:paraId="012FCD19" w14:textId="77777777" w:rsidR="00F5582C" w:rsidRPr="008F6481" w:rsidRDefault="00F5582C" w:rsidP="00F5582C">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7</w:t>
            </w:r>
          </w:p>
        </w:tc>
        <w:tc>
          <w:tcPr>
            <w:tcW w:w="851" w:type="dxa"/>
            <w:tcBorders>
              <w:top w:val="single" w:sz="4" w:space="0" w:color="auto"/>
              <w:left w:val="single" w:sz="4" w:space="0" w:color="auto"/>
              <w:bottom w:val="single" w:sz="4" w:space="0" w:color="auto"/>
              <w:right w:val="single" w:sz="8" w:space="0" w:color="auto"/>
            </w:tcBorders>
            <w:vAlign w:val="center"/>
            <w:hideMark/>
          </w:tcPr>
          <w:p w14:paraId="21DBF5F0" w14:textId="77777777" w:rsidR="00F5582C" w:rsidRPr="000510EE" w:rsidRDefault="00F5582C" w:rsidP="00F5582C">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0E76BCB7" w14:textId="72A1D5AB" w:rsidR="00F5582C" w:rsidRPr="008F6481" w:rsidRDefault="00510A01" w:rsidP="00F5582C">
            <w:pPr>
              <w:spacing w:after="0" w:line="240" w:lineRule="auto"/>
              <w:rPr>
                <w:rFonts w:ascii="Arial" w:hAnsi="Arial"/>
                <w:b/>
                <w:bCs/>
                <w:color w:val="000000"/>
                <w:sz w:val="14"/>
                <w:szCs w:val="14"/>
              </w:rPr>
            </w:pPr>
            <w:r>
              <w:rPr>
                <w:rFonts w:ascii="Arial" w:hAnsi="Arial"/>
                <w:b/>
                <w:bCs/>
                <w:color w:val="000000"/>
                <w:sz w:val="14"/>
                <w:szCs w:val="14"/>
              </w:rPr>
              <w:t>EU av</w:t>
            </w:r>
            <w:r w:rsidR="00DC3A69">
              <w:rPr>
                <w:rFonts w:ascii="Arial" w:hAnsi="Arial"/>
                <w:b/>
                <w:bCs/>
                <w:color w:val="000000"/>
                <w:sz w:val="14"/>
                <w:szCs w:val="14"/>
              </w:rPr>
              <w:t>erage</w:t>
            </w:r>
          </w:p>
        </w:tc>
        <w:tc>
          <w:tcPr>
            <w:tcW w:w="708" w:type="dxa"/>
            <w:tcBorders>
              <w:top w:val="single" w:sz="4" w:space="0" w:color="auto"/>
              <w:left w:val="single" w:sz="4" w:space="0" w:color="auto"/>
              <w:bottom w:val="single" w:sz="4" w:space="0" w:color="auto"/>
              <w:right w:val="single" w:sz="4" w:space="0" w:color="auto"/>
            </w:tcBorders>
            <w:vAlign w:val="center"/>
          </w:tcPr>
          <w:p w14:paraId="7C326882" w14:textId="01405539" w:rsidR="00F5582C" w:rsidRPr="008F6481" w:rsidRDefault="00F5582C" w:rsidP="00F5582C">
            <w:pPr>
              <w:spacing w:after="0" w:line="240" w:lineRule="auto"/>
              <w:jc w:val="center"/>
              <w:rPr>
                <w:rFonts w:ascii="Arial" w:hAnsi="Arial"/>
                <w:b/>
                <w:bCs/>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4E02DA0" w14:textId="384D9769" w:rsidR="00F5582C" w:rsidRPr="008F6481" w:rsidRDefault="00510A01" w:rsidP="00F5582C">
            <w:pPr>
              <w:spacing w:after="0" w:line="240" w:lineRule="auto"/>
              <w:jc w:val="center"/>
              <w:rPr>
                <w:rFonts w:ascii="Arial" w:hAnsi="Arial"/>
                <w:color w:val="000000"/>
                <w:sz w:val="14"/>
                <w:szCs w:val="14"/>
              </w:rPr>
            </w:pPr>
            <w:r>
              <w:rPr>
                <w:rFonts w:ascii="Arial" w:hAnsi="Arial"/>
                <w:color w:val="000000"/>
                <w:sz w:val="14"/>
                <w:szCs w:val="14"/>
              </w:rPr>
              <w:t>14</w:t>
            </w:r>
          </w:p>
        </w:tc>
        <w:tc>
          <w:tcPr>
            <w:tcW w:w="850" w:type="dxa"/>
            <w:tcBorders>
              <w:top w:val="single" w:sz="4" w:space="0" w:color="auto"/>
              <w:left w:val="single" w:sz="4" w:space="0" w:color="auto"/>
              <w:bottom w:val="single" w:sz="4" w:space="0" w:color="auto"/>
              <w:right w:val="single" w:sz="4" w:space="0" w:color="auto"/>
            </w:tcBorders>
            <w:vAlign w:val="center"/>
          </w:tcPr>
          <w:p w14:paraId="17432A45" w14:textId="10E84B6D" w:rsidR="00F5582C" w:rsidRPr="008F6481" w:rsidRDefault="00F5582C" w:rsidP="00F5582C">
            <w:pPr>
              <w:spacing w:after="0" w:line="240" w:lineRule="auto"/>
              <w:jc w:val="center"/>
              <w:rPr>
                <w:rFonts w:ascii="Arial" w:hAnsi="Arial"/>
                <w:b/>
                <w:bCs/>
                <w:color w:val="000000"/>
                <w:sz w:val="14"/>
                <w:szCs w:val="14"/>
              </w:rPr>
            </w:pPr>
          </w:p>
        </w:tc>
      </w:tr>
      <w:tr w:rsidR="00510A01" w:rsidRPr="000510EE" w14:paraId="3A55C733"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0F2751BF"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Latvia</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77CD1F"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LV</w:t>
            </w:r>
          </w:p>
        </w:tc>
        <w:tc>
          <w:tcPr>
            <w:tcW w:w="968" w:type="dxa"/>
            <w:tcBorders>
              <w:top w:val="single" w:sz="4" w:space="0" w:color="auto"/>
              <w:left w:val="single" w:sz="4" w:space="0" w:color="auto"/>
              <w:bottom w:val="single" w:sz="4" w:space="0" w:color="auto"/>
              <w:right w:val="single" w:sz="4" w:space="0" w:color="auto"/>
            </w:tcBorders>
            <w:vAlign w:val="center"/>
            <w:hideMark/>
          </w:tcPr>
          <w:p w14:paraId="79051C10"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7</w:t>
            </w:r>
          </w:p>
        </w:tc>
        <w:tc>
          <w:tcPr>
            <w:tcW w:w="851" w:type="dxa"/>
            <w:tcBorders>
              <w:top w:val="single" w:sz="4" w:space="0" w:color="auto"/>
              <w:left w:val="single" w:sz="4" w:space="0" w:color="auto"/>
              <w:bottom w:val="single" w:sz="4" w:space="0" w:color="auto"/>
              <w:right w:val="single" w:sz="8" w:space="0" w:color="auto"/>
            </w:tcBorders>
            <w:vAlign w:val="center"/>
            <w:hideMark/>
          </w:tcPr>
          <w:p w14:paraId="5412911D"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6755F6C0" w14:textId="1FAA351B"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Belgium</w:t>
            </w:r>
          </w:p>
        </w:tc>
        <w:tc>
          <w:tcPr>
            <w:tcW w:w="708" w:type="dxa"/>
            <w:tcBorders>
              <w:top w:val="single" w:sz="4" w:space="0" w:color="auto"/>
              <w:left w:val="single" w:sz="4" w:space="0" w:color="auto"/>
              <w:bottom w:val="single" w:sz="4" w:space="0" w:color="auto"/>
              <w:right w:val="single" w:sz="4" w:space="0" w:color="auto"/>
            </w:tcBorders>
            <w:vAlign w:val="center"/>
          </w:tcPr>
          <w:p w14:paraId="67E80F32" w14:textId="5FC412CA"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BE</w:t>
            </w:r>
          </w:p>
        </w:tc>
        <w:tc>
          <w:tcPr>
            <w:tcW w:w="993" w:type="dxa"/>
            <w:tcBorders>
              <w:top w:val="single" w:sz="4" w:space="0" w:color="auto"/>
              <w:left w:val="single" w:sz="4" w:space="0" w:color="auto"/>
              <w:bottom w:val="single" w:sz="4" w:space="0" w:color="auto"/>
              <w:right w:val="single" w:sz="4" w:space="0" w:color="auto"/>
            </w:tcBorders>
            <w:vAlign w:val="center"/>
          </w:tcPr>
          <w:p w14:paraId="4C9BDD23" w14:textId="0011C241"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14</w:t>
            </w:r>
          </w:p>
        </w:tc>
        <w:tc>
          <w:tcPr>
            <w:tcW w:w="850" w:type="dxa"/>
            <w:tcBorders>
              <w:top w:val="single" w:sz="4" w:space="0" w:color="auto"/>
              <w:left w:val="single" w:sz="4" w:space="0" w:color="auto"/>
              <w:bottom w:val="single" w:sz="4" w:space="0" w:color="auto"/>
              <w:right w:val="single" w:sz="4" w:space="0" w:color="auto"/>
            </w:tcBorders>
            <w:vAlign w:val="center"/>
          </w:tcPr>
          <w:p w14:paraId="127F57BE" w14:textId="4455D62F"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8</w:t>
            </w:r>
          </w:p>
        </w:tc>
      </w:tr>
      <w:tr w:rsidR="00510A01" w:rsidRPr="000510EE" w14:paraId="3B858C46"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07C7CBB1"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Finland</w:t>
            </w:r>
          </w:p>
        </w:tc>
        <w:tc>
          <w:tcPr>
            <w:tcW w:w="567" w:type="dxa"/>
            <w:tcBorders>
              <w:top w:val="single" w:sz="4" w:space="0" w:color="auto"/>
              <w:left w:val="single" w:sz="4" w:space="0" w:color="auto"/>
              <w:bottom w:val="single" w:sz="4" w:space="0" w:color="auto"/>
              <w:right w:val="single" w:sz="4" w:space="0" w:color="auto"/>
            </w:tcBorders>
            <w:vAlign w:val="center"/>
            <w:hideMark/>
          </w:tcPr>
          <w:p w14:paraId="16DE08D0"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FI</w:t>
            </w:r>
          </w:p>
        </w:tc>
        <w:tc>
          <w:tcPr>
            <w:tcW w:w="968" w:type="dxa"/>
            <w:tcBorders>
              <w:top w:val="single" w:sz="4" w:space="0" w:color="auto"/>
              <w:left w:val="single" w:sz="4" w:space="0" w:color="auto"/>
              <w:bottom w:val="single" w:sz="4" w:space="0" w:color="auto"/>
              <w:right w:val="single" w:sz="4" w:space="0" w:color="auto"/>
            </w:tcBorders>
            <w:vAlign w:val="center"/>
            <w:hideMark/>
          </w:tcPr>
          <w:p w14:paraId="5F04E04A"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8</w:t>
            </w:r>
          </w:p>
        </w:tc>
        <w:tc>
          <w:tcPr>
            <w:tcW w:w="851" w:type="dxa"/>
            <w:tcBorders>
              <w:top w:val="single" w:sz="4" w:space="0" w:color="auto"/>
              <w:left w:val="single" w:sz="4" w:space="0" w:color="auto"/>
              <w:bottom w:val="single" w:sz="4" w:space="0" w:color="auto"/>
              <w:right w:val="single" w:sz="8" w:space="0" w:color="auto"/>
            </w:tcBorders>
            <w:vAlign w:val="center"/>
            <w:hideMark/>
          </w:tcPr>
          <w:p w14:paraId="591D50B8"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54AE9AE1" w14:textId="2C06A71D" w:rsidR="00510A01" w:rsidRPr="000510EE" w:rsidRDefault="00510A01" w:rsidP="00510A01">
            <w:pPr>
              <w:spacing w:after="0" w:line="240" w:lineRule="auto"/>
              <w:rPr>
                <w:rFonts w:ascii="Arial" w:eastAsia="Times New Roman" w:hAnsi="Arial" w:cs="Times New Roman"/>
                <w:b/>
                <w:bCs/>
                <w:color w:val="000000" w:themeColor="text1"/>
                <w:sz w:val="14"/>
                <w:szCs w:val="14"/>
              </w:rPr>
            </w:pPr>
            <w:r>
              <w:rPr>
                <w:rFonts w:ascii="Arial" w:hAnsi="Arial"/>
                <w:sz w:val="14"/>
                <w:szCs w:val="14"/>
              </w:rPr>
              <w:t>Slovakia</w:t>
            </w:r>
          </w:p>
        </w:tc>
        <w:tc>
          <w:tcPr>
            <w:tcW w:w="708" w:type="dxa"/>
            <w:tcBorders>
              <w:top w:val="single" w:sz="4" w:space="0" w:color="auto"/>
              <w:left w:val="single" w:sz="4" w:space="0" w:color="auto"/>
              <w:bottom w:val="single" w:sz="4" w:space="0" w:color="auto"/>
              <w:right w:val="single" w:sz="4" w:space="0" w:color="auto"/>
            </w:tcBorders>
            <w:vAlign w:val="center"/>
          </w:tcPr>
          <w:p w14:paraId="49788321" w14:textId="1645C314" w:rsidR="00510A01" w:rsidRPr="000510EE" w:rsidRDefault="00510A01" w:rsidP="00510A01">
            <w:pPr>
              <w:spacing w:after="0" w:line="240" w:lineRule="auto"/>
              <w:jc w:val="center"/>
              <w:rPr>
                <w:rFonts w:ascii="Arial" w:eastAsia="Times New Roman" w:hAnsi="Arial" w:cs="Times New Roman"/>
                <w:b/>
                <w:bCs/>
                <w:color w:val="000000" w:themeColor="text1"/>
                <w:sz w:val="14"/>
                <w:szCs w:val="14"/>
              </w:rPr>
            </w:pPr>
            <w:r>
              <w:rPr>
                <w:rFonts w:ascii="Arial" w:hAnsi="Arial"/>
                <w:sz w:val="14"/>
                <w:szCs w:val="14"/>
              </w:rPr>
              <w:t>SK</w:t>
            </w:r>
          </w:p>
        </w:tc>
        <w:tc>
          <w:tcPr>
            <w:tcW w:w="993" w:type="dxa"/>
            <w:tcBorders>
              <w:top w:val="single" w:sz="4" w:space="0" w:color="auto"/>
              <w:left w:val="single" w:sz="4" w:space="0" w:color="auto"/>
              <w:bottom w:val="single" w:sz="4" w:space="0" w:color="auto"/>
              <w:right w:val="single" w:sz="4" w:space="0" w:color="auto"/>
            </w:tcBorders>
            <w:vAlign w:val="center"/>
          </w:tcPr>
          <w:p w14:paraId="2F4B5737" w14:textId="0D598AF2"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15</w:t>
            </w:r>
          </w:p>
        </w:tc>
        <w:tc>
          <w:tcPr>
            <w:tcW w:w="850" w:type="dxa"/>
            <w:tcBorders>
              <w:top w:val="single" w:sz="4" w:space="0" w:color="auto"/>
              <w:left w:val="single" w:sz="4" w:space="0" w:color="auto"/>
              <w:bottom w:val="single" w:sz="4" w:space="0" w:color="auto"/>
              <w:right w:val="single" w:sz="4" w:space="0" w:color="auto"/>
            </w:tcBorders>
            <w:vAlign w:val="center"/>
          </w:tcPr>
          <w:p w14:paraId="785DA4BB" w14:textId="3F340DA0"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11</w:t>
            </w:r>
          </w:p>
        </w:tc>
      </w:tr>
      <w:tr w:rsidR="00510A01" w:rsidRPr="000510EE" w14:paraId="3A103B31"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0D633A77"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Denmark</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C6A353"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DK</w:t>
            </w:r>
          </w:p>
        </w:tc>
        <w:tc>
          <w:tcPr>
            <w:tcW w:w="968" w:type="dxa"/>
            <w:tcBorders>
              <w:top w:val="single" w:sz="4" w:space="0" w:color="auto"/>
              <w:left w:val="single" w:sz="4" w:space="0" w:color="auto"/>
              <w:bottom w:val="single" w:sz="4" w:space="0" w:color="auto"/>
              <w:right w:val="single" w:sz="4" w:space="0" w:color="auto"/>
            </w:tcBorders>
            <w:vAlign w:val="center"/>
            <w:hideMark/>
          </w:tcPr>
          <w:p w14:paraId="0974748F"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8</w:t>
            </w:r>
          </w:p>
        </w:tc>
        <w:tc>
          <w:tcPr>
            <w:tcW w:w="851" w:type="dxa"/>
            <w:tcBorders>
              <w:top w:val="single" w:sz="4" w:space="0" w:color="auto"/>
              <w:left w:val="single" w:sz="4" w:space="0" w:color="auto"/>
              <w:bottom w:val="single" w:sz="4" w:space="0" w:color="auto"/>
              <w:right w:val="single" w:sz="8" w:space="0" w:color="auto"/>
            </w:tcBorders>
            <w:vAlign w:val="center"/>
            <w:hideMark/>
          </w:tcPr>
          <w:p w14:paraId="53A8376A"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5</w:t>
            </w:r>
          </w:p>
        </w:tc>
        <w:tc>
          <w:tcPr>
            <w:tcW w:w="1276" w:type="dxa"/>
            <w:tcBorders>
              <w:top w:val="single" w:sz="4" w:space="0" w:color="auto"/>
              <w:left w:val="single" w:sz="8" w:space="0" w:color="auto"/>
              <w:bottom w:val="single" w:sz="4" w:space="0" w:color="auto"/>
              <w:right w:val="single" w:sz="4" w:space="0" w:color="auto"/>
            </w:tcBorders>
            <w:vAlign w:val="center"/>
          </w:tcPr>
          <w:p w14:paraId="7762B073" w14:textId="4AFB974E"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Ireland</w:t>
            </w:r>
          </w:p>
        </w:tc>
        <w:tc>
          <w:tcPr>
            <w:tcW w:w="708" w:type="dxa"/>
            <w:tcBorders>
              <w:top w:val="single" w:sz="4" w:space="0" w:color="auto"/>
              <w:left w:val="single" w:sz="4" w:space="0" w:color="auto"/>
              <w:bottom w:val="single" w:sz="4" w:space="0" w:color="auto"/>
              <w:right w:val="single" w:sz="4" w:space="0" w:color="auto"/>
            </w:tcBorders>
            <w:vAlign w:val="center"/>
          </w:tcPr>
          <w:p w14:paraId="20182EE7" w14:textId="30E85F8E"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IE</w:t>
            </w:r>
          </w:p>
        </w:tc>
        <w:tc>
          <w:tcPr>
            <w:tcW w:w="993" w:type="dxa"/>
            <w:tcBorders>
              <w:top w:val="single" w:sz="4" w:space="0" w:color="auto"/>
              <w:left w:val="single" w:sz="4" w:space="0" w:color="auto"/>
              <w:bottom w:val="single" w:sz="4" w:space="0" w:color="auto"/>
              <w:right w:val="single" w:sz="4" w:space="0" w:color="auto"/>
            </w:tcBorders>
            <w:vAlign w:val="center"/>
          </w:tcPr>
          <w:p w14:paraId="5ACC28F6" w14:textId="5DA6AAB8"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15</w:t>
            </w:r>
          </w:p>
        </w:tc>
        <w:tc>
          <w:tcPr>
            <w:tcW w:w="850" w:type="dxa"/>
            <w:tcBorders>
              <w:top w:val="single" w:sz="4" w:space="0" w:color="auto"/>
              <w:left w:val="single" w:sz="4" w:space="0" w:color="auto"/>
              <w:bottom w:val="single" w:sz="4" w:space="0" w:color="auto"/>
              <w:right w:val="single" w:sz="4" w:space="0" w:color="auto"/>
            </w:tcBorders>
            <w:vAlign w:val="center"/>
          </w:tcPr>
          <w:p w14:paraId="654C456C" w14:textId="5DF03068"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8</w:t>
            </w:r>
          </w:p>
        </w:tc>
      </w:tr>
      <w:tr w:rsidR="00510A01" w:rsidRPr="000510EE" w14:paraId="574CCBF9"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1BBBA36A"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Estonia</w:t>
            </w:r>
          </w:p>
        </w:tc>
        <w:tc>
          <w:tcPr>
            <w:tcW w:w="567" w:type="dxa"/>
            <w:tcBorders>
              <w:top w:val="single" w:sz="4" w:space="0" w:color="auto"/>
              <w:left w:val="single" w:sz="4" w:space="0" w:color="auto"/>
              <w:bottom w:val="single" w:sz="4" w:space="0" w:color="auto"/>
              <w:right w:val="single" w:sz="4" w:space="0" w:color="auto"/>
            </w:tcBorders>
            <w:vAlign w:val="center"/>
            <w:hideMark/>
          </w:tcPr>
          <w:p w14:paraId="0878E078"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EE</w:t>
            </w:r>
          </w:p>
        </w:tc>
        <w:tc>
          <w:tcPr>
            <w:tcW w:w="968" w:type="dxa"/>
            <w:tcBorders>
              <w:top w:val="single" w:sz="4" w:space="0" w:color="auto"/>
              <w:left w:val="single" w:sz="4" w:space="0" w:color="auto"/>
              <w:bottom w:val="single" w:sz="4" w:space="0" w:color="auto"/>
              <w:right w:val="single" w:sz="4" w:space="0" w:color="auto"/>
            </w:tcBorders>
            <w:vAlign w:val="center"/>
            <w:hideMark/>
          </w:tcPr>
          <w:p w14:paraId="20480F99"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8</w:t>
            </w:r>
          </w:p>
        </w:tc>
        <w:tc>
          <w:tcPr>
            <w:tcW w:w="851" w:type="dxa"/>
            <w:tcBorders>
              <w:top w:val="single" w:sz="4" w:space="0" w:color="auto"/>
              <w:left w:val="single" w:sz="4" w:space="0" w:color="auto"/>
              <w:bottom w:val="single" w:sz="4" w:space="0" w:color="auto"/>
              <w:right w:val="single" w:sz="8" w:space="0" w:color="auto"/>
            </w:tcBorders>
            <w:vAlign w:val="center"/>
            <w:hideMark/>
          </w:tcPr>
          <w:p w14:paraId="078B164F"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7DE3913D" w14:textId="627DDE45"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France</w:t>
            </w:r>
          </w:p>
        </w:tc>
        <w:tc>
          <w:tcPr>
            <w:tcW w:w="708" w:type="dxa"/>
            <w:tcBorders>
              <w:top w:val="single" w:sz="4" w:space="0" w:color="auto"/>
              <w:left w:val="single" w:sz="4" w:space="0" w:color="auto"/>
              <w:bottom w:val="single" w:sz="4" w:space="0" w:color="auto"/>
              <w:right w:val="single" w:sz="4" w:space="0" w:color="auto"/>
            </w:tcBorders>
            <w:vAlign w:val="center"/>
          </w:tcPr>
          <w:p w14:paraId="1E47C860" w14:textId="11C4EAC4"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FR</w:t>
            </w:r>
          </w:p>
        </w:tc>
        <w:tc>
          <w:tcPr>
            <w:tcW w:w="993" w:type="dxa"/>
            <w:tcBorders>
              <w:top w:val="single" w:sz="4" w:space="0" w:color="auto"/>
              <w:left w:val="single" w:sz="4" w:space="0" w:color="auto"/>
              <w:bottom w:val="single" w:sz="4" w:space="0" w:color="auto"/>
              <w:right w:val="single" w:sz="4" w:space="0" w:color="auto"/>
            </w:tcBorders>
            <w:vAlign w:val="center"/>
          </w:tcPr>
          <w:p w14:paraId="42DEBE0D" w14:textId="4A6F11AE"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16</w:t>
            </w:r>
          </w:p>
        </w:tc>
        <w:tc>
          <w:tcPr>
            <w:tcW w:w="850" w:type="dxa"/>
            <w:tcBorders>
              <w:top w:val="single" w:sz="4" w:space="0" w:color="auto"/>
              <w:left w:val="single" w:sz="4" w:space="0" w:color="auto"/>
              <w:bottom w:val="single" w:sz="4" w:space="0" w:color="auto"/>
              <w:right w:val="single" w:sz="4" w:space="0" w:color="auto"/>
            </w:tcBorders>
            <w:vAlign w:val="center"/>
          </w:tcPr>
          <w:p w14:paraId="762DD4E2" w14:textId="22062E0F"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9</w:t>
            </w:r>
          </w:p>
        </w:tc>
      </w:tr>
      <w:tr w:rsidR="00510A01" w:rsidRPr="000510EE" w14:paraId="2162050A" w14:textId="77777777" w:rsidTr="00F5582C">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383A029F"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Austria</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836E92"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AT</w:t>
            </w:r>
          </w:p>
        </w:tc>
        <w:tc>
          <w:tcPr>
            <w:tcW w:w="968" w:type="dxa"/>
            <w:tcBorders>
              <w:top w:val="single" w:sz="4" w:space="0" w:color="auto"/>
              <w:left w:val="single" w:sz="4" w:space="0" w:color="auto"/>
              <w:bottom w:val="single" w:sz="4" w:space="0" w:color="auto"/>
              <w:right w:val="single" w:sz="4" w:space="0" w:color="auto"/>
            </w:tcBorders>
            <w:vAlign w:val="center"/>
            <w:hideMark/>
          </w:tcPr>
          <w:p w14:paraId="6135A497"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9</w:t>
            </w:r>
          </w:p>
        </w:tc>
        <w:tc>
          <w:tcPr>
            <w:tcW w:w="851" w:type="dxa"/>
            <w:tcBorders>
              <w:top w:val="single" w:sz="4" w:space="0" w:color="auto"/>
              <w:left w:val="single" w:sz="4" w:space="0" w:color="auto"/>
              <w:bottom w:val="single" w:sz="4" w:space="0" w:color="auto"/>
              <w:right w:val="single" w:sz="8" w:space="0" w:color="auto"/>
            </w:tcBorders>
            <w:vAlign w:val="center"/>
            <w:hideMark/>
          </w:tcPr>
          <w:p w14:paraId="61F80E9E"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5</w:t>
            </w:r>
          </w:p>
        </w:tc>
        <w:tc>
          <w:tcPr>
            <w:tcW w:w="1276" w:type="dxa"/>
            <w:tcBorders>
              <w:top w:val="single" w:sz="4" w:space="0" w:color="auto"/>
              <w:left w:val="single" w:sz="8" w:space="0" w:color="auto"/>
              <w:bottom w:val="single" w:sz="4" w:space="0" w:color="auto"/>
              <w:right w:val="single" w:sz="4" w:space="0" w:color="auto"/>
            </w:tcBorders>
            <w:vAlign w:val="center"/>
          </w:tcPr>
          <w:p w14:paraId="0455B478" w14:textId="6221B3DD"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Spain</w:t>
            </w:r>
          </w:p>
        </w:tc>
        <w:tc>
          <w:tcPr>
            <w:tcW w:w="708" w:type="dxa"/>
            <w:tcBorders>
              <w:top w:val="single" w:sz="4" w:space="0" w:color="auto"/>
              <w:left w:val="single" w:sz="4" w:space="0" w:color="auto"/>
              <w:bottom w:val="single" w:sz="4" w:space="0" w:color="auto"/>
              <w:right w:val="single" w:sz="4" w:space="0" w:color="auto"/>
            </w:tcBorders>
            <w:vAlign w:val="center"/>
          </w:tcPr>
          <w:p w14:paraId="66F916BD" w14:textId="41FE0AE3"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ES</w:t>
            </w:r>
          </w:p>
        </w:tc>
        <w:tc>
          <w:tcPr>
            <w:tcW w:w="993" w:type="dxa"/>
            <w:tcBorders>
              <w:top w:val="single" w:sz="4" w:space="0" w:color="auto"/>
              <w:left w:val="single" w:sz="4" w:space="0" w:color="auto"/>
              <w:bottom w:val="single" w:sz="4" w:space="0" w:color="auto"/>
              <w:right w:val="single" w:sz="4" w:space="0" w:color="auto"/>
            </w:tcBorders>
            <w:vAlign w:val="center"/>
          </w:tcPr>
          <w:p w14:paraId="7CEA44DF" w14:textId="49F48BFE"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20</w:t>
            </w:r>
          </w:p>
        </w:tc>
        <w:tc>
          <w:tcPr>
            <w:tcW w:w="850" w:type="dxa"/>
            <w:tcBorders>
              <w:top w:val="single" w:sz="4" w:space="0" w:color="auto"/>
              <w:left w:val="single" w:sz="4" w:space="0" w:color="auto"/>
              <w:bottom w:val="single" w:sz="4" w:space="0" w:color="auto"/>
              <w:right w:val="single" w:sz="4" w:space="0" w:color="auto"/>
            </w:tcBorders>
            <w:vAlign w:val="center"/>
          </w:tcPr>
          <w:p w14:paraId="426114A6" w14:textId="45AB6DD5" w:rsidR="00510A01" w:rsidRPr="006076C4"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11</w:t>
            </w:r>
          </w:p>
        </w:tc>
      </w:tr>
      <w:tr w:rsidR="00510A01" w:rsidRPr="000510EE" w14:paraId="5B1F080D" w14:textId="77777777" w:rsidTr="006076C4">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48681737"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Norway</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4F76DD"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NO</w:t>
            </w:r>
          </w:p>
        </w:tc>
        <w:tc>
          <w:tcPr>
            <w:tcW w:w="968" w:type="dxa"/>
            <w:tcBorders>
              <w:top w:val="single" w:sz="4" w:space="0" w:color="auto"/>
              <w:left w:val="single" w:sz="4" w:space="0" w:color="auto"/>
              <w:bottom w:val="single" w:sz="4" w:space="0" w:color="auto"/>
              <w:right w:val="single" w:sz="4" w:space="0" w:color="auto"/>
            </w:tcBorders>
            <w:vAlign w:val="center"/>
            <w:hideMark/>
          </w:tcPr>
          <w:p w14:paraId="6F8FECFA"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9</w:t>
            </w:r>
          </w:p>
        </w:tc>
        <w:tc>
          <w:tcPr>
            <w:tcW w:w="851" w:type="dxa"/>
            <w:tcBorders>
              <w:top w:val="single" w:sz="4" w:space="0" w:color="auto"/>
              <w:left w:val="single" w:sz="4" w:space="0" w:color="auto"/>
              <w:bottom w:val="single" w:sz="4" w:space="0" w:color="auto"/>
              <w:right w:val="single" w:sz="8" w:space="0" w:color="auto"/>
            </w:tcBorders>
            <w:vAlign w:val="center"/>
            <w:hideMark/>
          </w:tcPr>
          <w:p w14:paraId="7F8313D9"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629D74B9" w14:textId="5CA1670F"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Hungary</w:t>
            </w:r>
          </w:p>
        </w:tc>
        <w:tc>
          <w:tcPr>
            <w:tcW w:w="708" w:type="dxa"/>
            <w:tcBorders>
              <w:top w:val="single" w:sz="4" w:space="0" w:color="auto"/>
              <w:left w:val="single" w:sz="4" w:space="0" w:color="auto"/>
              <w:bottom w:val="single" w:sz="4" w:space="0" w:color="auto"/>
              <w:right w:val="single" w:sz="4" w:space="0" w:color="auto"/>
            </w:tcBorders>
            <w:vAlign w:val="center"/>
          </w:tcPr>
          <w:p w14:paraId="4D93D804" w14:textId="36FB8CC2"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HU</w:t>
            </w:r>
          </w:p>
        </w:tc>
        <w:tc>
          <w:tcPr>
            <w:tcW w:w="993" w:type="dxa"/>
            <w:tcBorders>
              <w:top w:val="single" w:sz="4" w:space="0" w:color="auto"/>
              <w:left w:val="single" w:sz="4" w:space="0" w:color="auto"/>
              <w:bottom w:val="single" w:sz="4" w:space="0" w:color="auto"/>
              <w:right w:val="single" w:sz="4" w:space="0" w:color="auto"/>
            </w:tcBorders>
            <w:vAlign w:val="center"/>
          </w:tcPr>
          <w:p w14:paraId="3BD2E021" w14:textId="6B53ADF0"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20</w:t>
            </w:r>
          </w:p>
        </w:tc>
        <w:tc>
          <w:tcPr>
            <w:tcW w:w="850" w:type="dxa"/>
            <w:tcBorders>
              <w:top w:val="single" w:sz="4" w:space="0" w:color="auto"/>
              <w:left w:val="single" w:sz="4" w:space="0" w:color="auto"/>
              <w:bottom w:val="single" w:sz="4" w:space="0" w:color="auto"/>
              <w:right w:val="single" w:sz="4" w:space="0" w:color="auto"/>
            </w:tcBorders>
            <w:vAlign w:val="center"/>
          </w:tcPr>
          <w:p w14:paraId="23ED2131" w14:textId="0444CAA0" w:rsidR="00510A01" w:rsidRPr="006076C4" w:rsidRDefault="00510A01" w:rsidP="00510A01">
            <w:pPr>
              <w:spacing w:after="0" w:line="240" w:lineRule="auto"/>
              <w:jc w:val="center"/>
              <w:rPr>
                <w:rFonts w:ascii="Arial" w:eastAsia="Times New Roman" w:hAnsi="Arial"/>
                <w:color w:val="000000" w:themeColor="text1"/>
                <w:sz w:val="14"/>
                <w:szCs w:val="14"/>
              </w:rPr>
            </w:pPr>
            <w:r w:rsidRPr="006076C4">
              <w:rPr>
                <w:rFonts w:ascii="Arial" w:hAnsi="Arial"/>
                <w:color w:val="000000"/>
                <w:sz w:val="14"/>
                <w:szCs w:val="14"/>
              </w:rPr>
              <w:t>13</w:t>
            </w:r>
          </w:p>
        </w:tc>
      </w:tr>
      <w:tr w:rsidR="00510A01" w:rsidRPr="000510EE" w14:paraId="0CE921EC" w14:textId="77777777" w:rsidTr="006076C4">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hideMark/>
          </w:tcPr>
          <w:p w14:paraId="5084BDDA" w14:textId="77777777"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hAnsi="Arial"/>
                <w:sz w:val="14"/>
                <w:szCs w:val="14"/>
              </w:rPr>
              <w:t>Czech Republic</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7439F4" w14:textId="77777777"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hAnsi="Arial"/>
                <w:sz w:val="14"/>
                <w:szCs w:val="14"/>
              </w:rPr>
              <w:t>CZ</w:t>
            </w:r>
          </w:p>
        </w:tc>
        <w:tc>
          <w:tcPr>
            <w:tcW w:w="968" w:type="dxa"/>
            <w:tcBorders>
              <w:top w:val="single" w:sz="4" w:space="0" w:color="auto"/>
              <w:left w:val="single" w:sz="4" w:space="0" w:color="auto"/>
              <w:bottom w:val="single" w:sz="4" w:space="0" w:color="auto"/>
              <w:right w:val="single" w:sz="4" w:space="0" w:color="auto"/>
            </w:tcBorders>
            <w:vAlign w:val="center"/>
            <w:hideMark/>
          </w:tcPr>
          <w:p w14:paraId="78DFEC60" w14:textId="77777777"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sidRPr="008F6481">
              <w:rPr>
                <w:rFonts w:ascii="Arial" w:hAnsi="Arial"/>
                <w:color w:val="000000"/>
                <w:sz w:val="14"/>
                <w:szCs w:val="14"/>
              </w:rPr>
              <w:t>9</w:t>
            </w:r>
          </w:p>
        </w:tc>
        <w:tc>
          <w:tcPr>
            <w:tcW w:w="851" w:type="dxa"/>
            <w:tcBorders>
              <w:top w:val="single" w:sz="4" w:space="0" w:color="auto"/>
              <w:left w:val="single" w:sz="4" w:space="0" w:color="auto"/>
              <w:bottom w:val="single" w:sz="4" w:space="0" w:color="auto"/>
              <w:right w:val="single" w:sz="8" w:space="0" w:color="auto"/>
            </w:tcBorders>
            <w:vAlign w:val="center"/>
            <w:hideMark/>
          </w:tcPr>
          <w:p w14:paraId="417C1B8E" w14:textId="77777777" w:rsidR="00510A01" w:rsidRPr="000510EE" w:rsidRDefault="00510A01" w:rsidP="00510A01">
            <w:pPr>
              <w:spacing w:after="0" w:line="240" w:lineRule="auto"/>
              <w:jc w:val="center"/>
              <w:rPr>
                <w:rFonts w:ascii="Arial" w:eastAsia="Times New Roman" w:hAnsi="Arial"/>
                <w:color w:val="000000" w:themeColor="text1"/>
                <w:sz w:val="14"/>
                <w:szCs w:val="14"/>
              </w:rPr>
            </w:pPr>
            <w:r>
              <w:rPr>
                <w:rFonts w:ascii="Arial" w:hAnsi="Arial"/>
                <w:color w:val="000000"/>
                <w:sz w:val="14"/>
                <w:szCs w:val="14"/>
              </w:rPr>
              <w:t>4</w:t>
            </w:r>
          </w:p>
        </w:tc>
        <w:tc>
          <w:tcPr>
            <w:tcW w:w="1276" w:type="dxa"/>
            <w:tcBorders>
              <w:top w:val="single" w:sz="4" w:space="0" w:color="auto"/>
              <w:left w:val="single" w:sz="8" w:space="0" w:color="auto"/>
              <w:bottom w:val="single" w:sz="4" w:space="0" w:color="auto"/>
              <w:right w:val="single" w:sz="4" w:space="0" w:color="auto"/>
            </w:tcBorders>
            <w:vAlign w:val="center"/>
          </w:tcPr>
          <w:p w14:paraId="5139FA04" w14:textId="5E1E081B" w:rsidR="00510A01" w:rsidRPr="000510EE" w:rsidRDefault="00510A01" w:rsidP="00510A01">
            <w:pPr>
              <w:spacing w:after="0" w:line="240" w:lineRule="auto"/>
              <w:rPr>
                <w:rFonts w:ascii="Arial" w:eastAsia="Times New Roman" w:hAnsi="Arial" w:cs="Times New Roman"/>
                <w:color w:val="000000" w:themeColor="text1"/>
                <w:sz w:val="14"/>
                <w:szCs w:val="14"/>
              </w:rPr>
            </w:pPr>
            <w:r>
              <w:rPr>
                <w:rFonts w:ascii="Arial" w:eastAsia="Times New Roman" w:hAnsi="Arial" w:cs="Times New Roman"/>
                <w:color w:val="000000" w:themeColor="text1"/>
                <w:sz w:val="14"/>
                <w:szCs w:val="14"/>
              </w:rPr>
              <w:t>Bulgaria</w:t>
            </w:r>
          </w:p>
        </w:tc>
        <w:tc>
          <w:tcPr>
            <w:tcW w:w="708" w:type="dxa"/>
            <w:tcBorders>
              <w:top w:val="single" w:sz="4" w:space="0" w:color="auto"/>
              <w:left w:val="single" w:sz="4" w:space="0" w:color="auto"/>
              <w:bottom w:val="single" w:sz="4" w:space="0" w:color="auto"/>
              <w:right w:val="single" w:sz="4" w:space="0" w:color="auto"/>
            </w:tcBorders>
            <w:vAlign w:val="center"/>
          </w:tcPr>
          <w:p w14:paraId="383946B7" w14:textId="4129E58D" w:rsidR="00510A01" w:rsidRPr="000510EE" w:rsidRDefault="00510A01" w:rsidP="00510A01">
            <w:pPr>
              <w:spacing w:after="0" w:line="240" w:lineRule="auto"/>
              <w:jc w:val="center"/>
              <w:rPr>
                <w:rFonts w:ascii="Arial" w:eastAsia="Times New Roman" w:hAnsi="Arial" w:cs="Times New Roman"/>
                <w:color w:val="000000" w:themeColor="text1"/>
                <w:sz w:val="14"/>
                <w:szCs w:val="14"/>
              </w:rPr>
            </w:pPr>
            <w:r>
              <w:rPr>
                <w:rFonts w:ascii="Arial" w:eastAsia="Times New Roman" w:hAnsi="Arial" w:cs="Times New Roman"/>
                <w:color w:val="000000" w:themeColor="text1"/>
                <w:sz w:val="14"/>
                <w:szCs w:val="14"/>
              </w:rPr>
              <w:t>BG</w:t>
            </w:r>
          </w:p>
        </w:tc>
        <w:tc>
          <w:tcPr>
            <w:tcW w:w="993" w:type="dxa"/>
            <w:tcBorders>
              <w:top w:val="single" w:sz="4" w:space="0" w:color="auto"/>
              <w:left w:val="single" w:sz="4" w:space="0" w:color="auto"/>
              <w:bottom w:val="single" w:sz="4" w:space="0" w:color="auto"/>
              <w:right w:val="single" w:sz="4" w:space="0" w:color="auto"/>
            </w:tcBorders>
            <w:vAlign w:val="center"/>
          </w:tcPr>
          <w:p w14:paraId="085ABD77" w14:textId="7F5821B8" w:rsidR="00510A01" w:rsidRPr="008F6481" w:rsidRDefault="00510A01" w:rsidP="00510A01">
            <w:pPr>
              <w:spacing w:after="0" w:line="240" w:lineRule="auto"/>
              <w:jc w:val="center"/>
              <w:rPr>
                <w:rFonts w:ascii="Arial" w:eastAsia="Times New Roman" w:hAnsi="Arial" w:cs="Times New Roman"/>
                <w:color w:val="000000" w:themeColor="text1"/>
                <w:sz w:val="14"/>
                <w:szCs w:val="14"/>
              </w:rPr>
            </w:pPr>
            <w:r>
              <w:rPr>
                <w:rFonts w:ascii="Arial" w:eastAsia="Times New Roman" w:hAnsi="Arial" w:cs="Times New Roman"/>
                <w:color w:val="000000" w:themeColor="text1"/>
                <w:sz w:val="14"/>
                <w:szCs w:val="14"/>
              </w:rPr>
              <w:t>27</w:t>
            </w:r>
          </w:p>
        </w:tc>
        <w:tc>
          <w:tcPr>
            <w:tcW w:w="850" w:type="dxa"/>
            <w:tcBorders>
              <w:top w:val="single" w:sz="4" w:space="0" w:color="auto"/>
              <w:left w:val="single" w:sz="4" w:space="0" w:color="auto"/>
              <w:bottom w:val="single" w:sz="4" w:space="0" w:color="auto"/>
              <w:right w:val="single" w:sz="4" w:space="0" w:color="auto"/>
            </w:tcBorders>
            <w:vAlign w:val="center"/>
          </w:tcPr>
          <w:p w14:paraId="1C232FB0" w14:textId="73128554" w:rsidR="00510A01" w:rsidRPr="006076C4" w:rsidRDefault="00510A01" w:rsidP="00510A01">
            <w:pPr>
              <w:spacing w:after="0" w:line="240" w:lineRule="auto"/>
              <w:jc w:val="center"/>
              <w:rPr>
                <w:rFonts w:ascii="Arial" w:eastAsia="Times New Roman" w:hAnsi="Arial"/>
                <w:color w:val="000000" w:themeColor="text1"/>
                <w:sz w:val="14"/>
                <w:szCs w:val="14"/>
              </w:rPr>
            </w:pPr>
            <w:r w:rsidRPr="006076C4">
              <w:rPr>
                <w:rFonts w:ascii="Arial" w:eastAsia="Times New Roman" w:hAnsi="Arial"/>
                <w:color w:val="000000" w:themeColor="text1"/>
                <w:sz w:val="14"/>
                <w:szCs w:val="14"/>
              </w:rPr>
              <w:t>18</w:t>
            </w:r>
          </w:p>
        </w:tc>
      </w:tr>
      <w:tr w:rsidR="00510A01" w:rsidRPr="000510EE" w14:paraId="1C7D73C0" w14:textId="77777777" w:rsidTr="00254EB4">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tcPr>
          <w:p w14:paraId="1B74B12C" w14:textId="4211CAB8" w:rsidR="00510A01" w:rsidRDefault="00510A01" w:rsidP="00510A01">
            <w:pPr>
              <w:spacing w:after="0" w:line="240" w:lineRule="auto"/>
              <w:rPr>
                <w:rFonts w:ascii="Arial" w:hAnsi="Arial"/>
                <w:sz w:val="14"/>
                <w:szCs w:val="14"/>
              </w:rPr>
            </w:pPr>
            <w:r>
              <w:rPr>
                <w:rFonts w:ascii="Arial" w:hAnsi="Arial"/>
                <w:sz w:val="14"/>
                <w:szCs w:val="14"/>
              </w:rPr>
              <w:t>Italy</w:t>
            </w:r>
          </w:p>
        </w:tc>
        <w:tc>
          <w:tcPr>
            <w:tcW w:w="567" w:type="dxa"/>
            <w:tcBorders>
              <w:top w:val="single" w:sz="4" w:space="0" w:color="auto"/>
              <w:left w:val="single" w:sz="4" w:space="0" w:color="auto"/>
              <w:bottom w:val="single" w:sz="4" w:space="0" w:color="auto"/>
              <w:right w:val="single" w:sz="4" w:space="0" w:color="auto"/>
            </w:tcBorders>
            <w:vAlign w:val="center"/>
          </w:tcPr>
          <w:p w14:paraId="66BD9323" w14:textId="3F9AD8F3" w:rsidR="00510A01" w:rsidRDefault="00510A01" w:rsidP="00510A01">
            <w:pPr>
              <w:spacing w:after="0" w:line="240" w:lineRule="auto"/>
              <w:jc w:val="center"/>
              <w:rPr>
                <w:rFonts w:ascii="Arial" w:hAnsi="Arial"/>
                <w:sz w:val="14"/>
                <w:szCs w:val="14"/>
              </w:rPr>
            </w:pPr>
            <w:r>
              <w:rPr>
                <w:rFonts w:ascii="Arial" w:hAnsi="Arial"/>
                <w:sz w:val="14"/>
                <w:szCs w:val="14"/>
              </w:rPr>
              <w:t>IT</w:t>
            </w:r>
          </w:p>
        </w:tc>
        <w:tc>
          <w:tcPr>
            <w:tcW w:w="968" w:type="dxa"/>
            <w:tcBorders>
              <w:top w:val="single" w:sz="4" w:space="0" w:color="auto"/>
              <w:left w:val="single" w:sz="4" w:space="0" w:color="auto"/>
              <w:bottom w:val="single" w:sz="4" w:space="0" w:color="auto"/>
              <w:right w:val="single" w:sz="4" w:space="0" w:color="auto"/>
            </w:tcBorders>
            <w:vAlign w:val="center"/>
          </w:tcPr>
          <w:p w14:paraId="11C2A1B9" w14:textId="3281AF88" w:rsidR="00510A01" w:rsidRPr="008F6481" w:rsidRDefault="00510A01" w:rsidP="00510A01">
            <w:pPr>
              <w:spacing w:after="0" w:line="240" w:lineRule="auto"/>
              <w:jc w:val="center"/>
              <w:rPr>
                <w:rFonts w:ascii="Arial" w:hAnsi="Arial"/>
                <w:color w:val="000000"/>
                <w:sz w:val="14"/>
                <w:szCs w:val="14"/>
              </w:rPr>
            </w:pPr>
            <w:r w:rsidRPr="008F6481">
              <w:rPr>
                <w:rFonts w:ascii="Arial" w:hAnsi="Arial"/>
                <w:color w:val="000000"/>
                <w:sz w:val="14"/>
                <w:szCs w:val="14"/>
              </w:rPr>
              <w:t>11</w:t>
            </w:r>
          </w:p>
        </w:tc>
        <w:tc>
          <w:tcPr>
            <w:tcW w:w="851" w:type="dxa"/>
            <w:tcBorders>
              <w:top w:val="single" w:sz="4" w:space="0" w:color="auto"/>
              <w:left w:val="single" w:sz="4" w:space="0" w:color="auto"/>
              <w:bottom w:val="single" w:sz="4" w:space="0" w:color="auto"/>
              <w:right w:val="single" w:sz="8" w:space="0" w:color="auto"/>
            </w:tcBorders>
            <w:vAlign w:val="center"/>
          </w:tcPr>
          <w:p w14:paraId="72C30148" w14:textId="3437B24C" w:rsidR="00510A01" w:rsidRDefault="00510A01" w:rsidP="00510A01">
            <w:pPr>
              <w:spacing w:after="0" w:line="240" w:lineRule="auto"/>
              <w:jc w:val="center"/>
              <w:rPr>
                <w:rFonts w:ascii="Arial" w:hAnsi="Arial"/>
                <w:color w:val="000000"/>
                <w:sz w:val="14"/>
                <w:szCs w:val="14"/>
              </w:rPr>
            </w:pPr>
            <w:r>
              <w:rPr>
                <w:rFonts w:ascii="Arial" w:hAnsi="Arial"/>
                <w:color w:val="000000"/>
                <w:sz w:val="14"/>
                <w:szCs w:val="14"/>
              </w:rPr>
              <w:t>6</w:t>
            </w:r>
          </w:p>
        </w:tc>
        <w:tc>
          <w:tcPr>
            <w:tcW w:w="1276" w:type="dxa"/>
            <w:tcBorders>
              <w:top w:val="single" w:sz="4" w:space="0" w:color="auto"/>
              <w:left w:val="single" w:sz="8" w:space="0" w:color="auto"/>
              <w:bottom w:val="single" w:sz="4" w:space="0" w:color="auto"/>
              <w:right w:val="single" w:sz="4" w:space="0" w:color="auto"/>
            </w:tcBorders>
            <w:vAlign w:val="center"/>
          </w:tcPr>
          <w:p w14:paraId="3E152782" w14:textId="2891E087" w:rsidR="00510A01" w:rsidRDefault="00510A01" w:rsidP="00510A01">
            <w:pPr>
              <w:spacing w:after="0" w:line="240" w:lineRule="auto"/>
              <w:rPr>
                <w:rFonts w:ascii="Arial" w:hAnsi="Arial"/>
                <w:sz w:val="14"/>
                <w:szCs w:val="14"/>
              </w:rPr>
            </w:pPr>
            <w:r>
              <w:rPr>
                <w:rFonts w:ascii="Arial" w:eastAsia="Times New Roman" w:hAnsi="Arial" w:cs="Times New Roman"/>
                <w:color w:val="000000" w:themeColor="text1"/>
                <w:sz w:val="14"/>
                <w:szCs w:val="14"/>
              </w:rPr>
              <w:t>Romania</w:t>
            </w:r>
          </w:p>
        </w:tc>
        <w:tc>
          <w:tcPr>
            <w:tcW w:w="708" w:type="dxa"/>
            <w:tcBorders>
              <w:top w:val="single" w:sz="4" w:space="0" w:color="auto"/>
              <w:left w:val="single" w:sz="4" w:space="0" w:color="auto"/>
              <w:bottom w:val="single" w:sz="4" w:space="0" w:color="auto"/>
              <w:right w:val="single" w:sz="4" w:space="0" w:color="auto"/>
            </w:tcBorders>
            <w:vAlign w:val="center"/>
          </w:tcPr>
          <w:p w14:paraId="4C9985E9" w14:textId="7F5F5C01" w:rsidR="00510A01" w:rsidRDefault="00510A01" w:rsidP="00510A01">
            <w:pPr>
              <w:spacing w:after="0" w:line="240" w:lineRule="auto"/>
              <w:jc w:val="center"/>
              <w:rPr>
                <w:rFonts w:ascii="Arial" w:hAnsi="Arial"/>
                <w:sz w:val="14"/>
                <w:szCs w:val="14"/>
              </w:rPr>
            </w:pPr>
            <w:r>
              <w:rPr>
                <w:rFonts w:ascii="Arial" w:eastAsia="Times New Roman" w:hAnsi="Arial" w:cs="Times New Roman"/>
                <w:color w:val="000000" w:themeColor="text1"/>
                <w:sz w:val="14"/>
                <w:szCs w:val="14"/>
              </w:rPr>
              <w:t>RO</w:t>
            </w:r>
          </w:p>
        </w:tc>
        <w:tc>
          <w:tcPr>
            <w:tcW w:w="993" w:type="dxa"/>
            <w:tcBorders>
              <w:top w:val="single" w:sz="4" w:space="0" w:color="auto"/>
              <w:left w:val="single" w:sz="4" w:space="0" w:color="auto"/>
              <w:bottom w:val="single" w:sz="4" w:space="0" w:color="auto"/>
              <w:right w:val="single" w:sz="4" w:space="0" w:color="auto"/>
            </w:tcBorders>
            <w:vAlign w:val="center"/>
          </w:tcPr>
          <w:p w14:paraId="38B313C3" w14:textId="08597EB7" w:rsidR="00510A01" w:rsidRPr="008F6481" w:rsidRDefault="00510A01" w:rsidP="00510A01">
            <w:pPr>
              <w:spacing w:after="0" w:line="240" w:lineRule="auto"/>
              <w:jc w:val="center"/>
              <w:rPr>
                <w:rFonts w:ascii="Arial" w:hAnsi="Arial"/>
                <w:color w:val="000000"/>
                <w:sz w:val="14"/>
                <w:szCs w:val="14"/>
              </w:rPr>
            </w:pPr>
            <w:r>
              <w:rPr>
                <w:rFonts w:ascii="Arial" w:eastAsia="Times New Roman" w:hAnsi="Arial" w:cs="Times New Roman"/>
                <w:color w:val="000000" w:themeColor="text1"/>
                <w:sz w:val="14"/>
                <w:szCs w:val="14"/>
              </w:rPr>
              <w:t>28</w:t>
            </w:r>
          </w:p>
        </w:tc>
        <w:tc>
          <w:tcPr>
            <w:tcW w:w="850" w:type="dxa"/>
            <w:tcBorders>
              <w:top w:val="single" w:sz="4" w:space="0" w:color="auto"/>
              <w:left w:val="single" w:sz="4" w:space="0" w:color="auto"/>
              <w:bottom w:val="single" w:sz="4" w:space="0" w:color="auto"/>
              <w:right w:val="single" w:sz="4" w:space="0" w:color="auto"/>
            </w:tcBorders>
            <w:vAlign w:val="center"/>
          </w:tcPr>
          <w:p w14:paraId="4909EAB1" w14:textId="6C5ED8C4" w:rsidR="00510A01" w:rsidRPr="006076C4" w:rsidRDefault="00510A01" w:rsidP="00510A01">
            <w:pPr>
              <w:spacing w:after="0" w:line="240" w:lineRule="auto"/>
              <w:jc w:val="center"/>
              <w:rPr>
                <w:rFonts w:ascii="Arial" w:hAnsi="Arial"/>
                <w:color w:val="000000"/>
                <w:sz w:val="14"/>
                <w:szCs w:val="14"/>
              </w:rPr>
            </w:pPr>
            <w:r w:rsidRPr="006076C4">
              <w:rPr>
                <w:rFonts w:ascii="Arial" w:eastAsia="Times New Roman" w:hAnsi="Arial"/>
                <w:color w:val="000000" w:themeColor="text1"/>
                <w:sz w:val="14"/>
                <w:szCs w:val="14"/>
              </w:rPr>
              <w:t>21</w:t>
            </w:r>
          </w:p>
        </w:tc>
      </w:tr>
      <w:tr w:rsidR="00510A01" w:rsidRPr="000510EE" w14:paraId="4A00926A" w14:textId="77777777" w:rsidTr="00254EB4">
        <w:trPr>
          <w:trHeight w:val="227"/>
          <w:jc w:val="center"/>
        </w:trPr>
        <w:tc>
          <w:tcPr>
            <w:tcW w:w="1295" w:type="dxa"/>
            <w:tcBorders>
              <w:top w:val="single" w:sz="4" w:space="0" w:color="auto"/>
              <w:left w:val="single" w:sz="4" w:space="0" w:color="auto"/>
              <w:bottom w:val="single" w:sz="4" w:space="0" w:color="auto"/>
              <w:right w:val="single" w:sz="4" w:space="0" w:color="auto"/>
            </w:tcBorders>
            <w:vAlign w:val="center"/>
          </w:tcPr>
          <w:p w14:paraId="46DBE2E5" w14:textId="77777777" w:rsidR="00510A01" w:rsidRDefault="00510A01" w:rsidP="00510A01">
            <w:pPr>
              <w:spacing w:after="0" w:line="240" w:lineRule="auto"/>
              <w:rPr>
                <w:rFonts w:ascii="Arial" w:hAnsi="Arial"/>
                <w:sz w:val="14"/>
                <w:szCs w:val="14"/>
              </w:rPr>
            </w:pPr>
          </w:p>
        </w:tc>
        <w:tc>
          <w:tcPr>
            <w:tcW w:w="567" w:type="dxa"/>
            <w:tcBorders>
              <w:top w:val="single" w:sz="4" w:space="0" w:color="auto"/>
              <w:left w:val="single" w:sz="4" w:space="0" w:color="auto"/>
              <w:bottom w:val="single" w:sz="4" w:space="0" w:color="auto"/>
              <w:right w:val="single" w:sz="4" w:space="0" w:color="auto"/>
            </w:tcBorders>
            <w:vAlign w:val="center"/>
          </w:tcPr>
          <w:p w14:paraId="7C9C4B52" w14:textId="77777777" w:rsidR="00510A01" w:rsidRDefault="00510A01" w:rsidP="00510A01">
            <w:pPr>
              <w:spacing w:after="0" w:line="240" w:lineRule="auto"/>
              <w:jc w:val="center"/>
              <w:rPr>
                <w:rFonts w:ascii="Arial" w:hAnsi="Arial"/>
                <w:sz w:val="14"/>
                <w:szCs w:val="14"/>
              </w:rPr>
            </w:pPr>
          </w:p>
        </w:tc>
        <w:tc>
          <w:tcPr>
            <w:tcW w:w="968" w:type="dxa"/>
            <w:tcBorders>
              <w:top w:val="single" w:sz="4" w:space="0" w:color="auto"/>
              <w:left w:val="single" w:sz="4" w:space="0" w:color="auto"/>
              <w:bottom w:val="single" w:sz="4" w:space="0" w:color="auto"/>
              <w:right w:val="single" w:sz="4" w:space="0" w:color="auto"/>
            </w:tcBorders>
            <w:vAlign w:val="center"/>
          </w:tcPr>
          <w:p w14:paraId="13028AB8" w14:textId="77777777" w:rsidR="00510A01" w:rsidRPr="008F6481" w:rsidRDefault="00510A01" w:rsidP="00510A01">
            <w:pPr>
              <w:spacing w:after="0" w:line="240" w:lineRule="auto"/>
              <w:jc w:val="center"/>
              <w:rPr>
                <w:rFonts w:ascii="Arial" w:hAnsi="Arial"/>
                <w:color w:val="000000"/>
                <w:sz w:val="14"/>
                <w:szCs w:val="14"/>
              </w:rPr>
            </w:pPr>
          </w:p>
        </w:tc>
        <w:tc>
          <w:tcPr>
            <w:tcW w:w="851" w:type="dxa"/>
            <w:tcBorders>
              <w:top w:val="single" w:sz="4" w:space="0" w:color="auto"/>
              <w:left w:val="single" w:sz="4" w:space="0" w:color="auto"/>
              <w:bottom w:val="single" w:sz="4" w:space="0" w:color="auto"/>
              <w:right w:val="single" w:sz="8" w:space="0" w:color="auto"/>
            </w:tcBorders>
            <w:vAlign w:val="center"/>
          </w:tcPr>
          <w:p w14:paraId="6390671E" w14:textId="77777777" w:rsidR="00510A01" w:rsidRDefault="00510A01" w:rsidP="00510A01">
            <w:pPr>
              <w:spacing w:after="0" w:line="240" w:lineRule="auto"/>
              <w:jc w:val="center"/>
              <w:rPr>
                <w:rFonts w:ascii="Arial" w:hAnsi="Arial"/>
                <w:color w:val="000000"/>
                <w:sz w:val="14"/>
                <w:szCs w:val="14"/>
              </w:rPr>
            </w:pPr>
          </w:p>
        </w:tc>
        <w:tc>
          <w:tcPr>
            <w:tcW w:w="1276" w:type="dxa"/>
            <w:tcBorders>
              <w:top w:val="single" w:sz="4" w:space="0" w:color="auto"/>
              <w:left w:val="single" w:sz="8" w:space="0" w:color="auto"/>
              <w:bottom w:val="single" w:sz="4" w:space="0" w:color="auto"/>
              <w:right w:val="single" w:sz="4" w:space="0" w:color="auto"/>
            </w:tcBorders>
            <w:vAlign w:val="center"/>
          </w:tcPr>
          <w:p w14:paraId="35D0E588" w14:textId="0DAED071" w:rsidR="00510A01" w:rsidRDefault="00510A01" w:rsidP="00510A01">
            <w:pPr>
              <w:spacing w:after="0" w:line="240" w:lineRule="auto"/>
              <w:rPr>
                <w:rFonts w:ascii="Arial" w:hAnsi="Arial"/>
                <w:sz w:val="14"/>
                <w:szCs w:val="14"/>
              </w:rPr>
            </w:pPr>
            <w:r>
              <w:rPr>
                <w:rFonts w:ascii="Arial" w:hAnsi="Arial"/>
                <w:sz w:val="14"/>
                <w:szCs w:val="14"/>
              </w:rPr>
              <w:t>Greece</w:t>
            </w:r>
          </w:p>
        </w:tc>
        <w:tc>
          <w:tcPr>
            <w:tcW w:w="708" w:type="dxa"/>
            <w:tcBorders>
              <w:top w:val="single" w:sz="4" w:space="0" w:color="auto"/>
              <w:left w:val="single" w:sz="4" w:space="0" w:color="auto"/>
              <w:bottom w:val="single" w:sz="4" w:space="0" w:color="auto"/>
              <w:right w:val="single" w:sz="4" w:space="0" w:color="auto"/>
            </w:tcBorders>
            <w:vAlign w:val="center"/>
          </w:tcPr>
          <w:p w14:paraId="2A026102" w14:textId="067F2EA2" w:rsidR="00510A01" w:rsidRDefault="00510A01" w:rsidP="00510A01">
            <w:pPr>
              <w:spacing w:after="0" w:line="240" w:lineRule="auto"/>
              <w:jc w:val="center"/>
              <w:rPr>
                <w:rFonts w:ascii="Arial" w:hAnsi="Arial"/>
                <w:sz w:val="14"/>
                <w:szCs w:val="14"/>
              </w:rPr>
            </w:pPr>
            <w:r>
              <w:rPr>
                <w:rFonts w:ascii="Arial" w:hAnsi="Arial"/>
                <w:sz w:val="14"/>
                <w:szCs w:val="14"/>
              </w:rPr>
              <w:t>EL</w:t>
            </w:r>
          </w:p>
        </w:tc>
        <w:tc>
          <w:tcPr>
            <w:tcW w:w="993" w:type="dxa"/>
            <w:tcBorders>
              <w:top w:val="single" w:sz="4" w:space="0" w:color="auto"/>
              <w:left w:val="single" w:sz="4" w:space="0" w:color="auto"/>
              <w:bottom w:val="single" w:sz="4" w:space="0" w:color="auto"/>
              <w:right w:val="single" w:sz="4" w:space="0" w:color="auto"/>
            </w:tcBorders>
            <w:vAlign w:val="center"/>
          </w:tcPr>
          <w:p w14:paraId="385051F5" w14:textId="582CBD70" w:rsidR="00510A01" w:rsidRPr="008F6481" w:rsidRDefault="00510A01" w:rsidP="00510A01">
            <w:pPr>
              <w:spacing w:after="0" w:line="240" w:lineRule="auto"/>
              <w:jc w:val="center"/>
              <w:rPr>
                <w:rFonts w:ascii="Arial" w:hAnsi="Arial"/>
                <w:color w:val="000000"/>
                <w:sz w:val="14"/>
                <w:szCs w:val="14"/>
              </w:rPr>
            </w:pPr>
            <w:r w:rsidRPr="008F6481">
              <w:rPr>
                <w:rFonts w:ascii="Arial" w:hAnsi="Arial"/>
                <w:color w:val="000000"/>
                <w:sz w:val="14"/>
                <w:szCs w:val="14"/>
              </w:rPr>
              <w:t>29</w:t>
            </w:r>
          </w:p>
        </w:tc>
        <w:tc>
          <w:tcPr>
            <w:tcW w:w="850" w:type="dxa"/>
            <w:tcBorders>
              <w:top w:val="single" w:sz="4" w:space="0" w:color="auto"/>
              <w:left w:val="single" w:sz="4" w:space="0" w:color="auto"/>
              <w:bottom w:val="single" w:sz="4" w:space="0" w:color="auto"/>
              <w:right w:val="single" w:sz="4" w:space="0" w:color="auto"/>
            </w:tcBorders>
            <w:vAlign w:val="center"/>
          </w:tcPr>
          <w:p w14:paraId="7C6501BC" w14:textId="476C618E" w:rsidR="00510A01" w:rsidRPr="006076C4" w:rsidRDefault="00510A01" w:rsidP="00510A01">
            <w:pPr>
              <w:spacing w:after="0" w:line="240" w:lineRule="auto"/>
              <w:jc w:val="center"/>
              <w:rPr>
                <w:rFonts w:ascii="Arial" w:hAnsi="Arial"/>
                <w:color w:val="000000"/>
                <w:sz w:val="14"/>
                <w:szCs w:val="14"/>
              </w:rPr>
            </w:pPr>
            <w:r w:rsidRPr="006076C4">
              <w:rPr>
                <w:rFonts w:ascii="Arial" w:hAnsi="Arial"/>
                <w:color w:val="000000"/>
                <w:sz w:val="14"/>
                <w:szCs w:val="14"/>
              </w:rPr>
              <w:t>14</w:t>
            </w:r>
          </w:p>
        </w:tc>
      </w:tr>
    </w:tbl>
    <w:p w14:paraId="01F676E0" w14:textId="7307AFD1" w:rsidR="005B7573" w:rsidRPr="00BB152D" w:rsidRDefault="005B7573" w:rsidP="008A6D63">
      <w:pPr>
        <w:spacing w:before="60" w:after="20" w:line="240" w:lineRule="auto"/>
        <w:ind w:left="709"/>
        <w:rPr>
          <w:rFonts w:ascii="Arial" w:eastAsia="Times New Roman" w:hAnsi="Arial" w:cs="Times New Roman"/>
          <w:color w:val="000000" w:themeColor="text1"/>
          <w:sz w:val="16"/>
          <w:szCs w:val="16"/>
        </w:rPr>
      </w:pPr>
      <w:r w:rsidRPr="00BB152D">
        <w:rPr>
          <w:rFonts w:ascii="Arial" w:eastAsia="Times New Roman" w:hAnsi="Arial" w:cs="Times New Roman"/>
          <w:color w:val="000000" w:themeColor="text1"/>
          <w:sz w:val="16"/>
          <w:szCs w:val="16"/>
        </w:rPr>
        <w:t>Note</w:t>
      </w:r>
      <w:r w:rsidR="00BB5463" w:rsidRPr="00BB152D">
        <w:rPr>
          <w:rFonts w:ascii="Arial" w:eastAsia="Times New Roman" w:hAnsi="Arial" w:cs="Times New Roman"/>
          <w:color w:val="000000" w:themeColor="text1"/>
          <w:sz w:val="16"/>
          <w:szCs w:val="16"/>
        </w:rPr>
        <w:t>s</w:t>
      </w:r>
      <w:r w:rsidRPr="00BB152D">
        <w:rPr>
          <w:rFonts w:ascii="Arial" w:eastAsia="Times New Roman" w:hAnsi="Arial" w:cs="Times New Roman"/>
          <w:color w:val="000000" w:themeColor="text1"/>
          <w:sz w:val="16"/>
          <w:szCs w:val="16"/>
        </w:rPr>
        <w:t xml:space="preserve"> for Table:</w:t>
      </w:r>
    </w:p>
    <w:p w14:paraId="59623501" w14:textId="3A12BE78" w:rsidR="00BB5463" w:rsidRDefault="00B067E1">
      <w:pPr>
        <w:pStyle w:val="ListParagraph"/>
        <w:numPr>
          <w:ilvl w:val="0"/>
          <w:numId w:val="63"/>
        </w:numPr>
        <w:spacing w:after="20" w:line="240" w:lineRule="auto"/>
        <w:ind w:left="1134" w:hanging="207"/>
        <w:contextualSpacing w:val="0"/>
        <w:rPr>
          <w:rFonts w:ascii="Arial" w:eastAsia="Times New Roman" w:hAnsi="Arial" w:cs="Times New Roman"/>
          <w:color w:val="000000" w:themeColor="text1"/>
          <w:sz w:val="16"/>
          <w:szCs w:val="16"/>
        </w:rPr>
      </w:pPr>
      <w:r w:rsidRPr="00BB152D">
        <w:rPr>
          <w:rFonts w:ascii="Arial" w:eastAsia="Times New Roman" w:hAnsi="Arial" w:cs="Times New Roman"/>
          <w:color w:val="000000" w:themeColor="text1"/>
          <w:sz w:val="16"/>
          <w:szCs w:val="16"/>
        </w:rPr>
        <w:t xml:space="preserve">UK last supplied data to the EU in 2018, and Iceland in 2019 - </w:t>
      </w:r>
      <w:r w:rsidR="00BB5463" w:rsidRPr="00BB152D">
        <w:rPr>
          <w:rFonts w:ascii="Arial" w:eastAsia="Times New Roman" w:hAnsi="Arial" w:cs="Times New Roman"/>
          <w:color w:val="000000" w:themeColor="text1"/>
          <w:sz w:val="16"/>
          <w:szCs w:val="16"/>
        </w:rPr>
        <w:t>they</w:t>
      </w:r>
      <w:r w:rsidRPr="00BB152D">
        <w:rPr>
          <w:rFonts w:ascii="Arial" w:eastAsia="Times New Roman" w:hAnsi="Arial" w:cs="Times New Roman"/>
          <w:color w:val="000000" w:themeColor="text1"/>
          <w:sz w:val="16"/>
          <w:szCs w:val="16"/>
        </w:rPr>
        <w:t xml:space="preserve"> </w:t>
      </w:r>
      <w:r w:rsidR="00D823DF">
        <w:rPr>
          <w:rFonts w:ascii="Arial" w:eastAsia="Times New Roman" w:hAnsi="Arial" w:cs="Times New Roman"/>
          <w:color w:val="000000" w:themeColor="text1"/>
          <w:sz w:val="16"/>
          <w:szCs w:val="16"/>
        </w:rPr>
        <w:t>are therefore not included in</w:t>
      </w:r>
      <w:r w:rsidRPr="00BB152D">
        <w:rPr>
          <w:rFonts w:ascii="Arial" w:eastAsia="Times New Roman" w:hAnsi="Arial" w:cs="Times New Roman"/>
          <w:color w:val="000000" w:themeColor="text1"/>
          <w:sz w:val="16"/>
          <w:szCs w:val="16"/>
        </w:rPr>
        <w:t xml:space="preserve"> th</w:t>
      </w:r>
      <w:r w:rsidR="005B7573" w:rsidRPr="00BB152D">
        <w:rPr>
          <w:rFonts w:ascii="Arial" w:eastAsia="Times New Roman" w:hAnsi="Arial" w:cs="Times New Roman"/>
          <w:color w:val="000000" w:themeColor="text1"/>
          <w:sz w:val="16"/>
          <w:szCs w:val="16"/>
        </w:rPr>
        <w:t>e table.</w:t>
      </w:r>
    </w:p>
    <w:p w14:paraId="5355E2AD" w14:textId="6AD97BD0" w:rsidR="008A6D63" w:rsidRDefault="008A6D63">
      <w:pPr>
        <w:spacing w:after="0" w:line="240" w:lineRule="auto"/>
        <w:rPr>
          <w:rFonts w:ascii="Arial" w:eastAsia="Times New Roman" w:hAnsi="Arial"/>
          <w:b/>
          <w:bCs/>
          <w:color w:val="0000FF"/>
          <w:szCs w:val="20"/>
        </w:rPr>
      </w:pPr>
      <w:bookmarkStart w:id="9" w:name="_Hlk174941311"/>
    </w:p>
    <w:p w14:paraId="7DE68763" w14:textId="059AFA4A" w:rsidR="00391657" w:rsidRPr="001D6A91" w:rsidRDefault="00391657" w:rsidP="00391657">
      <w:pPr>
        <w:spacing w:after="0" w:line="240" w:lineRule="auto"/>
        <w:rPr>
          <w:rFonts w:ascii="Arial" w:eastAsia="Times New Roman" w:hAnsi="Arial"/>
          <w:i/>
          <w:iCs/>
          <w:color w:val="000000" w:themeColor="text1"/>
          <w:szCs w:val="20"/>
        </w:rPr>
      </w:pPr>
      <w:r w:rsidRPr="00BB152D">
        <w:rPr>
          <w:rFonts w:ascii="Arial" w:eastAsia="Times New Roman" w:hAnsi="Arial"/>
          <w:color w:val="000000" w:themeColor="text1"/>
          <w:szCs w:val="20"/>
        </w:rPr>
        <w:t>New Zealand’s child material hardship rate is close to countries such as Germany and Belgium</w:t>
      </w:r>
      <w:r>
        <w:rPr>
          <w:rFonts w:ascii="Arial" w:eastAsia="Times New Roman" w:hAnsi="Arial"/>
          <w:color w:val="000000" w:themeColor="text1"/>
          <w:szCs w:val="20"/>
        </w:rPr>
        <w:t xml:space="preserve">, </w:t>
      </w:r>
      <w:r w:rsidRPr="00BB152D">
        <w:rPr>
          <w:rFonts w:ascii="Arial" w:eastAsia="Times New Roman" w:hAnsi="Arial"/>
          <w:color w:val="000000" w:themeColor="text1"/>
          <w:szCs w:val="20"/>
        </w:rPr>
        <w:t>a little lower than Ireland and France</w:t>
      </w:r>
      <w:r>
        <w:rPr>
          <w:rFonts w:ascii="Arial" w:eastAsia="Times New Roman" w:hAnsi="Arial"/>
          <w:color w:val="000000" w:themeColor="text1"/>
          <w:szCs w:val="20"/>
        </w:rPr>
        <w:t xml:space="preserve">, and well above the best performers </w:t>
      </w:r>
      <w:r w:rsidR="00A84C90">
        <w:rPr>
          <w:rFonts w:ascii="Arial" w:eastAsia="Times New Roman" w:hAnsi="Arial"/>
          <w:color w:val="000000" w:themeColor="text1"/>
          <w:szCs w:val="20"/>
        </w:rPr>
        <w:t>such as Croatia, Slovenia, Poland and Switzerland.</w:t>
      </w:r>
      <w:r w:rsidRPr="00BB152D">
        <w:rPr>
          <w:rFonts w:ascii="Arial" w:eastAsia="Times New Roman" w:hAnsi="Arial"/>
          <w:color w:val="000000" w:themeColor="text1"/>
          <w:szCs w:val="20"/>
        </w:rPr>
        <w:t xml:space="preserve"> Compared with </w:t>
      </w:r>
      <w:r w:rsidR="004C1686">
        <w:rPr>
          <w:rFonts w:ascii="Arial" w:eastAsia="Times New Roman" w:hAnsi="Arial"/>
          <w:color w:val="000000" w:themeColor="text1"/>
          <w:szCs w:val="20"/>
        </w:rPr>
        <w:t>2017-18 (the</w:t>
      </w:r>
      <w:r w:rsidR="008B4FF7">
        <w:rPr>
          <w:rFonts w:ascii="Arial" w:eastAsia="Times New Roman" w:hAnsi="Arial"/>
          <w:color w:val="000000" w:themeColor="text1"/>
          <w:szCs w:val="20"/>
        </w:rPr>
        <w:t xml:space="preserve"> first year we can compare</w:t>
      </w:r>
      <w:r w:rsidRPr="00BB152D">
        <w:rPr>
          <w:rFonts w:ascii="Arial" w:eastAsia="Times New Roman" w:hAnsi="Arial"/>
          <w:color w:val="000000" w:themeColor="text1"/>
          <w:szCs w:val="20"/>
        </w:rPr>
        <w:t xml:space="preserve">) there is no measurable change in New Zealand’s rate </w:t>
      </w:r>
      <w:r w:rsidR="004C1686">
        <w:rPr>
          <w:rFonts w:ascii="Arial" w:eastAsia="Times New Roman" w:hAnsi="Arial"/>
          <w:color w:val="000000" w:themeColor="text1"/>
          <w:szCs w:val="20"/>
        </w:rPr>
        <w:t xml:space="preserve">using the EU-13 measure </w:t>
      </w:r>
      <w:r w:rsidRPr="00BB152D">
        <w:rPr>
          <w:rFonts w:ascii="Arial" w:eastAsia="Times New Roman" w:hAnsi="Arial"/>
          <w:color w:val="000000" w:themeColor="text1"/>
          <w:szCs w:val="20"/>
        </w:rPr>
        <w:t>(</w:t>
      </w:r>
      <w:r w:rsidR="008B4FF7">
        <w:rPr>
          <w:rFonts w:ascii="Arial" w:eastAsia="Times New Roman" w:hAnsi="Arial"/>
          <w:color w:val="000000" w:themeColor="text1"/>
          <w:szCs w:val="20"/>
        </w:rPr>
        <w:t>13%)</w:t>
      </w:r>
      <w:r w:rsidRPr="00BB152D">
        <w:rPr>
          <w:rFonts w:ascii="Arial" w:eastAsia="Times New Roman" w:hAnsi="Arial"/>
          <w:color w:val="000000" w:themeColor="text1"/>
          <w:szCs w:val="20"/>
        </w:rPr>
        <w:t xml:space="preserve">, though New Zealand’s country ranking has deteriorated a little as rates for </w:t>
      </w:r>
      <w:r w:rsidR="008B4FF7">
        <w:rPr>
          <w:rFonts w:ascii="Arial" w:eastAsia="Times New Roman" w:hAnsi="Arial"/>
          <w:color w:val="000000" w:themeColor="text1"/>
          <w:szCs w:val="20"/>
        </w:rPr>
        <w:t>several countries (</w:t>
      </w:r>
      <w:r w:rsidR="006E2022" w:rsidRPr="00BB152D">
        <w:rPr>
          <w:rFonts w:ascii="Arial" w:eastAsia="Times New Roman" w:hAnsi="Arial"/>
          <w:color w:val="000000" w:themeColor="text1"/>
          <w:szCs w:val="20"/>
        </w:rPr>
        <w:t>Lithuania</w:t>
      </w:r>
      <w:r w:rsidR="006E2022">
        <w:rPr>
          <w:rFonts w:ascii="Arial" w:eastAsia="Times New Roman" w:hAnsi="Arial"/>
          <w:color w:val="000000" w:themeColor="text1"/>
          <w:szCs w:val="20"/>
        </w:rPr>
        <w:t xml:space="preserve">, </w:t>
      </w:r>
      <w:r w:rsidR="006E2022" w:rsidRPr="00BB152D">
        <w:rPr>
          <w:rFonts w:ascii="Arial" w:eastAsia="Times New Roman" w:hAnsi="Arial"/>
          <w:color w:val="000000" w:themeColor="text1"/>
          <w:szCs w:val="20"/>
        </w:rPr>
        <w:t>Latvia</w:t>
      </w:r>
      <w:r w:rsidR="006E2022">
        <w:rPr>
          <w:rFonts w:ascii="Arial" w:eastAsia="Times New Roman" w:hAnsi="Arial"/>
          <w:color w:val="000000" w:themeColor="text1"/>
          <w:szCs w:val="20"/>
        </w:rPr>
        <w:t xml:space="preserve">, </w:t>
      </w:r>
      <w:r w:rsidRPr="00BB152D">
        <w:rPr>
          <w:rFonts w:ascii="Arial" w:eastAsia="Times New Roman" w:hAnsi="Arial"/>
          <w:color w:val="000000" w:themeColor="text1"/>
          <w:szCs w:val="20"/>
        </w:rPr>
        <w:t xml:space="preserve">Italy, Portugal, </w:t>
      </w:r>
      <w:r w:rsidR="008B4FF7">
        <w:rPr>
          <w:rFonts w:ascii="Arial" w:eastAsia="Times New Roman" w:hAnsi="Arial"/>
          <w:color w:val="000000" w:themeColor="text1"/>
          <w:szCs w:val="20"/>
        </w:rPr>
        <w:t>and Cyprus)</w:t>
      </w:r>
      <w:r w:rsidRPr="00BB152D">
        <w:rPr>
          <w:rFonts w:ascii="Arial" w:eastAsia="Times New Roman" w:hAnsi="Arial"/>
          <w:color w:val="000000" w:themeColor="text1"/>
          <w:szCs w:val="20"/>
        </w:rPr>
        <w:t xml:space="preserve"> have fallen from above to below New Zealand’s rate</w:t>
      </w:r>
      <w:r>
        <w:rPr>
          <w:rFonts w:ascii="Arial" w:eastAsia="Times New Roman" w:hAnsi="Arial"/>
          <w:color w:val="000000" w:themeColor="text1"/>
          <w:szCs w:val="20"/>
        </w:rPr>
        <w:t xml:space="preserve">. </w:t>
      </w:r>
    </w:p>
    <w:p w14:paraId="44680C45" w14:textId="5205AA8B" w:rsidR="008A6D63" w:rsidRPr="00264A72" w:rsidRDefault="007900AC">
      <w:pPr>
        <w:spacing w:after="0" w:line="240" w:lineRule="auto"/>
        <w:rPr>
          <w:rFonts w:ascii="Arial" w:eastAsia="Times New Roman" w:hAnsi="Arial"/>
          <w:color w:val="0000FF"/>
          <w:szCs w:val="20"/>
        </w:rPr>
      </w:pPr>
      <w:r>
        <w:rPr>
          <w:rFonts w:ascii="Arial" w:eastAsia="Times New Roman" w:hAnsi="Arial"/>
          <w:color w:val="000000" w:themeColor="text1"/>
          <w:szCs w:val="20"/>
        </w:rPr>
        <w:lastRenderedPageBreak/>
        <w:t>[</w:t>
      </w:r>
      <w:r w:rsidR="002129EB" w:rsidRPr="00264A72">
        <w:rPr>
          <w:rFonts w:ascii="Arial" w:eastAsia="Times New Roman" w:hAnsi="Arial"/>
          <w:color w:val="000000" w:themeColor="text1"/>
          <w:szCs w:val="20"/>
        </w:rPr>
        <w:t>Comparisons with Australia, Canada and the USA are not possible as they do not collect the data to enable EU-13, DEP-17 or MH-18 indices to be replicated in those countries</w:t>
      </w:r>
      <w:r w:rsidR="00DF3C2D">
        <w:rPr>
          <w:rFonts w:ascii="Arial" w:eastAsia="Times New Roman" w:hAnsi="Arial"/>
          <w:color w:val="000000" w:themeColor="text1"/>
          <w:szCs w:val="20"/>
        </w:rPr>
        <w:t>, though</w:t>
      </w:r>
      <w:r w:rsidR="002129EB" w:rsidRPr="00264A72">
        <w:rPr>
          <w:rFonts w:ascii="Arial" w:eastAsia="Times New Roman" w:hAnsi="Arial"/>
          <w:color w:val="000000" w:themeColor="text1"/>
          <w:szCs w:val="20"/>
        </w:rPr>
        <w:t xml:space="preserve"> </w:t>
      </w:r>
      <w:r w:rsidR="00264A72" w:rsidRPr="00264A72">
        <w:rPr>
          <w:rFonts w:ascii="Arial" w:eastAsia="Times New Roman" w:hAnsi="Arial"/>
          <w:color w:val="000000" w:themeColor="text1"/>
          <w:szCs w:val="20"/>
        </w:rPr>
        <w:t xml:space="preserve">Australia and Canada </w:t>
      </w:r>
      <w:r w:rsidR="0004752F">
        <w:rPr>
          <w:rFonts w:ascii="Arial" w:eastAsia="Times New Roman" w:hAnsi="Arial"/>
          <w:color w:val="000000" w:themeColor="text1"/>
          <w:szCs w:val="20"/>
        </w:rPr>
        <w:t>have more recently</w:t>
      </w:r>
      <w:r w:rsidR="00264A72" w:rsidRPr="00264A72">
        <w:rPr>
          <w:rFonts w:ascii="Arial" w:eastAsia="Times New Roman" w:hAnsi="Arial"/>
          <w:color w:val="000000" w:themeColor="text1"/>
          <w:szCs w:val="20"/>
        </w:rPr>
        <w:t xml:space="preserve"> ha</w:t>
      </w:r>
      <w:r w:rsidR="007576B3">
        <w:rPr>
          <w:rFonts w:ascii="Arial" w:eastAsia="Times New Roman" w:hAnsi="Arial"/>
          <w:color w:val="000000" w:themeColor="text1"/>
          <w:szCs w:val="20"/>
        </w:rPr>
        <w:t>d</w:t>
      </w:r>
      <w:r w:rsidR="00264A72" w:rsidRPr="00264A72">
        <w:rPr>
          <w:rFonts w:ascii="Arial" w:eastAsia="Times New Roman" w:hAnsi="Arial"/>
          <w:color w:val="000000" w:themeColor="text1"/>
          <w:szCs w:val="20"/>
        </w:rPr>
        <w:t xml:space="preserve"> survey</w:t>
      </w:r>
      <w:r w:rsidR="00DF3C2D">
        <w:rPr>
          <w:rFonts w:ascii="Arial" w:eastAsia="Times New Roman" w:hAnsi="Arial"/>
          <w:color w:val="000000" w:themeColor="text1"/>
          <w:szCs w:val="20"/>
        </w:rPr>
        <w:t xml:space="preserve"> information</w:t>
      </w:r>
      <w:r w:rsidR="00264A72" w:rsidRPr="00264A72">
        <w:rPr>
          <w:rFonts w:ascii="Arial" w:eastAsia="Times New Roman" w:hAnsi="Arial"/>
          <w:color w:val="000000" w:themeColor="text1"/>
          <w:szCs w:val="20"/>
        </w:rPr>
        <w:t xml:space="preserve"> that </w:t>
      </w:r>
      <w:r w:rsidR="00DF3C2D">
        <w:rPr>
          <w:rFonts w:ascii="Arial" w:eastAsia="Times New Roman" w:hAnsi="Arial"/>
          <w:color w:val="000000" w:themeColor="text1"/>
          <w:szCs w:val="20"/>
        </w:rPr>
        <w:t>gathers</w:t>
      </w:r>
      <w:r w:rsidR="00264A72" w:rsidRPr="00264A72">
        <w:rPr>
          <w:rFonts w:ascii="Arial" w:eastAsia="Times New Roman" w:hAnsi="Arial"/>
          <w:color w:val="000000" w:themeColor="text1"/>
          <w:szCs w:val="20"/>
        </w:rPr>
        <w:t xml:space="preserve"> </w:t>
      </w:r>
      <w:r w:rsidR="00EE384A">
        <w:rPr>
          <w:rFonts w:ascii="Arial" w:eastAsia="Times New Roman" w:hAnsi="Arial"/>
          <w:color w:val="000000" w:themeColor="text1"/>
          <w:szCs w:val="20"/>
        </w:rPr>
        <w:t xml:space="preserve">financial and </w:t>
      </w:r>
      <w:r w:rsidR="00264A72" w:rsidRPr="00264A72">
        <w:rPr>
          <w:rFonts w:ascii="Arial" w:eastAsia="Times New Roman" w:hAnsi="Arial"/>
          <w:color w:val="000000" w:themeColor="text1"/>
          <w:szCs w:val="20"/>
        </w:rPr>
        <w:t xml:space="preserve">material hardship </w:t>
      </w:r>
      <w:r w:rsidR="00DF3C2D">
        <w:rPr>
          <w:rFonts w:ascii="Arial" w:eastAsia="Times New Roman" w:hAnsi="Arial"/>
          <w:color w:val="000000" w:themeColor="text1"/>
          <w:szCs w:val="20"/>
        </w:rPr>
        <w:t>information using items of the same sort as the HES and HILS MWQs.</w:t>
      </w:r>
      <w:r w:rsidR="0004752F">
        <w:rPr>
          <w:rStyle w:val="FootnoteReference"/>
          <w:rFonts w:ascii="Arial" w:eastAsia="Times New Roman" w:hAnsi="Arial"/>
          <w:color w:val="000000" w:themeColor="text1"/>
          <w:szCs w:val="20"/>
        </w:rPr>
        <w:footnoteReference w:id="44"/>
      </w:r>
      <w:r>
        <w:rPr>
          <w:rFonts w:ascii="Arial" w:eastAsia="Times New Roman" w:hAnsi="Arial"/>
          <w:color w:val="000000" w:themeColor="text1"/>
          <w:szCs w:val="20"/>
        </w:rPr>
        <w:t>]</w:t>
      </w:r>
    </w:p>
    <w:p w14:paraId="2F4D785F" w14:textId="77777777" w:rsidR="008B4FF7" w:rsidRDefault="008B4FF7" w:rsidP="008B4FF7">
      <w:pPr>
        <w:pStyle w:val="ListParagraph"/>
        <w:spacing w:after="0" w:line="240" w:lineRule="auto"/>
        <w:ind w:left="0"/>
        <w:contextualSpacing w:val="0"/>
        <w:jc w:val="both"/>
        <w:rPr>
          <w:rFonts w:ascii="Arial" w:eastAsia="Times New Roman" w:hAnsi="Arial"/>
          <w:b/>
          <w:bCs/>
          <w:color w:val="000000" w:themeColor="text1"/>
          <w:szCs w:val="20"/>
        </w:rPr>
      </w:pPr>
    </w:p>
    <w:p w14:paraId="1010D3BE" w14:textId="6CA9206A" w:rsidR="00290947" w:rsidRPr="00BB152D" w:rsidRDefault="00D038D2" w:rsidP="008B4FF7">
      <w:pPr>
        <w:pStyle w:val="ListParagraph"/>
        <w:spacing w:line="240" w:lineRule="auto"/>
        <w:ind w:left="0"/>
        <w:contextualSpacing w:val="0"/>
        <w:jc w:val="both"/>
        <w:rPr>
          <w:rFonts w:ascii="Arial" w:eastAsia="Times New Roman" w:hAnsi="Arial"/>
          <w:b/>
          <w:bCs/>
          <w:color w:val="000000" w:themeColor="text1"/>
          <w:szCs w:val="20"/>
        </w:rPr>
      </w:pPr>
      <w:r w:rsidRPr="00BB152D">
        <w:rPr>
          <w:rFonts w:ascii="Arial" w:eastAsia="Times New Roman" w:hAnsi="Arial"/>
          <w:b/>
          <w:bCs/>
          <w:color w:val="000000" w:themeColor="text1"/>
          <w:szCs w:val="20"/>
        </w:rPr>
        <w:t>Two parent and sole parent households</w:t>
      </w:r>
    </w:p>
    <w:bookmarkEnd w:id="9"/>
    <w:p w14:paraId="5DE2B4F7" w14:textId="601E2AEC" w:rsidR="008B7D1F" w:rsidRPr="00BB152D" w:rsidRDefault="008B7D1F">
      <w:pPr>
        <w:pStyle w:val="ListParagraph"/>
        <w:numPr>
          <w:ilvl w:val="0"/>
          <w:numId w:val="62"/>
        </w:numPr>
        <w:spacing w:after="60" w:line="240" w:lineRule="auto"/>
        <w:ind w:left="714" w:hanging="357"/>
        <w:contextualSpacing w:val="0"/>
        <w:rPr>
          <w:rFonts w:ascii="Arial" w:eastAsia="Times New Roman" w:hAnsi="Arial"/>
          <w:bCs/>
          <w:color w:val="000000" w:themeColor="text1"/>
          <w:szCs w:val="20"/>
        </w:rPr>
      </w:pPr>
      <w:r w:rsidRPr="00BB152D">
        <w:rPr>
          <w:rFonts w:ascii="Arial" w:eastAsia="Times New Roman" w:hAnsi="Arial"/>
          <w:bCs/>
          <w:color w:val="000000" w:themeColor="text1"/>
          <w:szCs w:val="20"/>
        </w:rPr>
        <w:t xml:space="preserve">The 2023-24 </w:t>
      </w:r>
      <w:r w:rsidR="005B7573" w:rsidRPr="00BB152D">
        <w:rPr>
          <w:rFonts w:ascii="Arial" w:eastAsia="Times New Roman" w:hAnsi="Arial"/>
          <w:bCs/>
          <w:color w:val="000000" w:themeColor="text1"/>
          <w:szCs w:val="20"/>
        </w:rPr>
        <w:t xml:space="preserve">the </w:t>
      </w:r>
      <w:r w:rsidRPr="00BB152D">
        <w:rPr>
          <w:rFonts w:ascii="Arial" w:eastAsia="Times New Roman" w:hAnsi="Arial"/>
          <w:bCs/>
          <w:color w:val="000000" w:themeColor="text1"/>
          <w:szCs w:val="20"/>
        </w:rPr>
        <w:t xml:space="preserve">EU-13 material hardship rate for New Zealand </w:t>
      </w:r>
      <w:r w:rsidRPr="00BB152D">
        <w:rPr>
          <w:rFonts w:ascii="Arial" w:eastAsia="Times New Roman" w:hAnsi="Arial"/>
          <w:bCs/>
          <w:color w:val="000000" w:themeColor="text1"/>
          <w:szCs w:val="20"/>
          <w:u w:val="single"/>
        </w:rPr>
        <w:t>two parent households</w:t>
      </w:r>
      <w:r w:rsidRPr="00BB152D">
        <w:rPr>
          <w:rFonts w:ascii="Arial" w:eastAsia="Times New Roman" w:hAnsi="Arial"/>
          <w:bCs/>
          <w:color w:val="000000" w:themeColor="text1"/>
          <w:szCs w:val="20"/>
        </w:rPr>
        <w:t xml:space="preserve"> with one or two children </w:t>
      </w:r>
      <w:r w:rsidR="005B7573" w:rsidRPr="00BB152D">
        <w:rPr>
          <w:rFonts w:ascii="Arial" w:eastAsia="Times New Roman" w:hAnsi="Arial"/>
          <w:bCs/>
          <w:color w:val="000000" w:themeColor="text1"/>
          <w:szCs w:val="20"/>
        </w:rPr>
        <w:t>wa</w:t>
      </w:r>
      <w:r w:rsidRPr="00BB152D">
        <w:rPr>
          <w:rFonts w:ascii="Arial" w:eastAsia="Times New Roman" w:hAnsi="Arial"/>
          <w:bCs/>
          <w:color w:val="000000" w:themeColor="text1"/>
          <w:szCs w:val="20"/>
        </w:rPr>
        <w:t xml:space="preserve">s 7%, close to the EU median for this household type (~7%). For two parent households with three or more children the New Zealand rate (15%) is above the median EU rate for this group (12%). </w:t>
      </w:r>
    </w:p>
    <w:p w14:paraId="5D455FD7" w14:textId="77777777" w:rsidR="008B7D1F" w:rsidRPr="00BB152D" w:rsidRDefault="008B7D1F">
      <w:pPr>
        <w:pStyle w:val="ListParagraph"/>
        <w:numPr>
          <w:ilvl w:val="0"/>
          <w:numId w:val="62"/>
        </w:numPr>
        <w:spacing w:after="0" w:line="240" w:lineRule="auto"/>
        <w:rPr>
          <w:rFonts w:ascii="Arial" w:hAnsi="Arial"/>
          <w:b/>
          <w:bCs/>
          <w:color w:val="000000" w:themeColor="text1"/>
        </w:rPr>
      </w:pPr>
      <w:r w:rsidRPr="00BB152D">
        <w:rPr>
          <w:rFonts w:ascii="Arial" w:eastAsia="Times New Roman" w:hAnsi="Arial"/>
          <w:bCs/>
          <w:color w:val="000000" w:themeColor="text1"/>
          <w:szCs w:val="20"/>
        </w:rPr>
        <w:t xml:space="preserve">New Zealand’s EU-13 material hardship rate for </w:t>
      </w:r>
      <w:r w:rsidRPr="00BB152D">
        <w:rPr>
          <w:rFonts w:ascii="Arial" w:eastAsia="Times New Roman" w:hAnsi="Arial"/>
          <w:bCs/>
          <w:color w:val="000000" w:themeColor="text1"/>
          <w:szCs w:val="20"/>
          <w:u w:val="single"/>
        </w:rPr>
        <w:t>sole parent households</w:t>
      </w:r>
      <w:r w:rsidRPr="00BB152D">
        <w:rPr>
          <w:rFonts w:ascii="Arial" w:eastAsia="Times New Roman" w:hAnsi="Arial"/>
          <w:bCs/>
          <w:color w:val="000000" w:themeColor="text1"/>
          <w:szCs w:val="20"/>
        </w:rPr>
        <w:t xml:space="preserve"> (32% in 2023-24) is at the high end of the rankings, </w:t>
      </w:r>
      <w:r w:rsidRPr="00BB152D">
        <w:rPr>
          <w:rFonts w:ascii="Arial" w:eastAsia="Times New Roman" w:hAnsi="Arial"/>
          <w:color w:val="000000" w:themeColor="text1"/>
          <w:szCs w:val="20"/>
        </w:rPr>
        <w:t xml:space="preserve">similar to Hungary, France and Spain, and </w:t>
      </w:r>
      <w:r w:rsidRPr="00BB152D">
        <w:rPr>
          <w:rFonts w:ascii="Arial" w:eastAsia="Times New Roman" w:hAnsi="Arial"/>
          <w:bCs/>
          <w:color w:val="000000" w:themeColor="text1"/>
          <w:szCs w:val="20"/>
        </w:rPr>
        <w:t>well above the European median of 20%.</w:t>
      </w:r>
      <w:r w:rsidRPr="00BB152D">
        <w:rPr>
          <w:rFonts w:ascii="Arial" w:eastAsia="Times New Roman" w:hAnsi="Arial"/>
          <w:color w:val="000000" w:themeColor="text1"/>
          <w:szCs w:val="20"/>
        </w:rPr>
        <w:t xml:space="preserve"> In contrast, Slovenia, Italy, Finland, Poland and Norway have rates in the range of 10 to 17%. </w:t>
      </w:r>
      <w:r w:rsidRPr="00BB152D">
        <w:rPr>
          <w:rFonts w:ascii="Arial" w:eastAsia="Times New Roman" w:hAnsi="Arial"/>
          <w:bCs/>
          <w:color w:val="000000" w:themeColor="text1"/>
          <w:szCs w:val="20"/>
        </w:rPr>
        <w:t>New Zealand also has a relatively high proportion of sole parent households compared with European countries.</w:t>
      </w:r>
      <w:r w:rsidRPr="00BB152D">
        <w:rPr>
          <w:rStyle w:val="FootnoteReference"/>
          <w:rFonts w:ascii="Arial" w:eastAsia="Times New Roman" w:hAnsi="Arial"/>
          <w:bCs/>
          <w:color w:val="000000" w:themeColor="text1"/>
          <w:szCs w:val="20"/>
        </w:rPr>
        <w:footnoteReference w:id="45"/>
      </w:r>
    </w:p>
    <w:p w14:paraId="105E0C0E" w14:textId="77777777" w:rsidR="008B7D1F" w:rsidRPr="00BB152D" w:rsidRDefault="008B7D1F" w:rsidP="00B067E1">
      <w:pPr>
        <w:spacing w:after="0" w:line="240" w:lineRule="auto"/>
        <w:rPr>
          <w:rFonts w:ascii="Arial" w:eastAsia="Times New Roman" w:hAnsi="Arial"/>
          <w:color w:val="000000" w:themeColor="text1"/>
          <w:szCs w:val="20"/>
        </w:rPr>
      </w:pPr>
    </w:p>
    <w:p w14:paraId="051FFE63" w14:textId="71107A21" w:rsidR="00D038D2" w:rsidRPr="00BB152D" w:rsidRDefault="00D038D2" w:rsidP="00365B1E">
      <w:pPr>
        <w:spacing w:after="0" w:line="240" w:lineRule="auto"/>
        <w:rPr>
          <w:rFonts w:ascii="Arial" w:eastAsia="Times New Roman" w:hAnsi="Arial"/>
          <w:b/>
          <w:bCs/>
          <w:color w:val="000000" w:themeColor="text1"/>
          <w:szCs w:val="20"/>
        </w:rPr>
      </w:pPr>
      <w:r w:rsidRPr="00BB152D">
        <w:rPr>
          <w:rFonts w:ascii="Arial" w:eastAsia="Times New Roman" w:hAnsi="Arial"/>
          <w:b/>
          <w:bCs/>
          <w:color w:val="000000" w:themeColor="text1"/>
          <w:szCs w:val="20"/>
        </w:rPr>
        <w:t>Older New Zealanders (6</w:t>
      </w:r>
      <w:r w:rsidR="00A26374" w:rsidRPr="00BB152D">
        <w:rPr>
          <w:rFonts w:ascii="Arial" w:eastAsia="Times New Roman" w:hAnsi="Arial"/>
          <w:b/>
          <w:bCs/>
          <w:color w:val="000000" w:themeColor="text1"/>
          <w:szCs w:val="20"/>
        </w:rPr>
        <w:t>6</w:t>
      </w:r>
      <w:r w:rsidRPr="00BB152D">
        <w:rPr>
          <w:rFonts w:ascii="Arial" w:eastAsia="Times New Roman" w:hAnsi="Arial"/>
          <w:b/>
          <w:bCs/>
          <w:color w:val="000000" w:themeColor="text1"/>
          <w:szCs w:val="20"/>
        </w:rPr>
        <w:t>+) and children (0-17) compared</w:t>
      </w:r>
    </w:p>
    <w:p w14:paraId="32BCA0D8" w14:textId="77777777" w:rsidR="00D038D2" w:rsidRPr="00BB152D" w:rsidRDefault="00D038D2" w:rsidP="00365B1E">
      <w:pPr>
        <w:spacing w:after="0" w:line="240" w:lineRule="auto"/>
        <w:rPr>
          <w:rFonts w:ascii="Arial" w:eastAsia="Times New Roman" w:hAnsi="Arial"/>
          <w:b/>
          <w:bCs/>
          <w:color w:val="000000" w:themeColor="text1"/>
          <w:szCs w:val="20"/>
        </w:rPr>
      </w:pPr>
    </w:p>
    <w:p w14:paraId="4B38C428" w14:textId="0FF72404" w:rsidR="00365B1E" w:rsidRPr="00BB152D" w:rsidRDefault="00FC2024" w:rsidP="00365B1E">
      <w:pPr>
        <w:spacing w:after="0" w:line="240" w:lineRule="auto"/>
        <w:rPr>
          <w:rFonts w:ascii="Arial" w:eastAsia="Times New Roman" w:hAnsi="Arial"/>
          <w:color w:val="000000" w:themeColor="text1"/>
          <w:szCs w:val="20"/>
        </w:rPr>
      </w:pPr>
      <w:r w:rsidRPr="00BB152D">
        <w:rPr>
          <w:rFonts w:ascii="Arial" w:eastAsia="Times New Roman" w:hAnsi="Arial"/>
          <w:b/>
          <w:bCs/>
          <w:color w:val="000000" w:themeColor="text1"/>
          <w:szCs w:val="20"/>
        </w:rPr>
        <w:t>F</w:t>
      </w:r>
      <w:r w:rsidR="00693174" w:rsidRPr="00BB152D">
        <w:rPr>
          <w:rFonts w:ascii="Arial" w:eastAsia="Times New Roman" w:hAnsi="Arial"/>
          <w:b/>
          <w:bCs/>
          <w:color w:val="000000" w:themeColor="text1"/>
          <w:szCs w:val="20"/>
        </w:rPr>
        <w:t xml:space="preserve">igure </w:t>
      </w:r>
      <w:r w:rsidR="007D2856" w:rsidRPr="00BB152D">
        <w:rPr>
          <w:rFonts w:ascii="Arial" w:eastAsia="Times New Roman" w:hAnsi="Arial"/>
          <w:b/>
          <w:bCs/>
          <w:color w:val="000000" w:themeColor="text1"/>
          <w:szCs w:val="20"/>
        </w:rPr>
        <w:t>C.1</w:t>
      </w:r>
      <w:r w:rsidR="00693174" w:rsidRPr="00BB152D">
        <w:rPr>
          <w:rFonts w:ascii="Arial" w:eastAsia="Times New Roman" w:hAnsi="Arial"/>
          <w:color w:val="000000" w:themeColor="text1"/>
          <w:szCs w:val="20"/>
        </w:rPr>
        <w:t xml:space="preserve"> compares the material hardship </w:t>
      </w:r>
      <w:r w:rsidR="00641017" w:rsidRPr="00BB152D">
        <w:rPr>
          <w:rFonts w:ascii="Arial" w:eastAsia="Times New Roman" w:hAnsi="Arial"/>
          <w:color w:val="000000" w:themeColor="text1"/>
          <w:szCs w:val="20"/>
        </w:rPr>
        <w:t xml:space="preserve">(MH) </w:t>
      </w:r>
      <w:r w:rsidR="00693174" w:rsidRPr="00BB152D">
        <w:rPr>
          <w:rFonts w:ascii="Arial" w:eastAsia="Times New Roman" w:hAnsi="Arial"/>
          <w:color w:val="000000" w:themeColor="text1"/>
          <w:szCs w:val="20"/>
        </w:rPr>
        <w:t xml:space="preserve">rates and international rankings </w:t>
      </w:r>
      <w:r w:rsidR="00641017" w:rsidRPr="00BB152D">
        <w:rPr>
          <w:rFonts w:ascii="Arial" w:eastAsia="Times New Roman" w:hAnsi="Arial"/>
          <w:color w:val="000000" w:themeColor="text1"/>
          <w:szCs w:val="20"/>
        </w:rPr>
        <w:t>for children and older New Zealanders (6</w:t>
      </w:r>
      <w:r w:rsidR="00A26374" w:rsidRPr="00BB152D">
        <w:rPr>
          <w:rFonts w:ascii="Arial" w:eastAsia="Times New Roman" w:hAnsi="Arial"/>
          <w:color w:val="000000" w:themeColor="text1"/>
          <w:szCs w:val="20"/>
        </w:rPr>
        <w:t>6</w:t>
      </w:r>
      <w:r w:rsidR="00641017" w:rsidRPr="00BB152D">
        <w:rPr>
          <w:rFonts w:ascii="Arial" w:eastAsia="Times New Roman" w:hAnsi="Arial"/>
          <w:color w:val="000000" w:themeColor="text1"/>
          <w:szCs w:val="20"/>
        </w:rPr>
        <w:t xml:space="preserve">+). </w:t>
      </w:r>
    </w:p>
    <w:p w14:paraId="7CC0B2C4" w14:textId="77777777" w:rsidR="00365B1E" w:rsidRPr="00BB152D" w:rsidRDefault="00365B1E" w:rsidP="00365B1E">
      <w:pPr>
        <w:spacing w:after="0" w:line="240" w:lineRule="auto"/>
        <w:rPr>
          <w:rFonts w:ascii="Arial" w:eastAsia="Times New Roman" w:hAnsi="Arial"/>
          <w:color w:val="000000" w:themeColor="text1"/>
          <w:szCs w:val="20"/>
        </w:rPr>
      </w:pPr>
    </w:p>
    <w:p w14:paraId="477BF619" w14:textId="2A27649C" w:rsidR="00365B1E" w:rsidRPr="00BB152D" w:rsidRDefault="00641017" w:rsidP="00365B1E">
      <w:pPr>
        <w:spacing w:after="0" w:line="240" w:lineRule="auto"/>
        <w:rPr>
          <w:rFonts w:ascii="Arial" w:eastAsia="Times New Roman" w:hAnsi="Arial"/>
          <w:color w:val="000000" w:themeColor="text1"/>
          <w:szCs w:val="20"/>
        </w:rPr>
      </w:pPr>
      <w:r w:rsidRPr="00BB152D">
        <w:rPr>
          <w:rFonts w:ascii="Arial" w:eastAsia="Times New Roman" w:hAnsi="Arial"/>
          <w:color w:val="000000" w:themeColor="text1"/>
          <w:szCs w:val="20"/>
        </w:rPr>
        <w:t xml:space="preserve">The MH rate for older New Zealanders using the EU-13 measure was 5% in 2023-24, </w:t>
      </w:r>
      <w:r w:rsidR="007D2856" w:rsidRPr="00BB152D">
        <w:rPr>
          <w:rFonts w:ascii="Arial" w:eastAsia="Times New Roman" w:hAnsi="Arial"/>
          <w:color w:val="000000" w:themeColor="text1"/>
          <w:szCs w:val="20"/>
        </w:rPr>
        <w:t xml:space="preserve">alongside others at the lower end of the spectrum, and </w:t>
      </w:r>
      <w:r w:rsidRPr="00BB152D">
        <w:rPr>
          <w:rFonts w:ascii="Arial" w:eastAsia="Times New Roman" w:hAnsi="Arial"/>
          <w:color w:val="000000" w:themeColor="text1"/>
          <w:szCs w:val="20"/>
        </w:rPr>
        <w:t xml:space="preserve">below the EU median of </w:t>
      </w:r>
      <w:r w:rsidR="0043329D" w:rsidRPr="00BB152D">
        <w:rPr>
          <w:rFonts w:ascii="Arial" w:eastAsia="Times New Roman" w:hAnsi="Arial"/>
          <w:color w:val="000000" w:themeColor="text1"/>
          <w:szCs w:val="20"/>
        </w:rPr>
        <w:t>7-</w:t>
      </w:r>
      <w:r w:rsidRPr="00BB152D">
        <w:rPr>
          <w:rFonts w:ascii="Arial" w:eastAsia="Times New Roman" w:hAnsi="Arial"/>
          <w:color w:val="000000" w:themeColor="text1"/>
          <w:szCs w:val="20"/>
        </w:rPr>
        <w:t>8%</w:t>
      </w:r>
      <w:r w:rsidR="0043329D" w:rsidRPr="00BB152D">
        <w:rPr>
          <w:rFonts w:ascii="Arial" w:eastAsia="Times New Roman" w:hAnsi="Arial"/>
          <w:color w:val="000000" w:themeColor="text1"/>
          <w:szCs w:val="20"/>
        </w:rPr>
        <w:t xml:space="preserve"> for 2022-23 to 2024-25</w:t>
      </w:r>
      <w:r w:rsidRPr="00BB152D">
        <w:rPr>
          <w:rFonts w:ascii="Arial" w:eastAsia="Times New Roman" w:hAnsi="Arial"/>
          <w:color w:val="000000" w:themeColor="text1"/>
          <w:szCs w:val="20"/>
        </w:rPr>
        <w:t>.</w:t>
      </w:r>
    </w:p>
    <w:p w14:paraId="1668E585" w14:textId="77777777" w:rsidR="00365B1E" w:rsidRPr="00BB152D" w:rsidRDefault="00365B1E" w:rsidP="00365B1E">
      <w:pPr>
        <w:spacing w:after="0" w:line="240" w:lineRule="auto"/>
        <w:rPr>
          <w:rFonts w:ascii="Arial" w:eastAsia="Times New Roman" w:hAnsi="Arial"/>
          <w:color w:val="000000" w:themeColor="text1"/>
          <w:szCs w:val="20"/>
        </w:rPr>
      </w:pPr>
    </w:p>
    <w:p w14:paraId="2DF38416" w14:textId="498E43C5" w:rsidR="00365B1E" w:rsidRPr="00BB152D" w:rsidRDefault="00365B1E" w:rsidP="00365B1E">
      <w:pPr>
        <w:spacing w:after="0" w:line="240" w:lineRule="auto"/>
        <w:rPr>
          <w:rFonts w:ascii="Arial" w:eastAsia="Times New Roman" w:hAnsi="Arial"/>
          <w:color w:val="000000" w:themeColor="text1"/>
          <w:szCs w:val="20"/>
        </w:rPr>
      </w:pPr>
      <w:r w:rsidRPr="00BB152D">
        <w:rPr>
          <w:rFonts w:ascii="Arial" w:eastAsia="Times New Roman" w:hAnsi="Arial"/>
          <w:color w:val="000000" w:themeColor="text1"/>
          <w:szCs w:val="20"/>
        </w:rPr>
        <w:t xml:space="preserve">For New Zealand the ratio of </w:t>
      </w:r>
      <w:r w:rsidR="007D2856" w:rsidRPr="00BB152D">
        <w:rPr>
          <w:rFonts w:ascii="Arial" w:eastAsia="Times New Roman" w:hAnsi="Arial"/>
          <w:color w:val="000000" w:themeColor="text1"/>
          <w:szCs w:val="20"/>
        </w:rPr>
        <w:t xml:space="preserve">the </w:t>
      </w:r>
      <w:r w:rsidRPr="00BB152D">
        <w:rPr>
          <w:rFonts w:ascii="Arial" w:eastAsia="Times New Roman" w:hAnsi="Arial"/>
          <w:color w:val="000000" w:themeColor="text1"/>
          <w:szCs w:val="20"/>
        </w:rPr>
        <w:t>MH rate for children to that for those aged 6</w:t>
      </w:r>
      <w:r w:rsidR="00A26374" w:rsidRPr="00BB152D">
        <w:rPr>
          <w:rFonts w:ascii="Arial" w:eastAsia="Times New Roman" w:hAnsi="Arial"/>
          <w:color w:val="000000" w:themeColor="text1"/>
          <w:szCs w:val="20"/>
        </w:rPr>
        <w:t>6</w:t>
      </w:r>
      <w:r w:rsidRPr="00BB152D">
        <w:rPr>
          <w:rFonts w:ascii="Arial" w:eastAsia="Times New Roman" w:hAnsi="Arial"/>
          <w:color w:val="000000" w:themeColor="text1"/>
          <w:szCs w:val="20"/>
        </w:rPr>
        <w:t>+ is</w:t>
      </w:r>
      <w:r w:rsidR="00823069" w:rsidRPr="00BB152D">
        <w:rPr>
          <w:rFonts w:ascii="Arial" w:eastAsia="Times New Roman" w:hAnsi="Arial"/>
          <w:color w:val="000000" w:themeColor="text1"/>
          <w:szCs w:val="20"/>
        </w:rPr>
        <w:t xml:space="preserve"> 2.9 for 2024, higher than all European countries except Sweden, and well above the country median of 1.3. This </w:t>
      </w:r>
      <w:r w:rsidR="00FC2024" w:rsidRPr="00BB152D">
        <w:rPr>
          <w:rFonts w:ascii="Arial" w:eastAsia="Times New Roman" w:hAnsi="Arial"/>
          <w:color w:val="000000" w:themeColor="text1"/>
          <w:szCs w:val="20"/>
        </w:rPr>
        <w:t xml:space="preserve">ranking </w:t>
      </w:r>
      <w:r w:rsidR="00823069" w:rsidRPr="00BB152D">
        <w:rPr>
          <w:rFonts w:ascii="Arial" w:eastAsia="Times New Roman" w:hAnsi="Arial"/>
          <w:color w:val="000000" w:themeColor="text1"/>
          <w:szCs w:val="20"/>
        </w:rPr>
        <w:t>is longstanding</w:t>
      </w:r>
      <w:r w:rsidR="005163B1" w:rsidRPr="00BB152D">
        <w:rPr>
          <w:rFonts w:ascii="Arial" w:eastAsia="Times New Roman" w:hAnsi="Arial"/>
          <w:color w:val="000000" w:themeColor="text1"/>
          <w:szCs w:val="20"/>
        </w:rPr>
        <w:t>, going back at least to 2008 when the comparison was first available through MSD’s 2008 Living Standards Survey</w:t>
      </w:r>
      <w:r w:rsidR="00FC2024" w:rsidRPr="00BB152D">
        <w:rPr>
          <w:rFonts w:ascii="Arial" w:eastAsia="Times New Roman" w:hAnsi="Arial"/>
          <w:color w:val="000000" w:themeColor="text1"/>
          <w:szCs w:val="20"/>
        </w:rPr>
        <w:t xml:space="preserve">, though the ratio </w:t>
      </w:r>
      <w:r w:rsidR="007D2856" w:rsidRPr="00BB152D">
        <w:rPr>
          <w:rFonts w:ascii="Arial" w:eastAsia="Times New Roman" w:hAnsi="Arial"/>
          <w:color w:val="000000" w:themeColor="text1"/>
          <w:szCs w:val="20"/>
        </w:rPr>
        <w:t xml:space="preserve">itself </w:t>
      </w:r>
      <w:r w:rsidR="00FC2024" w:rsidRPr="00BB152D">
        <w:rPr>
          <w:rFonts w:ascii="Arial" w:eastAsia="Times New Roman" w:hAnsi="Arial"/>
          <w:color w:val="000000" w:themeColor="text1"/>
          <w:szCs w:val="20"/>
        </w:rPr>
        <w:t>is lower now than in 2008</w:t>
      </w:r>
      <w:r w:rsidR="00991C7D">
        <w:rPr>
          <w:rFonts w:ascii="Arial" w:eastAsia="Times New Roman" w:hAnsi="Arial"/>
          <w:color w:val="000000" w:themeColor="text1"/>
          <w:szCs w:val="20"/>
        </w:rPr>
        <w:t>.</w:t>
      </w:r>
    </w:p>
    <w:p w14:paraId="2C4EC7A6" w14:textId="77777777" w:rsidR="00365B1E" w:rsidRPr="00BB152D" w:rsidRDefault="00365B1E" w:rsidP="00365B1E">
      <w:pPr>
        <w:spacing w:after="0" w:line="240" w:lineRule="auto"/>
        <w:rPr>
          <w:rFonts w:ascii="Arial" w:eastAsia="Times New Roman" w:hAnsi="Arial"/>
          <w:color w:val="000000" w:themeColor="text1"/>
          <w:szCs w:val="20"/>
        </w:rPr>
      </w:pPr>
    </w:p>
    <w:p w14:paraId="2F442CBB" w14:textId="2723BC5E" w:rsidR="00641017" w:rsidRPr="00BB152D" w:rsidRDefault="00641017" w:rsidP="00365B1E">
      <w:pPr>
        <w:spacing w:after="0" w:line="240" w:lineRule="auto"/>
        <w:rPr>
          <w:rFonts w:ascii="Arial" w:eastAsia="Times New Roman" w:hAnsi="Arial"/>
          <w:color w:val="000000" w:themeColor="text1"/>
          <w:szCs w:val="20"/>
        </w:rPr>
      </w:pPr>
      <w:r w:rsidRPr="00BB152D">
        <w:rPr>
          <w:rFonts w:ascii="Arial" w:eastAsia="Times New Roman" w:hAnsi="Arial"/>
          <w:color w:val="000000" w:themeColor="text1"/>
          <w:szCs w:val="20"/>
        </w:rPr>
        <w:t xml:space="preserve">The low MH rate </w:t>
      </w:r>
      <w:r w:rsidR="005163B1" w:rsidRPr="00BB152D">
        <w:rPr>
          <w:rFonts w:ascii="Arial" w:eastAsia="Times New Roman" w:hAnsi="Arial"/>
          <w:color w:val="000000" w:themeColor="text1"/>
          <w:szCs w:val="20"/>
        </w:rPr>
        <w:t xml:space="preserve">for older New Zealanders </w:t>
      </w:r>
      <w:r w:rsidRPr="00BB152D">
        <w:rPr>
          <w:rFonts w:ascii="Arial" w:eastAsia="Times New Roman" w:hAnsi="Arial"/>
          <w:color w:val="000000" w:themeColor="text1"/>
          <w:szCs w:val="20"/>
        </w:rPr>
        <w:t>is mainly a reflection of the high mortgage-free home ownership rate for older New Zealanders (~70%, albeit down from 83% in 1995), together with a universal pension (NZ Super) that over the last two decades has mostly been in the range of 50% to 55% of median BHC household income.</w:t>
      </w:r>
    </w:p>
    <w:p w14:paraId="0CC315FD" w14:textId="6574D0AE" w:rsidR="00EE0499" w:rsidRPr="004D50B4" w:rsidRDefault="00EE0499" w:rsidP="00B067E1">
      <w:pPr>
        <w:spacing w:after="0" w:line="240" w:lineRule="auto"/>
        <w:rPr>
          <w:rFonts w:ascii="Arial" w:eastAsia="Times New Roman" w:hAnsi="Arial"/>
          <w:color w:val="0000FF"/>
          <w:szCs w:val="20"/>
        </w:rPr>
      </w:pPr>
    </w:p>
    <w:p w14:paraId="580767B5" w14:textId="4FC34D7A" w:rsidR="00B067E1" w:rsidRPr="000510EE" w:rsidRDefault="00B067E1" w:rsidP="00B067E1">
      <w:pPr>
        <w:pStyle w:val="ListParagraph"/>
        <w:spacing w:after="0" w:line="240" w:lineRule="auto"/>
        <w:ind w:left="0"/>
        <w:jc w:val="center"/>
        <w:rPr>
          <w:rFonts w:ascii="Arial" w:eastAsia="Times New Roman" w:hAnsi="Arial" w:cs="Times New Roman"/>
          <w:b/>
          <w:color w:val="000000" w:themeColor="text1"/>
          <w:sz w:val="18"/>
          <w:szCs w:val="18"/>
        </w:rPr>
      </w:pPr>
      <w:bookmarkStart w:id="10" w:name="_Hlk173915170"/>
      <w:r w:rsidRPr="000510EE">
        <w:rPr>
          <w:rFonts w:ascii="Arial" w:eastAsia="Times New Roman" w:hAnsi="Arial" w:cs="Times New Roman"/>
          <w:b/>
          <w:color w:val="000000" w:themeColor="text1"/>
          <w:sz w:val="18"/>
          <w:szCs w:val="18"/>
        </w:rPr>
        <w:t xml:space="preserve">Figure </w:t>
      </w:r>
      <w:r w:rsidR="007D2856">
        <w:rPr>
          <w:rFonts w:ascii="Arial" w:eastAsia="Times New Roman" w:hAnsi="Arial" w:cs="Times New Roman"/>
          <w:b/>
          <w:color w:val="000000" w:themeColor="text1"/>
          <w:sz w:val="18"/>
          <w:szCs w:val="18"/>
        </w:rPr>
        <w:t>C.1</w:t>
      </w:r>
    </w:p>
    <w:p w14:paraId="2F226E2F" w14:textId="345B50EB" w:rsidR="00B067E1" w:rsidRPr="000510EE" w:rsidRDefault="001512E9" w:rsidP="00B067E1">
      <w:pPr>
        <w:pStyle w:val="ListParagraph"/>
        <w:spacing w:after="0" w:line="240" w:lineRule="auto"/>
        <w:ind w:left="0"/>
        <w:jc w:val="center"/>
        <w:rPr>
          <w:rFonts w:ascii="Arial" w:eastAsia="Times New Roman" w:hAnsi="Arial" w:cs="Times New Roman"/>
          <w:b/>
          <w:color w:val="000000" w:themeColor="text1"/>
          <w:sz w:val="18"/>
          <w:szCs w:val="18"/>
        </w:rPr>
      </w:pPr>
      <w:r w:rsidRPr="007A0F62">
        <w:rPr>
          <w:noProof/>
        </w:rPr>
        <w:drawing>
          <wp:anchor distT="0" distB="0" distL="114300" distR="114300" simplePos="0" relativeHeight="252939264" behindDoc="0" locked="0" layoutInCell="1" allowOverlap="1" wp14:anchorId="338E3B64" wp14:editId="3E84524F">
            <wp:simplePos x="0" y="0"/>
            <wp:positionH relativeFrom="margin">
              <wp:posOffset>2908300</wp:posOffset>
            </wp:positionH>
            <wp:positionV relativeFrom="paragraph">
              <wp:posOffset>259715</wp:posOffset>
            </wp:positionV>
            <wp:extent cx="2901950" cy="1759585"/>
            <wp:effectExtent l="0" t="0" r="0" b="0"/>
            <wp:wrapTopAndBottom/>
            <wp:docPr id="1366696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96078"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01950" cy="1759585"/>
                    </a:xfrm>
                    <a:prstGeom prst="rect">
                      <a:avLst/>
                    </a:prstGeom>
                  </pic:spPr>
                </pic:pic>
              </a:graphicData>
            </a:graphic>
            <wp14:sizeRelH relativeFrom="page">
              <wp14:pctWidth>0</wp14:pctWidth>
            </wp14:sizeRelH>
            <wp14:sizeRelV relativeFrom="page">
              <wp14:pctHeight>0</wp14:pctHeight>
            </wp14:sizeRelV>
          </wp:anchor>
        </w:drawing>
      </w:r>
      <w:r w:rsidR="00F0681E" w:rsidRPr="00F0681E">
        <w:rPr>
          <w:noProof/>
        </w:rPr>
        <w:drawing>
          <wp:anchor distT="0" distB="0" distL="114300" distR="114300" simplePos="0" relativeHeight="253180928" behindDoc="0" locked="0" layoutInCell="1" allowOverlap="1" wp14:anchorId="2B4AD9CC" wp14:editId="32CDA252">
            <wp:simplePos x="0" y="0"/>
            <wp:positionH relativeFrom="margin">
              <wp:posOffset>-82550</wp:posOffset>
            </wp:positionH>
            <wp:positionV relativeFrom="paragraph">
              <wp:posOffset>238760</wp:posOffset>
            </wp:positionV>
            <wp:extent cx="3009900" cy="1855470"/>
            <wp:effectExtent l="0" t="0" r="0" b="0"/>
            <wp:wrapTopAndBottom/>
            <wp:docPr id="751799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9970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09900" cy="1855470"/>
                    </a:xfrm>
                    <a:prstGeom prst="rect">
                      <a:avLst/>
                    </a:prstGeom>
                  </pic:spPr>
                </pic:pic>
              </a:graphicData>
            </a:graphic>
            <wp14:sizeRelH relativeFrom="page">
              <wp14:pctWidth>0</wp14:pctWidth>
            </wp14:sizeRelH>
            <wp14:sizeRelV relativeFrom="page">
              <wp14:pctHeight>0</wp14:pctHeight>
            </wp14:sizeRelV>
          </wp:anchor>
        </w:drawing>
      </w:r>
      <w:r w:rsidR="00B067E1" w:rsidRPr="007A0F62">
        <w:rPr>
          <w:noProof/>
        </w:rPr>
        <w:t xml:space="preserve"> </w:t>
      </w:r>
      <w:r w:rsidR="00B067E1" w:rsidRPr="000510EE">
        <w:rPr>
          <w:rFonts w:ascii="Arial" w:eastAsia="Times New Roman" w:hAnsi="Arial" w:cs="Times New Roman"/>
          <w:b/>
          <w:color w:val="000000" w:themeColor="text1"/>
          <w:sz w:val="18"/>
          <w:szCs w:val="18"/>
        </w:rPr>
        <w:t xml:space="preserve">Material </w:t>
      </w:r>
      <w:r w:rsidR="004A3238">
        <w:rPr>
          <w:rFonts w:ascii="Arial" w:eastAsia="Times New Roman" w:hAnsi="Arial" w:cs="Times New Roman"/>
          <w:b/>
          <w:color w:val="000000" w:themeColor="text1"/>
          <w:sz w:val="18"/>
          <w:szCs w:val="18"/>
        </w:rPr>
        <w:t>hardship</w:t>
      </w:r>
      <w:r w:rsidR="00B067E1" w:rsidRPr="000510EE">
        <w:rPr>
          <w:rFonts w:ascii="Arial" w:eastAsia="Times New Roman" w:hAnsi="Arial" w:cs="Times New Roman"/>
          <w:b/>
          <w:color w:val="000000" w:themeColor="text1"/>
          <w:sz w:val="18"/>
          <w:szCs w:val="18"/>
        </w:rPr>
        <w:t xml:space="preserve"> rates (%), 0-17 yrs compared with </w:t>
      </w:r>
      <w:r w:rsidR="00B067E1">
        <w:rPr>
          <w:rFonts w:ascii="Arial" w:eastAsia="Times New Roman" w:hAnsi="Arial" w:cs="Times New Roman"/>
          <w:b/>
          <w:color w:val="000000" w:themeColor="text1"/>
          <w:sz w:val="18"/>
          <w:szCs w:val="18"/>
        </w:rPr>
        <w:t>those aged 6</w:t>
      </w:r>
      <w:r w:rsidR="00A26374">
        <w:rPr>
          <w:rFonts w:ascii="Arial" w:eastAsia="Times New Roman" w:hAnsi="Arial" w:cs="Times New Roman"/>
          <w:b/>
          <w:color w:val="000000" w:themeColor="text1"/>
          <w:sz w:val="18"/>
          <w:szCs w:val="18"/>
        </w:rPr>
        <w:t>6</w:t>
      </w:r>
      <w:r w:rsidR="00B067E1">
        <w:rPr>
          <w:rFonts w:ascii="Arial" w:eastAsia="Times New Roman" w:hAnsi="Arial" w:cs="Times New Roman"/>
          <w:b/>
          <w:color w:val="000000" w:themeColor="text1"/>
          <w:sz w:val="18"/>
          <w:szCs w:val="18"/>
        </w:rPr>
        <w:t>+ (</w:t>
      </w:r>
      <w:r w:rsidR="00462370">
        <w:rPr>
          <w:rFonts w:ascii="Arial" w:eastAsia="Times New Roman" w:hAnsi="Arial" w:cs="Times New Roman"/>
          <w:b/>
          <w:color w:val="000000" w:themeColor="text1"/>
          <w:sz w:val="18"/>
          <w:szCs w:val="18"/>
        </w:rPr>
        <w:t xml:space="preserve">EU-SILC 2024, </w:t>
      </w:r>
      <w:r w:rsidR="00B067E1">
        <w:rPr>
          <w:rFonts w:ascii="Arial" w:eastAsia="Times New Roman" w:hAnsi="Arial" w:cs="Times New Roman"/>
          <w:b/>
          <w:color w:val="000000" w:themeColor="text1"/>
          <w:sz w:val="18"/>
          <w:szCs w:val="18"/>
        </w:rPr>
        <w:t>HES 2023-24)</w:t>
      </w:r>
    </w:p>
    <w:p w14:paraId="0A3EF1A9" w14:textId="7BF008A3" w:rsidR="00985574" w:rsidRPr="00A1650E" w:rsidRDefault="00985574" w:rsidP="00985574">
      <w:pPr>
        <w:spacing w:before="60" w:after="20" w:line="240" w:lineRule="auto"/>
        <w:rPr>
          <w:rFonts w:ascii="Arial" w:eastAsia="Times New Roman" w:hAnsi="Arial" w:cs="Times New Roman"/>
          <w:color w:val="000000" w:themeColor="text1"/>
          <w:sz w:val="16"/>
          <w:szCs w:val="16"/>
        </w:rPr>
      </w:pPr>
      <w:r w:rsidRPr="00A1650E">
        <w:rPr>
          <w:rFonts w:ascii="Arial" w:eastAsia="Times New Roman" w:hAnsi="Arial" w:cs="Times New Roman"/>
          <w:color w:val="000000" w:themeColor="text1"/>
          <w:sz w:val="16"/>
          <w:szCs w:val="16"/>
        </w:rPr>
        <w:t>Note for Figure C.1</w:t>
      </w:r>
    </w:p>
    <w:p w14:paraId="0F64B56F" w14:textId="7319AC68" w:rsidR="00A1650E" w:rsidRDefault="00985574">
      <w:pPr>
        <w:pStyle w:val="ListParagraph"/>
        <w:numPr>
          <w:ilvl w:val="0"/>
          <w:numId w:val="88"/>
        </w:numPr>
        <w:tabs>
          <w:tab w:val="right" w:pos="9026"/>
        </w:tabs>
        <w:spacing w:after="0" w:line="240" w:lineRule="auto"/>
        <w:ind w:left="284" w:hanging="207"/>
        <w:rPr>
          <w:rFonts w:ascii="Arial" w:hAnsi="Arial"/>
          <w:color w:val="000000" w:themeColor="text1"/>
          <w:sz w:val="16"/>
          <w:szCs w:val="16"/>
        </w:rPr>
      </w:pPr>
      <w:r w:rsidRPr="00A1650E">
        <w:rPr>
          <w:rFonts w:ascii="Arial" w:eastAsia="Times New Roman" w:hAnsi="Arial" w:cs="Times New Roman"/>
          <w:color w:val="000000" w:themeColor="text1"/>
          <w:sz w:val="16"/>
          <w:szCs w:val="16"/>
        </w:rPr>
        <w:t xml:space="preserve">To avoid clutter on the chart </w:t>
      </w:r>
      <w:r w:rsidR="002D64C3" w:rsidRPr="00A1650E">
        <w:rPr>
          <w:rFonts w:ascii="Arial" w:eastAsia="Times New Roman" w:hAnsi="Arial" w:cs="Times New Roman"/>
          <w:color w:val="000000" w:themeColor="text1"/>
          <w:sz w:val="16"/>
          <w:szCs w:val="16"/>
        </w:rPr>
        <w:t xml:space="preserve">Luxembourg and </w:t>
      </w:r>
      <w:r w:rsidRPr="00A1650E">
        <w:rPr>
          <w:rFonts w:ascii="Arial" w:eastAsia="Times New Roman" w:hAnsi="Arial" w:cs="Times New Roman"/>
          <w:color w:val="000000" w:themeColor="text1"/>
          <w:sz w:val="16"/>
          <w:szCs w:val="16"/>
        </w:rPr>
        <w:t>Malta</w:t>
      </w:r>
      <w:r w:rsidR="002D64C3" w:rsidRPr="00A1650E">
        <w:rPr>
          <w:rFonts w:ascii="Arial" w:eastAsia="Times New Roman" w:hAnsi="Arial" w:cs="Times New Roman"/>
          <w:color w:val="000000" w:themeColor="text1"/>
          <w:sz w:val="16"/>
          <w:szCs w:val="16"/>
        </w:rPr>
        <w:t xml:space="preserve"> (small populations of ~600,000)</w:t>
      </w:r>
      <w:r w:rsidRPr="00A1650E">
        <w:rPr>
          <w:rFonts w:ascii="Arial" w:eastAsia="Times New Roman" w:hAnsi="Arial" w:cs="Times New Roman"/>
          <w:color w:val="000000" w:themeColor="text1"/>
          <w:sz w:val="16"/>
          <w:szCs w:val="16"/>
        </w:rPr>
        <w:t xml:space="preserve"> are omitted</w:t>
      </w:r>
      <w:r w:rsidR="002D64C3" w:rsidRPr="00A1650E">
        <w:rPr>
          <w:rFonts w:ascii="Arial" w:eastAsia="Times New Roman" w:hAnsi="Arial" w:cs="Times New Roman"/>
          <w:color w:val="000000" w:themeColor="text1"/>
          <w:sz w:val="16"/>
          <w:szCs w:val="16"/>
        </w:rPr>
        <w:t>, as are Bulgaria and Romania</w:t>
      </w:r>
      <w:r w:rsidRPr="00A1650E">
        <w:rPr>
          <w:rFonts w:ascii="Arial" w:eastAsia="Times New Roman" w:hAnsi="Arial" w:cs="Times New Roman"/>
          <w:color w:val="000000" w:themeColor="text1"/>
          <w:sz w:val="16"/>
          <w:szCs w:val="16"/>
        </w:rPr>
        <w:t xml:space="preserve"> (</w:t>
      </w:r>
      <w:r w:rsidR="002D64C3" w:rsidRPr="00A1650E">
        <w:rPr>
          <w:rFonts w:ascii="Arial" w:eastAsia="Times New Roman" w:hAnsi="Arial" w:cs="Times New Roman"/>
          <w:color w:val="000000" w:themeColor="text1"/>
          <w:sz w:val="16"/>
          <w:szCs w:val="16"/>
        </w:rPr>
        <w:t xml:space="preserve">high MH rates similar to Greece, and their MH rates </w:t>
      </w:r>
      <w:r w:rsidR="00A1650E" w:rsidRPr="00A1650E">
        <w:rPr>
          <w:rFonts w:ascii="Arial" w:hAnsi="Arial"/>
          <w:color w:val="000000" w:themeColor="text1"/>
          <w:sz w:val="16"/>
          <w:szCs w:val="16"/>
        </w:rPr>
        <w:t>for those age 66+ a little higher than the corresponding rate for Greece).</w:t>
      </w:r>
    </w:p>
    <w:p w14:paraId="14BF673E" w14:textId="2921B4C7" w:rsidR="004A08F8" w:rsidRPr="00A1650E" w:rsidRDefault="004A08F8">
      <w:pPr>
        <w:pStyle w:val="ListParagraph"/>
        <w:numPr>
          <w:ilvl w:val="0"/>
          <w:numId w:val="88"/>
        </w:numPr>
        <w:tabs>
          <w:tab w:val="right" w:pos="9026"/>
        </w:tabs>
        <w:spacing w:after="0" w:line="240" w:lineRule="auto"/>
        <w:ind w:left="284" w:hanging="207"/>
        <w:rPr>
          <w:rFonts w:ascii="Arial" w:hAnsi="Arial"/>
          <w:color w:val="000000" w:themeColor="text1"/>
          <w:sz w:val="16"/>
          <w:szCs w:val="16"/>
        </w:rPr>
      </w:pPr>
      <w:r>
        <w:rPr>
          <w:rFonts w:ascii="Arial" w:hAnsi="Arial"/>
          <w:color w:val="000000" w:themeColor="text1"/>
          <w:sz w:val="16"/>
          <w:szCs w:val="16"/>
        </w:rPr>
        <w:t>The reported material hardship rates for children in Figure C.1 are based on figures</w:t>
      </w:r>
      <w:r w:rsidR="00245256">
        <w:rPr>
          <w:rFonts w:ascii="Arial" w:hAnsi="Arial"/>
          <w:color w:val="000000" w:themeColor="text1"/>
          <w:sz w:val="16"/>
          <w:szCs w:val="16"/>
        </w:rPr>
        <w:t xml:space="preserve"> to on dp</w:t>
      </w:r>
      <w:r>
        <w:rPr>
          <w:rFonts w:ascii="Arial" w:hAnsi="Arial"/>
          <w:color w:val="000000" w:themeColor="text1"/>
          <w:sz w:val="16"/>
          <w:szCs w:val="16"/>
        </w:rPr>
        <w:t>. In Table C.1 the figures are all rounded to the nearest whole number.</w:t>
      </w:r>
      <w:r w:rsidR="006D6949">
        <w:rPr>
          <w:rFonts w:ascii="Arial" w:hAnsi="Arial"/>
          <w:color w:val="000000" w:themeColor="text1"/>
          <w:sz w:val="16"/>
          <w:szCs w:val="16"/>
        </w:rPr>
        <w:t xml:space="preserve"> </w:t>
      </w:r>
      <w:r>
        <w:rPr>
          <w:rFonts w:ascii="Arial" w:hAnsi="Arial"/>
          <w:color w:val="000000" w:themeColor="text1"/>
          <w:sz w:val="16"/>
          <w:szCs w:val="16"/>
        </w:rPr>
        <w:t>This means that count</w:t>
      </w:r>
      <w:r w:rsidR="006D6949">
        <w:rPr>
          <w:rFonts w:ascii="Arial" w:hAnsi="Arial"/>
          <w:color w:val="000000" w:themeColor="text1"/>
          <w:sz w:val="16"/>
          <w:szCs w:val="16"/>
        </w:rPr>
        <w:t>r</w:t>
      </w:r>
      <w:r>
        <w:rPr>
          <w:rFonts w:ascii="Arial" w:hAnsi="Arial"/>
          <w:color w:val="000000" w:themeColor="text1"/>
          <w:sz w:val="16"/>
          <w:szCs w:val="16"/>
        </w:rPr>
        <w:t>ies such as Sweden and the Netherlands are both</w:t>
      </w:r>
      <w:r w:rsidR="00245256">
        <w:rPr>
          <w:rFonts w:ascii="Arial" w:hAnsi="Arial"/>
          <w:color w:val="000000" w:themeColor="text1"/>
          <w:sz w:val="16"/>
          <w:szCs w:val="16"/>
        </w:rPr>
        <w:t xml:space="preserve"> </w:t>
      </w:r>
      <w:r>
        <w:rPr>
          <w:rFonts w:ascii="Arial" w:hAnsi="Arial"/>
          <w:color w:val="000000" w:themeColor="text1"/>
          <w:sz w:val="16"/>
          <w:szCs w:val="16"/>
        </w:rPr>
        <w:t>reported with rates of 7% in the table b</w:t>
      </w:r>
      <w:r w:rsidR="006D6949">
        <w:rPr>
          <w:rFonts w:ascii="Arial" w:hAnsi="Arial"/>
          <w:color w:val="000000" w:themeColor="text1"/>
          <w:sz w:val="16"/>
          <w:szCs w:val="16"/>
        </w:rPr>
        <w:t>u</w:t>
      </w:r>
      <w:r>
        <w:rPr>
          <w:rFonts w:ascii="Arial" w:hAnsi="Arial"/>
          <w:color w:val="000000" w:themeColor="text1"/>
          <w:sz w:val="16"/>
          <w:szCs w:val="16"/>
        </w:rPr>
        <w:t xml:space="preserve">t in the chart the </w:t>
      </w:r>
      <w:r w:rsidR="006D6949">
        <w:rPr>
          <w:rFonts w:ascii="Arial" w:hAnsi="Arial"/>
          <w:color w:val="000000" w:themeColor="text1"/>
          <w:sz w:val="16"/>
          <w:szCs w:val="16"/>
        </w:rPr>
        <w:t>heights</w:t>
      </w:r>
      <w:r>
        <w:rPr>
          <w:rFonts w:ascii="Arial" w:hAnsi="Arial"/>
          <w:color w:val="000000" w:themeColor="text1"/>
          <w:sz w:val="16"/>
          <w:szCs w:val="16"/>
        </w:rPr>
        <w:t xml:space="preserve"> of their respective bars are different (6.</w:t>
      </w:r>
      <w:r w:rsidR="006D6949">
        <w:rPr>
          <w:rFonts w:ascii="Arial" w:hAnsi="Arial"/>
          <w:color w:val="000000" w:themeColor="text1"/>
          <w:sz w:val="16"/>
          <w:szCs w:val="16"/>
        </w:rPr>
        <w:t>5%</w:t>
      </w:r>
      <w:r>
        <w:rPr>
          <w:rFonts w:ascii="Arial" w:hAnsi="Arial"/>
          <w:color w:val="000000" w:themeColor="text1"/>
          <w:sz w:val="16"/>
          <w:szCs w:val="16"/>
        </w:rPr>
        <w:t xml:space="preserve"> v 7.4</w:t>
      </w:r>
      <w:r w:rsidR="006D6949">
        <w:rPr>
          <w:rFonts w:ascii="Arial" w:hAnsi="Arial"/>
          <w:color w:val="000000" w:themeColor="text1"/>
          <w:sz w:val="16"/>
          <w:szCs w:val="16"/>
        </w:rPr>
        <w:t>%</w:t>
      </w:r>
      <w:r>
        <w:rPr>
          <w:rFonts w:ascii="Arial" w:hAnsi="Arial"/>
          <w:color w:val="000000" w:themeColor="text1"/>
          <w:sz w:val="16"/>
          <w:szCs w:val="16"/>
        </w:rPr>
        <w:t>).</w:t>
      </w:r>
    </w:p>
    <w:bookmarkEnd w:id="10"/>
    <w:p w14:paraId="686CBF34" w14:textId="1E7096D2" w:rsidR="00555067" w:rsidRPr="00BB152D" w:rsidRDefault="00B067E1" w:rsidP="00B067E1">
      <w:pPr>
        <w:spacing w:after="0" w:line="240" w:lineRule="auto"/>
        <w:rPr>
          <w:rFonts w:ascii="Arial" w:hAnsi="Arial"/>
          <w:b/>
          <w:color w:val="000000" w:themeColor="text1"/>
          <w:sz w:val="22"/>
        </w:rPr>
      </w:pPr>
      <w:r>
        <w:rPr>
          <w:rFonts w:ascii="Arial" w:hAnsi="Arial"/>
          <w:b/>
          <w:bCs/>
          <w:color w:val="000000" w:themeColor="text1"/>
          <w:sz w:val="28"/>
          <w:szCs w:val="32"/>
        </w:rPr>
        <w:br w:type="page"/>
      </w:r>
      <w:r w:rsidRPr="00BB152D">
        <w:rPr>
          <w:rFonts w:ascii="Arial" w:hAnsi="Arial"/>
          <w:b/>
          <w:color w:val="000000" w:themeColor="text1"/>
          <w:sz w:val="22"/>
        </w:rPr>
        <w:lastRenderedPageBreak/>
        <w:t>Child-specific deprivation items and selected child-related household items: comparisons with European countries</w:t>
      </w:r>
      <w:r w:rsidR="00555067" w:rsidRPr="00BB152D">
        <w:rPr>
          <w:rFonts w:ascii="Arial" w:hAnsi="Arial"/>
          <w:b/>
          <w:color w:val="000000" w:themeColor="text1"/>
          <w:sz w:val="22"/>
        </w:rPr>
        <w:t xml:space="preserve"> </w:t>
      </w:r>
    </w:p>
    <w:p w14:paraId="1D5B236F" w14:textId="77777777" w:rsidR="00555067" w:rsidRPr="00BB152D" w:rsidRDefault="00555067" w:rsidP="00B067E1">
      <w:pPr>
        <w:spacing w:after="0" w:line="240" w:lineRule="auto"/>
        <w:rPr>
          <w:rFonts w:ascii="Arial" w:hAnsi="Arial"/>
          <w:b/>
          <w:bCs/>
          <w:color w:val="000000" w:themeColor="text1"/>
          <w:szCs w:val="20"/>
        </w:rPr>
      </w:pPr>
    </w:p>
    <w:p w14:paraId="2BAD05EC" w14:textId="0545B7DF" w:rsidR="00B067E1" w:rsidRPr="00BB152D" w:rsidRDefault="00B067E1" w:rsidP="00B067E1">
      <w:pPr>
        <w:spacing w:after="0" w:line="240" w:lineRule="auto"/>
        <w:rPr>
          <w:rFonts w:ascii="Arial" w:hAnsi="Arial"/>
          <w:color w:val="000000" w:themeColor="text1"/>
          <w:szCs w:val="20"/>
        </w:rPr>
      </w:pPr>
      <w:r w:rsidRPr="00BB152D">
        <w:rPr>
          <w:rFonts w:ascii="Arial" w:hAnsi="Arial"/>
          <w:b/>
          <w:bCs/>
          <w:color w:val="000000" w:themeColor="text1"/>
          <w:szCs w:val="20"/>
        </w:rPr>
        <w:t xml:space="preserve">Table </w:t>
      </w:r>
      <w:r w:rsidR="00555067" w:rsidRPr="00BB152D">
        <w:rPr>
          <w:rFonts w:ascii="Arial" w:hAnsi="Arial"/>
          <w:b/>
          <w:bCs/>
          <w:color w:val="000000" w:themeColor="text1"/>
          <w:szCs w:val="20"/>
        </w:rPr>
        <w:t>C.</w:t>
      </w:r>
      <w:r w:rsidRPr="00BB152D">
        <w:rPr>
          <w:rFonts w:ascii="Arial" w:hAnsi="Arial"/>
          <w:b/>
          <w:bCs/>
          <w:color w:val="000000" w:themeColor="text1"/>
          <w:szCs w:val="20"/>
        </w:rPr>
        <w:t>2</w:t>
      </w:r>
      <w:r w:rsidRPr="00BB152D">
        <w:rPr>
          <w:rFonts w:ascii="Arial" w:hAnsi="Arial"/>
          <w:color w:val="000000" w:themeColor="text1"/>
          <w:szCs w:val="20"/>
        </w:rPr>
        <w:t xml:space="preserve"> shows where New Zealand children rank for 7 child-specific essentials and 4 child-related household items. Most of the items are of the ‘enforced lack’ variety (that is, “don’t have or do” because of shortage of money / cost, not some other reason). The full text for the child-specific items is available in </w:t>
      </w:r>
      <w:r w:rsidRPr="00EB1F00">
        <w:rPr>
          <w:rFonts w:ascii="Arial" w:hAnsi="Arial"/>
          <w:b/>
          <w:bCs/>
          <w:color w:val="000000" w:themeColor="text1"/>
          <w:szCs w:val="20"/>
        </w:rPr>
        <w:t xml:space="preserve">Appendix </w:t>
      </w:r>
      <w:r w:rsidR="0028330F" w:rsidRPr="00EB1F00">
        <w:rPr>
          <w:rFonts w:ascii="Arial" w:hAnsi="Arial"/>
          <w:b/>
          <w:bCs/>
          <w:color w:val="000000" w:themeColor="text1"/>
          <w:szCs w:val="20"/>
        </w:rPr>
        <w:t>3</w:t>
      </w:r>
      <w:r w:rsidRPr="00EB1F00">
        <w:rPr>
          <w:rFonts w:ascii="Arial" w:hAnsi="Arial"/>
          <w:b/>
          <w:bCs/>
          <w:color w:val="000000" w:themeColor="text1"/>
          <w:szCs w:val="20"/>
        </w:rPr>
        <w:t xml:space="preserve"> </w:t>
      </w:r>
      <w:r w:rsidRPr="00EB1F00">
        <w:rPr>
          <w:rFonts w:ascii="Arial" w:hAnsi="Arial"/>
          <w:color w:val="000000" w:themeColor="text1"/>
          <w:szCs w:val="20"/>
        </w:rPr>
        <w:t xml:space="preserve">(Table </w:t>
      </w:r>
      <w:r w:rsidR="0028330F" w:rsidRPr="00EB1F00">
        <w:rPr>
          <w:rFonts w:ascii="Arial" w:hAnsi="Arial"/>
          <w:color w:val="000000" w:themeColor="text1"/>
          <w:szCs w:val="20"/>
        </w:rPr>
        <w:t>3.4</w:t>
      </w:r>
      <w:r w:rsidRPr="00EB1F00">
        <w:rPr>
          <w:rFonts w:ascii="Arial" w:hAnsi="Arial"/>
          <w:color w:val="000000" w:themeColor="text1"/>
          <w:szCs w:val="20"/>
        </w:rPr>
        <w:t>).</w:t>
      </w:r>
      <w:r w:rsidRPr="00BB152D">
        <w:rPr>
          <w:rFonts w:ascii="Arial" w:hAnsi="Arial"/>
          <w:color w:val="000000" w:themeColor="text1"/>
          <w:szCs w:val="20"/>
        </w:rPr>
        <w:t xml:space="preserve">  For </w:t>
      </w:r>
      <w:r w:rsidR="00BB3122">
        <w:rPr>
          <w:rFonts w:ascii="Arial" w:hAnsi="Arial"/>
          <w:color w:val="000000" w:themeColor="text1"/>
          <w:szCs w:val="20"/>
        </w:rPr>
        <w:t>Table C.2</w:t>
      </w:r>
      <w:r w:rsidRPr="00BB152D">
        <w:rPr>
          <w:rFonts w:ascii="Arial" w:hAnsi="Arial"/>
          <w:color w:val="000000" w:themeColor="text1"/>
          <w:szCs w:val="20"/>
        </w:rPr>
        <w:t xml:space="preserve"> children are aged under</w:t>
      </w:r>
      <w:r w:rsidR="00555067" w:rsidRPr="00BB152D">
        <w:rPr>
          <w:rFonts w:ascii="Arial" w:hAnsi="Arial"/>
          <w:color w:val="000000" w:themeColor="text1"/>
          <w:szCs w:val="20"/>
        </w:rPr>
        <w:t xml:space="preserve"> </w:t>
      </w:r>
      <w:r w:rsidRPr="00BB152D">
        <w:rPr>
          <w:rFonts w:ascii="Arial" w:hAnsi="Arial"/>
          <w:color w:val="000000" w:themeColor="text1"/>
          <w:szCs w:val="20"/>
        </w:rPr>
        <w:t>16 yrs.</w:t>
      </w:r>
    </w:p>
    <w:p w14:paraId="27C9044E" w14:textId="77777777" w:rsidR="00B067E1" w:rsidRPr="00E23989" w:rsidRDefault="00B067E1" w:rsidP="00B067E1">
      <w:pPr>
        <w:spacing w:after="0" w:line="240" w:lineRule="auto"/>
        <w:rPr>
          <w:rFonts w:ascii="Arial" w:hAnsi="Arial"/>
          <w:color w:val="0000FF"/>
          <w:szCs w:val="20"/>
        </w:rPr>
      </w:pPr>
    </w:p>
    <w:p w14:paraId="65B6E872" w14:textId="77777777" w:rsidR="00B067E1" w:rsidRPr="00BB152D" w:rsidRDefault="00B067E1" w:rsidP="00B067E1">
      <w:pPr>
        <w:spacing w:after="0" w:line="240" w:lineRule="auto"/>
        <w:rPr>
          <w:rFonts w:ascii="Arial" w:hAnsi="Arial"/>
          <w:color w:val="000000" w:themeColor="text1"/>
          <w:szCs w:val="24"/>
        </w:rPr>
      </w:pPr>
      <w:r w:rsidRPr="00BB152D">
        <w:rPr>
          <w:rFonts w:ascii="Arial" w:hAnsi="Arial"/>
          <w:color w:val="000000" w:themeColor="text1"/>
          <w:szCs w:val="24"/>
        </w:rPr>
        <w:t>The ‘high performance’ for New Zealand children for access to a private vehicle could possibly reflect both the relatively high ‘vehicles per capita’ rate for New Zealand, and the relative qualities across countries of accessible public transport.</w:t>
      </w:r>
    </w:p>
    <w:p w14:paraId="35003B86" w14:textId="77777777" w:rsidR="00B067E1" w:rsidRPr="00BB152D" w:rsidRDefault="00B067E1" w:rsidP="00B067E1">
      <w:pPr>
        <w:spacing w:after="0" w:line="240" w:lineRule="auto"/>
        <w:jc w:val="center"/>
        <w:rPr>
          <w:rFonts w:ascii="Arial" w:hAnsi="Arial"/>
          <w:b/>
          <w:color w:val="000000" w:themeColor="text1"/>
          <w:sz w:val="18"/>
          <w:szCs w:val="18"/>
        </w:rPr>
      </w:pPr>
    </w:p>
    <w:p w14:paraId="64F862E9" w14:textId="187D09E6" w:rsidR="00B067E1" w:rsidRPr="005B0D03" w:rsidRDefault="00B067E1" w:rsidP="00B067E1">
      <w:pPr>
        <w:spacing w:after="0" w:line="240" w:lineRule="auto"/>
        <w:jc w:val="center"/>
        <w:rPr>
          <w:rFonts w:ascii="Arial" w:eastAsia="Times New Roman" w:hAnsi="Arial" w:cs="Times New Roman"/>
          <w:b/>
          <w:color w:val="FF0000"/>
          <w:sz w:val="18"/>
          <w:szCs w:val="18"/>
        </w:rPr>
      </w:pPr>
      <w:r w:rsidRPr="00BB152D">
        <w:rPr>
          <w:rFonts w:ascii="Arial" w:eastAsia="Times New Roman" w:hAnsi="Arial" w:cs="Times New Roman"/>
          <w:b/>
          <w:color w:val="000000" w:themeColor="text1"/>
          <w:sz w:val="18"/>
          <w:szCs w:val="18"/>
        </w:rPr>
        <w:t>Table C.2</w:t>
      </w:r>
    </w:p>
    <w:p w14:paraId="27F77FAE" w14:textId="7E93366B" w:rsidR="00B067E1" w:rsidRPr="00BB152D" w:rsidRDefault="00B067E1" w:rsidP="00B067E1">
      <w:pPr>
        <w:spacing w:after="0" w:line="240" w:lineRule="auto"/>
        <w:jc w:val="center"/>
        <w:rPr>
          <w:rFonts w:ascii="Arial" w:hAnsi="Arial"/>
          <w:b/>
          <w:color w:val="000000" w:themeColor="text1"/>
          <w:sz w:val="18"/>
          <w:szCs w:val="18"/>
        </w:rPr>
      </w:pPr>
      <w:r w:rsidRPr="00BB152D">
        <w:rPr>
          <w:rFonts w:ascii="Arial" w:hAnsi="Arial"/>
          <w:b/>
          <w:color w:val="000000" w:themeColor="text1"/>
          <w:sz w:val="18"/>
          <w:szCs w:val="18"/>
        </w:rPr>
        <w:t xml:space="preserve">Enforced lacks of 7 child-specific items and </w:t>
      </w:r>
      <w:r w:rsidR="007576B3">
        <w:rPr>
          <w:rFonts w:ascii="Arial" w:hAnsi="Arial"/>
          <w:b/>
          <w:color w:val="000000" w:themeColor="text1"/>
          <w:sz w:val="18"/>
          <w:szCs w:val="18"/>
        </w:rPr>
        <w:t>4</w:t>
      </w:r>
      <w:r w:rsidRPr="00BB152D">
        <w:rPr>
          <w:rFonts w:ascii="Arial" w:hAnsi="Arial"/>
          <w:b/>
          <w:color w:val="000000" w:themeColor="text1"/>
          <w:sz w:val="18"/>
          <w:szCs w:val="18"/>
        </w:rPr>
        <w:t xml:space="preserve"> child-related general household items (%):</w:t>
      </w:r>
    </w:p>
    <w:p w14:paraId="5CE9F36D" w14:textId="77777777" w:rsidR="00B067E1" w:rsidRPr="00BB152D" w:rsidRDefault="00B067E1" w:rsidP="00B067E1">
      <w:pPr>
        <w:spacing w:line="240" w:lineRule="auto"/>
        <w:jc w:val="center"/>
        <w:rPr>
          <w:rFonts w:ascii="Arial" w:hAnsi="Arial"/>
          <w:b/>
          <w:color w:val="000000" w:themeColor="text1"/>
          <w:szCs w:val="20"/>
        </w:rPr>
      </w:pPr>
      <w:r w:rsidRPr="00BB152D">
        <w:rPr>
          <w:rFonts w:ascii="Arial" w:hAnsi="Arial"/>
          <w:b/>
          <w:color w:val="000000" w:themeColor="text1"/>
          <w:sz w:val="18"/>
          <w:szCs w:val="18"/>
        </w:rPr>
        <w:t>NZ compared with 25 EU countries (EU-SILC 2021, avg of three HES years 2020-21, 2021-22, and 2022-23)</w:t>
      </w:r>
    </w:p>
    <w:tbl>
      <w:tblPr>
        <w:tblW w:w="8879" w:type="dxa"/>
        <w:tblInd w:w="137" w:type="dxa"/>
        <w:tblLayout w:type="fixed"/>
        <w:tblLook w:val="04A0" w:firstRow="1" w:lastRow="0" w:firstColumn="1" w:lastColumn="0" w:noHBand="0" w:noVBand="1"/>
      </w:tblPr>
      <w:tblGrid>
        <w:gridCol w:w="567"/>
        <w:gridCol w:w="284"/>
        <w:gridCol w:w="567"/>
        <w:gridCol w:w="283"/>
        <w:gridCol w:w="425"/>
        <w:gridCol w:w="284"/>
        <w:gridCol w:w="548"/>
        <w:gridCol w:w="370"/>
        <w:gridCol w:w="423"/>
        <w:gridCol w:w="370"/>
        <w:gridCol w:w="423"/>
        <w:gridCol w:w="370"/>
        <w:gridCol w:w="423"/>
        <w:gridCol w:w="370"/>
        <w:gridCol w:w="423"/>
        <w:gridCol w:w="370"/>
        <w:gridCol w:w="423"/>
        <w:gridCol w:w="370"/>
        <w:gridCol w:w="423"/>
        <w:gridCol w:w="370"/>
        <w:gridCol w:w="423"/>
        <w:gridCol w:w="370"/>
      </w:tblGrid>
      <w:tr w:rsidR="00B067E1" w:rsidRPr="00BB152D" w14:paraId="6E210665" w14:textId="77777777" w:rsidTr="00254EB4">
        <w:trPr>
          <w:trHeight w:val="290"/>
        </w:trPr>
        <w:tc>
          <w:tcPr>
            <w:tcW w:w="5707" w:type="dxa"/>
            <w:gridSpan w:val="14"/>
            <w:tcBorders>
              <w:top w:val="single" w:sz="4" w:space="0" w:color="auto"/>
              <w:left w:val="single" w:sz="4" w:space="0" w:color="auto"/>
              <w:bottom w:val="single" w:sz="4" w:space="0" w:color="auto"/>
              <w:right w:val="single" w:sz="4" w:space="0" w:color="000000"/>
            </w:tcBorders>
            <w:noWrap/>
            <w:vAlign w:val="center"/>
            <w:hideMark/>
          </w:tcPr>
          <w:p w14:paraId="162C85CD"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Child-specific items</w:t>
            </w:r>
          </w:p>
        </w:tc>
        <w:tc>
          <w:tcPr>
            <w:tcW w:w="3172" w:type="dxa"/>
            <w:gridSpan w:val="8"/>
            <w:tcBorders>
              <w:top w:val="single" w:sz="4" w:space="0" w:color="auto"/>
              <w:left w:val="nil"/>
              <w:bottom w:val="single" w:sz="4" w:space="0" w:color="auto"/>
              <w:right w:val="single" w:sz="4" w:space="0" w:color="000000"/>
            </w:tcBorders>
            <w:noWrap/>
            <w:vAlign w:val="center"/>
            <w:hideMark/>
          </w:tcPr>
          <w:p w14:paraId="4515BDD9"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Child-related HH items</w:t>
            </w:r>
          </w:p>
        </w:tc>
      </w:tr>
      <w:tr w:rsidR="00B067E1" w:rsidRPr="00BB152D" w14:paraId="11CE3869" w14:textId="77777777" w:rsidTr="00254EB4">
        <w:trPr>
          <w:trHeight w:val="280"/>
        </w:trPr>
        <w:tc>
          <w:tcPr>
            <w:tcW w:w="851" w:type="dxa"/>
            <w:gridSpan w:val="2"/>
            <w:tcBorders>
              <w:top w:val="nil"/>
              <w:left w:val="single" w:sz="4" w:space="0" w:color="auto"/>
              <w:bottom w:val="single" w:sz="6" w:space="0" w:color="auto"/>
              <w:right w:val="single" w:sz="4" w:space="0" w:color="000000"/>
            </w:tcBorders>
            <w:tcMar>
              <w:left w:w="0" w:type="dxa"/>
              <w:right w:w="0" w:type="dxa"/>
            </w:tcMar>
            <w:vAlign w:val="center"/>
            <w:hideMark/>
          </w:tcPr>
          <w:p w14:paraId="03FF455C"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Shoes</w:t>
            </w:r>
          </w:p>
        </w:tc>
        <w:tc>
          <w:tcPr>
            <w:tcW w:w="850" w:type="dxa"/>
            <w:gridSpan w:val="2"/>
            <w:tcBorders>
              <w:top w:val="nil"/>
              <w:left w:val="nil"/>
              <w:bottom w:val="single" w:sz="6" w:space="0" w:color="auto"/>
              <w:right w:val="single" w:sz="4" w:space="0" w:color="000000"/>
            </w:tcBorders>
            <w:tcMar>
              <w:left w:w="0" w:type="dxa"/>
              <w:right w:w="0" w:type="dxa"/>
            </w:tcMar>
            <w:vAlign w:val="center"/>
            <w:hideMark/>
          </w:tcPr>
          <w:p w14:paraId="731486DA"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Fruit &amp; veg</w:t>
            </w:r>
          </w:p>
        </w:tc>
        <w:tc>
          <w:tcPr>
            <w:tcW w:w="709" w:type="dxa"/>
            <w:gridSpan w:val="2"/>
            <w:tcBorders>
              <w:top w:val="single" w:sz="4" w:space="0" w:color="auto"/>
              <w:left w:val="nil"/>
              <w:bottom w:val="single" w:sz="6" w:space="0" w:color="auto"/>
              <w:right w:val="single" w:sz="4" w:space="0" w:color="000000"/>
            </w:tcBorders>
            <w:tcMar>
              <w:left w:w="0" w:type="dxa"/>
              <w:right w:w="0" w:type="dxa"/>
            </w:tcMar>
            <w:vAlign w:val="center"/>
            <w:hideMark/>
          </w:tcPr>
          <w:p w14:paraId="75864E61"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Proteins</w:t>
            </w:r>
          </w:p>
        </w:tc>
        <w:tc>
          <w:tcPr>
            <w:tcW w:w="918" w:type="dxa"/>
            <w:gridSpan w:val="2"/>
            <w:tcBorders>
              <w:top w:val="nil"/>
              <w:left w:val="nil"/>
              <w:bottom w:val="single" w:sz="6" w:space="0" w:color="auto"/>
              <w:right w:val="single" w:sz="4" w:space="0" w:color="000000"/>
            </w:tcBorders>
            <w:tcMar>
              <w:left w:w="0" w:type="dxa"/>
              <w:right w:w="0" w:type="dxa"/>
            </w:tcMar>
            <w:vAlign w:val="center"/>
            <w:hideMark/>
          </w:tcPr>
          <w:p w14:paraId="3C79E2BD"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Celebration</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2AFC3E1C"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Friends</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29E77CA8"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Schl trips</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30A6139F"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Holidays</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6E4B8563"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Arrears</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624923DE"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Internet</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2AF1F40F"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Hm warm</w:t>
            </w:r>
          </w:p>
        </w:tc>
        <w:tc>
          <w:tcPr>
            <w:tcW w:w="793" w:type="dxa"/>
            <w:gridSpan w:val="2"/>
            <w:tcBorders>
              <w:top w:val="nil"/>
              <w:left w:val="nil"/>
              <w:bottom w:val="single" w:sz="6" w:space="0" w:color="auto"/>
              <w:right w:val="single" w:sz="4" w:space="0" w:color="000000"/>
            </w:tcBorders>
            <w:tcMar>
              <w:left w:w="0" w:type="dxa"/>
              <w:right w:w="0" w:type="dxa"/>
            </w:tcMar>
            <w:vAlign w:val="center"/>
            <w:hideMark/>
          </w:tcPr>
          <w:p w14:paraId="1F2CB952"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eastAsia="Times New Roman" w:hAnsi="Arial"/>
                <w:b/>
                <w:bCs/>
                <w:color w:val="000000" w:themeColor="text1"/>
                <w:sz w:val="14"/>
                <w:szCs w:val="14"/>
                <w:lang w:eastAsia="en-NZ"/>
              </w:rPr>
              <w:t>Car</w:t>
            </w:r>
          </w:p>
        </w:tc>
      </w:tr>
      <w:tr w:rsidR="00B067E1" w:rsidRPr="00BB152D" w14:paraId="6653ED64" w14:textId="77777777" w:rsidTr="00254EB4">
        <w:trPr>
          <w:trHeight w:val="290"/>
        </w:trPr>
        <w:tc>
          <w:tcPr>
            <w:tcW w:w="567" w:type="dxa"/>
            <w:tcBorders>
              <w:top w:val="single" w:sz="6" w:space="0" w:color="auto"/>
              <w:left w:val="single" w:sz="6" w:space="0" w:color="auto"/>
              <w:bottom w:val="single" w:sz="4" w:space="0" w:color="auto"/>
              <w:right w:val="single" w:sz="6" w:space="0" w:color="auto"/>
            </w:tcBorders>
            <w:noWrap/>
            <w:vAlign w:val="center"/>
            <w:hideMark/>
          </w:tcPr>
          <w:p w14:paraId="2F56E1C6"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284"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3320234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67"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72F7078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28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09E9B07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6" w:space="0" w:color="auto"/>
              <w:left w:val="single" w:sz="6" w:space="0" w:color="auto"/>
              <w:bottom w:val="single" w:sz="4" w:space="0" w:color="auto"/>
              <w:right w:val="single" w:sz="6" w:space="0" w:color="auto"/>
            </w:tcBorders>
            <w:noWrap/>
            <w:vAlign w:val="center"/>
            <w:hideMark/>
          </w:tcPr>
          <w:p w14:paraId="6523DC5C"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284" w:type="dxa"/>
            <w:tcBorders>
              <w:top w:val="single" w:sz="6" w:space="0" w:color="auto"/>
              <w:left w:val="single" w:sz="6" w:space="0" w:color="auto"/>
              <w:bottom w:val="single" w:sz="4" w:space="0" w:color="auto"/>
              <w:right w:val="single" w:sz="6" w:space="0" w:color="auto"/>
            </w:tcBorders>
            <w:noWrap/>
            <w:vAlign w:val="center"/>
            <w:hideMark/>
          </w:tcPr>
          <w:p w14:paraId="2BC99D6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48"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70A9169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21D3ACD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5099966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2F2AF9E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1EC1032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6DA1F36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7902F41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015B933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312C668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0F65001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30C12B3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7DA2B4C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65FF154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05E0C76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1B4D5B4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6" w:space="0" w:color="auto"/>
              <w:left w:val="single" w:sz="6" w:space="0" w:color="auto"/>
              <w:bottom w:val="single" w:sz="4" w:space="0" w:color="auto"/>
              <w:right w:val="single" w:sz="6" w:space="0" w:color="auto"/>
            </w:tcBorders>
            <w:noWrap/>
            <w:tcMar>
              <w:left w:w="28" w:type="dxa"/>
              <w:right w:w="28" w:type="dxa"/>
            </w:tcMar>
            <w:vAlign w:val="center"/>
            <w:hideMark/>
          </w:tcPr>
          <w:p w14:paraId="01B3B5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r>
      <w:tr w:rsidR="00B067E1" w:rsidRPr="00BB152D" w14:paraId="7FBBE42B"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3CC711F0"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C07F14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7C07A3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E1CD9F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43E26744"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5FA07EA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B28D76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8DBECA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813580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925D53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B70BD4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F1A05A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4581F8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3BD5C0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2811D7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E532CC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7EA898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BAA6D0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424E0A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5CC763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DED66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2D3BB0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r>
      <w:tr w:rsidR="00B067E1" w:rsidRPr="00BB152D" w14:paraId="7CCC4B83"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662D4EE3"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33851A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2A2335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397596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504DC059"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51D900C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D00BCF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05D6F2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B7DD97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60CDAB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62E62B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C8DB29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30A0A5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33BE5F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F1918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D6840B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3872BB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3A585D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00B777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2F2260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EAAD88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418D0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r>
      <w:tr w:rsidR="00B067E1" w:rsidRPr="00BB152D" w14:paraId="3BC965AE"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4479D81A"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1642C7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B0BCFD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F3049F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1A913AD5"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508AAB2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2D51D0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4C8A82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0E6F88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7D9BE6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769F0A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640EBF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3AA15C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F12A7C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9BC068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D53B64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8462B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4CAC9D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2ACFC2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152BBA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DF62B8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7F0611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r>
      <w:tr w:rsidR="00B067E1" w:rsidRPr="00BB152D" w14:paraId="266F9B25"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384E9223"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9491EF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535797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F81A99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1C54CEA5"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7C8844E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2C8AEF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7ECC0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0AF287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AB10D3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554CD9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1603F8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471C27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B3DE6F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0D326B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F820EB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B7BEF4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9669D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167B6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2DE76D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4B816E3E"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3F6F2873"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2</w:t>
            </w:r>
          </w:p>
        </w:tc>
      </w:tr>
      <w:tr w:rsidR="00B067E1" w:rsidRPr="00BB152D" w14:paraId="73389552"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229FAC57"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2A34D8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DE268F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1E2CB8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54A6485D"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0A33079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2B692E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12E957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328BF2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D39717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FC1B9B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5FE8E2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19F4A2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6EC7CA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9760AC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0872E8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D11F06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43F773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1CCE80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CEEEC4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EA2F9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72F78C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r>
      <w:tr w:rsidR="00B067E1" w:rsidRPr="00BB152D" w14:paraId="61570AC0"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5CC56BE4"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CC8E27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1A4EAD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ED2EEE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4D2342B2"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5CC2846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D5E1FD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EF7317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C31D0A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E1EDE3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13F3F9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2766CE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43BA6F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F821B0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D54346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26A871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BCC6D7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C915E3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FD7E32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8324F8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D21810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95EB51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r>
      <w:tr w:rsidR="00B067E1" w:rsidRPr="00BB152D" w14:paraId="34B27C06"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63445332"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38912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824BBB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4431B3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5D774FB0"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4538FCD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647844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0AAE4B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7155EE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9E5B74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CB4FAF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60C4C8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0E030A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3B85D0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2D68D6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FB351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3034D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768815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35A60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82FAE8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846D27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005419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r>
      <w:tr w:rsidR="00B067E1" w:rsidRPr="00BB152D" w14:paraId="67D714EB"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3E4CCC2B"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3416D3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008419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EE</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7C8C01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6B7E9084"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717B078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7DC64F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D1B187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387B12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7A3158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67DD46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4495C2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D608ED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C53DB8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81A216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D7FAE2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9</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648EA2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64CC2A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9D42F4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26698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8AAEC0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02DCB2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r>
      <w:tr w:rsidR="00B067E1" w:rsidRPr="00BB152D" w14:paraId="2922690D"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414A6A57"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EDE65D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F4F77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C56ED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7539D7D6"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471A339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33AE61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599512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5CB0E6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9F33E1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3A28BB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DD6D9A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667A96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1DB1CA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DE60D2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D9361A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9</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A15ADB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CB616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0978D1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10BF0B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21D613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C2817B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r>
      <w:tr w:rsidR="00B067E1" w:rsidRPr="00BB152D" w14:paraId="5C409E01"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2824D996"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NL</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8BC1C5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39929E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5EA328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74A13F2E"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6901B54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1936E0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FF1069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95C47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89EDBC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161B7D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D5CBA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0F32F2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6477F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55BB45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A227DD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842943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D3C1C0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60B240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7246A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F0D8F9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64B928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r>
      <w:tr w:rsidR="00B067E1" w:rsidRPr="00BB152D" w14:paraId="24738CBF"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35FA7437"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449326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71E894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984708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08DDFD28"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4745A2A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57DA03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77EC4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6B0C75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6DB78F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BC965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9DF5B3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8BA68B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250800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54DAD2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SI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FF83B4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107271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A72EFA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66094C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238C8F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783C0A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48243E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r>
      <w:tr w:rsidR="00B067E1" w:rsidRPr="00BB152D" w14:paraId="624842A3"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7FEB4C15"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0D2B38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E3DD2C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CAFD0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4A58A188"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4539CD4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584663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3534FB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E26B8C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E8AE60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tcPr>
          <w:p w14:paraId="61A7AEE6"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tcPr>
          <w:p w14:paraId="78EDA044"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2A546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5F5C00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FD48BA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7FD9D7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78DDED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8AB332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AD53BF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16AA84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3C6B06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86ABFA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r>
      <w:tr w:rsidR="00B067E1" w:rsidRPr="00BB152D" w14:paraId="4143366B"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09314B8C"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32BF5A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87BDF9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33C4D4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0B6CD4CA"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692C0DD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A1CD83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FA066C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79429E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A193B1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4FBF07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043DCC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67A24F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6EA2EE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115CA6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C02A8A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D0C392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8FA439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4000CA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0F2A58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7C6239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AT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74FF3A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r>
      <w:tr w:rsidR="00B067E1" w:rsidRPr="00BB152D" w14:paraId="226DFA8A"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4A8B7E2A"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473DC2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BD2E97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554484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3D6502BD"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6726E2C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9D5D4A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B4B58D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149C11F7"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4269ECE6"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4B207E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CE6D6C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ECB703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D9D67B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AA0C10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41B0D4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CDA2D4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9088CC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80DBC2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1F7384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3699B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DK</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DB2E0F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r>
      <w:tr w:rsidR="00B067E1" w:rsidRPr="00BB152D" w14:paraId="59C01037"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7031558C"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FABDEC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F8D9EE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715E95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vAlign w:val="center"/>
            <w:hideMark/>
          </w:tcPr>
          <w:p w14:paraId="0EA6B942" w14:textId="77777777" w:rsidR="00B067E1" w:rsidRPr="00BB152D" w:rsidRDefault="00B067E1" w:rsidP="00254EB4">
            <w:pPr>
              <w:spacing w:after="0" w:line="240" w:lineRule="auto"/>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284"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vAlign w:val="center"/>
            <w:hideMark/>
          </w:tcPr>
          <w:p w14:paraId="2D1DC0FD"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2</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981839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8A26EA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A7CEAD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54A2DF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9D16FD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2BD27A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DA8397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9B182B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16</w:t>
            </w:r>
          </w:p>
        </w:tc>
        <w:tc>
          <w:tcPr>
            <w:tcW w:w="42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79F08350"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1AEA964A"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11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494630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BA8150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A3C8A2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F8E0D9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7ABE52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8838CD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r>
      <w:tr w:rsidR="00B067E1" w:rsidRPr="00BB152D" w14:paraId="18342B8D"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383AF994"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985764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018A2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C2C12C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71D87198"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178ABB3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03E306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D4F64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0F8E77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7D4D31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shd w:val="clear" w:color="auto" w:fill="D0CECE" w:themeFill="background2" w:themeFillShade="E6"/>
            <w:noWrap/>
            <w:tcMar>
              <w:left w:w="28" w:type="dxa"/>
              <w:right w:w="28" w:type="dxa"/>
            </w:tcMar>
            <w:vAlign w:val="center"/>
            <w:hideMark/>
          </w:tcPr>
          <w:p w14:paraId="6AB2F3CB"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0CECE" w:themeFill="background2" w:themeFillShade="E6"/>
            <w:noWrap/>
            <w:tcMar>
              <w:left w:w="28" w:type="dxa"/>
              <w:right w:w="28" w:type="dxa"/>
            </w:tcMar>
            <w:vAlign w:val="center"/>
            <w:hideMark/>
          </w:tcPr>
          <w:p w14:paraId="6E3FA143"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A1A847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658D6A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92E623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FI</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37B74C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23C067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3D07C4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03BF44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717FF4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EA8D6F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CZ</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E4C17A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r>
      <w:tr w:rsidR="00B067E1" w:rsidRPr="00BB152D" w14:paraId="1AFFEE9A"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24777772"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62E253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35739F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457003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58B0D94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138C970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38B4C7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200AE3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2971E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4030AD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3C40A9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2D6071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7DAA97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AA4F9B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60D1BD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FF163E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A91ED6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B4E795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C92CDE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6F2376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544BA3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8A7DE1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r>
      <w:tr w:rsidR="00B067E1" w:rsidRPr="00BB152D" w14:paraId="2EA5274C"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6771400B"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EB2C56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B4AFCD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FR</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6D2C5C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0EFB59C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5BB047D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C1CCF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9E0035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1ED90A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1D415C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054B12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C1D566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C876A9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2118BF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21</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633132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0721D8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4E3888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7F97DA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29557A7B"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4F48973A"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EDE5E0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3CA9AE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r>
      <w:tr w:rsidR="00B067E1" w:rsidRPr="00BB152D" w14:paraId="711B70EB"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vAlign w:val="center"/>
            <w:hideMark/>
          </w:tcPr>
          <w:p w14:paraId="10E15BDD" w14:textId="77777777" w:rsidR="00B067E1" w:rsidRPr="00BB152D" w:rsidRDefault="00B067E1" w:rsidP="00254EB4">
            <w:pPr>
              <w:spacing w:after="0" w:line="240" w:lineRule="auto"/>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284"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308DEB2D"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3</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F83F88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E27BC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4FB3839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34CC333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48"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18D49188"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2DDFC0C2"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BF2AEB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8256CF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ED1E21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4DCA76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00F536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6FFF56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24</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4765FD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C47726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18</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FCB55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8C6391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7897A8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02D7B7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E6141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49E89D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r>
      <w:tr w:rsidR="00B067E1" w:rsidRPr="00BB152D" w14:paraId="5C24F235"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44C7E9D2"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BE</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462004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EB12EE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E60697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03BA101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1406DA9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5FD26E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BCA476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A22324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CF0A5C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7150C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PT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D9AD25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2784814B"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2160CF5F"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25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A00410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HR</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6CBC1B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1D3ACA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09433D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096053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652F2B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73600E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DCCFD7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r>
      <w:tr w:rsidR="00B067E1" w:rsidRPr="00BB152D" w14:paraId="6FA7F150"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106CC0A3"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MT</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726D77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567"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682527E1"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28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7477C44B"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3</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31B25E1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22D17BE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3</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98AAF3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871E06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3BB759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99AD9F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4A9278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85E72D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A683AD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BA5D51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3EDD4A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ES</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6034B0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20</w:t>
            </w:r>
          </w:p>
        </w:tc>
        <w:tc>
          <w:tcPr>
            <w:tcW w:w="423"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276329C2"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NZ</w:t>
            </w:r>
          </w:p>
        </w:tc>
        <w:tc>
          <w:tcPr>
            <w:tcW w:w="370" w:type="dxa"/>
            <w:tcBorders>
              <w:top w:val="single" w:sz="4" w:space="0" w:color="auto"/>
              <w:left w:val="single" w:sz="6" w:space="0" w:color="auto"/>
              <w:bottom w:val="single" w:sz="4" w:space="0" w:color="auto"/>
              <w:right w:val="single" w:sz="6" w:space="0" w:color="auto"/>
            </w:tcBorders>
            <w:shd w:val="clear" w:color="auto" w:fill="D9D9D9" w:themeFill="background1" w:themeFillShade="D9"/>
            <w:noWrap/>
            <w:tcMar>
              <w:left w:w="28" w:type="dxa"/>
              <w:right w:w="28" w:type="dxa"/>
            </w:tcMar>
            <w:vAlign w:val="center"/>
            <w:hideMark/>
          </w:tcPr>
          <w:p w14:paraId="2245D0DE" w14:textId="77777777" w:rsidR="00B067E1" w:rsidRPr="00BB152D" w:rsidRDefault="00B067E1" w:rsidP="00254EB4">
            <w:pPr>
              <w:spacing w:after="0" w:line="240" w:lineRule="auto"/>
              <w:jc w:val="center"/>
              <w:rPr>
                <w:rFonts w:ascii="Arial" w:eastAsia="Times New Roman" w:hAnsi="Arial"/>
                <w:b/>
                <w:bCs/>
                <w:color w:val="000000" w:themeColor="text1"/>
                <w:sz w:val="14"/>
                <w:szCs w:val="14"/>
                <w:lang w:eastAsia="en-NZ"/>
              </w:rPr>
            </w:pPr>
            <w:r w:rsidRPr="00BB152D">
              <w:rPr>
                <w:rFonts w:ascii="Arial" w:hAnsi="Arial"/>
                <w:b/>
                <w:bCs/>
                <w:color w:val="000000" w:themeColor="text1"/>
                <w:sz w:val="14"/>
                <w:szCs w:val="14"/>
              </w:rPr>
              <w:t>3</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B6AA2D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4F7372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17</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B0AB90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DE</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5699C8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7</w:t>
            </w:r>
          </w:p>
        </w:tc>
      </w:tr>
      <w:tr w:rsidR="00B067E1" w:rsidRPr="00BB152D" w14:paraId="2690CFFB" w14:textId="77777777" w:rsidTr="00254EB4">
        <w:trPr>
          <w:trHeight w:val="290"/>
        </w:trPr>
        <w:tc>
          <w:tcPr>
            <w:tcW w:w="567" w:type="dxa"/>
            <w:tcBorders>
              <w:top w:val="single" w:sz="4" w:space="0" w:color="auto"/>
              <w:left w:val="single" w:sz="6" w:space="0" w:color="auto"/>
              <w:bottom w:val="single" w:sz="4" w:space="0" w:color="auto"/>
              <w:right w:val="single" w:sz="6" w:space="0" w:color="auto"/>
            </w:tcBorders>
            <w:noWrap/>
            <w:vAlign w:val="center"/>
            <w:hideMark/>
          </w:tcPr>
          <w:p w14:paraId="18E1827A"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284"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E5731E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567"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2222B8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28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3EBE3B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425" w:type="dxa"/>
            <w:tcBorders>
              <w:top w:val="single" w:sz="4" w:space="0" w:color="auto"/>
              <w:left w:val="single" w:sz="6" w:space="0" w:color="auto"/>
              <w:bottom w:val="single" w:sz="4" w:space="0" w:color="auto"/>
              <w:right w:val="single" w:sz="6" w:space="0" w:color="auto"/>
            </w:tcBorders>
            <w:noWrap/>
            <w:vAlign w:val="center"/>
            <w:hideMark/>
          </w:tcPr>
          <w:p w14:paraId="4B8C5E0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284" w:type="dxa"/>
            <w:tcBorders>
              <w:top w:val="single" w:sz="4" w:space="0" w:color="auto"/>
              <w:left w:val="single" w:sz="6" w:space="0" w:color="auto"/>
              <w:bottom w:val="single" w:sz="4" w:space="0" w:color="auto"/>
              <w:right w:val="single" w:sz="6" w:space="0" w:color="auto"/>
            </w:tcBorders>
            <w:noWrap/>
            <w:vAlign w:val="center"/>
            <w:hideMark/>
          </w:tcPr>
          <w:p w14:paraId="63008F0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548"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77CFBB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0D2012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3826B2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0D550C3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2C33C1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66E42756"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9C5F78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1AB6D48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26</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730540D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B95A8F0"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77ECC7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IT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4675C8F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5</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2FAAA0B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LT</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3FE54EA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19</w:t>
            </w:r>
          </w:p>
        </w:tc>
        <w:tc>
          <w:tcPr>
            <w:tcW w:w="423"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07F86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LV</w:t>
            </w:r>
          </w:p>
        </w:tc>
        <w:tc>
          <w:tcPr>
            <w:tcW w:w="370" w:type="dxa"/>
            <w:tcBorders>
              <w:top w:val="single" w:sz="4" w:space="0" w:color="auto"/>
              <w:left w:val="single" w:sz="6" w:space="0" w:color="auto"/>
              <w:bottom w:val="single" w:sz="4" w:space="0" w:color="auto"/>
              <w:right w:val="single" w:sz="6" w:space="0" w:color="auto"/>
            </w:tcBorders>
            <w:noWrap/>
            <w:tcMar>
              <w:left w:w="28" w:type="dxa"/>
              <w:right w:w="28" w:type="dxa"/>
            </w:tcMar>
            <w:vAlign w:val="center"/>
            <w:hideMark/>
          </w:tcPr>
          <w:p w14:paraId="5BD21C34"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9</w:t>
            </w:r>
          </w:p>
        </w:tc>
      </w:tr>
      <w:tr w:rsidR="00B067E1" w:rsidRPr="00BB152D" w14:paraId="62F3E812" w14:textId="77777777" w:rsidTr="00254EB4">
        <w:trPr>
          <w:trHeight w:val="290"/>
        </w:trPr>
        <w:tc>
          <w:tcPr>
            <w:tcW w:w="567" w:type="dxa"/>
            <w:tcBorders>
              <w:top w:val="single" w:sz="4" w:space="0" w:color="auto"/>
              <w:left w:val="single" w:sz="6" w:space="0" w:color="auto"/>
              <w:bottom w:val="single" w:sz="6" w:space="0" w:color="auto"/>
              <w:right w:val="single" w:sz="6" w:space="0" w:color="auto"/>
            </w:tcBorders>
            <w:noWrap/>
            <w:vAlign w:val="center"/>
            <w:hideMark/>
          </w:tcPr>
          <w:p w14:paraId="1C87A8E7" w14:textId="77777777" w:rsidR="00B067E1" w:rsidRPr="00BB152D" w:rsidRDefault="00B067E1" w:rsidP="00254EB4">
            <w:pPr>
              <w:spacing w:after="0" w:line="240" w:lineRule="auto"/>
              <w:rPr>
                <w:rFonts w:ascii="Arial" w:eastAsia="Times New Roman" w:hAnsi="Arial"/>
                <w:color w:val="000000" w:themeColor="text1"/>
                <w:sz w:val="14"/>
                <w:szCs w:val="14"/>
                <w:lang w:eastAsia="en-NZ"/>
              </w:rPr>
            </w:pPr>
            <w:r w:rsidRPr="00BB152D">
              <w:rPr>
                <w:rFonts w:ascii="Arial" w:hAnsi="Arial"/>
                <w:color w:val="000000" w:themeColor="text1"/>
                <w:sz w:val="14"/>
                <w:szCs w:val="14"/>
              </w:rPr>
              <w:t>IE</w:t>
            </w:r>
          </w:p>
        </w:tc>
        <w:tc>
          <w:tcPr>
            <w:tcW w:w="284"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1B675BC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w:t>
            </w:r>
          </w:p>
        </w:tc>
        <w:tc>
          <w:tcPr>
            <w:tcW w:w="567"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67394539"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28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1B218AA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10</w:t>
            </w:r>
          </w:p>
        </w:tc>
        <w:tc>
          <w:tcPr>
            <w:tcW w:w="425"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70D1E90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284"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3FE6D8F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11</w:t>
            </w:r>
          </w:p>
        </w:tc>
        <w:tc>
          <w:tcPr>
            <w:tcW w:w="548"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161E4098"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21A0B7E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13</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2DBCB51F"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3B7D3EAD"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12</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4EDA5993"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29AB375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11</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2877D84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18B01DEB"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29</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37786DD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EL</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221B27DA"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41</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06D4A001"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260AF69E"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6</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0DA3E457"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CY</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637BA862"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25</w:t>
            </w:r>
          </w:p>
        </w:tc>
        <w:tc>
          <w:tcPr>
            <w:tcW w:w="423"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19F79C15"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HU</w:t>
            </w:r>
          </w:p>
        </w:tc>
        <w:tc>
          <w:tcPr>
            <w:tcW w:w="370" w:type="dxa"/>
            <w:tcBorders>
              <w:top w:val="single" w:sz="4" w:space="0" w:color="auto"/>
              <w:left w:val="single" w:sz="6" w:space="0" w:color="auto"/>
              <w:bottom w:val="single" w:sz="6" w:space="0" w:color="auto"/>
              <w:right w:val="single" w:sz="6" w:space="0" w:color="auto"/>
            </w:tcBorders>
            <w:noWrap/>
            <w:tcMar>
              <w:left w:w="28" w:type="dxa"/>
              <w:right w:w="28" w:type="dxa"/>
            </w:tcMar>
            <w:vAlign w:val="center"/>
            <w:hideMark/>
          </w:tcPr>
          <w:p w14:paraId="4B2B9B5C" w14:textId="77777777" w:rsidR="00B067E1" w:rsidRPr="00BB152D" w:rsidRDefault="00B067E1" w:rsidP="00254EB4">
            <w:pPr>
              <w:spacing w:after="0" w:line="240" w:lineRule="auto"/>
              <w:jc w:val="center"/>
              <w:rPr>
                <w:rFonts w:ascii="Arial" w:eastAsia="Times New Roman" w:hAnsi="Arial"/>
                <w:color w:val="000000" w:themeColor="text1"/>
                <w:sz w:val="14"/>
                <w:szCs w:val="14"/>
                <w:lang w:eastAsia="en-NZ"/>
              </w:rPr>
            </w:pPr>
            <w:r w:rsidRPr="00BB152D">
              <w:rPr>
                <w:rFonts w:ascii="Arial" w:hAnsi="Arial"/>
                <w:color w:val="000000" w:themeColor="text1"/>
                <w:sz w:val="14"/>
                <w:szCs w:val="14"/>
              </w:rPr>
              <w:t>18</w:t>
            </w:r>
          </w:p>
        </w:tc>
      </w:tr>
    </w:tbl>
    <w:p w14:paraId="421AD79A" w14:textId="67E0316E" w:rsidR="00B067E1" w:rsidRPr="00BB152D" w:rsidRDefault="00B067E1" w:rsidP="00B067E1">
      <w:pPr>
        <w:spacing w:before="60" w:after="40" w:line="240" w:lineRule="auto"/>
        <w:ind w:left="709" w:hanging="709"/>
        <w:rPr>
          <w:rFonts w:ascii="Arial" w:hAnsi="Arial"/>
          <w:color w:val="000000" w:themeColor="text1"/>
          <w:sz w:val="16"/>
          <w:szCs w:val="16"/>
        </w:rPr>
      </w:pPr>
      <w:r w:rsidRPr="00BB152D">
        <w:rPr>
          <w:rFonts w:ascii="Arial" w:hAnsi="Arial"/>
          <w:color w:val="000000" w:themeColor="text1"/>
          <w:sz w:val="16"/>
          <w:szCs w:val="16"/>
          <w:u w:val="single"/>
        </w:rPr>
        <w:t>Source</w:t>
      </w:r>
      <w:r w:rsidRPr="00BB152D">
        <w:rPr>
          <w:rFonts w:ascii="Arial" w:hAnsi="Arial"/>
          <w:color w:val="000000" w:themeColor="text1"/>
          <w:sz w:val="16"/>
          <w:szCs w:val="16"/>
        </w:rPr>
        <w:t xml:space="preserve">: </w:t>
      </w:r>
      <w:r w:rsidRPr="00BB152D">
        <w:rPr>
          <w:rFonts w:ascii="Arial" w:hAnsi="Arial"/>
          <w:color w:val="000000" w:themeColor="text1"/>
          <w:sz w:val="16"/>
          <w:szCs w:val="16"/>
        </w:rPr>
        <w:tab/>
      </w:r>
      <w:r w:rsidR="004D0A01" w:rsidRPr="00BB152D">
        <w:rPr>
          <w:rFonts w:ascii="Arial" w:hAnsi="Arial"/>
          <w:color w:val="000000" w:themeColor="text1"/>
          <w:sz w:val="16"/>
          <w:szCs w:val="16"/>
        </w:rPr>
        <w:t>B</w:t>
      </w:r>
      <w:r w:rsidRPr="00BB152D">
        <w:rPr>
          <w:rFonts w:ascii="Arial" w:hAnsi="Arial"/>
          <w:color w:val="000000" w:themeColor="text1"/>
          <w:sz w:val="16"/>
          <w:szCs w:val="16"/>
        </w:rPr>
        <w:t>espoke analysis of EU-SILC data for this report by Anne-Catherine Guio from the Luxembourg Institute for Social and Economic Research.</w:t>
      </w:r>
    </w:p>
    <w:p w14:paraId="1ACDF95A" w14:textId="1AC5CAE7" w:rsidR="00B067E1" w:rsidRPr="00BB152D" w:rsidRDefault="00B067E1">
      <w:pPr>
        <w:pStyle w:val="ListParagraph"/>
        <w:numPr>
          <w:ilvl w:val="0"/>
          <w:numId w:val="36"/>
        </w:numPr>
        <w:spacing w:before="60" w:after="40" w:line="240" w:lineRule="auto"/>
        <w:ind w:left="567" w:hanging="284"/>
        <w:contextualSpacing w:val="0"/>
        <w:rPr>
          <w:rFonts w:ascii="Arial" w:hAnsi="Arial"/>
          <w:color w:val="000000" w:themeColor="text1"/>
          <w:sz w:val="16"/>
          <w:szCs w:val="16"/>
        </w:rPr>
      </w:pPr>
      <w:r w:rsidRPr="00BB152D">
        <w:rPr>
          <w:rFonts w:ascii="Arial" w:hAnsi="Arial"/>
          <w:color w:val="000000" w:themeColor="text1"/>
          <w:sz w:val="16"/>
          <w:szCs w:val="16"/>
        </w:rPr>
        <w:t xml:space="preserve">Romania and Bulgaria are omitted as their standard of living is quite different from that of New Zealand, having very high </w:t>
      </w:r>
      <w:r w:rsidR="00555067" w:rsidRPr="00BB152D">
        <w:rPr>
          <w:rFonts w:ascii="Arial" w:hAnsi="Arial"/>
          <w:color w:val="000000" w:themeColor="text1"/>
          <w:sz w:val="16"/>
          <w:szCs w:val="16"/>
        </w:rPr>
        <w:t xml:space="preserve">income </w:t>
      </w:r>
      <w:r w:rsidRPr="00BB152D">
        <w:rPr>
          <w:rFonts w:ascii="Arial" w:hAnsi="Arial"/>
          <w:color w:val="000000" w:themeColor="text1"/>
          <w:sz w:val="16"/>
          <w:szCs w:val="16"/>
        </w:rPr>
        <w:t xml:space="preserve">poverty and </w:t>
      </w:r>
      <w:r w:rsidR="00555067" w:rsidRPr="00BB152D">
        <w:rPr>
          <w:rFonts w:ascii="Arial" w:hAnsi="Arial"/>
          <w:color w:val="000000" w:themeColor="text1"/>
          <w:sz w:val="16"/>
          <w:szCs w:val="16"/>
        </w:rPr>
        <w:t xml:space="preserve">material </w:t>
      </w:r>
      <w:r w:rsidRPr="00BB152D">
        <w:rPr>
          <w:rFonts w:ascii="Arial" w:hAnsi="Arial"/>
          <w:color w:val="000000" w:themeColor="text1"/>
          <w:sz w:val="16"/>
          <w:szCs w:val="16"/>
        </w:rPr>
        <w:t>hardship numbers.</w:t>
      </w:r>
    </w:p>
    <w:p w14:paraId="6AE3B355" w14:textId="77777777" w:rsidR="00B067E1" w:rsidRPr="00BB152D" w:rsidRDefault="00B067E1">
      <w:pPr>
        <w:pStyle w:val="ListParagraph"/>
        <w:numPr>
          <w:ilvl w:val="0"/>
          <w:numId w:val="36"/>
        </w:numPr>
        <w:spacing w:after="40" w:line="240" w:lineRule="auto"/>
        <w:ind w:left="568" w:hanging="284"/>
        <w:contextualSpacing w:val="0"/>
        <w:rPr>
          <w:rFonts w:ascii="Arial" w:hAnsi="Arial"/>
          <w:color w:val="000000" w:themeColor="text1"/>
          <w:sz w:val="16"/>
          <w:szCs w:val="16"/>
        </w:rPr>
      </w:pPr>
      <w:r w:rsidRPr="00BB152D">
        <w:rPr>
          <w:rFonts w:ascii="Arial" w:hAnsi="Arial"/>
          <w:color w:val="000000" w:themeColor="text1"/>
          <w:sz w:val="16"/>
          <w:szCs w:val="16"/>
        </w:rPr>
        <w:t>The bulk of the EU items above are in the ‘enforced lack’ modality – that is, “don’t have or do” because of shortage of money / cost, not some other reason. The New Zealand survey data aligns with that.</w:t>
      </w:r>
    </w:p>
    <w:p w14:paraId="3C63A237" w14:textId="77777777" w:rsidR="00B067E1" w:rsidRPr="00BB152D" w:rsidRDefault="00B067E1">
      <w:pPr>
        <w:pStyle w:val="ListParagraph"/>
        <w:numPr>
          <w:ilvl w:val="0"/>
          <w:numId w:val="36"/>
        </w:numPr>
        <w:spacing w:after="40" w:line="240" w:lineRule="auto"/>
        <w:ind w:left="568" w:hanging="284"/>
        <w:contextualSpacing w:val="0"/>
        <w:rPr>
          <w:rFonts w:ascii="Arial" w:hAnsi="Arial"/>
          <w:color w:val="000000" w:themeColor="text1"/>
          <w:sz w:val="16"/>
          <w:szCs w:val="16"/>
        </w:rPr>
      </w:pPr>
      <w:r w:rsidRPr="00BB152D">
        <w:rPr>
          <w:rFonts w:ascii="Arial" w:hAnsi="Arial"/>
          <w:color w:val="000000" w:themeColor="text1"/>
          <w:sz w:val="16"/>
          <w:szCs w:val="16"/>
        </w:rPr>
        <w:t xml:space="preserve">The ‘school trips’ item is an enforced lack for the EU, and an ‘economised-a-lot-because-of-shortage-of-money’ item for NZ. The NZ equivalent figure could be anything between 2.1% and 5.3%, so it was recorded as 4%. The overall ranking picture is not changed by this uncertainty. </w:t>
      </w:r>
    </w:p>
    <w:p w14:paraId="5552E5D4" w14:textId="77777777" w:rsidR="00B067E1" w:rsidRPr="00BB152D" w:rsidRDefault="00B067E1">
      <w:pPr>
        <w:pStyle w:val="ListParagraph"/>
        <w:numPr>
          <w:ilvl w:val="0"/>
          <w:numId w:val="36"/>
        </w:numPr>
        <w:spacing w:after="40" w:line="240" w:lineRule="auto"/>
        <w:ind w:left="568" w:hanging="284"/>
        <w:contextualSpacing w:val="0"/>
        <w:rPr>
          <w:rFonts w:ascii="Arial" w:hAnsi="Arial"/>
          <w:color w:val="000000" w:themeColor="text1"/>
          <w:sz w:val="16"/>
          <w:szCs w:val="16"/>
        </w:rPr>
      </w:pPr>
      <w:r w:rsidRPr="00BB152D">
        <w:rPr>
          <w:rFonts w:ascii="Arial" w:hAnsi="Arial"/>
          <w:color w:val="000000" w:themeColor="text1"/>
          <w:sz w:val="16"/>
          <w:szCs w:val="16"/>
        </w:rPr>
        <w:t xml:space="preserve">The ‘proteins’ item is about an enforced lack of </w:t>
      </w:r>
      <w:r w:rsidRPr="00BB152D">
        <w:rPr>
          <w:rFonts w:ascii="Arial" w:eastAsia="Times New Roman" w:hAnsi="Arial"/>
          <w:color w:val="000000" w:themeColor="text1"/>
          <w:sz w:val="16"/>
          <w:szCs w:val="16"/>
        </w:rPr>
        <w:t>a meal with meat, fish or chicken (or vegetarian equivalent) each day.</w:t>
      </w:r>
    </w:p>
    <w:p w14:paraId="6847EBA7" w14:textId="77777777" w:rsidR="00B067E1" w:rsidRPr="00BB152D" w:rsidRDefault="00B067E1">
      <w:pPr>
        <w:pStyle w:val="ListParagraph"/>
        <w:numPr>
          <w:ilvl w:val="0"/>
          <w:numId w:val="36"/>
        </w:numPr>
        <w:spacing w:after="40" w:line="240" w:lineRule="auto"/>
        <w:ind w:left="568" w:hanging="284"/>
        <w:contextualSpacing w:val="0"/>
        <w:rPr>
          <w:rFonts w:ascii="Arial" w:hAnsi="Arial"/>
          <w:color w:val="000000" w:themeColor="text1"/>
          <w:sz w:val="16"/>
          <w:szCs w:val="16"/>
        </w:rPr>
      </w:pPr>
      <w:r w:rsidRPr="00BB152D">
        <w:rPr>
          <w:rFonts w:ascii="Arial" w:eastAsia="Times New Roman" w:hAnsi="Arial"/>
          <w:color w:val="000000" w:themeColor="text1"/>
          <w:sz w:val="16"/>
          <w:szCs w:val="16"/>
        </w:rPr>
        <w:t>The ‘arrears’ item is about arrears in utility, rent or mortgage payments.</w:t>
      </w:r>
    </w:p>
    <w:p w14:paraId="2A284641" w14:textId="77777777" w:rsidR="00B067E1" w:rsidRPr="00BB152D" w:rsidRDefault="00B067E1">
      <w:pPr>
        <w:pStyle w:val="ListParagraph"/>
        <w:numPr>
          <w:ilvl w:val="0"/>
          <w:numId w:val="36"/>
        </w:numPr>
        <w:spacing w:after="40" w:line="240" w:lineRule="auto"/>
        <w:ind w:left="567" w:hanging="284"/>
        <w:contextualSpacing w:val="0"/>
        <w:rPr>
          <w:rFonts w:ascii="Arial" w:hAnsi="Arial"/>
          <w:color w:val="000000" w:themeColor="text1"/>
          <w:sz w:val="16"/>
          <w:szCs w:val="16"/>
        </w:rPr>
      </w:pPr>
      <w:r w:rsidRPr="00BB152D">
        <w:rPr>
          <w:rFonts w:ascii="Arial" w:hAnsi="Arial"/>
          <w:color w:val="000000" w:themeColor="text1"/>
          <w:sz w:val="16"/>
          <w:szCs w:val="16"/>
        </w:rPr>
        <w:t>Where the items do not apply to very young children (eg internet and school trips), the denominator is adjusted accordingly.</w:t>
      </w:r>
    </w:p>
    <w:p w14:paraId="46E4C143" w14:textId="57B1C444" w:rsidR="006F0F73" w:rsidRDefault="00D47CB6">
      <w:pPr>
        <w:spacing w:after="0" w:line="240" w:lineRule="auto"/>
        <w:rPr>
          <w:rFonts w:ascii="Arial" w:hAnsi="Arial"/>
          <w:b/>
          <w:bCs/>
          <w:color w:val="000000" w:themeColor="text1"/>
          <w:sz w:val="28"/>
          <w:szCs w:val="28"/>
        </w:rPr>
      </w:pPr>
      <w:r>
        <w:rPr>
          <w:rFonts w:ascii="Arial" w:hAnsi="Arial"/>
          <w:b/>
          <w:bCs/>
          <w:noProof/>
          <w:color w:val="000000" w:themeColor="text1"/>
          <w:sz w:val="28"/>
          <w:szCs w:val="28"/>
        </w:rPr>
        <w:lastRenderedPageBreak/>
        <mc:AlternateContent>
          <mc:Choice Requires="wps">
            <w:drawing>
              <wp:anchor distT="0" distB="0" distL="114300" distR="114300" simplePos="0" relativeHeight="253058048" behindDoc="0" locked="0" layoutInCell="1" allowOverlap="1" wp14:anchorId="59C3450F" wp14:editId="68FDFB6C">
                <wp:simplePos x="0" y="0"/>
                <wp:positionH relativeFrom="column">
                  <wp:posOffset>114300</wp:posOffset>
                </wp:positionH>
                <wp:positionV relativeFrom="paragraph">
                  <wp:posOffset>75565</wp:posOffset>
                </wp:positionV>
                <wp:extent cx="5441950" cy="7658100"/>
                <wp:effectExtent l="0" t="0" r="25400" b="19050"/>
                <wp:wrapNone/>
                <wp:docPr id="1010272987" name="Text Box 19"/>
                <wp:cNvGraphicFramePr/>
                <a:graphic xmlns:a="http://schemas.openxmlformats.org/drawingml/2006/main">
                  <a:graphicData uri="http://schemas.microsoft.com/office/word/2010/wordprocessingShape">
                    <wps:wsp>
                      <wps:cNvSpPr txBox="1"/>
                      <wps:spPr>
                        <a:xfrm>
                          <a:off x="0" y="0"/>
                          <a:ext cx="5441950" cy="7658100"/>
                        </a:xfrm>
                        <a:prstGeom prst="rect">
                          <a:avLst/>
                        </a:prstGeom>
                        <a:solidFill>
                          <a:schemeClr val="lt1"/>
                        </a:solidFill>
                        <a:ln w="6350">
                          <a:solidFill>
                            <a:prstClr val="black"/>
                          </a:solidFill>
                        </a:ln>
                      </wps:spPr>
                      <wps:txbx>
                        <w:txbxContent>
                          <w:p w14:paraId="3D88181D" w14:textId="26BB5B83" w:rsidR="00C64C4E" w:rsidRPr="00EB55ED" w:rsidRDefault="00C64C4E" w:rsidP="006B4792">
                            <w:pPr>
                              <w:spacing w:before="120" w:after="0" w:line="240" w:lineRule="auto"/>
                              <w:jc w:val="center"/>
                              <w:rPr>
                                <w:rFonts w:ascii="Arial" w:hAnsi="Arial"/>
                                <w:b/>
                                <w:bCs/>
                                <w:sz w:val="22"/>
                              </w:rPr>
                            </w:pPr>
                            <w:r>
                              <w:rPr>
                                <w:rFonts w:ascii="Arial" w:hAnsi="Arial"/>
                                <w:b/>
                                <w:bCs/>
                                <w:sz w:val="22"/>
                              </w:rPr>
                              <w:t>M</w:t>
                            </w:r>
                            <w:r w:rsidRPr="00EB55ED">
                              <w:rPr>
                                <w:rFonts w:ascii="Arial" w:hAnsi="Arial"/>
                                <w:b/>
                                <w:bCs/>
                                <w:sz w:val="22"/>
                              </w:rPr>
                              <w:t>easurement and reporting approaches</w:t>
                            </w:r>
                          </w:p>
                          <w:p w14:paraId="0A926D6E" w14:textId="6EAFFE88" w:rsidR="005D466D" w:rsidRPr="00EB55ED" w:rsidRDefault="00C64C4E" w:rsidP="00C64C4E">
                            <w:pPr>
                              <w:spacing w:after="0" w:line="240" w:lineRule="auto"/>
                              <w:jc w:val="center"/>
                              <w:rPr>
                                <w:rFonts w:ascii="Arial" w:hAnsi="Arial"/>
                                <w:b/>
                                <w:bCs/>
                                <w:sz w:val="22"/>
                              </w:rPr>
                            </w:pPr>
                            <w:r>
                              <w:rPr>
                                <w:rFonts w:ascii="Arial" w:hAnsi="Arial"/>
                                <w:b/>
                                <w:bCs/>
                                <w:sz w:val="22"/>
                              </w:rPr>
                              <w:t>f</w:t>
                            </w:r>
                            <w:r w:rsidR="00D47CB6" w:rsidRPr="00EB55ED">
                              <w:rPr>
                                <w:rFonts w:ascii="Arial" w:hAnsi="Arial"/>
                                <w:b/>
                                <w:bCs/>
                                <w:sz w:val="22"/>
                              </w:rPr>
                              <w:t>or the material hardship sections that follow (Sections D, E and F)</w:t>
                            </w:r>
                          </w:p>
                          <w:p w14:paraId="671544DB" w14:textId="77777777" w:rsidR="00C64C4E" w:rsidRDefault="00C64C4E" w:rsidP="00D47CB6">
                            <w:pPr>
                              <w:spacing w:after="0" w:line="240" w:lineRule="auto"/>
                              <w:rPr>
                                <w:rFonts w:ascii="Arial" w:hAnsi="Arial"/>
                                <w:b/>
                                <w:bCs/>
                                <w:sz w:val="18"/>
                                <w:szCs w:val="18"/>
                              </w:rPr>
                            </w:pPr>
                          </w:p>
                          <w:p w14:paraId="3EAD537A" w14:textId="77777777" w:rsidR="00C64C4E" w:rsidRDefault="00C64C4E" w:rsidP="00D47CB6">
                            <w:pPr>
                              <w:spacing w:after="0" w:line="240" w:lineRule="auto"/>
                              <w:rPr>
                                <w:rFonts w:ascii="Arial" w:hAnsi="Arial"/>
                                <w:b/>
                                <w:bCs/>
                                <w:sz w:val="18"/>
                                <w:szCs w:val="18"/>
                              </w:rPr>
                            </w:pPr>
                          </w:p>
                          <w:p w14:paraId="4372D5E3" w14:textId="70C48849" w:rsidR="00EB55ED" w:rsidRPr="00EB55ED" w:rsidRDefault="00EB55ED" w:rsidP="00C116AD">
                            <w:pPr>
                              <w:spacing w:line="240" w:lineRule="auto"/>
                              <w:rPr>
                                <w:rFonts w:ascii="Arial" w:hAnsi="Arial"/>
                                <w:b/>
                                <w:bCs/>
                                <w:sz w:val="18"/>
                                <w:szCs w:val="18"/>
                              </w:rPr>
                            </w:pPr>
                            <w:r w:rsidRPr="00EB55ED">
                              <w:rPr>
                                <w:rFonts w:ascii="Arial" w:hAnsi="Arial"/>
                                <w:b/>
                                <w:bCs/>
                                <w:sz w:val="18"/>
                                <w:szCs w:val="18"/>
                              </w:rPr>
                              <w:t>The indices used for measuring material hardship</w:t>
                            </w:r>
                          </w:p>
                          <w:p w14:paraId="4F5A4DF4" w14:textId="27843650" w:rsidR="00D47CB6" w:rsidRPr="00EB55ED" w:rsidRDefault="005D466D">
                            <w:pPr>
                              <w:pStyle w:val="ListParagraph"/>
                              <w:numPr>
                                <w:ilvl w:val="0"/>
                                <w:numId w:val="92"/>
                              </w:numPr>
                              <w:spacing w:line="240" w:lineRule="auto"/>
                              <w:ind w:left="714" w:hanging="357"/>
                              <w:contextualSpacing w:val="0"/>
                              <w:rPr>
                                <w:rFonts w:ascii="Arial" w:hAnsi="Arial"/>
                                <w:sz w:val="18"/>
                                <w:szCs w:val="18"/>
                              </w:rPr>
                            </w:pPr>
                            <w:r w:rsidRPr="00EB55ED">
                              <w:rPr>
                                <w:rFonts w:ascii="Arial" w:hAnsi="Arial"/>
                                <w:sz w:val="18"/>
                                <w:szCs w:val="18"/>
                              </w:rPr>
                              <w:t>DEP-17 is a HES-based 17-item material hardship index, with a hardship threshold of 6+/17.</w:t>
                            </w:r>
                          </w:p>
                          <w:p w14:paraId="13253258" w14:textId="33835170" w:rsidR="005D466D" w:rsidRPr="00EB55ED" w:rsidRDefault="005D466D">
                            <w:pPr>
                              <w:pStyle w:val="ListParagraph"/>
                              <w:numPr>
                                <w:ilvl w:val="0"/>
                                <w:numId w:val="92"/>
                              </w:numPr>
                              <w:spacing w:line="240" w:lineRule="auto"/>
                              <w:ind w:left="714" w:hanging="357"/>
                              <w:contextualSpacing w:val="0"/>
                              <w:rPr>
                                <w:rFonts w:ascii="Arial" w:hAnsi="Arial"/>
                                <w:sz w:val="18"/>
                                <w:szCs w:val="18"/>
                              </w:rPr>
                            </w:pPr>
                            <w:r w:rsidRPr="00EB55ED">
                              <w:rPr>
                                <w:rFonts w:ascii="Arial" w:hAnsi="Arial"/>
                                <w:sz w:val="18"/>
                                <w:szCs w:val="18"/>
                              </w:rPr>
                              <w:t>MH-18 with a hardship threshold of 7+/18 is the HILS-based replacement for DEP-17</w:t>
                            </w:r>
                            <w:r w:rsidR="00EB55ED">
                              <w:rPr>
                                <w:rFonts w:ascii="Arial" w:hAnsi="Arial"/>
                                <w:sz w:val="18"/>
                                <w:szCs w:val="18"/>
                              </w:rPr>
                              <w:t>.</w:t>
                            </w:r>
                          </w:p>
                          <w:p w14:paraId="52EDF407" w14:textId="034A2983" w:rsidR="000302F6" w:rsidRPr="00EB55ED" w:rsidRDefault="000302F6">
                            <w:pPr>
                              <w:pStyle w:val="ListParagraph"/>
                              <w:numPr>
                                <w:ilvl w:val="0"/>
                                <w:numId w:val="92"/>
                              </w:numPr>
                              <w:spacing w:line="240" w:lineRule="auto"/>
                              <w:ind w:left="714" w:hanging="357"/>
                              <w:contextualSpacing w:val="0"/>
                              <w:rPr>
                                <w:rFonts w:ascii="Arial" w:eastAsia="Times New Roman" w:hAnsi="Arial"/>
                                <w:color w:val="000000" w:themeColor="text1"/>
                                <w:sz w:val="18"/>
                                <w:szCs w:val="18"/>
                                <w:lang w:val="en-GB"/>
                              </w:rPr>
                            </w:pPr>
                            <w:r w:rsidRPr="00EB55ED">
                              <w:rPr>
                                <w:rFonts w:ascii="Arial" w:eastAsia="Times New Roman" w:hAnsi="Arial"/>
                                <w:color w:val="000000" w:themeColor="text1"/>
                                <w:sz w:val="18"/>
                                <w:szCs w:val="18"/>
                                <w:lang w:val="en-GB"/>
                              </w:rPr>
                              <w:t>MWI-24 is MSD’s 24-item material wellbeing index that</w:t>
                            </w:r>
                            <w:r w:rsidR="005D466D" w:rsidRPr="00EB55ED">
                              <w:rPr>
                                <w:rFonts w:ascii="Arial" w:eastAsia="Times New Roman" w:hAnsi="Arial"/>
                                <w:color w:val="000000" w:themeColor="text1"/>
                                <w:sz w:val="18"/>
                                <w:szCs w:val="18"/>
                                <w:lang w:val="en-GB"/>
                              </w:rPr>
                              <w:t xml:space="preserve"> rank</w:t>
                            </w:r>
                            <w:r w:rsidRPr="00EB55ED">
                              <w:rPr>
                                <w:rFonts w:ascii="Arial" w:eastAsia="Times New Roman" w:hAnsi="Arial"/>
                                <w:color w:val="000000" w:themeColor="text1"/>
                                <w:sz w:val="18"/>
                                <w:szCs w:val="18"/>
                                <w:lang w:val="en-GB"/>
                              </w:rPr>
                              <w:t>s</w:t>
                            </w:r>
                            <w:r w:rsidR="005D466D" w:rsidRPr="00EB55ED">
                              <w:rPr>
                                <w:rFonts w:ascii="Arial" w:eastAsia="Times New Roman" w:hAnsi="Arial"/>
                                <w:color w:val="000000" w:themeColor="text1"/>
                                <w:sz w:val="18"/>
                                <w:szCs w:val="18"/>
                                <w:lang w:val="en-GB"/>
                              </w:rPr>
                              <w:t xml:space="preserve"> households across the full material wellbeing spectrum from high to low, with greater sensitivity at the low end. </w:t>
                            </w:r>
                            <w:r w:rsidR="00EB55ED">
                              <w:rPr>
                                <w:rFonts w:ascii="Arial" w:eastAsia="Times New Roman" w:hAnsi="Arial"/>
                                <w:color w:val="000000" w:themeColor="text1"/>
                                <w:sz w:val="18"/>
                                <w:szCs w:val="18"/>
                                <w:lang w:val="en-GB"/>
                              </w:rPr>
                              <w:t>It can be used as a material hardship measure.</w:t>
                            </w:r>
                          </w:p>
                          <w:p w14:paraId="15495256" w14:textId="40591B62" w:rsidR="000302F6" w:rsidRPr="00EB55ED" w:rsidRDefault="000302F6">
                            <w:pPr>
                              <w:pStyle w:val="ListParagraph"/>
                              <w:numPr>
                                <w:ilvl w:val="0"/>
                                <w:numId w:val="92"/>
                              </w:numPr>
                              <w:spacing w:after="0" w:line="240" w:lineRule="auto"/>
                              <w:rPr>
                                <w:rFonts w:ascii="Arial" w:eastAsia="Times New Roman" w:hAnsi="Arial"/>
                                <w:color w:val="000000" w:themeColor="text1"/>
                                <w:sz w:val="18"/>
                                <w:szCs w:val="18"/>
                                <w:lang w:val="en-GB"/>
                              </w:rPr>
                            </w:pPr>
                            <w:r w:rsidRPr="00EB55ED">
                              <w:rPr>
                                <w:rFonts w:ascii="Arial" w:eastAsia="Times New Roman" w:hAnsi="Arial"/>
                                <w:color w:val="000000" w:themeColor="text1"/>
                                <w:sz w:val="18"/>
                                <w:szCs w:val="18"/>
                                <w:lang w:val="en-GB"/>
                              </w:rPr>
                              <w:t>MWI-26 is the 26-item HILS-based replacement for the MWI-24.</w:t>
                            </w:r>
                          </w:p>
                          <w:p w14:paraId="50769304" w14:textId="77777777" w:rsidR="00CC176A" w:rsidRDefault="00CC176A" w:rsidP="005D466D">
                            <w:pPr>
                              <w:spacing w:after="0" w:line="240" w:lineRule="auto"/>
                              <w:rPr>
                                <w:rFonts w:ascii="Arial" w:eastAsia="Times New Roman" w:hAnsi="Arial"/>
                                <w:color w:val="000000" w:themeColor="text1"/>
                                <w:sz w:val="18"/>
                                <w:szCs w:val="18"/>
                                <w:lang w:val="en-GB"/>
                              </w:rPr>
                            </w:pPr>
                          </w:p>
                          <w:p w14:paraId="51994D55" w14:textId="22A5F479" w:rsidR="00CC176A" w:rsidRDefault="00CC176A" w:rsidP="005D466D">
                            <w:pPr>
                              <w:spacing w:after="0" w:line="240" w:lineRule="auto"/>
                              <w:rPr>
                                <w:rFonts w:ascii="Arial" w:eastAsia="Times New Roman" w:hAnsi="Arial"/>
                                <w:color w:val="000000" w:themeColor="text1"/>
                                <w:sz w:val="18"/>
                                <w:szCs w:val="18"/>
                                <w:lang w:val="en-GB"/>
                              </w:rPr>
                            </w:pPr>
                            <w:r>
                              <w:rPr>
                                <w:rFonts w:ascii="Arial" w:eastAsia="Times New Roman" w:hAnsi="Arial"/>
                                <w:color w:val="000000" w:themeColor="text1"/>
                                <w:sz w:val="18"/>
                                <w:szCs w:val="18"/>
                                <w:lang w:val="en-GB"/>
                              </w:rPr>
                              <w:t xml:space="preserve">Stats NZ uses the DEP-17 and MH-18 measures in their reporting of official </w:t>
                            </w:r>
                            <w:r w:rsidR="00C64C4E">
                              <w:rPr>
                                <w:rFonts w:ascii="Arial" w:eastAsia="Times New Roman" w:hAnsi="Arial"/>
                                <w:color w:val="000000" w:themeColor="text1"/>
                                <w:sz w:val="18"/>
                                <w:szCs w:val="18"/>
                                <w:lang w:val="en-GB"/>
                              </w:rPr>
                              <w:t xml:space="preserve">material hardship </w:t>
                            </w:r>
                            <w:r>
                              <w:rPr>
                                <w:rFonts w:ascii="Arial" w:eastAsia="Times New Roman" w:hAnsi="Arial"/>
                                <w:color w:val="000000" w:themeColor="text1"/>
                                <w:sz w:val="18"/>
                                <w:szCs w:val="18"/>
                                <w:lang w:val="en-GB"/>
                              </w:rPr>
                              <w:t>statistics.</w:t>
                            </w:r>
                          </w:p>
                          <w:p w14:paraId="680ACD7D" w14:textId="77777777" w:rsidR="00CC176A" w:rsidRDefault="00CC176A" w:rsidP="005D466D">
                            <w:pPr>
                              <w:spacing w:after="0" w:line="240" w:lineRule="auto"/>
                              <w:rPr>
                                <w:rFonts w:ascii="Arial" w:eastAsia="Times New Roman" w:hAnsi="Arial"/>
                                <w:color w:val="000000" w:themeColor="text1"/>
                                <w:sz w:val="18"/>
                                <w:szCs w:val="18"/>
                                <w:lang w:val="en-GB"/>
                              </w:rPr>
                            </w:pPr>
                          </w:p>
                          <w:p w14:paraId="4F1F90D7" w14:textId="77777777" w:rsidR="00CC176A" w:rsidRDefault="00CC176A" w:rsidP="00CC176A">
                            <w:pPr>
                              <w:spacing w:after="0" w:line="240" w:lineRule="auto"/>
                              <w:rPr>
                                <w:rFonts w:ascii="Arial" w:eastAsia="Times New Roman" w:hAnsi="Arial"/>
                                <w:color w:val="000000" w:themeColor="text1"/>
                                <w:sz w:val="18"/>
                                <w:szCs w:val="18"/>
                                <w:lang w:val="en-GB"/>
                              </w:rPr>
                            </w:pPr>
                            <w:r w:rsidRPr="00EB55ED">
                              <w:rPr>
                                <w:rFonts w:ascii="Arial" w:eastAsia="Times New Roman" w:hAnsi="Arial"/>
                                <w:color w:val="000000" w:themeColor="text1"/>
                                <w:sz w:val="18"/>
                                <w:szCs w:val="18"/>
                                <w:lang w:val="en-GB"/>
                              </w:rPr>
                              <w:t>When used to measure material hardship, the MWI-24 gives close to identical numbers to those produced by DEP-17. Similarly for MWI-26 and MH-18.</w:t>
                            </w:r>
                          </w:p>
                          <w:p w14:paraId="6338AFAA" w14:textId="77777777" w:rsidR="00C56980" w:rsidRDefault="00C56980" w:rsidP="00CC176A">
                            <w:pPr>
                              <w:spacing w:after="0" w:line="240" w:lineRule="auto"/>
                              <w:rPr>
                                <w:rFonts w:ascii="Arial" w:eastAsia="Times New Roman" w:hAnsi="Arial"/>
                                <w:color w:val="000000" w:themeColor="text1"/>
                                <w:sz w:val="18"/>
                                <w:szCs w:val="18"/>
                                <w:lang w:val="en-GB"/>
                              </w:rPr>
                            </w:pPr>
                          </w:p>
                          <w:p w14:paraId="7DB103BD" w14:textId="773AACF1" w:rsidR="00C56980" w:rsidRPr="00881C20" w:rsidRDefault="00C56980" w:rsidP="00CC176A">
                            <w:pPr>
                              <w:spacing w:after="0" w:line="240" w:lineRule="auto"/>
                              <w:rPr>
                                <w:rFonts w:ascii="Arial" w:eastAsia="Times New Roman" w:hAnsi="Arial"/>
                                <w:color w:val="000000" w:themeColor="text1"/>
                                <w:sz w:val="18"/>
                                <w:szCs w:val="18"/>
                                <w:lang w:val="en-GB"/>
                              </w:rPr>
                            </w:pPr>
                            <w:r w:rsidRPr="00881C20">
                              <w:rPr>
                                <w:rFonts w:ascii="Arial" w:eastAsia="Times New Roman" w:hAnsi="Arial"/>
                                <w:color w:val="000000" w:themeColor="text1"/>
                                <w:sz w:val="18"/>
                                <w:szCs w:val="18"/>
                                <w:lang w:val="en-GB"/>
                              </w:rPr>
                              <w:t xml:space="preserve">See </w:t>
                            </w:r>
                            <w:r w:rsidRPr="00881C20">
                              <w:rPr>
                                <w:rFonts w:ascii="Arial" w:eastAsia="Times New Roman" w:hAnsi="Arial"/>
                                <w:b/>
                                <w:bCs/>
                                <w:color w:val="000000" w:themeColor="text1"/>
                                <w:sz w:val="18"/>
                                <w:szCs w:val="18"/>
                                <w:lang w:val="en-GB"/>
                              </w:rPr>
                              <w:t>Appendices 3 and 20</w:t>
                            </w:r>
                            <w:r w:rsidRPr="00881C20">
                              <w:rPr>
                                <w:rFonts w:ascii="Arial" w:eastAsia="Times New Roman" w:hAnsi="Arial"/>
                                <w:color w:val="000000" w:themeColor="text1"/>
                                <w:sz w:val="18"/>
                                <w:szCs w:val="18"/>
                                <w:lang w:val="en-GB"/>
                              </w:rPr>
                              <w:t xml:space="preserve"> for item lists and scoring rules.</w:t>
                            </w:r>
                          </w:p>
                          <w:p w14:paraId="617AB071" w14:textId="77777777" w:rsidR="00EB55ED" w:rsidRDefault="00EB55ED" w:rsidP="000302F6">
                            <w:pPr>
                              <w:spacing w:after="0" w:line="240" w:lineRule="auto"/>
                              <w:rPr>
                                <w:rFonts w:ascii="Arial" w:hAnsi="Arial"/>
                                <w:sz w:val="18"/>
                                <w:szCs w:val="18"/>
                              </w:rPr>
                            </w:pPr>
                          </w:p>
                          <w:p w14:paraId="64CD336E" w14:textId="42AEF81F" w:rsidR="00714FC9" w:rsidRPr="00714FC9" w:rsidRDefault="00714FC9" w:rsidP="003C71FF">
                            <w:pPr>
                              <w:spacing w:line="240" w:lineRule="auto"/>
                              <w:rPr>
                                <w:rFonts w:ascii="Arial" w:hAnsi="Arial"/>
                                <w:b/>
                                <w:bCs/>
                                <w:color w:val="000000" w:themeColor="text1"/>
                                <w:sz w:val="18"/>
                                <w:szCs w:val="18"/>
                              </w:rPr>
                            </w:pPr>
                            <w:r w:rsidRPr="00714FC9">
                              <w:rPr>
                                <w:rFonts w:ascii="Arial" w:hAnsi="Arial"/>
                                <w:b/>
                                <w:bCs/>
                                <w:color w:val="000000" w:themeColor="text1"/>
                                <w:sz w:val="18"/>
                                <w:szCs w:val="18"/>
                              </w:rPr>
                              <w:t>Material hardship as experienced by children</w:t>
                            </w:r>
                          </w:p>
                          <w:p w14:paraId="7E1433E4" w14:textId="27261314" w:rsidR="00714FC9" w:rsidRPr="00714FC9" w:rsidRDefault="00714FC9" w:rsidP="00714FC9">
                            <w:pPr>
                              <w:spacing w:after="0" w:line="240" w:lineRule="auto"/>
                              <w:rPr>
                                <w:rFonts w:ascii="Arial" w:hAnsi="Arial"/>
                                <w:color w:val="000000" w:themeColor="text1"/>
                                <w:sz w:val="18"/>
                                <w:szCs w:val="18"/>
                              </w:rPr>
                            </w:pPr>
                            <w:r w:rsidRPr="00714FC9">
                              <w:rPr>
                                <w:rFonts w:ascii="Arial" w:hAnsi="Arial"/>
                                <w:color w:val="000000" w:themeColor="text1"/>
                                <w:sz w:val="18"/>
                                <w:szCs w:val="18"/>
                              </w:rPr>
                              <w:t xml:space="preserve">The measures above </w:t>
                            </w:r>
                            <w:r>
                              <w:rPr>
                                <w:rFonts w:ascii="Arial" w:hAnsi="Arial"/>
                                <w:color w:val="000000" w:themeColor="text1"/>
                                <w:sz w:val="18"/>
                                <w:szCs w:val="18"/>
                              </w:rPr>
                              <w:t xml:space="preserve">give hardship rates </w:t>
                            </w:r>
                            <w:r w:rsidRPr="00714FC9">
                              <w:rPr>
                                <w:rFonts w:ascii="Arial" w:hAnsi="Arial"/>
                                <w:color w:val="000000" w:themeColor="text1"/>
                                <w:sz w:val="18"/>
                                <w:szCs w:val="18"/>
                              </w:rPr>
                              <w:t xml:space="preserve">at </w:t>
                            </w:r>
                            <w:r>
                              <w:rPr>
                                <w:rFonts w:ascii="Arial" w:hAnsi="Arial"/>
                                <w:color w:val="000000" w:themeColor="text1"/>
                                <w:sz w:val="18"/>
                                <w:szCs w:val="18"/>
                              </w:rPr>
                              <w:t xml:space="preserve">a </w:t>
                            </w:r>
                            <w:r w:rsidRPr="00714FC9">
                              <w:rPr>
                                <w:rFonts w:ascii="Arial" w:hAnsi="Arial"/>
                                <w:color w:val="000000" w:themeColor="text1"/>
                                <w:sz w:val="18"/>
                                <w:szCs w:val="18"/>
                              </w:rPr>
                              <w:t>household-level.</w:t>
                            </w:r>
                            <w:r>
                              <w:rPr>
                                <w:rFonts w:ascii="Arial" w:hAnsi="Arial"/>
                                <w:color w:val="000000" w:themeColor="text1"/>
                                <w:sz w:val="18"/>
                                <w:szCs w:val="18"/>
                              </w:rPr>
                              <w:t xml:space="preserve"> All household members are given the same MH rate.</w:t>
                            </w:r>
                            <w:r w:rsidRPr="00714FC9">
                              <w:rPr>
                                <w:rFonts w:ascii="Arial" w:hAnsi="Arial"/>
                                <w:color w:val="000000" w:themeColor="text1"/>
                                <w:sz w:val="18"/>
                                <w:szCs w:val="18"/>
                              </w:rPr>
                              <w:t xml:space="preserve">  </w:t>
                            </w:r>
                            <w:r>
                              <w:rPr>
                                <w:rFonts w:ascii="Arial" w:hAnsi="Arial"/>
                                <w:color w:val="000000" w:themeColor="text1"/>
                                <w:sz w:val="18"/>
                                <w:szCs w:val="18"/>
                              </w:rPr>
                              <w:t xml:space="preserve">See Section D for a description of </w:t>
                            </w:r>
                            <w:r w:rsidR="00C47342">
                              <w:rPr>
                                <w:rFonts w:ascii="Arial" w:hAnsi="Arial"/>
                                <w:color w:val="000000" w:themeColor="text1"/>
                                <w:sz w:val="18"/>
                                <w:szCs w:val="18"/>
                              </w:rPr>
                              <w:t>how children experience material hardship in these households.</w:t>
                            </w:r>
                          </w:p>
                          <w:p w14:paraId="0743FFD2" w14:textId="77777777" w:rsidR="00EB55ED" w:rsidRPr="00CC176A" w:rsidRDefault="00EB55ED" w:rsidP="000302F6">
                            <w:pPr>
                              <w:spacing w:after="0" w:line="240" w:lineRule="auto"/>
                              <w:rPr>
                                <w:rFonts w:ascii="Arial" w:hAnsi="Arial"/>
                                <w:sz w:val="18"/>
                                <w:szCs w:val="18"/>
                              </w:rPr>
                            </w:pPr>
                          </w:p>
                          <w:p w14:paraId="437021E5" w14:textId="19E41A72" w:rsidR="00D47CB6" w:rsidRDefault="00C64C4E" w:rsidP="00D47CB6">
                            <w:pPr>
                              <w:spacing w:after="0" w:line="240" w:lineRule="auto"/>
                              <w:rPr>
                                <w:rFonts w:ascii="Arial" w:hAnsi="Arial"/>
                                <w:b/>
                                <w:bCs/>
                                <w:color w:val="000000" w:themeColor="text1"/>
                                <w:sz w:val="18"/>
                                <w:szCs w:val="18"/>
                              </w:rPr>
                            </w:pPr>
                            <w:r>
                              <w:rPr>
                                <w:rFonts w:ascii="Arial" w:hAnsi="Arial"/>
                                <w:b/>
                                <w:bCs/>
                                <w:color w:val="000000" w:themeColor="text1"/>
                                <w:sz w:val="18"/>
                                <w:szCs w:val="18"/>
                              </w:rPr>
                              <w:t>Reporting on trends in material hardship rates</w:t>
                            </w:r>
                          </w:p>
                          <w:p w14:paraId="5AB88EA7" w14:textId="3E6A014F" w:rsidR="00C64C4E" w:rsidRPr="00C64C4E" w:rsidRDefault="00C64C4E">
                            <w:pPr>
                              <w:pStyle w:val="ListParagraph"/>
                              <w:numPr>
                                <w:ilvl w:val="1"/>
                                <w:numId w:val="39"/>
                              </w:numPr>
                              <w:spacing w:before="120" w:after="0" w:line="240" w:lineRule="auto"/>
                              <w:ind w:left="709" w:hanging="357"/>
                              <w:contextualSpacing w:val="0"/>
                              <w:rPr>
                                <w:rFonts w:ascii="Arial" w:hAnsi="Arial"/>
                                <w:color w:val="000000" w:themeColor="text1"/>
                                <w:sz w:val="18"/>
                                <w:szCs w:val="18"/>
                              </w:rPr>
                            </w:pPr>
                            <w:r w:rsidRPr="00C64C4E">
                              <w:rPr>
                                <w:rFonts w:ascii="Arial" w:hAnsi="Arial"/>
                                <w:sz w:val="18"/>
                                <w:szCs w:val="18"/>
                              </w:rPr>
                              <w:t xml:space="preserve">For reporting on </w:t>
                            </w:r>
                            <w:r>
                              <w:rPr>
                                <w:rFonts w:ascii="Arial" w:hAnsi="Arial"/>
                                <w:sz w:val="18"/>
                                <w:szCs w:val="18"/>
                              </w:rPr>
                              <w:t xml:space="preserve">material hardship </w:t>
                            </w:r>
                            <w:r w:rsidRPr="00C64C4E">
                              <w:rPr>
                                <w:rFonts w:ascii="Arial" w:hAnsi="Arial"/>
                                <w:sz w:val="18"/>
                                <w:szCs w:val="18"/>
                              </w:rPr>
                              <w:t xml:space="preserve">trends MSD’s reports use the MWI indices. The DEP-17 measure can be used only from the 2013 HES and later, </w:t>
                            </w:r>
                            <w:r w:rsidRPr="00C64C4E">
                              <w:rPr>
                                <w:rFonts w:ascii="Arial" w:eastAsia="Times New Roman" w:hAnsi="Arial"/>
                                <w:color w:val="000000" w:themeColor="text1"/>
                                <w:sz w:val="18"/>
                                <w:szCs w:val="18"/>
                                <w:lang w:val="en-GB"/>
                              </w:rPr>
                              <w:t>whereas the MWI-24 and its Economic Living Standards (ELSI) predecessor can go back to the 2007 HES, thus enabling longer time series reporting.</w:t>
                            </w:r>
                            <w:r w:rsidRPr="00C64C4E">
                              <w:rPr>
                                <w:rFonts w:ascii="Arial" w:hAnsi="Arial"/>
                                <w:sz w:val="18"/>
                                <w:szCs w:val="18"/>
                              </w:rPr>
                              <w:t xml:space="preserve"> </w:t>
                            </w:r>
                          </w:p>
                          <w:p w14:paraId="3FD13837" w14:textId="6D66ADBA" w:rsidR="00D47CB6" w:rsidRPr="00C64C4E" w:rsidRDefault="00D47CB6">
                            <w:pPr>
                              <w:pStyle w:val="ListParagraph"/>
                              <w:numPr>
                                <w:ilvl w:val="1"/>
                                <w:numId w:val="39"/>
                              </w:numPr>
                              <w:spacing w:before="120" w:after="0" w:line="240" w:lineRule="auto"/>
                              <w:ind w:left="709" w:hanging="357"/>
                              <w:contextualSpacing w:val="0"/>
                              <w:rPr>
                                <w:rFonts w:ascii="Arial" w:hAnsi="Arial"/>
                                <w:color w:val="000000" w:themeColor="text1"/>
                                <w:sz w:val="18"/>
                                <w:szCs w:val="18"/>
                              </w:rPr>
                            </w:pPr>
                            <w:r w:rsidRPr="00C64C4E">
                              <w:rPr>
                                <w:rFonts w:ascii="Arial" w:hAnsi="Arial"/>
                                <w:color w:val="000000" w:themeColor="text1"/>
                                <w:sz w:val="18"/>
                                <w:szCs w:val="18"/>
                              </w:rPr>
                              <w:t xml:space="preserve">When reporting on trends the focus in this report is usually on longer-run trends rather than on the year-on-year or other short-run changes that Stats NZ use in </w:t>
                            </w:r>
                            <w:r w:rsidR="00714FC9">
                              <w:rPr>
                                <w:rFonts w:ascii="Arial" w:hAnsi="Arial"/>
                                <w:color w:val="000000" w:themeColor="text1"/>
                                <w:sz w:val="18"/>
                                <w:szCs w:val="18"/>
                              </w:rPr>
                              <w:t>line</w:t>
                            </w:r>
                            <w:r w:rsidRPr="00C64C4E">
                              <w:rPr>
                                <w:rFonts w:ascii="Arial" w:hAnsi="Arial"/>
                                <w:color w:val="000000" w:themeColor="text1"/>
                                <w:sz w:val="18"/>
                                <w:szCs w:val="18"/>
                              </w:rPr>
                              <w:t xml:space="preserve"> with their responsibilities under the Child Poverty Reduction Act (2018).</w:t>
                            </w:r>
                          </w:p>
                          <w:p w14:paraId="586670A4" w14:textId="014316C8" w:rsidR="00D47CB6" w:rsidRPr="008D6DCC" w:rsidRDefault="00D47CB6">
                            <w:pPr>
                              <w:pStyle w:val="ListParagraph"/>
                              <w:numPr>
                                <w:ilvl w:val="1"/>
                                <w:numId w:val="39"/>
                              </w:numPr>
                              <w:spacing w:before="120" w:after="0" w:line="240" w:lineRule="auto"/>
                              <w:ind w:left="709" w:hanging="357"/>
                              <w:contextualSpacing w:val="0"/>
                              <w:rPr>
                                <w:rFonts w:ascii="Arial" w:hAnsi="Arial"/>
                                <w:color w:val="000000" w:themeColor="text1"/>
                                <w:sz w:val="18"/>
                                <w:szCs w:val="18"/>
                              </w:rPr>
                            </w:pPr>
                            <w:r w:rsidRPr="008D6DCC">
                              <w:rPr>
                                <w:rFonts w:ascii="Arial" w:hAnsi="Arial"/>
                                <w:color w:val="000000" w:themeColor="text1"/>
                                <w:sz w:val="18"/>
                                <w:szCs w:val="18"/>
                              </w:rPr>
                              <w:t xml:space="preserve">The trend-lines in this report are usually shown using a rolling two-year average to smooth the short-run fluctuations and better show the ‘big picture’. This means that the numbers for a given year in the trend charts will usually not be the exactly the same as those reported by Stats NZ. </w:t>
                            </w:r>
                          </w:p>
                          <w:p w14:paraId="4F42DBDE" w14:textId="77777777" w:rsidR="00C64C4E" w:rsidRDefault="00C64C4E" w:rsidP="001249F3">
                            <w:pPr>
                              <w:spacing w:after="0" w:line="240" w:lineRule="auto"/>
                              <w:rPr>
                                <w:rFonts w:ascii="Arial" w:hAnsi="Arial"/>
                                <w:b/>
                                <w:bCs/>
                                <w:color w:val="000000" w:themeColor="text1"/>
                                <w:sz w:val="18"/>
                                <w:szCs w:val="18"/>
                              </w:rPr>
                            </w:pPr>
                          </w:p>
                          <w:p w14:paraId="506F5C33" w14:textId="503BFE89" w:rsidR="001249F3" w:rsidRPr="00017A19" w:rsidRDefault="00C64C4E" w:rsidP="00550801">
                            <w:pPr>
                              <w:spacing w:after="0" w:line="240" w:lineRule="auto"/>
                            </w:pPr>
                            <w:r>
                              <w:rPr>
                                <w:rFonts w:ascii="Arial" w:hAnsi="Arial"/>
                                <w:b/>
                                <w:bCs/>
                                <w:color w:val="000000" w:themeColor="text1"/>
                                <w:sz w:val="18"/>
                                <w:szCs w:val="18"/>
                              </w:rPr>
                              <w:t>More detailed information on the indices is available in several places</w:t>
                            </w:r>
                            <w:r w:rsidR="00017A19" w:rsidRPr="00017A19">
                              <w:rPr>
                                <w:rFonts w:ascii="Arial" w:hAnsi="Arial"/>
                                <w:sz w:val="18"/>
                                <w:szCs w:val="18"/>
                              </w:rPr>
                              <w:t>Section A, opening page</w:t>
                            </w:r>
                          </w:p>
                          <w:p w14:paraId="08558DE5" w14:textId="41B6C340" w:rsidR="00017A19" w:rsidRPr="00017A19" w:rsidRDefault="00017A19" w:rsidP="00550801">
                            <w:pPr>
                              <w:pStyle w:val="ListParagraph"/>
                              <w:numPr>
                                <w:ilvl w:val="0"/>
                                <w:numId w:val="93"/>
                              </w:numPr>
                              <w:spacing w:before="120" w:after="0" w:line="240" w:lineRule="auto"/>
                              <w:ind w:left="709" w:hanging="357"/>
                              <w:contextualSpacing w:val="0"/>
                            </w:pPr>
                            <w:r>
                              <w:rPr>
                                <w:rFonts w:ascii="Arial" w:hAnsi="Arial"/>
                                <w:sz w:val="18"/>
                                <w:szCs w:val="18"/>
                              </w:rPr>
                              <w:t>Appendix 3</w:t>
                            </w:r>
                          </w:p>
                          <w:p w14:paraId="4CE32FF7" w14:textId="54D08848" w:rsidR="00017A19" w:rsidRPr="00017A19" w:rsidRDefault="00017A19">
                            <w:pPr>
                              <w:pStyle w:val="ListParagraph"/>
                              <w:numPr>
                                <w:ilvl w:val="0"/>
                                <w:numId w:val="93"/>
                              </w:numPr>
                              <w:spacing w:before="40" w:after="0" w:line="240" w:lineRule="auto"/>
                              <w:ind w:left="709" w:hanging="357"/>
                              <w:contextualSpacing w:val="0"/>
                            </w:pPr>
                            <w:r>
                              <w:rPr>
                                <w:rFonts w:ascii="Arial" w:hAnsi="Arial"/>
                                <w:sz w:val="18"/>
                                <w:szCs w:val="18"/>
                              </w:rPr>
                              <w:t>Appendix 20 for detailed item lists</w:t>
                            </w:r>
                          </w:p>
                          <w:p w14:paraId="0EFFB459" w14:textId="3F6BC7F5" w:rsidR="00017A19" w:rsidRPr="00017A19" w:rsidRDefault="00017A19">
                            <w:pPr>
                              <w:pStyle w:val="ListParagraph"/>
                              <w:numPr>
                                <w:ilvl w:val="0"/>
                                <w:numId w:val="93"/>
                              </w:numPr>
                              <w:spacing w:before="40" w:after="0" w:line="240" w:lineRule="auto"/>
                              <w:ind w:left="709" w:hanging="357"/>
                              <w:contextualSpacing w:val="0"/>
                            </w:pPr>
                            <w:r>
                              <w:rPr>
                                <w:rFonts w:ascii="Arial" w:hAnsi="Arial"/>
                                <w:sz w:val="18"/>
                                <w:szCs w:val="18"/>
                              </w:rPr>
                              <w:t xml:space="preserve">MSD’s </w:t>
                            </w:r>
                            <w:r w:rsidR="007E0CE0">
                              <w:rPr>
                                <w:rFonts w:ascii="Arial" w:hAnsi="Arial"/>
                                <w:sz w:val="18"/>
                                <w:szCs w:val="18"/>
                              </w:rPr>
                              <w:t>01/</w:t>
                            </w:r>
                            <w:r>
                              <w:rPr>
                                <w:rFonts w:ascii="Arial" w:hAnsi="Arial"/>
                                <w:sz w:val="18"/>
                                <w:szCs w:val="18"/>
                              </w:rPr>
                              <w:t>19 Working Paper</w:t>
                            </w:r>
                            <w:r w:rsidR="007E0CE0">
                              <w:rPr>
                                <w:rFonts w:ascii="Arial" w:hAnsi="Arial"/>
                                <w:sz w:val="18"/>
                                <w:szCs w:val="18"/>
                              </w:rPr>
                              <w:t xml:space="preserve"> </w:t>
                            </w:r>
                          </w:p>
                          <w:p w14:paraId="7D30018B" w14:textId="22583E2C" w:rsidR="00017A19" w:rsidRPr="007E0CE0" w:rsidRDefault="00017A19">
                            <w:pPr>
                              <w:pStyle w:val="ListParagraph"/>
                              <w:numPr>
                                <w:ilvl w:val="0"/>
                                <w:numId w:val="93"/>
                              </w:numPr>
                              <w:spacing w:before="40" w:after="0" w:line="240" w:lineRule="auto"/>
                              <w:ind w:left="709" w:hanging="357"/>
                              <w:contextualSpacing w:val="0"/>
                            </w:pPr>
                            <w:r>
                              <w:rPr>
                                <w:rFonts w:ascii="Arial" w:hAnsi="Arial"/>
                                <w:sz w:val="18"/>
                                <w:szCs w:val="18"/>
                              </w:rPr>
                              <w:t xml:space="preserve">MSD’s </w:t>
                            </w:r>
                            <w:r w:rsidR="007E0CE0">
                              <w:rPr>
                                <w:rFonts w:ascii="Arial" w:hAnsi="Arial"/>
                                <w:sz w:val="18"/>
                                <w:szCs w:val="18"/>
                              </w:rPr>
                              <w:t>02/</w:t>
                            </w:r>
                            <w:r>
                              <w:rPr>
                                <w:rFonts w:ascii="Arial" w:hAnsi="Arial"/>
                                <w:sz w:val="18"/>
                                <w:szCs w:val="18"/>
                              </w:rPr>
                              <w:t>26 Working Paper</w:t>
                            </w:r>
                          </w:p>
                          <w:p w14:paraId="65F9ACBB" w14:textId="53E89287" w:rsidR="007E0CE0" w:rsidRPr="00017A19" w:rsidRDefault="007E0CE0" w:rsidP="00550801">
                            <w:pPr>
                              <w:pStyle w:val="ListParagraph"/>
                              <w:spacing w:before="80" w:after="0" w:line="240" w:lineRule="auto"/>
                              <w:ind w:left="284"/>
                              <w:contextualSpacing w:val="0"/>
                            </w:pPr>
                            <w:r>
                              <w:rPr>
                                <w:rFonts w:ascii="Arial" w:hAnsi="Arial"/>
                                <w:sz w:val="18"/>
                                <w:szCs w:val="18"/>
                              </w:rPr>
                              <w:t xml:space="preserve">Working papers </w:t>
                            </w:r>
                            <w:r w:rsidR="00C041AB">
                              <w:rPr>
                                <w:rFonts w:ascii="Arial" w:hAnsi="Arial"/>
                                <w:sz w:val="18"/>
                                <w:szCs w:val="18"/>
                              </w:rPr>
                              <w:t xml:space="preserve">are </w:t>
                            </w:r>
                            <w:r>
                              <w:rPr>
                                <w:rFonts w:ascii="Arial" w:hAnsi="Arial"/>
                                <w:sz w:val="18"/>
                                <w:szCs w:val="18"/>
                              </w:rPr>
                              <w:t xml:space="preserve">available at: </w:t>
                            </w:r>
                            <w:hyperlink r:id="rId37" w:anchor="WorkingPapers20192" w:history="1">
                              <w:r w:rsidRPr="00AB506C">
                                <w:rPr>
                                  <w:rStyle w:val="Hyperlink"/>
                                  <w:rFonts w:ascii="Arial" w:hAnsi="Arial"/>
                                  <w:sz w:val="18"/>
                                  <w:szCs w:val="18"/>
                                </w:rPr>
                                <w:t>https://www.msd.govt.nz/about-msd-and-our-work/publications-resources/working-papers/index.html#WorkingPapers</w:t>
                              </w:r>
                            </w:hyperlink>
                          </w:p>
                          <w:p w14:paraId="787649F6" w14:textId="77777777" w:rsidR="007E0CE0" w:rsidRPr="00017A19" w:rsidRDefault="007E0CE0" w:rsidP="007E0CE0">
                            <w:pPr>
                              <w:spacing w:before="6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3450F" id="Text Box 19" o:spid="_x0000_s1041" type="#_x0000_t202" style="position:absolute;margin-left:9pt;margin-top:5.95pt;width:428.5pt;height:603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" fillcolor="white [3201]" strokeweight=".5pt">
                <v:textbox>
                  <w:txbxContent>
                    <w:p w14:paraId="3D88181D" w14:textId="26BB5B83" w:rsidR="00C64C4E" w:rsidRPr="00EB55ED" w:rsidRDefault="00C64C4E" w:rsidP="006B4792">
                      <w:pPr>
                        <w:spacing w:before="120" w:after="0" w:line="240" w:lineRule="auto"/>
                        <w:jc w:val="center"/>
                        <w:rPr>
                          <w:rFonts w:ascii="Arial" w:hAnsi="Arial"/>
                          <w:b/>
                          <w:bCs/>
                          <w:sz w:val="22"/>
                        </w:rPr>
                      </w:pPr>
                      <w:r>
                        <w:rPr>
                          <w:rFonts w:ascii="Arial" w:hAnsi="Arial"/>
                          <w:b/>
                          <w:bCs/>
                          <w:sz w:val="22"/>
                        </w:rPr>
                        <w:t>M</w:t>
                      </w:r>
                      <w:r w:rsidRPr="00EB55ED">
                        <w:rPr>
                          <w:rFonts w:ascii="Arial" w:hAnsi="Arial"/>
                          <w:b/>
                          <w:bCs/>
                          <w:sz w:val="22"/>
                        </w:rPr>
                        <w:t>easurement and reporting approaches</w:t>
                      </w:r>
                    </w:p>
                    <w:p w14:paraId="0A926D6E" w14:textId="6EAFFE88" w:rsidR="005D466D" w:rsidRPr="00EB55ED" w:rsidRDefault="00C64C4E" w:rsidP="00C64C4E">
                      <w:pPr>
                        <w:spacing w:after="0" w:line="240" w:lineRule="auto"/>
                        <w:jc w:val="center"/>
                        <w:rPr>
                          <w:rFonts w:ascii="Arial" w:hAnsi="Arial"/>
                          <w:b/>
                          <w:bCs/>
                          <w:sz w:val="22"/>
                        </w:rPr>
                      </w:pPr>
                      <w:r>
                        <w:rPr>
                          <w:rFonts w:ascii="Arial" w:hAnsi="Arial"/>
                          <w:b/>
                          <w:bCs/>
                          <w:sz w:val="22"/>
                        </w:rPr>
                        <w:t>f</w:t>
                      </w:r>
                      <w:r w:rsidR="00D47CB6" w:rsidRPr="00EB55ED">
                        <w:rPr>
                          <w:rFonts w:ascii="Arial" w:hAnsi="Arial"/>
                          <w:b/>
                          <w:bCs/>
                          <w:sz w:val="22"/>
                        </w:rPr>
                        <w:t>or the material hardship sections that follow (Sections D, E and F)</w:t>
                      </w:r>
                    </w:p>
                    <w:p w14:paraId="671544DB" w14:textId="77777777" w:rsidR="00C64C4E" w:rsidRDefault="00C64C4E" w:rsidP="00D47CB6">
                      <w:pPr>
                        <w:spacing w:after="0" w:line="240" w:lineRule="auto"/>
                        <w:rPr>
                          <w:rFonts w:ascii="Arial" w:hAnsi="Arial"/>
                          <w:b/>
                          <w:bCs/>
                          <w:sz w:val="18"/>
                          <w:szCs w:val="18"/>
                        </w:rPr>
                      </w:pPr>
                    </w:p>
                    <w:p w14:paraId="3EAD537A" w14:textId="77777777" w:rsidR="00C64C4E" w:rsidRDefault="00C64C4E" w:rsidP="00D47CB6">
                      <w:pPr>
                        <w:spacing w:after="0" w:line="240" w:lineRule="auto"/>
                        <w:rPr>
                          <w:rFonts w:ascii="Arial" w:hAnsi="Arial"/>
                          <w:b/>
                          <w:bCs/>
                          <w:sz w:val="18"/>
                          <w:szCs w:val="18"/>
                        </w:rPr>
                      </w:pPr>
                    </w:p>
                    <w:p w14:paraId="4372D5E3" w14:textId="70C48849" w:rsidR="00EB55ED" w:rsidRPr="00EB55ED" w:rsidRDefault="00EB55ED" w:rsidP="00C116AD">
                      <w:pPr>
                        <w:spacing w:line="240" w:lineRule="auto"/>
                        <w:rPr>
                          <w:rFonts w:ascii="Arial" w:hAnsi="Arial"/>
                          <w:b/>
                          <w:bCs/>
                          <w:sz w:val="18"/>
                          <w:szCs w:val="18"/>
                        </w:rPr>
                      </w:pPr>
                      <w:r w:rsidRPr="00EB55ED">
                        <w:rPr>
                          <w:rFonts w:ascii="Arial" w:hAnsi="Arial"/>
                          <w:b/>
                          <w:bCs/>
                          <w:sz w:val="18"/>
                          <w:szCs w:val="18"/>
                        </w:rPr>
                        <w:t>The indices used for measuring material hardship</w:t>
                      </w:r>
                    </w:p>
                    <w:p w14:paraId="4F5A4DF4" w14:textId="27843650" w:rsidR="00D47CB6" w:rsidRPr="00EB55ED" w:rsidRDefault="005D466D">
                      <w:pPr>
                        <w:pStyle w:val="ListParagraph"/>
                        <w:numPr>
                          <w:ilvl w:val="0"/>
                          <w:numId w:val="92"/>
                        </w:numPr>
                        <w:spacing w:line="240" w:lineRule="auto"/>
                        <w:ind w:left="714" w:hanging="357"/>
                        <w:contextualSpacing w:val="0"/>
                        <w:rPr>
                          <w:rFonts w:ascii="Arial" w:hAnsi="Arial"/>
                          <w:sz w:val="18"/>
                          <w:szCs w:val="18"/>
                        </w:rPr>
                      </w:pPr>
                      <w:r w:rsidRPr="00EB55ED">
                        <w:rPr>
                          <w:rFonts w:ascii="Arial" w:hAnsi="Arial"/>
                          <w:sz w:val="18"/>
                          <w:szCs w:val="18"/>
                        </w:rPr>
                        <w:t>DEP-17 is a HES-based 17-item material hardship index, with a hardship threshold of 6+/17.</w:t>
                      </w:r>
                    </w:p>
                    <w:p w14:paraId="13253258" w14:textId="33835170" w:rsidR="005D466D" w:rsidRPr="00EB55ED" w:rsidRDefault="005D466D">
                      <w:pPr>
                        <w:pStyle w:val="ListParagraph"/>
                        <w:numPr>
                          <w:ilvl w:val="0"/>
                          <w:numId w:val="92"/>
                        </w:numPr>
                        <w:spacing w:line="240" w:lineRule="auto"/>
                        <w:ind w:left="714" w:hanging="357"/>
                        <w:contextualSpacing w:val="0"/>
                        <w:rPr>
                          <w:rFonts w:ascii="Arial" w:hAnsi="Arial"/>
                          <w:sz w:val="18"/>
                          <w:szCs w:val="18"/>
                        </w:rPr>
                      </w:pPr>
                      <w:r w:rsidRPr="00EB55ED">
                        <w:rPr>
                          <w:rFonts w:ascii="Arial" w:hAnsi="Arial"/>
                          <w:sz w:val="18"/>
                          <w:szCs w:val="18"/>
                        </w:rPr>
                        <w:t>MH-18 with a hardship threshold of 7+/18 is the HILS-based replacement for DEP-17</w:t>
                      </w:r>
                      <w:r w:rsidR="00EB55ED">
                        <w:rPr>
                          <w:rFonts w:ascii="Arial" w:hAnsi="Arial"/>
                          <w:sz w:val="18"/>
                          <w:szCs w:val="18"/>
                        </w:rPr>
                        <w:t>.</w:t>
                      </w:r>
                    </w:p>
                    <w:p w14:paraId="52EDF407" w14:textId="034A2983" w:rsidR="000302F6" w:rsidRPr="00EB55ED" w:rsidRDefault="000302F6">
                      <w:pPr>
                        <w:pStyle w:val="ListParagraph"/>
                        <w:numPr>
                          <w:ilvl w:val="0"/>
                          <w:numId w:val="92"/>
                        </w:numPr>
                        <w:spacing w:line="240" w:lineRule="auto"/>
                        <w:ind w:left="714" w:hanging="357"/>
                        <w:contextualSpacing w:val="0"/>
                        <w:rPr>
                          <w:rFonts w:ascii="Arial" w:eastAsia="Times New Roman" w:hAnsi="Arial"/>
                          <w:color w:val="000000" w:themeColor="text1"/>
                          <w:sz w:val="18"/>
                          <w:szCs w:val="18"/>
                          <w:lang w:val="en-GB"/>
                        </w:rPr>
                      </w:pPr>
                      <w:r w:rsidRPr="00EB55ED">
                        <w:rPr>
                          <w:rFonts w:ascii="Arial" w:eastAsia="Times New Roman" w:hAnsi="Arial"/>
                          <w:color w:val="000000" w:themeColor="text1"/>
                          <w:sz w:val="18"/>
                          <w:szCs w:val="18"/>
                          <w:lang w:val="en-GB"/>
                        </w:rPr>
                        <w:t>MWI-24 is MSD’s 24-item material wellbeing index that</w:t>
                      </w:r>
                      <w:r w:rsidR="005D466D" w:rsidRPr="00EB55ED">
                        <w:rPr>
                          <w:rFonts w:ascii="Arial" w:eastAsia="Times New Roman" w:hAnsi="Arial"/>
                          <w:color w:val="000000" w:themeColor="text1"/>
                          <w:sz w:val="18"/>
                          <w:szCs w:val="18"/>
                          <w:lang w:val="en-GB"/>
                        </w:rPr>
                        <w:t xml:space="preserve"> rank</w:t>
                      </w:r>
                      <w:r w:rsidRPr="00EB55ED">
                        <w:rPr>
                          <w:rFonts w:ascii="Arial" w:eastAsia="Times New Roman" w:hAnsi="Arial"/>
                          <w:color w:val="000000" w:themeColor="text1"/>
                          <w:sz w:val="18"/>
                          <w:szCs w:val="18"/>
                          <w:lang w:val="en-GB"/>
                        </w:rPr>
                        <w:t>s</w:t>
                      </w:r>
                      <w:r w:rsidR="005D466D" w:rsidRPr="00EB55ED">
                        <w:rPr>
                          <w:rFonts w:ascii="Arial" w:eastAsia="Times New Roman" w:hAnsi="Arial"/>
                          <w:color w:val="000000" w:themeColor="text1"/>
                          <w:sz w:val="18"/>
                          <w:szCs w:val="18"/>
                          <w:lang w:val="en-GB"/>
                        </w:rPr>
                        <w:t xml:space="preserve"> households across the full material wellbeing spectrum from high to low, with greater sensitivity at the low end. </w:t>
                      </w:r>
                      <w:r w:rsidR="00EB55ED">
                        <w:rPr>
                          <w:rFonts w:ascii="Arial" w:eastAsia="Times New Roman" w:hAnsi="Arial"/>
                          <w:color w:val="000000" w:themeColor="text1"/>
                          <w:sz w:val="18"/>
                          <w:szCs w:val="18"/>
                          <w:lang w:val="en-GB"/>
                        </w:rPr>
                        <w:t>It can be used as a material hardship measure.</w:t>
                      </w:r>
                    </w:p>
                    <w:p w14:paraId="15495256" w14:textId="40591B62" w:rsidR="000302F6" w:rsidRPr="00EB55ED" w:rsidRDefault="000302F6">
                      <w:pPr>
                        <w:pStyle w:val="ListParagraph"/>
                        <w:numPr>
                          <w:ilvl w:val="0"/>
                          <w:numId w:val="92"/>
                        </w:numPr>
                        <w:spacing w:after="0" w:line="240" w:lineRule="auto"/>
                        <w:rPr>
                          <w:rFonts w:ascii="Arial" w:eastAsia="Times New Roman" w:hAnsi="Arial"/>
                          <w:color w:val="000000" w:themeColor="text1"/>
                          <w:sz w:val="18"/>
                          <w:szCs w:val="18"/>
                          <w:lang w:val="en-GB"/>
                        </w:rPr>
                      </w:pPr>
                      <w:r w:rsidRPr="00EB55ED">
                        <w:rPr>
                          <w:rFonts w:ascii="Arial" w:eastAsia="Times New Roman" w:hAnsi="Arial"/>
                          <w:color w:val="000000" w:themeColor="text1"/>
                          <w:sz w:val="18"/>
                          <w:szCs w:val="18"/>
                          <w:lang w:val="en-GB"/>
                        </w:rPr>
                        <w:t>MWI-26 is the 26-item HILS-based replacement for the MWI-24.</w:t>
                      </w:r>
                    </w:p>
                    <w:p w14:paraId="50769304" w14:textId="77777777" w:rsidR="00CC176A" w:rsidRDefault="00CC176A" w:rsidP="005D466D">
                      <w:pPr>
                        <w:spacing w:after="0" w:line="240" w:lineRule="auto"/>
                        <w:rPr>
                          <w:rFonts w:ascii="Arial" w:eastAsia="Times New Roman" w:hAnsi="Arial"/>
                          <w:color w:val="000000" w:themeColor="text1"/>
                          <w:sz w:val="18"/>
                          <w:szCs w:val="18"/>
                          <w:lang w:val="en-GB"/>
                        </w:rPr>
                      </w:pPr>
                    </w:p>
                    <w:p w14:paraId="51994D55" w14:textId="22A5F479" w:rsidR="00CC176A" w:rsidRDefault="00CC176A" w:rsidP="005D466D">
                      <w:pPr>
                        <w:spacing w:after="0" w:line="240" w:lineRule="auto"/>
                        <w:rPr>
                          <w:rFonts w:ascii="Arial" w:eastAsia="Times New Roman" w:hAnsi="Arial"/>
                          <w:color w:val="000000" w:themeColor="text1"/>
                          <w:sz w:val="18"/>
                          <w:szCs w:val="18"/>
                          <w:lang w:val="en-GB"/>
                        </w:rPr>
                      </w:pPr>
                      <w:r>
                        <w:rPr>
                          <w:rFonts w:ascii="Arial" w:eastAsia="Times New Roman" w:hAnsi="Arial"/>
                          <w:color w:val="000000" w:themeColor="text1"/>
                          <w:sz w:val="18"/>
                          <w:szCs w:val="18"/>
                          <w:lang w:val="en-GB"/>
                        </w:rPr>
                        <w:t xml:space="preserve">Stats NZ uses the DEP-17 and MH-18 measures in their reporting of official </w:t>
                      </w:r>
                      <w:r w:rsidR="00C64C4E">
                        <w:rPr>
                          <w:rFonts w:ascii="Arial" w:eastAsia="Times New Roman" w:hAnsi="Arial"/>
                          <w:color w:val="000000" w:themeColor="text1"/>
                          <w:sz w:val="18"/>
                          <w:szCs w:val="18"/>
                          <w:lang w:val="en-GB"/>
                        </w:rPr>
                        <w:t xml:space="preserve">material hardship </w:t>
                      </w:r>
                      <w:r>
                        <w:rPr>
                          <w:rFonts w:ascii="Arial" w:eastAsia="Times New Roman" w:hAnsi="Arial"/>
                          <w:color w:val="000000" w:themeColor="text1"/>
                          <w:sz w:val="18"/>
                          <w:szCs w:val="18"/>
                          <w:lang w:val="en-GB"/>
                        </w:rPr>
                        <w:t>statistics.</w:t>
                      </w:r>
                    </w:p>
                    <w:p w14:paraId="680ACD7D" w14:textId="77777777" w:rsidR="00CC176A" w:rsidRDefault="00CC176A" w:rsidP="005D466D">
                      <w:pPr>
                        <w:spacing w:after="0" w:line="240" w:lineRule="auto"/>
                        <w:rPr>
                          <w:rFonts w:ascii="Arial" w:eastAsia="Times New Roman" w:hAnsi="Arial"/>
                          <w:color w:val="000000" w:themeColor="text1"/>
                          <w:sz w:val="18"/>
                          <w:szCs w:val="18"/>
                          <w:lang w:val="en-GB"/>
                        </w:rPr>
                      </w:pPr>
                    </w:p>
                    <w:p w14:paraId="4F1F90D7" w14:textId="77777777" w:rsidR="00CC176A" w:rsidRDefault="00CC176A" w:rsidP="00CC176A">
                      <w:pPr>
                        <w:spacing w:after="0" w:line="240" w:lineRule="auto"/>
                        <w:rPr>
                          <w:rFonts w:ascii="Arial" w:eastAsia="Times New Roman" w:hAnsi="Arial"/>
                          <w:color w:val="000000" w:themeColor="text1"/>
                          <w:sz w:val="18"/>
                          <w:szCs w:val="18"/>
                          <w:lang w:val="en-GB"/>
                        </w:rPr>
                      </w:pPr>
                      <w:r w:rsidRPr="00EB55ED">
                        <w:rPr>
                          <w:rFonts w:ascii="Arial" w:eastAsia="Times New Roman" w:hAnsi="Arial"/>
                          <w:color w:val="000000" w:themeColor="text1"/>
                          <w:sz w:val="18"/>
                          <w:szCs w:val="18"/>
                          <w:lang w:val="en-GB"/>
                        </w:rPr>
                        <w:t>When used to measure material hardship, the MWI-24 gives close to identical numbers to those produced by DEP-17. Similarly for MWI-26 and MH-18.</w:t>
                      </w:r>
                    </w:p>
                    <w:p w14:paraId="6338AFAA" w14:textId="77777777" w:rsidR="00C56980" w:rsidRDefault="00C56980" w:rsidP="00CC176A">
                      <w:pPr>
                        <w:spacing w:after="0" w:line="240" w:lineRule="auto"/>
                        <w:rPr>
                          <w:rFonts w:ascii="Arial" w:eastAsia="Times New Roman" w:hAnsi="Arial"/>
                          <w:color w:val="000000" w:themeColor="text1"/>
                          <w:sz w:val="18"/>
                          <w:szCs w:val="18"/>
                          <w:lang w:val="en-GB"/>
                        </w:rPr>
                      </w:pPr>
                    </w:p>
                    <w:p w14:paraId="7DB103BD" w14:textId="773AACF1" w:rsidR="00C56980" w:rsidRPr="00881C20" w:rsidRDefault="00C56980" w:rsidP="00CC176A">
                      <w:pPr>
                        <w:spacing w:after="0" w:line="240" w:lineRule="auto"/>
                        <w:rPr>
                          <w:rFonts w:ascii="Arial" w:eastAsia="Times New Roman" w:hAnsi="Arial"/>
                          <w:color w:val="000000" w:themeColor="text1"/>
                          <w:sz w:val="18"/>
                          <w:szCs w:val="18"/>
                          <w:lang w:val="en-GB"/>
                        </w:rPr>
                      </w:pPr>
                      <w:r w:rsidRPr="00881C20">
                        <w:rPr>
                          <w:rFonts w:ascii="Arial" w:eastAsia="Times New Roman" w:hAnsi="Arial"/>
                          <w:color w:val="000000" w:themeColor="text1"/>
                          <w:sz w:val="18"/>
                          <w:szCs w:val="18"/>
                          <w:lang w:val="en-GB"/>
                        </w:rPr>
                        <w:t xml:space="preserve">See </w:t>
                      </w:r>
                      <w:r w:rsidRPr="00881C20">
                        <w:rPr>
                          <w:rFonts w:ascii="Arial" w:eastAsia="Times New Roman" w:hAnsi="Arial"/>
                          <w:b/>
                          <w:bCs/>
                          <w:color w:val="000000" w:themeColor="text1"/>
                          <w:sz w:val="18"/>
                          <w:szCs w:val="18"/>
                          <w:lang w:val="en-GB"/>
                        </w:rPr>
                        <w:t>Appendices 3 and 20</w:t>
                      </w:r>
                      <w:r w:rsidRPr="00881C20">
                        <w:rPr>
                          <w:rFonts w:ascii="Arial" w:eastAsia="Times New Roman" w:hAnsi="Arial"/>
                          <w:color w:val="000000" w:themeColor="text1"/>
                          <w:sz w:val="18"/>
                          <w:szCs w:val="18"/>
                          <w:lang w:val="en-GB"/>
                        </w:rPr>
                        <w:t xml:space="preserve"> for item lists and scoring rules.</w:t>
                      </w:r>
                    </w:p>
                    <w:p w14:paraId="617AB071" w14:textId="77777777" w:rsidR="00EB55ED" w:rsidRDefault="00EB55ED" w:rsidP="000302F6">
                      <w:pPr>
                        <w:spacing w:after="0" w:line="240" w:lineRule="auto"/>
                        <w:rPr>
                          <w:rFonts w:ascii="Arial" w:hAnsi="Arial"/>
                          <w:sz w:val="18"/>
                          <w:szCs w:val="18"/>
                        </w:rPr>
                      </w:pPr>
                    </w:p>
                    <w:p w14:paraId="64CD336E" w14:textId="42AEF81F" w:rsidR="00714FC9" w:rsidRPr="00714FC9" w:rsidRDefault="00714FC9" w:rsidP="003C71FF">
                      <w:pPr>
                        <w:spacing w:line="240" w:lineRule="auto"/>
                        <w:rPr>
                          <w:rFonts w:ascii="Arial" w:hAnsi="Arial"/>
                          <w:b/>
                          <w:bCs/>
                          <w:color w:val="000000" w:themeColor="text1"/>
                          <w:sz w:val="18"/>
                          <w:szCs w:val="18"/>
                        </w:rPr>
                      </w:pPr>
                      <w:r w:rsidRPr="00714FC9">
                        <w:rPr>
                          <w:rFonts w:ascii="Arial" w:hAnsi="Arial"/>
                          <w:b/>
                          <w:bCs/>
                          <w:color w:val="000000" w:themeColor="text1"/>
                          <w:sz w:val="18"/>
                          <w:szCs w:val="18"/>
                        </w:rPr>
                        <w:t>Material hardship as experienced by children</w:t>
                      </w:r>
                    </w:p>
                    <w:p w14:paraId="7E1433E4" w14:textId="27261314" w:rsidR="00714FC9" w:rsidRPr="00714FC9" w:rsidRDefault="00714FC9" w:rsidP="00714FC9">
                      <w:pPr>
                        <w:spacing w:after="0" w:line="240" w:lineRule="auto"/>
                        <w:rPr>
                          <w:rFonts w:ascii="Arial" w:hAnsi="Arial"/>
                          <w:color w:val="000000" w:themeColor="text1"/>
                          <w:sz w:val="18"/>
                          <w:szCs w:val="18"/>
                        </w:rPr>
                      </w:pPr>
                      <w:r w:rsidRPr="00714FC9">
                        <w:rPr>
                          <w:rFonts w:ascii="Arial" w:hAnsi="Arial"/>
                          <w:color w:val="000000" w:themeColor="text1"/>
                          <w:sz w:val="18"/>
                          <w:szCs w:val="18"/>
                        </w:rPr>
                        <w:t xml:space="preserve">The measures above </w:t>
                      </w:r>
                      <w:r>
                        <w:rPr>
                          <w:rFonts w:ascii="Arial" w:hAnsi="Arial"/>
                          <w:color w:val="000000" w:themeColor="text1"/>
                          <w:sz w:val="18"/>
                          <w:szCs w:val="18"/>
                        </w:rPr>
                        <w:t xml:space="preserve">give hardship rates </w:t>
                      </w:r>
                      <w:r w:rsidRPr="00714FC9">
                        <w:rPr>
                          <w:rFonts w:ascii="Arial" w:hAnsi="Arial"/>
                          <w:color w:val="000000" w:themeColor="text1"/>
                          <w:sz w:val="18"/>
                          <w:szCs w:val="18"/>
                        </w:rPr>
                        <w:t xml:space="preserve">at </w:t>
                      </w:r>
                      <w:r>
                        <w:rPr>
                          <w:rFonts w:ascii="Arial" w:hAnsi="Arial"/>
                          <w:color w:val="000000" w:themeColor="text1"/>
                          <w:sz w:val="18"/>
                          <w:szCs w:val="18"/>
                        </w:rPr>
                        <w:t xml:space="preserve">a </w:t>
                      </w:r>
                      <w:r w:rsidRPr="00714FC9">
                        <w:rPr>
                          <w:rFonts w:ascii="Arial" w:hAnsi="Arial"/>
                          <w:color w:val="000000" w:themeColor="text1"/>
                          <w:sz w:val="18"/>
                          <w:szCs w:val="18"/>
                        </w:rPr>
                        <w:t>household-level.</w:t>
                      </w:r>
                      <w:r>
                        <w:rPr>
                          <w:rFonts w:ascii="Arial" w:hAnsi="Arial"/>
                          <w:color w:val="000000" w:themeColor="text1"/>
                          <w:sz w:val="18"/>
                          <w:szCs w:val="18"/>
                        </w:rPr>
                        <w:t xml:space="preserve"> All household members are given the same MH rate.</w:t>
                      </w:r>
                      <w:r w:rsidRPr="00714FC9">
                        <w:rPr>
                          <w:rFonts w:ascii="Arial" w:hAnsi="Arial"/>
                          <w:color w:val="000000" w:themeColor="text1"/>
                          <w:sz w:val="18"/>
                          <w:szCs w:val="18"/>
                        </w:rPr>
                        <w:t xml:space="preserve">  </w:t>
                      </w:r>
                      <w:r>
                        <w:rPr>
                          <w:rFonts w:ascii="Arial" w:hAnsi="Arial"/>
                          <w:color w:val="000000" w:themeColor="text1"/>
                          <w:sz w:val="18"/>
                          <w:szCs w:val="18"/>
                        </w:rPr>
                        <w:t xml:space="preserve">See Section D for a description of </w:t>
                      </w:r>
                      <w:r w:rsidR="00C47342">
                        <w:rPr>
                          <w:rFonts w:ascii="Arial" w:hAnsi="Arial"/>
                          <w:color w:val="000000" w:themeColor="text1"/>
                          <w:sz w:val="18"/>
                          <w:szCs w:val="18"/>
                        </w:rPr>
                        <w:t>how children experience material hardship in these households.</w:t>
                      </w:r>
                    </w:p>
                    <w:p w14:paraId="0743FFD2" w14:textId="77777777" w:rsidR="00EB55ED" w:rsidRPr="00CC176A" w:rsidRDefault="00EB55ED" w:rsidP="000302F6">
                      <w:pPr>
                        <w:spacing w:after="0" w:line="240" w:lineRule="auto"/>
                        <w:rPr>
                          <w:rFonts w:ascii="Arial" w:hAnsi="Arial"/>
                          <w:sz w:val="18"/>
                          <w:szCs w:val="18"/>
                        </w:rPr>
                      </w:pPr>
                    </w:p>
                    <w:p w14:paraId="437021E5" w14:textId="19E41A72" w:rsidR="00D47CB6" w:rsidRDefault="00C64C4E" w:rsidP="00D47CB6">
                      <w:pPr>
                        <w:spacing w:after="0" w:line="240" w:lineRule="auto"/>
                        <w:rPr>
                          <w:rFonts w:ascii="Arial" w:hAnsi="Arial"/>
                          <w:b/>
                          <w:bCs/>
                          <w:color w:val="000000" w:themeColor="text1"/>
                          <w:sz w:val="18"/>
                          <w:szCs w:val="18"/>
                        </w:rPr>
                      </w:pPr>
                      <w:r>
                        <w:rPr>
                          <w:rFonts w:ascii="Arial" w:hAnsi="Arial"/>
                          <w:b/>
                          <w:bCs/>
                          <w:color w:val="000000" w:themeColor="text1"/>
                          <w:sz w:val="18"/>
                          <w:szCs w:val="18"/>
                        </w:rPr>
                        <w:t>Reporting on trends in material hardship rates</w:t>
                      </w:r>
                    </w:p>
                    <w:p w14:paraId="5AB88EA7" w14:textId="3E6A014F" w:rsidR="00C64C4E" w:rsidRPr="00C64C4E" w:rsidRDefault="00C64C4E">
                      <w:pPr>
                        <w:pStyle w:val="ListParagraph"/>
                        <w:numPr>
                          <w:ilvl w:val="1"/>
                          <w:numId w:val="39"/>
                        </w:numPr>
                        <w:spacing w:before="120" w:after="0" w:line="240" w:lineRule="auto"/>
                        <w:ind w:left="709" w:hanging="357"/>
                        <w:contextualSpacing w:val="0"/>
                        <w:rPr>
                          <w:rFonts w:ascii="Arial" w:hAnsi="Arial"/>
                          <w:color w:val="000000" w:themeColor="text1"/>
                          <w:sz w:val="18"/>
                          <w:szCs w:val="18"/>
                        </w:rPr>
                      </w:pPr>
                      <w:r w:rsidRPr="00C64C4E">
                        <w:rPr>
                          <w:rFonts w:ascii="Arial" w:hAnsi="Arial"/>
                          <w:sz w:val="18"/>
                          <w:szCs w:val="18"/>
                        </w:rPr>
                        <w:t xml:space="preserve">For reporting on </w:t>
                      </w:r>
                      <w:r>
                        <w:rPr>
                          <w:rFonts w:ascii="Arial" w:hAnsi="Arial"/>
                          <w:sz w:val="18"/>
                          <w:szCs w:val="18"/>
                        </w:rPr>
                        <w:t xml:space="preserve">material hardship </w:t>
                      </w:r>
                      <w:r w:rsidRPr="00C64C4E">
                        <w:rPr>
                          <w:rFonts w:ascii="Arial" w:hAnsi="Arial"/>
                          <w:sz w:val="18"/>
                          <w:szCs w:val="18"/>
                        </w:rPr>
                        <w:t xml:space="preserve">trends MSD’s reports use the MWI indices. The DEP-17 measure can be used only from the 2013 HES and later, </w:t>
                      </w:r>
                      <w:r w:rsidRPr="00C64C4E">
                        <w:rPr>
                          <w:rFonts w:ascii="Arial" w:eastAsia="Times New Roman" w:hAnsi="Arial"/>
                          <w:color w:val="000000" w:themeColor="text1"/>
                          <w:sz w:val="18"/>
                          <w:szCs w:val="18"/>
                          <w:lang w:val="en-GB"/>
                        </w:rPr>
                        <w:t>whereas the MWI-24 and its Economic Living Standards (ELSI) predecessor can go back to the 2007 HES, thus enabling longer time series reporting.</w:t>
                      </w:r>
                      <w:r w:rsidRPr="00C64C4E">
                        <w:rPr>
                          <w:rFonts w:ascii="Arial" w:hAnsi="Arial"/>
                          <w:sz w:val="18"/>
                          <w:szCs w:val="18"/>
                        </w:rPr>
                        <w:t xml:space="preserve"> </w:t>
                      </w:r>
                    </w:p>
                    <w:p w14:paraId="3FD13837" w14:textId="6D66ADBA" w:rsidR="00D47CB6" w:rsidRPr="00C64C4E" w:rsidRDefault="00D47CB6">
                      <w:pPr>
                        <w:pStyle w:val="ListParagraph"/>
                        <w:numPr>
                          <w:ilvl w:val="1"/>
                          <w:numId w:val="39"/>
                        </w:numPr>
                        <w:spacing w:before="120" w:after="0" w:line="240" w:lineRule="auto"/>
                        <w:ind w:left="709" w:hanging="357"/>
                        <w:contextualSpacing w:val="0"/>
                        <w:rPr>
                          <w:rFonts w:ascii="Arial" w:hAnsi="Arial"/>
                          <w:color w:val="000000" w:themeColor="text1"/>
                          <w:sz w:val="18"/>
                          <w:szCs w:val="18"/>
                        </w:rPr>
                      </w:pPr>
                      <w:r w:rsidRPr="00C64C4E">
                        <w:rPr>
                          <w:rFonts w:ascii="Arial" w:hAnsi="Arial"/>
                          <w:color w:val="000000" w:themeColor="text1"/>
                          <w:sz w:val="18"/>
                          <w:szCs w:val="18"/>
                        </w:rPr>
                        <w:t xml:space="preserve">When reporting on trends the focus in this report is usually on longer-run trends rather than on the year-on-year or other short-run changes that Stats NZ use in </w:t>
                      </w:r>
                      <w:r w:rsidR="00714FC9">
                        <w:rPr>
                          <w:rFonts w:ascii="Arial" w:hAnsi="Arial"/>
                          <w:color w:val="000000" w:themeColor="text1"/>
                          <w:sz w:val="18"/>
                          <w:szCs w:val="18"/>
                        </w:rPr>
                        <w:t>line</w:t>
                      </w:r>
                      <w:r w:rsidRPr="00C64C4E">
                        <w:rPr>
                          <w:rFonts w:ascii="Arial" w:hAnsi="Arial"/>
                          <w:color w:val="000000" w:themeColor="text1"/>
                          <w:sz w:val="18"/>
                          <w:szCs w:val="18"/>
                        </w:rPr>
                        <w:t xml:space="preserve"> with their responsibilities under the Child Poverty Reduction Act (2018).</w:t>
                      </w:r>
                    </w:p>
                    <w:p w14:paraId="586670A4" w14:textId="014316C8" w:rsidR="00D47CB6" w:rsidRPr="008D6DCC" w:rsidRDefault="00D47CB6">
                      <w:pPr>
                        <w:pStyle w:val="ListParagraph"/>
                        <w:numPr>
                          <w:ilvl w:val="1"/>
                          <w:numId w:val="39"/>
                        </w:numPr>
                        <w:spacing w:before="120" w:after="0" w:line="240" w:lineRule="auto"/>
                        <w:ind w:left="709" w:hanging="357"/>
                        <w:contextualSpacing w:val="0"/>
                        <w:rPr>
                          <w:rFonts w:ascii="Arial" w:hAnsi="Arial"/>
                          <w:color w:val="000000" w:themeColor="text1"/>
                          <w:sz w:val="18"/>
                          <w:szCs w:val="18"/>
                        </w:rPr>
                      </w:pPr>
                      <w:r w:rsidRPr="008D6DCC">
                        <w:rPr>
                          <w:rFonts w:ascii="Arial" w:hAnsi="Arial"/>
                          <w:color w:val="000000" w:themeColor="text1"/>
                          <w:sz w:val="18"/>
                          <w:szCs w:val="18"/>
                        </w:rPr>
                        <w:t xml:space="preserve">The trend-lines in this report are usually shown using a rolling two-year average to smooth the short-run fluctuations and better show the ‘big picture’. This means that the numbers for a given year in the trend charts will usually not be the exactly the same as those reported by Stats NZ. </w:t>
                      </w:r>
                    </w:p>
                    <w:p w14:paraId="4F42DBDE" w14:textId="77777777" w:rsidR="00C64C4E" w:rsidRDefault="00C64C4E" w:rsidP="001249F3">
                      <w:pPr>
                        <w:spacing w:after="0" w:line="240" w:lineRule="auto"/>
                        <w:rPr>
                          <w:rFonts w:ascii="Arial" w:hAnsi="Arial"/>
                          <w:b/>
                          <w:bCs/>
                          <w:color w:val="000000" w:themeColor="text1"/>
                          <w:sz w:val="18"/>
                          <w:szCs w:val="18"/>
                        </w:rPr>
                      </w:pPr>
                    </w:p>
                    <w:p w14:paraId="506F5C33" w14:textId="503BFE89" w:rsidR="001249F3" w:rsidRPr="00017A19" w:rsidRDefault="00C64C4E" w:rsidP="00550801">
                      <w:pPr>
                        <w:spacing w:after="0" w:line="240" w:lineRule="auto"/>
                      </w:pPr>
                      <w:r>
                        <w:rPr>
                          <w:rFonts w:ascii="Arial" w:hAnsi="Arial"/>
                          <w:b/>
                          <w:bCs/>
                          <w:color w:val="000000" w:themeColor="text1"/>
                          <w:sz w:val="18"/>
                          <w:szCs w:val="18"/>
                        </w:rPr>
                        <w:t>More detailed information on the indices is available in several places</w:t>
                      </w:r>
                      <w:r w:rsidR="00017A19" w:rsidRPr="00017A19">
                        <w:rPr>
                          <w:rFonts w:ascii="Arial" w:hAnsi="Arial"/>
                          <w:sz w:val="18"/>
                          <w:szCs w:val="18"/>
                        </w:rPr>
                        <w:t>Section A, opening page</w:t>
                      </w:r>
                    </w:p>
                    <w:p w14:paraId="08558DE5" w14:textId="41B6C340" w:rsidR="00017A19" w:rsidRPr="00017A19" w:rsidRDefault="00017A19" w:rsidP="00550801">
                      <w:pPr>
                        <w:pStyle w:val="ListParagraph"/>
                        <w:numPr>
                          <w:ilvl w:val="0"/>
                          <w:numId w:val="93"/>
                        </w:numPr>
                        <w:spacing w:before="120" w:after="0" w:line="240" w:lineRule="auto"/>
                        <w:ind w:left="709" w:hanging="357"/>
                        <w:contextualSpacing w:val="0"/>
                      </w:pPr>
                      <w:r>
                        <w:rPr>
                          <w:rFonts w:ascii="Arial" w:hAnsi="Arial"/>
                          <w:sz w:val="18"/>
                          <w:szCs w:val="18"/>
                        </w:rPr>
                        <w:t>Appendix 3</w:t>
                      </w:r>
                    </w:p>
                    <w:p w14:paraId="4CE32FF7" w14:textId="54D08848" w:rsidR="00017A19" w:rsidRPr="00017A19" w:rsidRDefault="00017A19">
                      <w:pPr>
                        <w:pStyle w:val="ListParagraph"/>
                        <w:numPr>
                          <w:ilvl w:val="0"/>
                          <w:numId w:val="93"/>
                        </w:numPr>
                        <w:spacing w:before="40" w:after="0" w:line="240" w:lineRule="auto"/>
                        <w:ind w:left="709" w:hanging="357"/>
                        <w:contextualSpacing w:val="0"/>
                      </w:pPr>
                      <w:r>
                        <w:rPr>
                          <w:rFonts w:ascii="Arial" w:hAnsi="Arial"/>
                          <w:sz w:val="18"/>
                          <w:szCs w:val="18"/>
                        </w:rPr>
                        <w:t>Appendix 20 for detailed item lists</w:t>
                      </w:r>
                    </w:p>
                    <w:p w14:paraId="0EFFB459" w14:textId="3F6BC7F5" w:rsidR="00017A19" w:rsidRPr="00017A19" w:rsidRDefault="00017A19">
                      <w:pPr>
                        <w:pStyle w:val="ListParagraph"/>
                        <w:numPr>
                          <w:ilvl w:val="0"/>
                          <w:numId w:val="93"/>
                        </w:numPr>
                        <w:spacing w:before="40" w:after="0" w:line="240" w:lineRule="auto"/>
                        <w:ind w:left="709" w:hanging="357"/>
                        <w:contextualSpacing w:val="0"/>
                      </w:pPr>
                      <w:r>
                        <w:rPr>
                          <w:rFonts w:ascii="Arial" w:hAnsi="Arial"/>
                          <w:sz w:val="18"/>
                          <w:szCs w:val="18"/>
                        </w:rPr>
                        <w:t xml:space="preserve">MSD’s </w:t>
                      </w:r>
                      <w:r w:rsidR="007E0CE0">
                        <w:rPr>
                          <w:rFonts w:ascii="Arial" w:hAnsi="Arial"/>
                          <w:sz w:val="18"/>
                          <w:szCs w:val="18"/>
                        </w:rPr>
                        <w:t>01/</w:t>
                      </w:r>
                      <w:r>
                        <w:rPr>
                          <w:rFonts w:ascii="Arial" w:hAnsi="Arial"/>
                          <w:sz w:val="18"/>
                          <w:szCs w:val="18"/>
                        </w:rPr>
                        <w:t>19 Working Paper</w:t>
                      </w:r>
                      <w:r w:rsidR="007E0CE0">
                        <w:rPr>
                          <w:rFonts w:ascii="Arial" w:hAnsi="Arial"/>
                          <w:sz w:val="18"/>
                          <w:szCs w:val="18"/>
                        </w:rPr>
                        <w:t xml:space="preserve"> </w:t>
                      </w:r>
                    </w:p>
                    <w:p w14:paraId="7D30018B" w14:textId="22583E2C" w:rsidR="00017A19" w:rsidRPr="007E0CE0" w:rsidRDefault="00017A19">
                      <w:pPr>
                        <w:pStyle w:val="ListParagraph"/>
                        <w:numPr>
                          <w:ilvl w:val="0"/>
                          <w:numId w:val="93"/>
                        </w:numPr>
                        <w:spacing w:before="40" w:after="0" w:line="240" w:lineRule="auto"/>
                        <w:ind w:left="709" w:hanging="357"/>
                        <w:contextualSpacing w:val="0"/>
                      </w:pPr>
                      <w:r>
                        <w:rPr>
                          <w:rFonts w:ascii="Arial" w:hAnsi="Arial"/>
                          <w:sz w:val="18"/>
                          <w:szCs w:val="18"/>
                        </w:rPr>
                        <w:t xml:space="preserve">MSD’s </w:t>
                      </w:r>
                      <w:r w:rsidR="007E0CE0">
                        <w:rPr>
                          <w:rFonts w:ascii="Arial" w:hAnsi="Arial"/>
                          <w:sz w:val="18"/>
                          <w:szCs w:val="18"/>
                        </w:rPr>
                        <w:t>02/</w:t>
                      </w:r>
                      <w:r>
                        <w:rPr>
                          <w:rFonts w:ascii="Arial" w:hAnsi="Arial"/>
                          <w:sz w:val="18"/>
                          <w:szCs w:val="18"/>
                        </w:rPr>
                        <w:t>26 Working Paper</w:t>
                      </w:r>
                    </w:p>
                    <w:p w14:paraId="65F9ACBB" w14:textId="53E89287" w:rsidR="007E0CE0" w:rsidRPr="00017A19" w:rsidRDefault="007E0CE0" w:rsidP="00550801">
                      <w:pPr>
                        <w:pStyle w:val="ListParagraph"/>
                        <w:spacing w:before="80" w:after="0" w:line="240" w:lineRule="auto"/>
                        <w:ind w:left="284"/>
                        <w:contextualSpacing w:val="0"/>
                      </w:pPr>
                      <w:r>
                        <w:rPr>
                          <w:rFonts w:ascii="Arial" w:hAnsi="Arial"/>
                          <w:sz w:val="18"/>
                          <w:szCs w:val="18"/>
                        </w:rPr>
                        <w:t xml:space="preserve">Working papers </w:t>
                      </w:r>
                      <w:r w:rsidR="00C041AB">
                        <w:rPr>
                          <w:rFonts w:ascii="Arial" w:hAnsi="Arial"/>
                          <w:sz w:val="18"/>
                          <w:szCs w:val="18"/>
                        </w:rPr>
                        <w:t xml:space="preserve">are </w:t>
                      </w:r>
                      <w:r>
                        <w:rPr>
                          <w:rFonts w:ascii="Arial" w:hAnsi="Arial"/>
                          <w:sz w:val="18"/>
                          <w:szCs w:val="18"/>
                        </w:rPr>
                        <w:t xml:space="preserve">available at: </w:t>
                      </w:r>
                      <w:hyperlink r:id="rId38" w:anchor="WorkingPapers20192" w:history="1">
                        <w:r w:rsidRPr="00AB506C">
                          <w:rPr>
                            <w:rStyle w:val="Hyperlink"/>
                            <w:rFonts w:ascii="Arial" w:hAnsi="Arial"/>
                            <w:sz w:val="18"/>
                            <w:szCs w:val="18"/>
                          </w:rPr>
                          <w:t>https://www.msd.govt.nz/about-msd-and-our-work/publications-resources/working-papers/index.html#WorkingPapers</w:t>
                        </w:r>
                      </w:hyperlink>
                    </w:p>
                    <w:p w14:paraId="787649F6" w14:textId="77777777" w:rsidR="007E0CE0" w:rsidRPr="00017A19" w:rsidRDefault="007E0CE0" w:rsidP="007E0CE0">
                      <w:pPr>
                        <w:spacing w:before="60" w:after="0" w:line="240" w:lineRule="auto"/>
                      </w:pPr>
                    </w:p>
                  </w:txbxContent>
                </v:textbox>
              </v:shape>
            </w:pict>
          </mc:Fallback>
        </mc:AlternateContent>
      </w:r>
      <w:r w:rsidR="006F0F73">
        <w:rPr>
          <w:rFonts w:ascii="Arial" w:hAnsi="Arial"/>
          <w:b/>
          <w:bCs/>
          <w:color w:val="000000" w:themeColor="text1"/>
          <w:sz w:val="28"/>
          <w:szCs w:val="28"/>
        </w:rPr>
        <w:br w:type="page"/>
      </w:r>
    </w:p>
    <w:p w14:paraId="1981E983" w14:textId="77777777" w:rsidR="009B7BA9" w:rsidRPr="005E1D60" w:rsidRDefault="009B7BA9" w:rsidP="009B7BA9">
      <w:pPr>
        <w:tabs>
          <w:tab w:val="right" w:pos="9026"/>
        </w:tabs>
        <w:spacing w:after="0" w:line="240" w:lineRule="auto"/>
        <w:rPr>
          <w:rFonts w:ascii="Arial" w:hAnsi="Arial"/>
          <w:b/>
          <w:bCs/>
          <w:color w:val="000000" w:themeColor="text1"/>
          <w:sz w:val="36"/>
          <w:szCs w:val="36"/>
        </w:rPr>
      </w:pPr>
      <w:r w:rsidRPr="005E1D60">
        <w:rPr>
          <w:rFonts w:ascii="Arial" w:hAnsi="Arial"/>
          <w:b/>
          <w:bCs/>
          <w:color w:val="000000" w:themeColor="text1"/>
          <w:sz w:val="36"/>
          <w:szCs w:val="36"/>
        </w:rPr>
        <w:lastRenderedPageBreak/>
        <w:t xml:space="preserve">Section </w:t>
      </w:r>
      <w:r>
        <w:rPr>
          <w:rFonts w:ascii="Arial" w:hAnsi="Arial"/>
          <w:b/>
          <w:bCs/>
          <w:color w:val="000000" w:themeColor="text1"/>
          <w:sz w:val="36"/>
          <w:szCs w:val="36"/>
        </w:rPr>
        <w:t>D</w:t>
      </w:r>
    </w:p>
    <w:p w14:paraId="27E81784" w14:textId="2B7A0BD1" w:rsidR="009B7BA9" w:rsidRDefault="009B7BA9" w:rsidP="009B7BA9">
      <w:pPr>
        <w:spacing w:after="0" w:line="240" w:lineRule="auto"/>
        <w:rPr>
          <w:rFonts w:ascii="Arial" w:hAnsi="Arial"/>
          <w:b/>
          <w:bCs/>
          <w:color w:val="000000" w:themeColor="text1"/>
          <w:sz w:val="28"/>
          <w:szCs w:val="28"/>
        </w:rPr>
      </w:pPr>
      <w:r w:rsidRPr="00DB7345">
        <w:rPr>
          <w:rFonts w:ascii="Arial" w:hAnsi="Arial"/>
          <w:b/>
          <w:bCs/>
          <w:color w:val="000000" w:themeColor="text1"/>
          <w:sz w:val="28"/>
          <w:szCs w:val="28"/>
        </w:rPr>
        <w:t xml:space="preserve">What does poverty look like in practice for children in households </w:t>
      </w:r>
      <w:r w:rsidR="005D0B9F">
        <w:rPr>
          <w:rFonts w:ascii="Arial" w:hAnsi="Arial"/>
          <w:b/>
          <w:bCs/>
          <w:color w:val="000000" w:themeColor="text1"/>
          <w:sz w:val="28"/>
          <w:szCs w:val="28"/>
        </w:rPr>
        <w:t xml:space="preserve">identified as being in </w:t>
      </w:r>
      <w:r>
        <w:rPr>
          <w:rFonts w:ascii="Arial" w:hAnsi="Arial"/>
          <w:b/>
          <w:bCs/>
          <w:color w:val="000000" w:themeColor="text1"/>
          <w:sz w:val="28"/>
          <w:szCs w:val="28"/>
        </w:rPr>
        <w:t>material hardship</w:t>
      </w:r>
      <w:r w:rsidRPr="00DB7345">
        <w:rPr>
          <w:rFonts w:ascii="Arial" w:hAnsi="Arial"/>
          <w:b/>
          <w:bCs/>
          <w:color w:val="000000" w:themeColor="text1"/>
          <w:sz w:val="28"/>
          <w:szCs w:val="28"/>
        </w:rPr>
        <w:t>?</w:t>
      </w:r>
    </w:p>
    <w:p w14:paraId="0DDADD07" w14:textId="77777777" w:rsidR="009B7BA9" w:rsidRDefault="009B7BA9" w:rsidP="009B7BA9">
      <w:pPr>
        <w:spacing w:after="0" w:line="240" w:lineRule="auto"/>
        <w:rPr>
          <w:rFonts w:ascii="Arial" w:hAnsi="Arial"/>
          <w:b/>
          <w:bCs/>
          <w:color w:val="000000" w:themeColor="text1"/>
          <w:sz w:val="28"/>
          <w:szCs w:val="28"/>
        </w:rPr>
      </w:pPr>
    </w:p>
    <w:p w14:paraId="5573F031" w14:textId="1FAD0F0C" w:rsidR="00377F84" w:rsidRPr="00BC3E05" w:rsidRDefault="00A61FB0" w:rsidP="00001408">
      <w:pPr>
        <w:spacing w:line="240" w:lineRule="auto"/>
        <w:jc w:val="both"/>
        <w:rPr>
          <w:rFonts w:ascii="Arial" w:hAnsi="Arial"/>
          <w:color w:val="000000" w:themeColor="text1"/>
          <w:szCs w:val="20"/>
        </w:rPr>
      </w:pPr>
      <w:r w:rsidRPr="00BC3E05">
        <w:rPr>
          <w:rFonts w:ascii="Arial" w:hAnsi="Arial"/>
          <w:color w:val="000000" w:themeColor="text1"/>
          <w:szCs w:val="20"/>
        </w:rPr>
        <w:t>This section</w:t>
      </w:r>
      <w:r w:rsidR="005D0B9F" w:rsidRPr="00BC3E05">
        <w:rPr>
          <w:rFonts w:ascii="Arial" w:hAnsi="Arial"/>
          <w:color w:val="000000" w:themeColor="text1"/>
          <w:szCs w:val="20"/>
        </w:rPr>
        <w:t xml:space="preserve"> reports the material and financial deprivations experienced by children in households identified as being in material hardship</w:t>
      </w:r>
      <w:r w:rsidR="00731AD1">
        <w:rPr>
          <w:rFonts w:ascii="Arial" w:hAnsi="Arial"/>
          <w:color w:val="000000" w:themeColor="text1"/>
          <w:szCs w:val="20"/>
        </w:rPr>
        <w:t xml:space="preserve"> </w:t>
      </w:r>
      <w:r w:rsidR="005D0B9F" w:rsidRPr="00BC3E05">
        <w:rPr>
          <w:rFonts w:ascii="Arial" w:hAnsi="Arial"/>
          <w:color w:val="000000" w:themeColor="text1"/>
          <w:szCs w:val="20"/>
        </w:rPr>
        <w:t xml:space="preserve">and highlights the </w:t>
      </w:r>
      <w:r w:rsidR="00C20A12" w:rsidRPr="00BC3E05">
        <w:rPr>
          <w:rFonts w:ascii="Arial" w:hAnsi="Arial"/>
          <w:color w:val="000000" w:themeColor="text1"/>
          <w:szCs w:val="20"/>
        </w:rPr>
        <w:t>considerable</w:t>
      </w:r>
      <w:r w:rsidR="005D0B9F" w:rsidRPr="00BC3E05">
        <w:rPr>
          <w:rFonts w:ascii="Arial" w:hAnsi="Arial"/>
          <w:color w:val="000000" w:themeColor="text1"/>
          <w:szCs w:val="20"/>
        </w:rPr>
        <w:t xml:space="preserve"> difference between their experience and that of the great majority of New Zealand children.</w:t>
      </w:r>
      <w:r w:rsidR="00C77828" w:rsidRPr="00BC3E05">
        <w:rPr>
          <w:rStyle w:val="FootnoteReference"/>
          <w:rFonts w:ascii="Arial" w:hAnsi="Arial"/>
          <w:color w:val="000000" w:themeColor="text1"/>
          <w:szCs w:val="20"/>
        </w:rPr>
        <w:footnoteReference w:id="46"/>
      </w:r>
      <w:r w:rsidR="005D0B9F" w:rsidRPr="00BC3E05">
        <w:rPr>
          <w:rFonts w:ascii="Arial" w:hAnsi="Arial"/>
          <w:color w:val="000000" w:themeColor="text1"/>
          <w:szCs w:val="20"/>
        </w:rPr>
        <w:t xml:space="preserve"> The following approaches are used:</w:t>
      </w:r>
    </w:p>
    <w:p w14:paraId="62C4DBCB" w14:textId="06486D56" w:rsidR="00377F84" w:rsidRPr="00BC3E05" w:rsidRDefault="0062130E">
      <w:pPr>
        <w:pStyle w:val="ListParagraph"/>
        <w:numPr>
          <w:ilvl w:val="0"/>
          <w:numId w:val="69"/>
        </w:numPr>
        <w:spacing w:line="240" w:lineRule="auto"/>
        <w:contextualSpacing w:val="0"/>
        <w:rPr>
          <w:rFonts w:ascii="Arial" w:hAnsi="Arial"/>
          <w:color w:val="000000" w:themeColor="text1"/>
          <w:szCs w:val="20"/>
        </w:rPr>
      </w:pPr>
      <w:r w:rsidRPr="00BC3E05">
        <w:rPr>
          <w:rFonts w:ascii="Arial" w:eastAsia="Times New Roman" w:hAnsi="Arial"/>
          <w:color w:val="000000" w:themeColor="text1"/>
          <w:szCs w:val="20"/>
          <w:lang w:val="en-GB"/>
        </w:rPr>
        <w:t xml:space="preserve">The </w:t>
      </w:r>
      <w:r w:rsidR="00E36EC3" w:rsidRPr="00BC3E05">
        <w:rPr>
          <w:rFonts w:ascii="Arial" w:eastAsia="Times New Roman" w:hAnsi="Arial"/>
          <w:color w:val="000000" w:themeColor="text1"/>
          <w:szCs w:val="20"/>
          <w:lang w:val="en-GB"/>
        </w:rPr>
        <w:t xml:space="preserve">cumulative </w:t>
      </w:r>
      <w:r w:rsidRPr="00BC3E05">
        <w:rPr>
          <w:rFonts w:ascii="Arial" w:eastAsia="Times New Roman" w:hAnsi="Arial"/>
          <w:color w:val="000000" w:themeColor="text1"/>
          <w:szCs w:val="20"/>
          <w:lang w:val="en-GB"/>
        </w:rPr>
        <w:t xml:space="preserve">number of missing </w:t>
      </w:r>
      <w:r w:rsidR="00E9724A" w:rsidRPr="00BC3E05">
        <w:rPr>
          <w:rFonts w:ascii="Arial" w:eastAsia="Times New Roman" w:hAnsi="Arial"/>
          <w:color w:val="000000" w:themeColor="text1"/>
          <w:szCs w:val="20"/>
          <w:lang w:val="en-GB"/>
        </w:rPr>
        <w:t>essentials</w:t>
      </w:r>
      <w:r w:rsidRPr="00BC3E05">
        <w:rPr>
          <w:rFonts w:ascii="Arial" w:eastAsia="Times New Roman" w:hAnsi="Arial"/>
          <w:color w:val="000000" w:themeColor="text1"/>
          <w:szCs w:val="20"/>
          <w:lang w:val="en-GB"/>
        </w:rPr>
        <w:t xml:space="preserve"> out of a set of 1</w:t>
      </w:r>
      <w:r w:rsidR="008578BE" w:rsidRPr="00BC3E05">
        <w:rPr>
          <w:rFonts w:ascii="Arial" w:eastAsia="Times New Roman" w:hAnsi="Arial"/>
          <w:color w:val="000000" w:themeColor="text1"/>
          <w:szCs w:val="20"/>
          <w:lang w:val="en-GB"/>
        </w:rPr>
        <w:t>6</w:t>
      </w:r>
      <w:r w:rsidRPr="00BC3E05">
        <w:rPr>
          <w:rFonts w:ascii="Arial" w:eastAsia="Times New Roman" w:hAnsi="Arial"/>
          <w:color w:val="000000" w:themeColor="text1"/>
          <w:szCs w:val="20"/>
          <w:lang w:val="en-GB"/>
        </w:rPr>
        <w:t xml:space="preserve"> </w:t>
      </w:r>
      <w:r w:rsidR="00E9724A" w:rsidRPr="00BC3E05">
        <w:rPr>
          <w:rFonts w:ascii="Arial" w:eastAsia="Times New Roman" w:hAnsi="Arial"/>
          <w:color w:val="000000" w:themeColor="text1"/>
          <w:szCs w:val="20"/>
          <w:lang w:val="en-GB"/>
        </w:rPr>
        <w:t>essentials</w:t>
      </w:r>
      <w:r w:rsidRPr="00BC3E05">
        <w:rPr>
          <w:rFonts w:ascii="Arial" w:eastAsia="Times New Roman" w:hAnsi="Arial"/>
          <w:color w:val="000000" w:themeColor="text1"/>
          <w:szCs w:val="20"/>
          <w:lang w:val="en-GB"/>
        </w:rPr>
        <w:t xml:space="preserve">: </w:t>
      </w:r>
      <w:r w:rsidR="008578BE" w:rsidRPr="00BC3E05">
        <w:rPr>
          <w:rFonts w:ascii="Arial" w:eastAsia="Times New Roman" w:hAnsi="Arial"/>
          <w:color w:val="000000" w:themeColor="text1"/>
          <w:szCs w:val="20"/>
          <w:lang w:val="en-GB"/>
        </w:rPr>
        <w:t>5</w:t>
      </w:r>
      <w:r w:rsidRPr="00BC3E05">
        <w:rPr>
          <w:rFonts w:ascii="Arial" w:eastAsia="Times New Roman" w:hAnsi="Arial"/>
          <w:color w:val="000000" w:themeColor="text1"/>
          <w:szCs w:val="20"/>
          <w:lang w:val="en-GB"/>
        </w:rPr>
        <w:t xml:space="preserve"> child-relevant household items and 1</w:t>
      </w:r>
      <w:r w:rsidR="008578BE" w:rsidRPr="00BC3E05">
        <w:rPr>
          <w:rFonts w:ascii="Arial" w:eastAsia="Times New Roman" w:hAnsi="Arial"/>
          <w:color w:val="000000" w:themeColor="text1"/>
          <w:szCs w:val="20"/>
          <w:lang w:val="en-GB"/>
        </w:rPr>
        <w:t>1</w:t>
      </w:r>
      <w:r w:rsidRPr="00BC3E05">
        <w:rPr>
          <w:rFonts w:ascii="Arial" w:eastAsia="Times New Roman" w:hAnsi="Arial"/>
          <w:color w:val="000000" w:themeColor="text1"/>
          <w:szCs w:val="20"/>
          <w:lang w:val="en-GB"/>
        </w:rPr>
        <w:t xml:space="preserve"> child-specific items relevant for </w:t>
      </w:r>
      <w:r w:rsidR="00731AD1" w:rsidRPr="00BC3E05">
        <w:rPr>
          <w:rFonts w:ascii="Arial" w:eastAsia="Times New Roman" w:hAnsi="Arial"/>
          <w:color w:val="000000" w:themeColor="text1"/>
          <w:szCs w:val="20"/>
          <w:lang w:val="en-GB"/>
        </w:rPr>
        <w:t>6</w:t>
      </w:r>
      <w:r w:rsidR="00731AD1">
        <w:rPr>
          <w:rFonts w:ascii="Arial" w:eastAsia="Times New Roman" w:hAnsi="Arial"/>
          <w:color w:val="000000" w:themeColor="text1"/>
          <w:szCs w:val="20"/>
          <w:lang w:val="en-GB"/>
        </w:rPr>
        <w:t>-</w:t>
      </w:r>
      <w:r w:rsidR="00731AD1" w:rsidRPr="00BC3E05">
        <w:rPr>
          <w:rFonts w:ascii="Arial" w:eastAsia="Times New Roman" w:hAnsi="Arial"/>
          <w:color w:val="000000" w:themeColor="text1"/>
          <w:szCs w:val="20"/>
          <w:lang w:val="en-GB"/>
        </w:rPr>
        <w:t>17-year-olds</w:t>
      </w:r>
      <w:r w:rsidRPr="00BC3E05">
        <w:rPr>
          <w:rFonts w:ascii="Arial" w:hAnsi="Arial"/>
          <w:color w:val="000000" w:themeColor="text1"/>
          <w:szCs w:val="20"/>
        </w:rPr>
        <w:t>.</w:t>
      </w:r>
    </w:p>
    <w:p w14:paraId="57CB96FF" w14:textId="1B7C92C0" w:rsidR="00377F84" w:rsidRPr="00BC3E05" w:rsidRDefault="0062130E">
      <w:pPr>
        <w:pStyle w:val="ListParagraph"/>
        <w:numPr>
          <w:ilvl w:val="0"/>
          <w:numId w:val="69"/>
        </w:numPr>
        <w:spacing w:line="240" w:lineRule="auto"/>
        <w:contextualSpacing w:val="0"/>
        <w:rPr>
          <w:rFonts w:ascii="Arial" w:hAnsi="Arial"/>
          <w:color w:val="000000" w:themeColor="text1"/>
          <w:szCs w:val="20"/>
        </w:rPr>
      </w:pPr>
      <w:r w:rsidRPr="00BC3E05">
        <w:rPr>
          <w:rFonts w:ascii="Arial" w:hAnsi="Arial"/>
          <w:color w:val="000000" w:themeColor="text1"/>
          <w:szCs w:val="20"/>
        </w:rPr>
        <w:t xml:space="preserve">Item-by-item </w:t>
      </w:r>
      <w:r w:rsidR="00E36EC3" w:rsidRPr="00BC3E05">
        <w:rPr>
          <w:rFonts w:ascii="Arial" w:hAnsi="Arial"/>
          <w:color w:val="000000" w:themeColor="text1"/>
          <w:szCs w:val="20"/>
        </w:rPr>
        <w:t xml:space="preserve">rates </w:t>
      </w:r>
      <w:r w:rsidRPr="00BC3E05">
        <w:rPr>
          <w:rFonts w:ascii="Arial" w:hAnsi="Arial"/>
          <w:color w:val="000000" w:themeColor="text1"/>
          <w:szCs w:val="20"/>
        </w:rPr>
        <w:t xml:space="preserve">for </w:t>
      </w:r>
      <w:r w:rsidR="00377F84" w:rsidRPr="00BC3E05">
        <w:rPr>
          <w:rFonts w:ascii="Arial" w:hAnsi="Arial"/>
          <w:color w:val="000000" w:themeColor="text1"/>
          <w:szCs w:val="20"/>
        </w:rPr>
        <w:t>a set of child-relevant household items and child-specific items relevant for 6-17</w:t>
      </w:r>
      <w:r w:rsidR="00731AD1">
        <w:rPr>
          <w:rFonts w:ascii="Arial" w:hAnsi="Arial"/>
          <w:color w:val="000000" w:themeColor="text1"/>
          <w:szCs w:val="20"/>
        </w:rPr>
        <w:t>-</w:t>
      </w:r>
      <w:r w:rsidR="00377F84" w:rsidRPr="00BC3E05">
        <w:rPr>
          <w:rFonts w:ascii="Arial" w:hAnsi="Arial"/>
          <w:color w:val="000000" w:themeColor="text1"/>
          <w:szCs w:val="20"/>
        </w:rPr>
        <w:t>y</w:t>
      </w:r>
      <w:r w:rsidR="00731AD1">
        <w:rPr>
          <w:rFonts w:ascii="Arial" w:hAnsi="Arial"/>
          <w:color w:val="000000" w:themeColor="text1"/>
          <w:szCs w:val="20"/>
        </w:rPr>
        <w:t>ea</w:t>
      </w:r>
      <w:r w:rsidR="00377F84" w:rsidRPr="00BC3E05">
        <w:rPr>
          <w:rFonts w:ascii="Arial" w:hAnsi="Arial"/>
          <w:color w:val="000000" w:themeColor="text1"/>
          <w:szCs w:val="20"/>
        </w:rPr>
        <w:t>r</w:t>
      </w:r>
      <w:r w:rsidR="00731AD1">
        <w:rPr>
          <w:rFonts w:ascii="Arial" w:hAnsi="Arial"/>
          <w:color w:val="000000" w:themeColor="text1"/>
          <w:szCs w:val="20"/>
        </w:rPr>
        <w:t>-</w:t>
      </w:r>
      <w:r w:rsidR="00377F84" w:rsidRPr="00BC3E05">
        <w:rPr>
          <w:rFonts w:ascii="Arial" w:hAnsi="Arial"/>
          <w:color w:val="000000" w:themeColor="text1"/>
          <w:szCs w:val="20"/>
        </w:rPr>
        <w:t>olds</w:t>
      </w:r>
      <w:r w:rsidRPr="00BC3E05">
        <w:rPr>
          <w:rFonts w:ascii="Arial" w:hAnsi="Arial"/>
          <w:color w:val="000000" w:themeColor="text1"/>
          <w:szCs w:val="20"/>
        </w:rPr>
        <w:t>.</w:t>
      </w:r>
    </w:p>
    <w:p w14:paraId="0FB353AF" w14:textId="038FD745" w:rsidR="00377F84" w:rsidRPr="00BC3E05" w:rsidRDefault="0062130E">
      <w:pPr>
        <w:pStyle w:val="ListParagraph"/>
        <w:numPr>
          <w:ilvl w:val="0"/>
          <w:numId w:val="69"/>
        </w:numPr>
        <w:spacing w:line="240" w:lineRule="auto"/>
        <w:contextualSpacing w:val="0"/>
        <w:rPr>
          <w:rFonts w:ascii="Arial" w:hAnsi="Arial"/>
          <w:color w:val="000000" w:themeColor="text1"/>
          <w:szCs w:val="20"/>
        </w:rPr>
      </w:pPr>
      <w:r w:rsidRPr="00BC3E05">
        <w:rPr>
          <w:rFonts w:ascii="Arial" w:hAnsi="Arial"/>
          <w:color w:val="000000" w:themeColor="text1"/>
          <w:szCs w:val="20"/>
        </w:rPr>
        <w:t>Enforced lacks for the</w:t>
      </w:r>
      <w:r w:rsidR="00377F84" w:rsidRPr="00BC3E05">
        <w:rPr>
          <w:rFonts w:ascii="Arial" w:hAnsi="Arial"/>
          <w:color w:val="000000" w:themeColor="text1"/>
          <w:szCs w:val="20"/>
        </w:rPr>
        <w:t xml:space="preserve"> DEP-17 items themselves</w:t>
      </w:r>
      <w:r w:rsidR="00C02FBC" w:rsidRPr="00BC3E05">
        <w:rPr>
          <w:rFonts w:ascii="Arial" w:hAnsi="Arial"/>
          <w:color w:val="000000" w:themeColor="text1"/>
          <w:szCs w:val="20"/>
        </w:rPr>
        <w:t xml:space="preserve"> (some of which are essentials and some are commonly-desired </w:t>
      </w:r>
      <w:r w:rsidR="006B771F" w:rsidRPr="00BC3E05">
        <w:rPr>
          <w:rFonts w:ascii="Arial" w:hAnsi="Arial"/>
          <w:color w:val="000000" w:themeColor="text1"/>
          <w:szCs w:val="20"/>
        </w:rPr>
        <w:t>n</w:t>
      </w:r>
      <w:r w:rsidR="008346BD" w:rsidRPr="00BC3E05">
        <w:rPr>
          <w:rFonts w:ascii="Arial" w:hAnsi="Arial"/>
          <w:color w:val="000000" w:themeColor="text1"/>
          <w:szCs w:val="20"/>
        </w:rPr>
        <w:t>on</w:t>
      </w:r>
      <w:r w:rsidR="00C02FBC" w:rsidRPr="00BC3E05">
        <w:rPr>
          <w:rFonts w:ascii="Arial" w:hAnsi="Arial"/>
          <w:color w:val="000000" w:themeColor="text1"/>
          <w:szCs w:val="20"/>
        </w:rPr>
        <w:t>-essentials)</w:t>
      </w:r>
      <w:r w:rsidRPr="00BC3E05">
        <w:rPr>
          <w:rFonts w:ascii="Arial" w:hAnsi="Arial"/>
          <w:color w:val="000000" w:themeColor="text1"/>
          <w:szCs w:val="20"/>
        </w:rPr>
        <w:t>.</w:t>
      </w:r>
    </w:p>
    <w:p w14:paraId="2F2D37B1" w14:textId="7789A41D" w:rsidR="00377F84" w:rsidRPr="00BC3E05" w:rsidRDefault="003C41EC">
      <w:pPr>
        <w:pStyle w:val="ListParagraph"/>
        <w:numPr>
          <w:ilvl w:val="0"/>
          <w:numId w:val="69"/>
        </w:numPr>
        <w:spacing w:after="60" w:line="240" w:lineRule="auto"/>
        <w:contextualSpacing w:val="0"/>
        <w:rPr>
          <w:rFonts w:ascii="Arial" w:hAnsi="Arial"/>
          <w:color w:val="000000" w:themeColor="text1"/>
          <w:szCs w:val="20"/>
        </w:rPr>
      </w:pPr>
      <w:r w:rsidRPr="00BC3E05">
        <w:rPr>
          <w:rFonts w:ascii="Arial" w:hAnsi="Arial"/>
          <w:color w:val="000000" w:themeColor="text1"/>
          <w:szCs w:val="20"/>
        </w:rPr>
        <w:t>S</w:t>
      </w:r>
      <w:r w:rsidR="00377F84" w:rsidRPr="00BC3E05">
        <w:rPr>
          <w:rFonts w:ascii="Arial" w:hAnsi="Arial"/>
          <w:color w:val="000000" w:themeColor="text1"/>
          <w:szCs w:val="20"/>
        </w:rPr>
        <w:t>elf-assessed income adequacy and its relationship to reported material hardship levels</w:t>
      </w:r>
      <w:r w:rsidR="00DB545F" w:rsidRPr="00BC3E05">
        <w:rPr>
          <w:rFonts w:ascii="Arial" w:hAnsi="Arial"/>
          <w:color w:val="000000" w:themeColor="text1"/>
          <w:szCs w:val="20"/>
        </w:rPr>
        <w:t>.</w:t>
      </w:r>
    </w:p>
    <w:p w14:paraId="61261CF0" w14:textId="62A20253" w:rsidR="00001408" w:rsidRPr="00BC3E05" w:rsidRDefault="00001408">
      <w:pPr>
        <w:spacing w:after="0" w:line="240" w:lineRule="auto"/>
        <w:rPr>
          <w:rFonts w:ascii="Arial" w:hAnsi="Arial"/>
          <w:b/>
          <w:bCs/>
          <w:color w:val="000000" w:themeColor="text1"/>
          <w:szCs w:val="20"/>
        </w:rPr>
      </w:pPr>
    </w:p>
    <w:p w14:paraId="37A06F4F" w14:textId="2430046A" w:rsidR="006B771F" w:rsidRPr="00BC3E05" w:rsidRDefault="006B771F" w:rsidP="006B771F">
      <w:pPr>
        <w:spacing w:after="0" w:line="240" w:lineRule="auto"/>
        <w:jc w:val="both"/>
        <w:rPr>
          <w:rFonts w:ascii="Arial" w:hAnsi="Arial"/>
          <w:b/>
          <w:bCs/>
          <w:color w:val="000000" w:themeColor="text1"/>
          <w:szCs w:val="20"/>
        </w:rPr>
      </w:pPr>
      <w:r w:rsidRPr="00BC3E05">
        <w:rPr>
          <w:rFonts w:ascii="Arial" w:hAnsi="Arial"/>
          <w:b/>
          <w:bCs/>
          <w:color w:val="000000" w:themeColor="text1"/>
          <w:szCs w:val="20"/>
        </w:rPr>
        <w:t xml:space="preserve">For children in households identified as ‘in hardship’, life is typically very different from that experienced by the vast majority of New Zealand children </w:t>
      </w:r>
    </w:p>
    <w:p w14:paraId="20DAF6E1" w14:textId="77777777" w:rsidR="006B771F" w:rsidRPr="00BC3E05" w:rsidRDefault="006B771F" w:rsidP="006B771F">
      <w:pPr>
        <w:spacing w:after="0" w:line="240" w:lineRule="auto"/>
        <w:jc w:val="both"/>
        <w:rPr>
          <w:rFonts w:ascii="Arial" w:hAnsi="Arial"/>
          <w:b/>
          <w:bCs/>
          <w:color w:val="000000" w:themeColor="text1"/>
          <w:sz w:val="24"/>
          <w:szCs w:val="24"/>
        </w:rPr>
      </w:pPr>
    </w:p>
    <w:p w14:paraId="0B3DCCAA" w14:textId="4BDC9D99" w:rsidR="006B771F" w:rsidRPr="00BC3E05" w:rsidRDefault="006B771F" w:rsidP="006B771F">
      <w:pPr>
        <w:spacing w:after="0" w:line="240" w:lineRule="auto"/>
        <w:jc w:val="both"/>
        <w:rPr>
          <w:rFonts w:ascii="Arial" w:hAnsi="Arial"/>
          <w:color w:val="000000" w:themeColor="text1"/>
          <w:szCs w:val="20"/>
        </w:rPr>
      </w:pPr>
      <w:r w:rsidRPr="00BC3E05">
        <w:rPr>
          <w:rFonts w:ascii="Arial" w:hAnsi="Arial"/>
          <w:color w:val="000000" w:themeColor="text1"/>
          <w:szCs w:val="20"/>
        </w:rPr>
        <w:t xml:space="preserve">This sub-section uses the 16 items listed in </w:t>
      </w:r>
      <w:r w:rsidRPr="00BC3E05">
        <w:rPr>
          <w:rFonts w:ascii="Arial" w:hAnsi="Arial"/>
          <w:b/>
          <w:bCs/>
          <w:color w:val="000000" w:themeColor="text1"/>
          <w:szCs w:val="20"/>
        </w:rPr>
        <w:t>Table D.1</w:t>
      </w:r>
      <w:r w:rsidRPr="00BC3E05">
        <w:rPr>
          <w:rFonts w:ascii="Arial" w:hAnsi="Arial"/>
          <w:color w:val="000000" w:themeColor="text1"/>
          <w:szCs w:val="20"/>
        </w:rPr>
        <w:t xml:space="preserve"> to give a picture of what life is like for children in households identified as in material hardship</w:t>
      </w:r>
      <w:r w:rsidR="0069618D">
        <w:rPr>
          <w:rFonts w:ascii="Arial" w:hAnsi="Arial"/>
          <w:color w:val="000000" w:themeColor="text1"/>
          <w:szCs w:val="20"/>
        </w:rPr>
        <w:t xml:space="preserve">. </w:t>
      </w:r>
      <w:r w:rsidRPr="00BC3E05">
        <w:rPr>
          <w:rFonts w:ascii="Arial" w:hAnsi="Arial"/>
          <w:color w:val="000000" w:themeColor="text1"/>
          <w:szCs w:val="20"/>
        </w:rPr>
        <w:t xml:space="preserve">Two factors were used to select the 16 items: first, they needed to have a focus and relevance to children’s lives; and second, they needed to be items that would receive strong support as ‘essentials’, things that no child should have to go without / things that every child in New Zealand should have. The 16 items do not themselves constitute ‘another index’ like DEP-17, MH-18 or EU-13. These are all general indices that cover households of all types and ages, not just households with children; they also have some items that are more like ‘commonly-desired </w:t>
      </w:r>
      <w:r w:rsidR="008346BD" w:rsidRPr="00BC3E05">
        <w:rPr>
          <w:rFonts w:ascii="Arial" w:hAnsi="Arial"/>
          <w:color w:val="000000" w:themeColor="text1"/>
          <w:szCs w:val="20"/>
        </w:rPr>
        <w:t>non</w:t>
      </w:r>
      <w:r w:rsidRPr="00BC3E05">
        <w:rPr>
          <w:rFonts w:ascii="Arial" w:hAnsi="Arial"/>
          <w:color w:val="000000" w:themeColor="text1"/>
          <w:szCs w:val="20"/>
        </w:rPr>
        <w:t xml:space="preserve">-essentials’.  </w:t>
      </w:r>
      <w:r w:rsidR="00127CD4" w:rsidRPr="00BC3E05">
        <w:rPr>
          <w:rFonts w:ascii="Arial" w:hAnsi="Arial"/>
          <w:color w:val="000000" w:themeColor="text1"/>
          <w:szCs w:val="20"/>
        </w:rPr>
        <w:t xml:space="preserve">Of the 16 items 11 are </w:t>
      </w:r>
      <w:r w:rsidRPr="00BC3E05">
        <w:rPr>
          <w:rFonts w:ascii="Arial" w:hAnsi="Arial"/>
          <w:color w:val="000000" w:themeColor="text1"/>
          <w:szCs w:val="20"/>
        </w:rPr>
        <w:t>child-specific items and as such are not in the DEP-17</w:t>
      </w:r>
      <w:r w:rsidR="00127CD4" w:rsidRPr="00BC3E05">
        <w:rPr>
          <w:rFonts w:ascii="Arial" w:hAnsi="Arial"/>
          <w:color w:val="000000" w:themeColor="text1"/>
          <w:szCs w:val="20"/>
        </w:rPr>
        <w:t>,</w:t>
      </w:r>
      <w:r w:rsidRPr="00BC3E05">
        <w:rPr>
          <w:rFonts w:ascii="Arial" w:hAnsi="Arial"/>
          <w:color w:val="000000" w:themeColor="text1"/>
          <w:szCs w:val="20"/>
        </w:rPr>
        <w:t xml:space="preserve"> MH-18</w:t>
      </w:r>
      <w:r w:rsidR="00127CD4" w:rsidRPr="00BC3E05">
        <w:rPr>
          <w:rFonts w:ascii="Arial" w:hAnsi="Arial"/>
          <w:color w:val="000000" w:themeColor="text1"/>
          <w:szCs w:val="20"/>
        </w:rPr>
        <w:t xml:space="preserve"> or EU-13</w:t>
      </w:r>
      <w:r w:rsidRPr="00BC3E05">
        <w:rPr>
          <w:rFonts w:ascii="Arial" w:hAnsi="Arial"/>
          <w:color w:val="000000" w:themeColor="text1"/>
          <w:szCs w:val="20"/>
        </w:rPr>
        <w:t xml:space="preserve"> indices</w:t>
      </w:r>
      <w:r w:rsidR="00127CD4" w:rsidRPr="00BC3E05">
        <w:rPr>
          <w:rFonts w:ascii="Arial" w:hAnsi="Arial"/>
          <w:color w:val="000000" w:themeColor="text1"/>
          <w:szCs w:val="20"/>
        </w:rPr>
        <w:t xml:space="preserve">. </w:t>
      </w:r>
      <w:r w:rsidR="008346BD" w:rsidRPr="00BC3E05">
        <w:rPr>
          <w:rFonts w:ascii="Arial" w:hAnsi="Arial"/>
          <w:color w:val="000000" w:themeColor="text1"/>
          <w:szCs w:val="20"/>
        </w:rPr>
        <w:t>Of t</w:t>
      </w:r>
      <w:r w:rsidR="00127CD4" w:rsidRPr="00BC3E05">
        <w:rPr>
          <w:rFonts w:ascii="Arial" w:hAnsi="Arial"/>
          <w:color w:val="000000" w:themeColor="text1"/>
          <w:szCs w:val="20"/>
        </w:rPr>
        <w:t>he</w:t>
      </w:r>
      <w:r w:rsidRPr="00BC3E05">
        <w:rPr>
          <w:rFonts w:ascii="Arial" w:hAnsi="Arial"/>
          <w:color w:val="000000" w:themeColor="text1"/>
          <w:szCs w:val="20"/>
        </w:rPr>
        <w:t xml:space="preserve"> 5 general household items</w:t>
      </w:r>
      <w:r w:rsidR="00127CD4" w:rsidRPr="00BC3E05">
        <w:rPr>
          <w:rFonts w:ascii="Arial" w:hAnsi="Arial"/>
          <w:color w:val="000000" w:themeColor="text1"/>
          <w:szCs w:val="20"/>
        </w:rPr>
        <w:t xml:space="preserve">, 4 are in DEP-17 and MH-18 and </w:t>
      </w:r>
      <w:r w:rsidR="008346BD" w:rsidRPr="00BC3E05">
        <w:rPr>
          <w:rFonts w:ascii="Arial" w:hAnsi="Arial"/>
          <w:color w:val="000000" w:themeColor="text1"/>
          <w:szCs w:val="20"/>
        </w:rPr>
        <w:t>these 4 are all</w:t>
      </w:r>
      <w:r w:rsidR="00127CD4" w:rsidRPr="00BC3E05">
        <w:rPr>
          <w:rFonts w:ascii="Arial" w:hAnsi="Arial"/>
          <w:color w:val="000000" w:themeColor="text1"/>
          <w:szCs w:val="20"/>
        </w:rPr>
        <w:t xml:space="preserve"> from the more deprived end of the spectrum. The other one is on foodbank usage.</w:t>
      </w:r>
      <w:r w:rsidRPr="00BC3E05">
        <w:rPr>
          <w:rFonts w:ascii="Arial" w:hAnsi="Arial"/>
          <w:color w:val="000000" w:themeColor="text1"/>
          <w:szCs w:val="20"/>
        </w:rPr>
        <w:t xml:space="preserve">  </w:t>
      </w:r>
    </w:p>
    <w:p w14:paraId="104A3712" w14:textId="77777777" w:rsidR="00127CD4" w:rsidRPr="00BC3E05" w:rsidRDefault="00127CD4" w:rsidP="006B771F">
      <w:pPr>
        <w:spacing w:after="0" w:line="240" w:lineRule="auto"/>
        <w:jc w:val="both"/>
        <w:rPr>
          <w:rFonts w:ascii="Arial" w:hAnsi="Arial"/>
          <w:color w:val="000000" w:themeColor="text1"/>
          <w:szCs w:val="20"/>
        </w:rPr>
      </w:pPr>
    </w:p>
    <w:p w14:paraId="5CE14EB4" w14:textId="77777777" w:rsidR="006B771F" w:rsidRPr="00BC3E05" w:rsidRDefault="006B771F" w:rsidP="006B771F">
      <w:pPr>
        <w:spacing w:after="0" w:line="240" w:lineRule="auto"/>
        <w:ind w:left="714" w:hanging="357"/>
        <w:jc w:val="center"/>
        <w:rPr>
          <w:rFonts w:ascii="Arial" w:hAnsi="Arial"/>
          <w:b/>
          <w:color w:val="000000" w:themeColor="text1"/>
          <w:sz w:val="18"/>
          <w:szCs w:val="18"/>
        </w:rPr>
      </w:pPr>
      <w:r w:rsidRPr="00BC3E05">
        <w:rPr>
          <w:rFonts w:ascii="Arial" w:hAnsi="Arial"/>
          <w:b/>
          <w:color w:val="000000" w:themeColor="text1"/>
          <w:sz w:val="18"/>
          <w:szCs w:val="18"/>
        </w:rPr>
        <w:t>Table D.1</w:t>
      </w:r>
    </w:p>
    <w:p w14:paraId="4A952B07" w14:textId="77777777" w:rsidR="006B771F" w:rsidRPr="00BC3E05" w:rsidRDefault="006B771F" w:rsidP="006B771F">
      <w:pPr>
        <w:spacing w:line="240" w:lineRule="auto"/>
        <w:ind w:left="714" w:hanging="357"/>
        <w:jc w:val="center"/>
        <w:rPr>
          <w:rFonts w:ascii="Arial" w:hAnsi="Arial"/>
          <w:b/>
          <w:color w:val="000000" w:themeColor="text1"/>
          <w:sz w:val="18"/>
          <w:szCs w:val="18"/>
        </w:rPr>
      </w:pPr>
      <w:r w:rsidRPr="00BC3E05">
        <w:rPr>
          <w:rFonts w:ascii="Arial" w:hAnsi="Arial"/>
          <w:b/>
          <w:color w:val="000000" w:themeColor="text1"/>
          <w:sz w:val="18"/>
          <w:szCs w:val="18"/>
        </w:rPr>
        <w:t>The 16 essential items used for Figures D.1 and D.2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10"/>
      </w:tblGrid>
      <w:tr w:rsidR="006B771F" w:rsidRPr="00BC3E05" w14:paraId="6215A69E" w14:textId="77777777" w:rsidTr="004F51C5">
        <w:trPr>
          <w:jc w:val="center"/>
        </w:trPr>
        <w:tc>
          <w:tcPr>
            <w:tcW w:w="4673" w:type="dxa"/>
            <w:vAlign w:val="center"/>
          </w:tcPr>
          <w:p w14:paraId="57A08B00" w14:textId="77777777" w:rsidR="006B771F" w:rsidRPr="00BC3E05" w:rsidRDefault="006B771F" w:rsidP="004F51C5">
            <w:pPr>
              <w:spacing w:before="40" w:after="40"/>
              <w:jc w:val="center"/>
              <w:rPr>
                <w:rFonts w:ascii="Arial" w:hAnsi="Arial"/>
                <w:b/>
                <w:color w:val="000000" w:themeColor="text1"/>
                <w:sz w:val="14"/>
                <w:szCs w:val="14"/>
                <w:lang w:eastAsia="en-NZ"/>
              </w:rPr>
            </w:pPr>
            <w:r w:rsidRPr="00BC3E05">
              <w:rPr>
                <w:rFonts w:ascii="Arial" w:hAnsi="Arial"/>
                <w:b/>
                <w:color w:val="000000" w:themeColor="text1"/>
                <w:sz w:val="14"/>
                <w:szCs w:val="14"/>
                <w:lang w:eastAsia="en-NZ"/>
              </w:rPr>
              <w:t>Selected child-specific items (11)</w:t>
            </w:r>
          </w:p>
        </w:tc>
        <w:tc>
          <w:tcPr>
            <w:tcW w:w="3910" w:type="dxa"/>
            <w:vAlign w:val="center"/>
          </w:tcPr>
          <w:p w14:paraId="45016893" w14:textId="77777777" w:rsidR="006B771F" w:rsidRPr="00BC3E05" w:rsidRDefault="006B771F" w:rsidP="004F51C5">
            <w:pPr>
              <w:spacing w:before="40" w:after="40"/>
              <w:jc w:val="center"/>
              <w:rPr>
                <w:rFonts w:ascii="Arial" w:hAnsi="Arial"/>
                <w:b/>
                <w:color w:val="000000" w:themeColor="text1"/>
                <w:sz w:val="14"/>
                <w:szCs w:val="14"/>
                <w:lang w:eastAsia="en-NZ"/>
              </w:rPr>
            </w:pPr>
            <w:r w:rsidRPr="00BC3E05">
              <w:rPr>
                <w:rFonts w:ascii="Arial" w:hAnsi="Arial"/>
                <w:b/>
                <w:color w:val="000000" w:themeColor="text1"/>
                <w:sz w:val="14"/>
                <w:szCs w:val="14"/>
                <w:lang w:eastAsia="en-NZ"/>
              </w:rPr>
              <w:t>Child-relevant general household items (5)</w:t>
            </w:r>
          </w:p>
        </w:tc>
      </w:tr>
      <w:tr w:rsidR="006B771F" w:rsidRPr="00BC3E05" w14:paraId="139D141D" w14:textId="77777777" w:rsidTr="004F51C5">
        <w:trPr>
          <w:trHeight w:val="3375"/>
          <w:jc w:val="center"/>
        </w:trPr>
        <w:tc>
          <w:tcPr>
            <w:tcW w:w="4673" w:type="dxa"/>
          </w:tcPr>
          <w:p w14:paraId="73A5E5B8" w14:textId="77777777" w:rsidR="006B771F" w:rsidRPr="00BC3E05" w:rsidRDefault="006B771F" w:rsidP="004F51C5">
            <w:pPr>
              <w:pStyle w:val="ListParagraph"/>
              <w:spacing w:before="60" w:after="0" w:line="240" w:lineRule="auto"/>
              <w:ind w:left="34"/>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Do not have:</w:t>
            </w:r>
          </w:p>
          <w:p w14:paraId="3E6ABA61"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two pairs good shoes for each child</w:t>
            </w:r>
          </w:p>
          <w:p w14:paraId="1F7D02DE"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two sets of warm winter clothes for each child</w:t>
            </w:r>
          </w:p>
          <w:p w14:paraId="19E3BA25"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a separate bed for each child</w:t>
            </w:r>
          </w:p>
          <w:p w14:paraId="5068D975"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rPr>
              <w:t>fresh fruit and vegetables daily</w:t>
            </w:r>
          </w:p>
          <w:p w14:paraId="616B4A4C"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rPr>
              <w:t>meal with meat, fish or chicken (or vegetarian equivalent) each day</w:t>
            </w:r>
          </w:p>
          <w:p w14:paraId="6C0E3BEB" w14:textId="77777777" w:rsidR="006B771F" w:rsidRPr="00BC3E05" w:rsidRDefault="006B771F" w:rsidP="004F51C5">
            <w:pPr>
              <w:pStyle w:val="ListParagraph"/>
              <w:numPr>
                <w:ilvl w:val="0"/>
                <w:numId w:val="7"/>
              </w:numPr>
              <w:spacing w:before="40" w:after="0" w:line="240" w:lineRule="auto"/>
              <w:ind w:left="318" w:hanging="142"/>
              <w:contextualSpacing w:val="0"/>
              <w:rPr>
                <w:rFonts w:ascii="Arial" w:hAnsi="Arial"/>
                <w:color w:val="000000" w:themeColor="text1"/>
                <w:sz w:val="14"/>
                <w:szCs w:val="14"/>
                <w:lang w:eastAsia="en-NZ"/>
              </w:rPr>
            </w:pPr>
            <w:r w:rsidRPr="00BC3E05">
              <w:rPr>
                <w:rFonts w:ascii="Arial" w:hAnsi="Arial"/>
                <w:color w:val="000000" w:themeColor="text1"/>
                <w:sz w:val="14"/>
                <w:szCs w:val="14"/>
              </w:rPr>
              <w:t>good access at home to a computer and internet for homework</w:t>
            </w:r>
          </w:p>
          <w:p w14:paraId="791D9F4D" w14:textId="77777777" w:rsidR="006B771F" w:rsidRPr="00BC3E05" w:rsidRDefault="006B771F" w:rsidP="004F51C5">
            <w:pPr>
              <w:pStyle w:val="ListParagraph"/>
              <w:numPr>
                <w:ilvl w:val="0"/>
                <w:numId w:val="7"/>
              </w:numPr>
              <w:spacing w:before="40" w:after="0" w:line="240" w:lineRule="auto"/>
              <w:ind w:left="318" w:hanging="142"/>
              <w:contextualSpacing w:val="0"/>
              <w:rPr>
                <w:rFonts w:ascii="Arial" w:hAnsi="Arial"/>
                <w:color w:val="000000" w:themeColor="text1"/>
                <w:sz w:val="14"/>
                <w:szCs w:val="14"/>
                <w:lang w:eastAsia="en-NZ"/>
              </w:rPr>
            </w:pPr>
            <w:r w:rsidRPr="00BC3E05">
              <w:rPr>
                <w:rFonts w:ascii="Arial" w:eastAsia="Times New Roman" w:hAnsi="Arial"/>
                <w:color w:val="000000" w:themeColor="text1"/>
                <w:sz w:val="14"/>
                <w:szCs w:val="14"/>
              </w:rPr>
              <w:t>friends around to play and eat from time to time (because of the cost)</w:t>
            </w:r>
          </w:p>
          <w:p w14:paraId="007553C6" w14:textId="77777777" w:rsidR="006B771F" w:rsidRPr="00BC3E05" w:rsidRDefault="006B771F" w:rsidP="004F51C5">
            <w:pPr>
              <w:spacing w:before="60" w:after="0" w:line="240" w:lineRule="auto"/>
              <w:rPr>
                <w:rFonts w:ascii="Arial" w:hAnsi="Arial"/>
                <w:color w:val="000000" w:themeColor="text1"/>
                <w:sz w:val="14"/>
                <w:szCs w:val="14"/>
                <w:lang w:eastAsia="en-NZ"/>
              </w:rPr>
            </w:pPr>
            <w:r w:rsidRPr="00BC3E05">
              <w:rPr>
                <w:rFonts w:ascii="Arial" w:hAnsi="Arial"/>
                <w:color w:val="000000" w:themeColor="text1"/>
                <w:sz w:val="14"/>
                <w:szCs w:val="14"/>
              </w:rPr>
              <w:t>Economised ‘a lot’:</w:t>
            </w:r>
          </w:p>
          <w:p w14:paraId="301B7DB7"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unable to pay for school trips / events for each child</w:t>
            </w:r>
          </w:p>
          <w:p w14:paraId="29B2A475"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 xml:space="preserve">had to limit children’s involvement in sport </w:t>
            </w:r>
          </w:p>
          <w:p w14:paraId="455BECB7" w14:textId="77777777" w:rsidR="006B771F" w:rsidRPr="00BC3E05" w:rsidRDefault="006B771F" w:rsidP="004F51C5">
            <w:pPr>
              <w:pStyle w:val="ListParagraph"/>
              <w:numPr>
                <w:ilvl w:val="0"/>
                <w:numId w:val="7"/>
              </w:numPr>
              <w:spacing w:before="40" w:after="0" w:line="240" w:lineRule="auto"/>
              <w:ind w:left="317" w:hanging="141"/>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children had to go without music, dance, kapa haka, art, swimming or other special interest lessons</w:t>
            </w:r>
          </w:p>
          <w:p w14:paraId="72950042" w14:textId="77777777" w:rsidR="006B771F" w:rsidRPr="00BC3E05" w:rsidRDefault="006B771F" w:rsidP="004F51C5">
            <w:pPr>
              <w:pStyle w:val="ListParagraph"/>
              <w:numPr>
                <w:ilvl w:val="0"/>
                <w:numId w:val="7"/>
              </w:numPr>
              <w:spacing w:before="40" w:line="240" w:lineRule="auto"/>
              <w:ind w:left="318" w:hanging="142"/>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 xml:space="preserve">continued wearing worn out / wrong size clothes or shoes </w:t>
            </w:r>
          </w:p>
        </w:tc>
        <w:tc>
          <w:tcPr>
            <w:tcW w:w="3910" w:type="dxa"/>
          </w:tcPr>
          <w:p w14:paraId="5937C8FB" w14:textId="77777777" w:rsidR="006B771F" w:rsidRPr="00BC3E05" w:rsidRDefault="006B771F" w:rsidP="004F51C5">
            <w:pPr>
              <w:spacing w:before="60" w:after="40" w:line="240" w:lineRule="auto"/>
              <w:rPr>
                <w:rFonts w:ascii="Arial" w:hAnsi="Arial"/>
                <w:color w:val="000000" w:themeColor="text1"/>
                <w:sz w:val="14"/>
                <w:szCs w:val="14"/>
                <w:lang w:eastAsia="en-NZ"/>
              </w:rPr>
            </w:pPr>
            <w:r w:rsidRPr="00BC3E05">
              <w:rPr>
                <w:rFonts w:ascii="Arial" w:hAnsi="Arial"/>
                <w:color w:val="000000" w:themeColor="text1"/>
                <w:sz w:val="14"/>
                <w:szCs w:val="14"/>
                <w:lang w:eastAsia="en-NZ"/>
              </w:rPr>
              <w:t>Household deprivations that have direct relevance to children:</w:t>
            </w:r>
          </w:p>
          <w:p w14:paraId="4C261954" w14:textId="77777777" w:rsidR="006B771F" w:rsidRPr="00BC3E05" w:rsidRDefault="006B771F">
            <w:pPr>
              <w:pStyle w:val="ListParagraph"/>
              <w:numPr>
                <w:ilvl w:val="0"/>
                <w:numId w:val="49"/>
              </w:numPr>
              <w:spacing w:after="40" w:line="240" w:lineRule="auto"/>
              <w:ind w:left="199" w:hanging="142"/>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received help from food bank or other community group (more than once in last year)</w:t>
            </w:r>
          </w:p>
          <w:p w14:paraId="6CA684AE" w14:textId="77777777" w:rsidR="006B771F" w:rsidRPr="00BC3E05" w:rsidRDefault="006B771F">
            <w:pPr>
              <w:pStyle w:val="ListParagraph"/>
              <w:numPr>
                <w:ilvl w:val="0"/>
                <w:numId w:val="49"/>
              </w:numPr>
              <w:shd w:val="clear" w:color="auto" w:fill="FFFFFF"/>
              <w:spacing w:after="40" w:line="240" w:lineRule="auto"/>
              <w:ind w:left="198" w:hanging="142"/>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dampness or mould in dwelling (‘major problem’)</w:t>
            </w:r>
          </w:p>
          <w:p w14:paraId="4B3CE6E5" w14:textId="77777777" w:rsidR="006B771F" w:rsidRPr="00BC3E05" w:rsidRDefault="006B771F">
            <w:pPr>
              <w:pStyle w:val="ListParagraph"/>
              <w:numPr>
                <w:ilvl w:val="0"/>
                <w:numId w:val="49"/>
              </w:numPr>
              <w:shd w:val="clear" w:color="auto" w:fill="FFFFFF"/>
              <w:spacing w:after="40" w:line="240" w:lineRule="auto"/>
              <w:ind w:left="198" w:hanging="142"/>
              <w:contextualSpacing w:val="0"/>
              <w:rPr>
                <w:rFonts w:ascii="Arial" w:hAnsi="Arial"/>
                <w:color w:val="000000" w:themeColor="text1"/>
                <w:sz w:val="14"/>
                <w:szCs w:val="14"/>
                <w:lang w:eastAsia="en-NZ"/>
              </w:rPr>
            </w:pPr>
            <w:r w:rsidRPr="00BC3E05">
              <w:rPr>
                <w:rFonts w:ascii="Arial" w:hAnsi="Arial"/>
                <w:bCs/>
                <w:color w:val="000000" w:themeColor="text1"/>
                <w:sz w:val="14"/>
                <w:szCs w:val="14"/>
              </w:rPr>
              <w:t>respondent reports putting up with feeling cold to keep down costs for other basics (‘a lot’)</w:t>
            </w:r>
          </w:p>
          <w:p w14:paraId="7A72B761" w14:textId="77777777" w:rsidR="006B771F" w:rsidRPr="00BC3E05" w:rsidRDefault="006B771F">
            <w:pPr>
              <w:pStyle w:val="ListParagraph"/>
              <w:numPr>
                <w:ilvl w:val="0"/>
                <w:numId w:val="49"/>
              </w:numPr>
              <w:shd w:val="clear" w:color="auto" w:fill="FFFFFF"/>
              <w:spacing w:after="40" w:line="240" w:lineRule="auto"/>
              <w:ind w:left="198" w:hanging="142"/>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delayed repair or replacement of appliances (‘a lot’)</w:t>
            </w:r>
          </w:p>
          <w:p w14:paraId="1DF1FC6D" w14:textId="77777777" w:rsidR="006B771F" w:rsidRPr="00BC3E05" w:rsidRDefault="006B771F">
            <w:pPr>
              <w:pStyle w:val="ListParagraph"/>
              <w:numPr>
                <w:ilvl w:val="0"/>
                <w:numId w:val="49"/>
              </w:numPr>
              <w:shd w:val="clear" w:color="auto" w:fill="FFFFFF"/>
              <w:spacing w:after="0" w:line="240" w:lineRule="auto"/>
              <w:ind w:left="198" w:hanging="142"/>
              <w:contextualSpacing w:val="0"/>
              <w:rPr>
                <w:rFonts w:ascii="Arial" w:hAnsi="Arial"/>
                <w:color w:val="000000" w:themeColor="text1"/>
                <w:sz w:val="14"/>
                <w:szCs w:val="14"/>
                <w:lang w:eastAsia="en-NZ"/>
              </w:rPr>
            </w:pPr>
            <w:r w:rsidRPr="00BC3E05">
              <w:rPr>
                <w:rFonts w:ascii="Arial" w:hAnsi="Arial"/>
                <w:color w:val="000000" w:themeColor="text1"/>
                <w:sz w:val="14"/>
                <w:szCs w:val="14"/>
                <w:lang w:eastAsia="en-NZ"/>
              </w:rPr>
              <w:t>no access to car or van</w:t>
            </w:r>
          </w:p>
          <w:p w14:paraId="676DA28F" w14:textId="77777777" w:rsidR="006B771F" w:rsidRPr="00BC3E05" w:rsidRDefault="006B771F" w:rsidP="004F51C5">
            <w:pPr>
              <w:pStyle w:val="ListParagraph"/>
              <w:spacing w:after="0" w:line="240" w:lineRule="auto"/>
              <w:ind w:left="198"/>
              <w:contextualSpacing w:val="0"/>
              <w:rPr>
                <w:rFonts w:ascii="Arial" w:hAnsi="Arial"/>
                <w:color w:val="000000" w:themeColor="text1"/>
                <w:sz w:val="14"/>
                <w:szCs w:val="14"/>
                <w:lang w:eastAsia="en-NZ"/>
              </w:rPr>
            </w:pPr>
          </w:p>
          <w:p w14:paraId="7402344B" w14:textId="77777777" w:rsidR="006B771F" w:rsidRPr="00BC3E05" w:rsidRDefault="006B771F" w:rsidP="004F51C5">
            <w:pPr>
              <w:spacing w:after="0" w:line="240" w:lineRule="auto"/>
              <w:rPr>
                <w:rFonts w:ascii="Arial" w:hAnsi="Arial"/>
                <w:color w:val="000000" w:themeColor="text1"/>
                <w:sz w:val="14"/>
                <w:szCs w:val="14"/>
                <w:lang w:eastAsia="en-NZ"/>
              </w:rPr>
            </w:pPr>
          </w:p>
        </w:tc>
      </w:tr>
    </w:tbl>
    <w:p w14:paraId="0C19618C" w14:textId="77777777" w:rsidR="006B771F" w:rsidRPr="00BC3E05" w:rsidRDefault="006B771F" w:rsidP="006B771F">
      <w:pPr>
        <w:spacing w:before="120" w:after="0" w:line="240" w:lineRule="auto"/>
        <w:ind w:left="1560" w:right="238" w:hanging="1418"/>
        <w:jc w:val="both"/>
        <w:rPr>
          <w:rFonts w:ascii="Arial" w:eastAsia="Times New Roman" w:hAnsi="Arial"/>
          <w:color w:val="000000" w:themeColor="text1"/>
          <w:sz w:val="16"/>
          <w:szCs w:val="16"/>
          <w:lang w:val="en-GB"/>
        </w:rPr>
      </w:pPr>
      <w:r w:rsidRPr="00BC3E05">
        <w:rPr>
          <w:rFonts w:ascii="Arial" w:eastAsia="Times New Roman" w:hAnsi="Arial"/>
          <w:color w:val="000000" w:themeColor="text1"/>
          <w:sz w:val="16"/>
          <w:szCs w:val="16"/>
          <w:u w:val="single"/>
          <w:lang w:val="en-GB"/>
        </w:rPr>
        <w:t>Notes</w:t>
      </w:r>
      <w:r w:rsidRPr="00BC3E05">
        <w:rPr>
          <w:rFonts w:ascii="Arial" w:eastAsia="Times New Roman" w:hAnsi="Arial"/>
          <w:color w:val="000000" w:themeColor="text1"/>
          <w:sz w:val="16"/>
          <w:szCs w:val="16"/>
          <w:lang w:val="en-GB"/>
        </w:rPr>
        <w:t xml:space="preserve"> for Table D.1: </w:t>
      </w:r>
    </w:p>
    <w:p w14:paraId="44BFF680" w14:textId="77777777" w:rsidR="006B771F" w:rsidRPr="00BC3E05" w:rsidRDefault="006B771F">
      <w:pPr>
        <w:pStyle w:val="ListParagraph"/>
        <w:numPr>
          <w:ilvl w:val="0"/>
          <w:numId w:val="50"/>
        </w:numPr>
        <w:spacing w:before="40" w:after="0" w:line="240" w:lineRule="auto"/>
        <w:ind w:left="567" w:right="238" w:hanging="204"/>
        <w:contextualSpacing w:val="0"/>
        <w:jc w:val="both"/>
        <w:rPr>
          <w:rFonts w:ascii="Arial" w:eastAsia="Times New Roman" w:hAnsi="Arial"/>
          <w:color w:val="000000" w:themeColor="text1"/>
          <w:sz w:val="16"/>
          <w:szCs w:val="16"/>
          <w:lang w:val="en-GB"/>
        </w:rPr>
      </w:pPr>
      <w:r w:rsidRPr="00881C20">
        <w:rPr>
          <w:rFonts w:ascii="Arial" w:eastAsia="Times New Roman" w:hAnsi="Arial"/>
          <w:color w:val="000000" w:themeColor="text1"/>
          <w:sz w:val="16"/>
          <w:szCs w:val="16"/>
          <w:lang w:val="en-GB"/>
        </w:rPr>
        <w:t xml:space="preserve">See </w:t>
      </w:r>
      <w:r w:rsidRPr="00881C20">
        <w:rPr>
          <w:rFonts w:ascii="Arial" w:eastAsia="Times New Roman" w:hAnsi="Arial"/>
          <w:b/>
          <w:bCs/>
          <w:color w:val="000000" w:themeColor="text1"/>
          <w:sz w:val="16"/>
          <w:szCs w:val="16"/>
          <w:lang w:val="en-GB"/>
        </w:rPr>
        <w:t xml:space="preserve">Appendix 20 </w:t>
      </w:r>
      <w:r w:rsidRPr="00881C20">
        <w:rPr>
          <w:rFonts w:ascii="Arial" w:eastAsia="Times New Roman" w:hAnsi="Arial"/>
          <w:color w:val="000000" w:themeColor="text1"/>
          <w:sz w:val="16"/>
          <w:szCs w:val="16"/>
          <w:lang w:val="en-GB"/>
        </w:rPr>
        <w:t xml:space="preserve"> for the full text for the items.</w:t>
      </w:r>
      <w:r w:rsidRPr="00BC3E05">
        <w:rPr>
          <w:rFonts w:ascii="Arial" w:eastAsia="Times New Roman" w:hAnsi="Arial"/>
          <w:color w:val="000000" w:themeColor="text1"/>
          <w:sz w:val="16"/>
          <w:szCs w:val="16"/>
          <w:lang w:val="en-GB"/>
        </w:rPr>
        <w:tab/>
      </w:r>
    </w:p>
    <w:p w14:paraId="136060A6" w14:textId="77777777" w:rsidR="006B771F" w:rsidRPr="00BC3E05" w:rsidRDefault="006B771F">
      <w:pPr>
        <w:pStyle w:val="ListParagraph"/>
        <w:numPr>
          <w:ilvl w:val="0"/>
          <w:numId w:val="48"/>
        </w:numPr>
        <w:spacing w:before="40" w:after="0" w:line="240" w:lineRule="auto"/>
        <w:ind w:left="567" w:right="238" w:hanging="204"/>
        <w:contextualSpacing w:val="0"/>
        <w:jc w:val="both"/>
        <w:rPr>
          <w:rFonts w:ascii="Arial" w:eastAsia="Times New Roman" w:hAnsi="Arial"/>
          <w:color w:val="000000" w:themeColor="text1"/>
          <w:sz w:val="16"/>
          <w:szCs w:val="16"/>
          <w:lang w:val="en-GB"/>
        </w:rPr>
      </w:pPr>
      <w:r w:rsidRPr="00BC3E05">
        <w:rPr>
          <w:rFonts w:ascii="Arial" w:eastAsia="Times New Roman" w:hAnsi="Arial"/>
          <w:color w:val="000000" w:themeColor="text1"/>
          <w:sz w:val="16"/>
          <w:szCs w:val="16"/>
          <w:lang w:val="en-GB"/>
        </w:rPr>
        <w:t>The economising questions ask about economising so as to be able to pay for other basics, not just to be thrifty or save up for a special non-essential. Possible responses were ‘not at all’, ‘a little’, and ‘a lot’</w:t>
      </w:r>
    </w:p>
    <w:p w14:paraId="6940E8FB" w14:textId="117DAB51" w:rsidR="00E95423" w:rsidRPr="00BC3E05" w:rsidRDefault="006B771F" w:rsidP="00E95423">
      <w:pPr>
        <w:pStyle w:val="FootnoteText"/>
        <w:rPr>
          <w:rFonts w:ascii="Arial" w:hAnsi="Arial"/>
          <w:color w:val="000000" w:themeColor="text1"/>
          <w:sz w:val="20"/>
        </w:rPr>
      </w:pPr>
      <w:r w:rsidRPr="00BC3E05">
        <w:rPr>
          <w:rFonts w:ascii="Arial" w:hAnsi="Arial"/>
          <w:bCs/>
          <w:color w:val="000000" w:themeColor="text1"/>
          <w:sz w:val="20"/>
        </w:rPr>
        <w:lastRenderedPageBreak/>
        <w:t xml:space="preserve">For Figures D1 and D.2 </w:t>
      </w:r>
      <w:r w:rsidRPr="00BC3E05">
        <w:rPr>
          <w:rFonts w:ascii="Arial" w:eastAsia="Times New Roman" w:hAnsi="Arial"/>
          <w:bCs/>
          <w:color w:val="000000" w:themeColor="text1"/>
          <w:sz w:val="20"/>
          <w:lang w:val="en-GB"/>
        </w:rPr>
        <w:t>children aged 6-17 y</w:t>
      </w:r>
      <w:r w:rsidR="00C20A12" w:rsidRPr="00BC3E05">
        <w:rPr>
          <w:rFonts w:ascii="Arial" w:eastAsia="Times New Roman" w:hAnsi="Arial"/>
          <w:bCs/>
          <w:color w:val="000000" w:themeColor="text1"/>
          <w:sz w:val="20"/>
          <w:lang w:val="en-GB"/>
        </w:rPr>
        <w:t>ea</w:t>
      </w:r>
      <w:r w:rsidRPr="00BC3E05">
        <w:rPr>
          <w:rFonts w:ascii="Arial" w:eastAsia="Times New Roman" w:hAnsi="Arial"/>
          <w:bCs/>
          <w:color w:val="000000" w:themeColor="text1"/>
          <w:sz w:val="20"/>
          <w:lang w:val="en-GB"/>
        </w:rPr>
        <w:t xml:space="preserve">rs are ranked by their households’ material wellbeing using MWI-24, then grouped into ventiles (twenty equal groups of 5% each). </w:t>
      </w:r>
      <w:r w:rsidR="00E24233" w:rsidRPr="00BC3E05">
        <w:rPr>
          <w:rFonts w:ascii="Arial" w:eastAsia="Times New Roman" w:hAnsi="Arial"/>
          <w:bCs/>
          <w:color w:val="000000" w:themeColor="text1"/>
          <w:sz w:val="20"/>
          <w:lang w:val="en-GB"/>
        </w:rPr>
        <w:t>This information is used in two ways to give an indication of what material</w:t>
      </w:r>
      <w:r w:rsidR="00E24233" w:rsidRPr="00BC3E05">
        <w:rPr>
          <w:rFonts w:ascii="Arial" w:eastAsia="Times New Roman" w:hAnsi="Arial"/>
          <w:color w:val="000000" w:themeColor="text1"/>
          <w:sz w:val="20"/>
          <w:lang w:val="en-GB"/>
        </w:rPr>
        <w:t xml:space="preserve"> hardship looks like in practice for children in households identified as being in material hardship using the official measures.</w:t>
      </w:r>
      <w:r w:rsidR="00E95423" w:rsidRPr="00BC3E05">
        <w:rPr>
          <w:rFonts w:ascii="Arial" w:hAnsi="Arial"/>
          <w:color w:val="000000" w:themeColor="text1"/>
          <w:sz w:val="20"/>
        </w:rPr>
        <w:t xml:space="preserve"> (In 2023-24 there were around 800,000 children aged 6 to 17 years so there are around 40,000 in each ventile.</w:t>
      </w:r>
      <w:r w:rsidR="00E95423" w:rsidRPr="00BC3E05">
        <w:rPr>
          <w:rStyle w:val="FootnoteReference"/>
          <w:rFonts w:ascii="Arial" w:hAnsi="Arial"/>
          <w:color w:val="000000" w:themeColor="text1"/>
          <w:sz w:val="20"/>
        </w:rPr>
        <w:footnoteReference w:id="47"/>
      </w:r>
      <w:r w:rsidR="00E95423" w:rsidRPr="00BC3E05">
        <w:rPr>
          <w:rFonts w:ascii="Arial" w:hAnsi="Arial"/>
          <w:color w:val="000000" w:themeColor="text1"/>
          <w:sz w:val="20"/>
        </w:rPr>
        <w:t>)</w:t>
      </w:r>
    </w:p>
    <w:p w14:paraId="2B9AF985" w14:textId="0CD90888" w:rsidR="001A515F" w:rsidRPr="00BC3E05" w:rsidRDefault="001A515F" w:rsidP="00B960C5">
      <w:pPr>
        <w:pStyle w:val="ListParagraph"/>
        <w:spacing w:before="60" w:after="0" w:line="240" w:lineRule="auto"/>
        <w:ind w:left="284"/>
        <w:contextualSpacing w:val="0"/>
        <w:jc w:val="both"/>
        <w:rPr>
          <w:rFonts w:ascii="Arial" w:eastAsia="Times New Roman" w:hAnsi="Arial"/>
          <w:b/>
          <w:bCs/>
          <w:color w:val="000000" w:themeColor="text1"/>
          <w:sz w:val="18"/>
          <w:szCs w:val="18"/>
          <w:lang w:val="en-GB"/>
        </w:rPr>
      </w:pPr>
      <w:r w:rsidRPr="00BC3E05">
        <w:rPr>
          <w:rFonts w:ascii="Arial" w:eastAsia="Times New Roman" w:hAnsi="Arial"/>
          <w:b/>
          <w:bCs/>
          <w:color w:val="000000" w:themeColor="text1"/>
          <w:sz w:val="18"/>
          <w:szCs w:val="18"/>
          <w:lang w:val="en-GB"/>
        </w:rPr>
        <w:t>Figure D.1</w:t>
      </w:r>
    </w:p>
    <w:p w14:paraId="74D006DA" w14:textId="0FEA4DCB" w:rsidR="00402096" w:rsidRPr="00B960C5" w:rsidRDefault="00B960C5">
      <w:pPr>
        <w:pStyle w:val="ListParagraph"/>
        <w:numPr>
          <w:ilvl w:val="0"/>
          <w:numId w:val="97"/>
        </w:numPr>
        <w:spacing w:after="0" w:line="240" w:lineRule="auto"/>
        <w:ind w:left="709" w:hanging="227"/>
        <w:contextualSpacing w:val="0"/>
        <w:jc w:val="both"/>
        <w:rPr>
          <w:rFonts w:ascii="Arial" w:eastAsia="Times New Roman" w:hAnsi="Arial"/>
          <w:color w:val="000000" w:themeColor="text1"/>
          <w:sz w:val="18"/>
          <w:szCs w:val="18"/>
          <w:lang w:val="en-GB"/>
        </w:rPr>
      </w:pPr>
      <w:r w:rsidRPr="00B960C5">
        <w:rPr>
          <w:rFonts w:ascii="Arial" w:eastAsia="Times New Roman" w:hAnsi="Arial"/>
          <w:color w:val="000000" w:themeColor="text1"/>
          <w:sz w:val="18"/>
          <w:szCs w:val="18"/>
          <w:lang w:val="en-GB"/>
        </w:rPr>
        <w:t xml:space="preserve">The question is: </w:t>
      </w:r>
      <w:r w:rsidR="00E729E2" w:rsidRPr="00B960C5">
        <w:rPr>
          <w:rFonts w:ascii="Arial" w:eastAsia="Times New Roman" w:hAnsi="Arial"/>
          <w:color w:val="000000" w:themeColor="text1"/>
          <w:sz w:val="18"/>
          <w:szCs w:val="18"/>
          <w:lang w:val="en-GB"/>
        </w:rPr>
        <w:t>F</w:t>
      </w:r>
      <w:r w:rsidR="001A515F" w:rsidRPr="00B960C5">
        <w:rPr>
          <w:rFonts w:ascii="Arial" w:eastAsia="Times New Roman" w:hAnsi="Arial"/>
          <w:color w:val="000000" w:themeColor="text1"/>
          <w:sz w:val="18"/>
          <w:szCs w:val="18"/>
          <w:lang w:val="en-GB"/>
        </w:rPr>
        <w:t>or each ventile group</w:t>
      </w:r>
      <w:r w:rsidR="00E729E2" w:rsidRPr="00B960C5">
        <w:rPr>
          <w:rFonts w:ascii="Arial" w:eastAsia="Times New Roman" w:hAnsi="Arial"/>
          <w:color w:val="000000" w:themeColor="text1"/>
          <w:sz w:val="18"/>
          <w:szCs w:val="18"/>
          <w:lang w:val="en-GB"/>
        </w:rPr>
        <w:t>, what</w:t>
      </w:r>
      <w:r w:rsidR="001A515F" w:rsidRPr="00B960C5">
        <w:rPr>
          <w:rFonts w:ascii="Arial" w:eastAsia="Times New Roman" w:hAnsi="Arial"/>
          <w:color w:val="000000" w:themeColor="text1"/>
          <w:sz w:val="18"/>
          <w:szCs w:val="18"/>
          <w:lang w:val="en-GB"/>
        </w:rPr>
        <w:t xml:space="preserve"> proportion </w:t>
      </w:r>
      <w:r w:rsidR="00E729E2" w:rsidRPr="00B960C5">
        <w:rPr>
          <w:rFonts w:ascii="Arial" w:eastAsia="Times New Roman" w:hAnsi="Arial"/>
          <w:color w:val="000000" w:themeColor="text1"/>
          <w:sz w:val="18"/>
          <w:szCs w:val="18"/>
          <w:lang w:val="en-GB"/>
        </w:rPr>
        <w:t>has</w:t>
      </w:r>
      <w:r w:rsidR="001A515F" w:rsidRPr="00B960C5">
        <w:rPr>
          <w:rFonts w:ascii="Arial" w:eastAsia="Times New Roman" w:hAnsi="Arial"/>
          <w:color w:val="000000" w:themeColor="text1"/>
          <w:sz w:val="18"/>
          <w:szCs w:val="18"/>
          <w:lang w:val="en-GB"/>
        </w:rPr>
        <w:t xml:space="preserve"> a given number of missing essentials</w:t>
      </w:r>
      <w:r w:rsidR="00E729E2" w:rsidRPr="00B960C5">
        <w:rPr>
          <w:rFonts w:ascii="Arial" w:eastAsia="Times New Roman" w:hAnsi="Arial"/>
          <w:color w:val="000000" w:themeColor="text1"/>
          <w:sz w:val="18"/>
          <w:szCs w:val="18"/>
          <w:lang w:val="en-GB"/>
        </w:rPr>
        <w:t xml:space="preserve">?  </w:t>
      </w:r>
    </w:p>
    <w:p w14:paraId="012B490E" w14:textId="7CEC54C9" w:rsidR="001A515F" w:rsidRPr="00BC3E05" w:rsidRDefault="00E729E2" w:rsidP="00B960C5">
      <w:pPr>
        <w:pStyle w:val="ListParagraph"/>
        <w:spacing w:after="60" w:line="240" w:lineRule="auto"/>
        <w:ind w:left="709"/>
        <w:contextualSpacing w:val="0"/>
        <w:jc w:val="both"/>
        <w:rPr>
          <w:rFonts w:ascii="Arial" w:eastAsia="Times New Roman" w:hAnsi="Arial"/>
          <w:color w:val="000000" w:themeColor="text1"/>
          <w:sz w:val="18"/>
          <w:szCs w:val="18"/>
          <w:lang w:val="en-GB"/>
        </w:rPr>
      </w:pPr>
      <w:r w:rsidRPr="00BC3E05">
        <w:rPr>
          <w:rFonts w:ascii="Arial" w:eastAsia="Times New Roman" w:hAnsi="Arial"/>
          <w:color w:val="000000" w:themeColor="text1"/>
          <w:sz w:val="18"/>
          <w:szCs w:val="18"/>
          <w:lang w:val="en-GB"/>
        </w:rPr>
        <w:t xml:space="preserve">Figure D.1 shows the profiles for </w:t>
      </w:r>
      <w:r w:rsidR="00402096" w:rsidRPr="00BC3E05">
        <w:rPr>
          <w:rFonts w:ascii="Arial" w:eastAsia="Times New Roman" w:hAnsi="Arial"/>
          <w:color w:val="000000" w:themeColor="text1"/>
          <w:sz w:val="18"/>
          <w:szCs w:val="18"/>
          <w:lang w:val="en-GB"/>
        </w:rPr>
        <w:t>4</w:t>
      </w:r>
      <w:r w:rsidRPr="00BC3E05">
        <w:rPr>
          <w:rFonts w:ascii="Arial" w:eastAsia="Times New Roman" w:hAnsi="Arial"/>
          <w:color w:val="000000" w:themeColor="text1"/>
          <w:sz w:val="18"/>
          <w:szCs w:val="18"/>
          <w:lang w:val="en-GB"/>
        </w:rPr>
        <w:t>+</w:t>
      </w:r>
      <w:r w:rsidR="00402096" w:rsidRPr="00BC3E05">
        <w:rPr>
          <w:rFonts w:ascii="Arial" w:eastAsia="Times New Roman" w:hAnsi="Arial"/>
          <w:color w:val="000000" w:themeColor="text1"/>
          <w:sz w:val="18"/>
          <w:szCs w:val="18"/>
          <w:lang w:val="en-GB"/>
        </w:rPr>
        <w:t xml:space="preserve"> and</w:t>
      </w:r>
      <w:r w:rsidRPr="00BC3E05">
        <w:rPr>
          <w:rFonts w:ascii="Arial" w:eastAsia="Times New Roman" w:hAnsi="Arial"/>
          <w:color w:val="000000" w:themeColor="text1"/>
          <w:sz w:val="18"/>
          <w:szCs w:val="18"/>
          <w:lang w:val="en-GB"/>
        </w:rPr>
        <w:t xml:space="preserve"> </w:t>
      </w:r>
      <w:r w:rsidR="00402096" w:rsidRPr="00BC3E05">
        <w:rPr>
          <w:rFonts w:ascii="Arial" w:eastAsia="Times New Roman" w:hAnsi="Arial"/>
          <w:color w:val="000000" w:themeColor="text1"/>
          <w:sz w:val="18"/>
          <w:szCs w:val="18"/>
          <w:lang w:val="en-GB"/>
        </w:rPr>
        <w:t>5</w:t>
      </w:r>
      <w:r w:rsidRPr="00BC3E05">
        <w:rPr>
          <w:rFonts w:ascii="Arial" w:eastAsia="Times New Roman" w:hAnsi="Arial"/>
          <w:color w:val="000000" w:themeColor="text1"/>
          <w:sz w:val="18"/>
          <w:szCs w:val="18"/>
          <w:lang w:val="en-GB"/>
        </w:rPr>
        <w:t>+</w:t>
      </w:r>
      <w:r w:rsidR="00881F33" w:rsidRPr="00BC3E05">
        <w:rPr>
          <w:rFonts w:ascii="Arial" w:eastAsia="Times New Roman" w:hAnsi="Arial"/>
          <w:color w:val="000000" w:themeColor="text1"/>
          <w:sz w:val="18"/>
          <w:szCs w:val="18"/>
          <w:lang w:val="en-GB"/>
        </w:rPr>
        <w:t xml:space="preserve"> </w:t>
      </w:r>
      <w:r w:rsidRPr="00BC3E05">
        <w:rPr>
          <w:rFonts w:ascii="Arial" w:eastAsia="Times New Roman" w:hAnsi="Arial"/>
          <w:color w:val="000000" w:themeColor="text1"/>
          <w:sz w:val="18"/>
          <w:szCs w:val="18"/>
          <w:lang w:val="en-GB"/>
        </w:rPr>
        <w:t>missings (</w:t>
      </w:r>
      <w:r w:rsidR="001A515F" w:rsidRPr="00BC3E05">
        <w:rPr>
          <w:rFonts w:ascii="Arial" w:eastAsia="Times New Roman" w:hAnsi="Arial"/>
          <w:color w:val="000000" w:themeColor="text1"/>
          <w:sz w:val="18"/>
          <w:szCs w:val="18"/>
          <w:lang w:val="en-GB"/>
        </w:rPr>
        <w:t xml:space="preserve">eg in ventile </w:t>
      </w:r>
      <w:r w:rsidR="00402096" w:rsidRPr="00BC3E05">
        <w:rPr>
          <w:rFonts w:ascii="Arial" w:eastAsia="Times New Roman" w:hAnsi="Arial"/>
          <w:color w:val="000000" w:themeColor="text1"/>
          <w:sz w:val="18"/>
          <w:szCs w:val="18"/>
          <w:lang w:val="en-GB"/>
        </w:rPr>
        <w:t>1</w:t>
      </w:r>
      <w:r w:rsidR="001A515F" w:rsidRPr="00BC3E05">
        <w:rPr>
          <w:rFonts w:ascii="Arial" w:eastAsia="Times New Roman" w:hAnsi="Arial"/>
          <w:color w:val="000000" w:themeColor="text1"/>
          <w:sz w:val="18"/>
          <w:szCs w:val="18"/>
          <w:lang w:val="en-GB"/>
        </w:rPr>
        <w:t xml:space="preserve">, </w:t>
      </w:r>
      <w:r w:rsidR="00402096" w:rsidRPr="00BC3E05">
        <w:rPr>
          <w:rFonts w:ascii="Arial" w:eastAsia="Times New Roman" w:hAnsi="Arial"/>
          <w:color w:val="000000" w:themeColor="text1"/>
          <w:sz w:val="18"/>
          <w:szCs w:val="18"/>
          <w:lang w:val="en-GB"/>
        </w:rPr>
        <w:t>6</w:t>
      </w:r>
      <w:r w:rsidR="00881F33" w:rsidRPr="00BC3E05">
        <w:rPr>
          <w:rFonts w:ascii="Arial" w:eastAsia="Times New Roman" w:hAnsi="Arial"/>
          <w:color w:val="000000" w:themeColor="text1"/>
          <w:sz w:val="18"/>
          <w:szCs w:val="18"/>
          <w:lang w:val="en-GB"/>
        </w:rPr>
        <w:t>4</w:t>
      </w:r>
      <w:r w:rsidR="001A515F" w:rsidRPr="00BC3E05">
        <w:rPr>
          <w:rFonts w:ascii="Arial" w:eastAsia="Times New Roman" w:hAnsi="Arial"/>
          <w:color w:val="000000" w:themeColor="text1"/>
          <w:sz w:val="18"/>
          <w:szCs w:val="18"/>
          <w:lang w:val="en-GB"/>
        </w:rPr>
        <w:t xml:space="preserve">% have </w:t>
      </w:r>
      <w:r w:rsidR="00402096" w:rsidRPr="00BC3E05">
        <w:rPr>
          <w:rFonts w:ascii="Arial" w:eastAsia="Times New Roman" w:hAnsi="Arial"/>
          <w:color w:val="000000" w:themeColor="text1"/>
          <w:sz w:val="18"/>
          <w:szCs w:val="18"/>
          <w:lang w:val="en-GB"/>
        </w:rPr>
        <w:t>4</w:t>
      </w:r>
      <w:r w:rsidR="001A515F" w:rsidRPr="00BC3E05">
        <w:rPr>
          <w:rFonts w:ascii="Arial" w:eastAsia="Times New Roman" w:hAnsi="Arial"/>
          <w:color w:val="000000" w:themeColor="text1"/>
          <w:sz w:val="18"/>
          <w:szCs w:val="18"/>
          <w:lang w:val="en-GB"/>
        </w:rPr>
        <w:t xml:space="preserve"> or more missing</w:t>
      </w:r>
      <w:r w:rsidR="00402096" w:rsidRPr="00BC3E05">
        <w:rPr>
          <w:rFonts w:ascii="Arial" w:eastAsia="Times New Roman" w:hAnsi="Arial"/>
          <w:color w:val="000000" w:themeColor="text1"/>
          <w:sz w:val="18"/>
          <w:szCs w:val="18"/>
          <w:lang w:val="en-GB"/>
        </w:rPr>
        <w:t xml:space="preserve"> essentials</w:t>
      </w:r>
      <w:r w:rsidR="001A515F" w:rsidRPr="00BC3E05">
        <w:rPr>
          <w:rFonts w:ascii="Arial" w:eastAsia="Times New Roman" w:hAnsi="Arial"/>
          <w:color w:val="000000" w:themeColor="text1"/>
          <w:sz w:val="18"/>
          <w:szCs w:val="18"/>
          <w:lang w:val="en-GB"/>
        </w:rPr>
        <w:t>)</w:t>
      </w:r>
      <w:r w:rsidR="00402096" w:rsidRPr="00BC3E05">
        <w:rPr>
          <w:rFonts w:ascii="Arial" w:eastAsia="Times New Roman" w:hAnsi="Arial"/>
          <w:color w:val="000000" w:themeColor="text1"/>
          <w:sz w:val="18"/>
          <w:szCs w:val="18"/>
          <w:lang w:val="en-GB"/>
        </w:rPr>
        <w:t>.</w:t>
      </w:r>
      <w:r w:rsidR="00C92325" w:rsidRPr="00BC3E05">
        <w:rPr>
          <w:rFonts w:ascii="Arial" w:eastAsia="Times New Roman" w:hAnsi="Arial"/>
          <w:color w:val="000000" w:themeColor="text1"/>
          <w:sz w:val="18"/>
          <w:szCs w:val="18"/>
          <w:lang w:val="en-GB"/>
        </w:rPr>
        <w:t xml:space="preserve"> See </w:t>
      </w:r>
      <w:r w:rsidR="00E95423" w:rsidRPr="00BC3E05">
        <w:rPr>
          <w:rFonts w:ascii="Arial" w:eastAsia="Times New Roman" w:hAnsi="Arial"/>
          <w:color w:val="000000" w:themeColor="text1"/>
          <w:sz w:val="18"/>
          <w:szCs w:val="18"/>
          <w:lang w:val="en-GB"/>
        </w:rPr>
        <w:t xml:space="preserve">the </w:t>
      </w:r>
      <w:r w:rsidR="00C92325" w:rsidRPr="00BC3E05">
        <w:rPr>
          <w:rFonts w:ascii="Arial" w:eastAsia="Times New Roman" w:hAnsi="Arial"/>
          <w:color w:val="000000" w:themeColor="text1"/>
          <w:sz w:val="18"/>
          <w:szCs w:val="18"/>
          <w:lang w:val="en-GB"/>
        </w:rPr>
        <w:t xml:space="preserve">list of essentials / basics in Table D.1 </w:t>
      </w:r>
      <w:r w:rsidR="00E95423" w:rsidRPr="00BC3E05">
        <w:rPr>
          <w:rFonts w:ascii="Arial" w:eastAsia="Times New Roman" w:hAnsi="Arial"/>
          <w:color w:val="000000" w:themeColor="text1"/>
          <w:sz w:val="18"/>
          <w:szCs w:val="18"/>
          <w:lang w:val="en-GB"/>
        </w:rPr>
        <w:t>above.</w:t>
      </w:r>
    </w:p>
    <w:p w14:paraId="504D9E39" w14:textId="4EAA4DE0" w:rsidR="00E729E2" w:rsidRPr="00BC3E05" w:rsidRDefault="00E729E2" w:rsidP="0006631B">
      <w:pPr>
        <w:pStyle w:val="ListParagraph"/>
        <w:spacing w:after="0" w:line="240" w:lineRule="auto"/>
        <w:ind w:left="284"/>
        <w:contextualSpacing w:val="0"/>
        <w:jc w:val="both"/>
        <w:rPr>
          <w:rFonts w:ascii="Arial" w:eastAsia="Times New Roman" w:hAnsi="Arial"/>
          <w:b/>
          <w:bCs/>
          <w:color w:val="000000" w:themeColor="text1"/>
          <w:sz w:val="18"/>
          <w:szCs w:val="18"/>
          <w:lang w:val="en-GB"/>
        </w:rPr>
      </w:pPr>
      <w:r w:rsidRPr="00BC3E05">
        <w:rPr>
          <w:rFonts w:ascii="Arial" w:eastAsia="Times New Roman" w:hAnsi="Arial"/>
          <w:b/>
          <w:bCs/>
          <w:color w:val="000000" w:themeColor="text1"/>
          <w:sz w:val="18"/>
          <w:szCs w:val="18"/>
          <w:lang w:val="en-GB"/>
        </w:rPr>
        <w:t>Figure D.2</w:t>
      </w:r>
    </w:p>
    <w:p w14:paraId="12BEC72D" w14:textId="77777777" w:rsidR="00B960C5" w:rsidRDefault="00B960C5">
      <w:pPr>
        <w:pStyle w:val="ListParagraph"/>
        <w:numPr>
          <w:ilvl w:val="1"/>
          <w:numId w:val="97"/>
        </w:numPr>
        <w:spacing w:after="0" w:line="240" w:lineRule="auto"/>
        <w:ind w:left="709" w:hanging="142"/>
        <w:jc w:val="both"/>
        <w:rPr>
          <w:rFonts w:ascii="Arial" w:eastAsia="Times New Roman" w:hAnsi="Arial"/>
          <w:color w:val="000000" w:themeColor="text1"/>
          <w:sz w:val="18"/>
          <w:szCs w:val="18"/>
          <w:lang w:val="en-GB"/>
        </w:rPr>
      </w:pPr>
      <w:r w:rsidRPr="00B960C5">
        <w:rPr>
          <w:rFonts w:ascii="Arial" w:eastAsia="Times New Roman" w:hAnsi="Arial"/>
          <w:color w:val="000000" w:themeColor="text1"/>
          <w:sz w:val="18"/>
          <w:szCs w:val="18"/>
          <w:lang w:val="en-GB"/>
        </w:rPr>
        <w:t xml:space="preserve">The question is: </w:t>
      </w:r>
      <w:r w:rsidR="00E729E2" w:rsidRPr="00B960C5">
        <w:rPr>
          <w:rFonts w:ascii="Arial" w:eastAsia="Times New Roman" w:hAnsi="Arial"/>
          <w:color w:val="000000" w:themeColor="text1"/>
          <w:sz w:val="18"/>
          <w:szCs w:val="18"/>
          <w:lang w:val="en-GB"/>
        </w:rPr>
        <w:t xml:space="preserve">What proportion of all children missing a given number of essentials </w:t>
      </w:r>
      <w:r w:rsidR="00F6762B" w:rsidRPr="00B960C5">
        <w:rPr>
          <w:rFonts w:ascii="Arial" w:eastAsia="Times New Roman" w:hAnsi="Arial"/>
          <w:color w:val="000000" w:themeColor="text1"/>
          <w:sz w:val="18"/>
          <w:szCs w:val="18"/>
          <w:lang w:val="en-GB"/>
        </w:rPr>
        <w:t>is</w:t>
      </w:r>
      <w:r w:rsidR="00E729E2" w:rsidRPr="00B960C5">
        <w:rPr>
          <w:rFonts w:ascii="Arial" w:eastAsia="Times New Roman" w:hAnsi="Arial"/>
          <w:color w:val="000000" w:themeColor="text1"/>
          <w:sz w:val="18"/>
          <w:szCs w:val="18"/>
          <w:lang w:val="en-GB"/>
        </w:rPr>
        <w:t xml:space="preserve"> in each ventile? </w:t>
      </w:r>
    </w:p>
    <w:p w14:paraId="1E15936A" w14:textId="23627211" w:rsidR="006B771F" w:rsidRPr="00B960C5" w:rsidRDefault="00E729E2" w:rsidP="0006631B">
      <w:pPr>
        <w:pStyle w:val="ListParagraph"/>
        <w:spacing w:after="0" w:line="240" w:lineRule="auto"/>
        <w:ind w:left="709" w:firstLine="11"/>
        <w:jc w:val="both"/>
        <w:rPr>
          <w:rFonts w:ascii="Arial" w:eastAsia="Times New Roman" w:hAnsi="Arial"/>
          <w:color w:val="000000" w:themeColor="text1"/>
          <w:sz w:val="18"/>
          <w:szCs w:val="18"/>
          <w:lang w:val="en-GB"/>
        </w:rPr>
      </w:pPr>
      <w:r w:rsidRPr="00B960C5">
        <w:rPr>
          <w:rFonts w:ascii="Arial" w:eastAsia="Times New Roman" w:hAnsi="Arial"/>
          <w:color w:val="000000" w:themeColor="text1"/>
          <w:sz w:val="18"/>
          <w:szCs w:val="18"/>
          <w:lang w:val="en-GB"/>
        </w:rPr>
        <w:t>Figure D.2 sh</w:t>
      </w:r>
      <w:r w:rsidR="00F6762B" w:rsidRPr="00B960C5">
        <w:rPr>
          <w:rFonts w:ascii="Arial" w:eastAsia="Times New Roman" w:hAnsi="Arial"/>
          <w:color w:val="000000" w:themeColor="text1"/>
          <w:sz w:val="18"/>
          <w:szCs w:val="18"/>
          <w:lang w:val="en-GB"/>
        </w:rPr>
        <w:t>ow</w:t>
      </w:r>
      <w:r w:rsidRPr="00B960C5">
        <w:rPr>
          <w:rFonts w:ascii="Arial" w:eastAsia="Times New Roman" w:hAnsi="Arial"/>
          <w:color w:val="000000" w:themeColor="text1"/>
          <w:sz w:val="18"/>
          <w:szCs w:val="18"/>
          <w:lang w:val="en-GB"/>
        </w:rPr>
        <w:t>s the profiles for</w:t>
      </w:r>
      <w:r w:rsidR="00F6762B" w:rsidRPr="00B960C5">
        <w:rPr>
          <w:rFonts w:ascii="Arial" w:eastAsia="Times New Roman" w:hAnsi="Arial"/>
          <w:color w:val="000000" w:themeColor="text1"/>
          <w:sz w:val="18"/>
          <w:szCs w:val="18"/>
          <w:lang w:val="en-GB"/>
        </w:rPr>
        <w:t xml:space="preserve"> </w:t>
      </w:r>
      <w:r w:rsidR="006E3E8A" w:rsidRPr="00B960C5">
        <w:rPr>
          <w:rFonts w:ascii="Arial" w:eastAsia="Times New Roman" w:hAnsi="Arial"/>
          <w:color w:val="000000" w:themeColor="text1"/>
          <w:sz w:val="18"/>
          <w:szCs w:val="18"/>
          <w:lang w:val="en-GB"/>
        </w:rPr>
        <w:t>4</w:t>
      </w:r>
      <w:r w:rsidR="00F6762B" w:rsidRPr="00B960C5">
        <w:rPr>
          <w:rFonts w:ascii="Arial" w:eastAsia="Times New Roman" w:hAnsi="Arial"/>
          <w:color w:val="000000" w:themeColor="text1"/>
          <w:sz w:val="18"/>
          <w:szCs w:val="18"/>
          <w:lang w:val="en-GB"/>
        </w:rPr>
        <w:t xml:space="preserve">+ and </w:t>
      </w:r>
      <w:r w:rsidR="006E3E8A" w:rsidRPr="00B960C5">
        <w:rPr>
          <w:rFonts w:ascii="Arial" w:eastAsia="Times New Roman" w:hAnsi="Arial"/>
          <w:color w:val="000000" w:themeColor="text1"/>
          <w:sz w:val="18"/>
          <w:szCs w:val="18"/>
          <w:lang w:val="en-GB"/>
        </w:rPr>
        <w:t>5</w:t>
      </w:r>
      <w:r w:rsidR="00F6762B" w:rsidRPr="00B960C5">
        <w:rPr>
          <w:rFonts w:ascii="Arial" w:eastAsia="Times New Roman" w:hAnsi="Arial"/>
          <w:color w:val="000000" w:themeColor="text1"/>
          <w:sz w:val="18"/>
          <w:szCs w:val="18"/>
          <w:lang w:val="en-GB"/>
        </w:rPr>
        <w:t xml:space="preserve">+ missings (eg of all those missing </w:t>
      </w:r>
      <w:r w:rsidR="006E3E8A" w:rsidRPr="00B960C5">
        <w:rPr>
          <w:rFonts w:ascii="Arial" w:eastAsia="Times New Roman" w:hAnsi="Arial"/>
          <w:color w:val="000000" w:themeColor="text1"/>
          <w:sz w:val="18"/>
          <w:szCs w:val="18"/>
          <w:lang w:val="en-GB"/>
        </w:rPr>
        <w:t>4</w:t>
      </w:r>
      <w:r w:rsidR="00F6762B" w:rsidRPr="00B960C5">
        <w:rPr>
          <w:rFonts w:ascii="Arial" w:eastAsia="Times New Roman" w:hAnsi="Arial"/>
          <w:color w:val="000000" w:themeColor="text1"/>
          <w:sz w:val="18"/>
          <w:szCs w:val="18"/>
          <w:lang w:val="en-GB"/>
        </w:rPr>
        <w:t xml:space="preserve"> or more</w:t>
      </w:r>
      <w:r w:rsidR="006E3E8A" w:rsidRPr="00B960C5">
        <w:rPr>
          <w:rFonts w:ascii="Arial" w:eastAsia="Times New Roman" w:hAnsi="Arial"/>
          <w:color w:val="000000" w:themeColor="text1"/>
          <w:sz w:val="18"/>
          <w:szCs w:val="18"/>
          <w:lang w:val="en-GB"/>
        </w:rPr>
        <w:t xml:space="preserve"> (50,000)</w:t>
      </w:r>
      <w:r w:rsidR="00F6762B" w:rsidRPr="00B960C5">
        <w:rPr>
          <w:rFonts w:ascii="Arial" w:eastAsia="Times New Roman" w:hAnsi="Arial"/>
          <w:color w:val="000000" w:themeColor="text1"/>
          <w:sz w:val="18"/>
          <w:szCs w:val="18"/>
          <w:lang w:val="en-GB"/>
        </w:rPr>
        <w:t xml:space="preserve"> 48% are in ventile 1 and 9</w:t>
      </w:r>
      <w:r w:rsidR="006E3E8A" w:rsidRPr="00B960C5">
        <w:rPr>
          <w:rFonts w:ascii="Arial" w:eastAsia="Times New Roman" w:hAnsi="Arial"/>
          <w:color w:val="000000" w:themeColor="text1"/>
          <w:sz w:val="18"/>
          <w:szCs w:val="18"/>
          <w:lang w:val="en-GB"/>
        </w:rPr>
        <w:t>0</w:t>
      </w:r>
      <w:r w:rsidR="00F6762B" w:rsidRPr="00B960C5">
        <w:rPr>
          <w:rFonts w:ascii="Arial" w:eastAsia="Times New Roman" w:hAnsi="Arial"/>
          <w:color w:val="000000" w:themeColor="text1"/>
          <w:sz w:val="18"/>
          <w:szCs w:val="18"/>
          <w:lang w:val="en-GB"/>
        </w:rPr>
        <w:t>% are in the lower three ventiles (the hardship zone)).</w:t>
      </w:r>
      <w:r w:rsidRPr="00B960C5">
        <w:rPr>
          <w:rFonts w:ascii="Arial" w:eastAsia="Times New Roman" w:hAnsi="Arial"/>
          <w:color w:val="000000" w:themeColor="text1"/>
          <w:sz w:val="18"/>
          <w:szCs w:val="18"/>
          <w:lang w:val="en-GB"/>
        </w:rPr>
        <w:t xml:space="preserve"> </w:t>
      </w:r>
      <w:r w:rsidR="006B771F" w:rsidRPr="00B960C5">
        <w:rPr>
          <w:rFonts w:ascii="Arial" w:eastAsia="Times New Roman" w:hAnsi="Arial"/>
          <w:color w:val="000000" w:themeColor="text1"/>
          <w:sz w:val="18"/>
          <w:szCs w:val="18"/>
          <w:lang w:val="en-GB"/>
        </w:rPr>
        <w:t xml:space="preserve"> </w:t>
      </w:r>
    </w:p>
    <w:p w14:paraId="781097F3" w14:textId="3F6F6737" w:rsidR="006B771F" w:rsidRPr="00BC3E05" w:rsidRDefault="006B771F" w:rsidP="00790A8A">
      <w:pPr>
        <w:spacing w:after="0" w:line="240" w:lineRule="auto"/>
        <w:jc w:val="both"/>
        <w:rPr>
          <w:rFonts w:ascii="Arial" w:hAnsi="Arial"/>
          <w:b/>
          <w:color w:val="000000" w:themeColor="text1"/>
          <w:sz w:val="18"/>
          <w:szCs w:val="18"/>
        </w:rPr>
      </w:pPr>
      <w:r w:rsidRPr="00BC3E05">
        <w:rPr>
          <w:rFonts w:ascii="Arial" w:eastAsia="Times New Roman" w:hAnsi="Arial"/>
          <w:color w:val="000000" w:themeColor="text1"/>
          <w:sz w:val="18"/>
          <w:szCs w:val="18"/>
          <w:lang w:val="en-GB"/>
        </w:rPr>
        <w:t>.</w:t>
      </w:r>
    </w:p>
    <w:p w14:paraId="2FA238F8" w14:textId="415A0565" w:rsidR="006B771F" w:rsidRPr="00BC3E05" w:rsidRDefault="006B771F" w:rsidP="00C92325">
      <w:pPr>
        <w:spacing w:after="0" w:line="240" w:lineRule="auto"/>
        <w:jc w:val="center"/>
        <w:rPr>
          <w:rFonts w:ascii="Arial" w:hAnsi="Arial"/>
          <w:b/>
          <w:bCs/>
          <w:color w:val="FF0000"/>
          <w:sz w:val="18"/>
          <w:szCs w:val="20"/>
        </w:rPr>
      </w:pPr>
      <w:r w:rsidRPr="00BC3E05">
        <w:rPr>
          <w:rFonts w:ascii="Arial" w:hAnsi="Arial"/>
          <w:b/>
          <w:bCs/>
          <w:color w:val="000000" w:themeColor="text1"/>
          <w:sz w:val="18"/>
          <w:szCs w:val="20"/>
        </w:rPr>
        <w:t>Figure D.1</w:t>
      </w:r>
    </w:p>
    <w:p w14:paraId="575ED5B5" w14:textId="176403CE" w:rsidR="006B771F" w:rsidRPr="00BC3E05" w:rsidRDefault="006B771F" w:rsidP="00C92325">
      <w:pPr>
        <w:spacing w:after="0" w:line="240" w:lineRule="auto"/>
        <w:jc w:val="center"/>
        <w:rPr>
          <w:rFonts w:ascii="Arial" w:hAnsi="Arial"/>
          <w:b/>
          <w:bCs/>
          <w:color w:val="000000" w:themeColor="text1"/>
          <w:sz w:val="18"/>
          <w:szCs w:val="20"/>
        </w:rPr>
      </w:pPr>
      <w:r w:rsidRPr="00BC3E05">
        <w:rPr>
          <w:rFonts w:ascii="Arial" w:hAnsi="Arial"/>
          <w:b/>
          <w:bCs/>
          <w:color w:val="000000" w:themeColor="text1"/>
          <w:sz w:val="18"/>
          <w:szCs w:val="20"/>
        </w:rPr>
        <w:t xml:space="preserve"> Multiple deprivation for children</w:t>
      </w:r>
      <w:r w:rsidR="00C92325" w:rsidRPr="00BC3E05">
        <w:rPr>
          <w:rFonts w:ascii="Arial" w:hAnsi="Arial"/>
          <w:b/>
          <w:bCs/>
          <w:color w:val="000000" w:themeColor="text1"/>
          <w:sz w:val="18"/>
          <w:szCs w:val="20"/>
        </w:rPr>
        <w:t>:</w:t>
      </w:r>
    </w:p>
    <w:p w14:paraId="7236E5A6" w14:textId="77825603" w:rsidR="00790A8A" w:rsidRPr="00BC3E05" w:rsidRDefault="00F0321C" w:rsidP="006B771F">
      <w:pPr>
        <w:spacing w:after="0" w:line="240" w:lineRule="auto"/>
        <w:jc w:val="center"/>
        <w:rPr>
          <w:rFonts w:ascii="Arial" w:hAnsi="Arial"/>
          <w:b/>
          <w:bCs/>
          <w:color w:val="000000" w:themeColor="text1"/>
          <w:sz w:val="18"/>
          <w:szCs w:val="20"/>
        </w:rPr>
      </w:pPr>
      <w:r w:rsidRPr="00BC3E05">
        <w:rPr>
          <w:noProof/>
          <w:color w:val="000000" w:themeColor="text1"/>
        </w:rPr>
        <w:drawing>
          <wp:anchor distT="0" distB="0" distL="114300" distR="114300" simplePos="0" relativeHeight="253166592" behindDoc="0" locked="0" layoutInCell="1" allowOverlap="1" wp14:anchorId="5094ACC7" wp14:editId="24FA91ED">
            <wp:simplePos x="0" y="0"/>
            <wp:positionH relativeFrom="margin">
              <wp:align>center</wp:align>
            </wp:positionH>
            <wp:positionV relativeFrom="paragraph">
              <wp:posOffset>149225</wp:posOffset>
            </wp:positionV>
            <wp:extent cx="3540760" cy="2181860"/>
            <wp:effectExtent l="0" t="0" r="2540" b="8890"/>
            <wp:wrapTopAndBottom/>
            <wp:docPr id="1059776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76442"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40760" cy="2181860"/>
                    </a:xfrm>
                    <a:prstGeom prst="rect">
                      <a:avLst/>
                    </a:prstGeom>
                  </pic:spPr>
                </pic:pic>
              </a:graphicData>
            </a:graphic>
            <wp14:sizeRelH relativeFrom="page">
              <wp14:pctWidth>0</wp14:pctWidth>
            </wp14:sizeRelH>
            <wp14:sizeRelV relativeFrom="page">
              <wp14:pctHeight>0</wp14:pctHeight>
            </wp14:sizeRelV>
          </wp:anchor>
        </w:drawing>
      </w:r>
      <w:r w:rsidR="00790A8A" w:rsidRPr="00BC3E05">
        <w:rPr>
          <w:rFonts w:ascii="Arial" w:hAnsi="Arial"/>
          <w:b/>
          <w:bCs/>
          <w:color w:val="000000" w:themeColor="text1"/>
          <w:sz w:val="18"/>
          <w:szCs w:val="20"/>
        </w:rPr>
        <w:t xml:space="preserve">proportion </w:t>
      </w:r>
      <w:r w:rsidRPr="00BC3E05">
        <w:rPr>
          <w:rFonts w:ascii="Arial" w:hAnsi="Arial"/>
          <w:b/>
          <w:bCs/>
          <w:color w:val="000000" w:themeColor="text1"/>
          <w:sz w:val="18"/>
          <w:szCs w:val="20"/>
        </w:rPr>
        <w:t xml:space="preserve">of children </w:t>
      </w:r>
      <w:r w:rsidR="00790A8A" w:rsidRPr="00BC3E05">
        <w:rPr>
          <w:rFonts w:ascii="Arial" w:hAnsi="Arial"/>
          <w:b/>
          <w:bCs/>
          <w:color w:val="000000" w:themeColor="text1"/>
          <w:sz w:val="18"/>
          <w:szCs w:val="20"/>
        </w:rPr>
        <w:t xml:space="preserve">in each ventile with </w:t>
      </w:r>
      <w:r w:rsidRPr="00BC3E05">
        <w:rPr>
          <w:rFonts w:ascii="Arial" w:hAnsi="Arial"/>
          <w:b/>
          <w:bCs/>
          <w:color w:val="000000" w:themeColor="text1"/>
          <w:sz w:val="18"/>
          <w:szCs w:val="20"/>
        </w:rPr>
        <w:t>4</w:t>
      </w:r>
      <w:r w:rsidR="00790A8A" w:rsidRPr="00BC3E05">
        <w:rPr>
          <w:rFonts w:ascii="Arial" w:hAnsi="Arial"/>
          <w:b/>
          <w:bCs/>
          <w:color w:val="000000" w:themeColor="text1"/>
          <w:sz w:val="18"/>
          <w:szCs w:val="20"/>
        </w:rPr>
        <w:t>+ or</w:t>
      </w:r>
      <w:r w:rsidRPr="00BC3E05">
        <w:rPr>
          <w:rFonts w:ascii="Arial" w:hAnsi="Arial"/>
          <w:b/>
          <w:bCs/>
          <w:color w:val="000000" w:themeColor="text1"/>
          <w:sz w:val="18"/>
          <w:szCs w:val="20"/>
        </w:rPr>
        <w:t xml:space="preserve"> 5</w:t>
      </w:r>
      <w:r w:rsidR="00790A8A" w:rsidRPr="00BC3E05">
        <w:rPr>
          <w:rFonts w:ascii="Arial" w:hAnsi="Arial"/>
          <w:b/>
          <w:bCs/>
          <w:color w:val="000000" w:themeColor="text1"/>
          <w:sz w:val="18"/>
          <w:szCs w:val="20"/>
        </w:rPr>
        <w:t>+ missing essentials (%)</w:t>
      </w:r>
    </w:p>
    <w:p w14:paraId="7B8CE6A6" w14:textId="3E1BF448" w:rsidR="006B771F" w:rsidRPr="00BC3E05" w:rsidRDefault="006B771F" w:rsidP="00C92325">
      <w:pPr>
        <w:spacing w:after="0" w:line="240" w:lineRule="auto"/>
        <w:jc w:val="both"/>
        <w:rPr>
          <w:rFonts w:ascii="Arial" w:eastAsia="Times New Roman" w:hAnsi="Arial"/>
          <w:color w:val="000000" w:themeColor="text1"/>
          <w:szCs w:val="20"/>
          <w:lang w:val="en-GB"/>
        </w:rPr>
      </w:pPr>
    </w:p>
    <w:p w14:paraId="67796597" w14:textId="44BE4C22" w:rsidR="006B771F" w:rsidRPr="00BC3E05" w:rsidRDefault="006B771F" w:rsidP="006B771F">
      <w:pPr>
        <w:spacing w:after="0" w:line="240" w:lineRule="auto"/>
        <w:jc w:val="center"/>
        <w:rPr>
          <w:rFonts w:ascii="Arial" w:hAnsi="Arial"/>
          <w:b/>
          <w:bCs/>
          <w:color w:val="FF0000"/>
          <w:sz w:val="18"/>
          <w:szCs w:val="20"/>
        </w:rPr>
      </w:pPr>
      <w:r w:rsidRPr="00BC3E05">
        <w:rPr>
          <w:rFonts w:ascii="Arial" w:hAnsi="Arial"/>
          <w:b/>
          <w:bCs/>
          <w:color w:val="000000" w:themeColor="text1"/>
          <w:sz w:val="18"/>
          <w:szCs w:val="20"/>
        </w:rPr>
        <w:t>Figure D.</w:t>
      </w:r>
      <w:r w:rsidR="000F322E" w:rsidRPr="00BC3E05">
        <w:rPr>
          <w:rFonts w:ascii="Arial" w:hAnsi="Arial"/>
          <w:b/>
          <w:bCs/>
          <w:color w:val="000000" w:themeColor="text1"/>
          <w:sz w:val="18"/>
          <w:szCs w:val="20"/>
        </w:rPr>
        <w:t>2</w:t>
      </w:r>
    </w:p>
    <w:p w14:paraId="5F41FA34" w14:textId="6BCD7C77" w:rsidR="00E729E2" w:rsidRPr="00BC3E05" w:rsidRDefault="006B771F" w:rsidP="000F322E">
      <w:pPr>
        <w:spacing w:after="0" w:line="240" w:lineRule="auto"/>
        <w:jc w:val="center"/>
        <w:rPr>
          <w:rFonts w:ascii="Arial" w:hAnsi="Arial"/>
          <w:b/>
          <w:bCs/>
          <w:color w:val="000000" w:themeColor="text1"/>
          <w:sz w:val="18"/>
          <w:szCs w:val="20"/>
        </w:rPr>
      </w:pPr>
      <w:r w:rsidRPr="00BC3E05">
        <w:rPr>
          <w:rFonts w:ascii="Arial" w:hAnsi="Arial"/>
          <w:b/>
          <w:bCs/>
          <w:color w:val="000000" w:themeColor="text1"/>
          <w:sz w:val="18"/>
          <w:szCs w:val="20"/>
        </w:rPr>
        <w:t>Multiple deprivation for children</w:t>
      </w:r>
      <w:r w:rsidR="00790A8A" w:rsidRPr="00BC3E05">
        <w:rPr>
          <w:rFonts w:ascii="Arial" w:hAnsi="Arial"/>
          <w:b/>
          <w:bCs/>
          <w:color w:val="000000" w:themeColor="text1"/>
          <w:sz w:val="18"/>
          <w:szCs w:val="20"/>
        </w:rPr>
        <w:t>:</w:t>
      </w:r>
    </w:p>
    <w:p w14:paraId="5D2E50CF" w14:textId="1F3C13EE" w:rsidR="000F322E" w:rsidRPr="00BC3E05" w:rsidRDefault="006E3E8A" w:rsidP="000F322E">
      <w:pPr>
        <w:spacing w:after="0" w:line="240" w:lineRule="auto"/>
        <w:jc w:val="center"/>
        <w:rPr>
          <w:rFonts w:ascii="Arial" w:hAnsi="Arial"/>
          <w:b/>
          <w:bCs/>
          <w:color w:val="000000" w:themeColor="text1"/>
          <w:sz w:val="18"/>
          <w:szCs w:val="20"/>
        </w:rPr>
      </w:pPr>
      <w:r w:rsidRPr="00BC3E05">
        <w:rPr>
          <w:noProof/>
          <w:color w:val="000000" w:themeColor="text1"/>
        </w:rPr>
        <w:drawing>
          <wp:anchor distT="0" distB="0" distL="114300" distR="114300" simplePos="0" relativeHeight="253167616" behindDoc="0" locked="0" layoutInCell="1" allowOverlap="1" wp14:anchorId="73019336" wp14:editId="28ABBCF9">
            <wp:simplePos x="0" y="0"/>
            <wp:positionH relativeFrom="column">
              <wp:posOffset>1098550</wp:posOffset>
            </wp:positionH>
            <wp:positionV relativeFrom="paragraph">
              <wp:posOffset>149860</wp:posOffset>
            </wp:positionV>
            <wp:extent cx="3511550" cy="2037715"/>
            <wp:effectExtent l="0" t="0" r="0" b="635"/>
            <wp:wrapTopAndBottom/>
            <wp:docPr id="205690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0324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11550" cy="2037715"/>
                    </a:xfrm>
                    <a:prstGeom prst="rect">
                      <a:avLst/>
                    </a:prstGeom>
                  </pic:spPr>
                </pic:pic>
              </a:graphicData>
            </a:graphic>
            <wp14:sizeRelH relativeFrom="page">
              <wp14:pctWidth>0</wp14:pctWidth>
            </wp14:sizeRelH>
            <wp14:sizeRelV relativeFrom="page">
              <wp14:pctHeight>0</wp14:pctHeight>
            </wp14:sizeRelV>
          </wp:anchor>
        </w:drawing>
      </w:r>
      <w:r w:rsidR="000F322E" w:rsidRPr="00BC3E05">
        <w:rPr>
          <w:rFonts w:ascii="Arial" w:hAnsi="Arial"/>
          <w:b/>
          <w:bCs/>
          <w:color w:val="000000" w:themeColor="text1"/>
          <w:sz w:val="18"/>
          <w:szCs w:val="20"/>
        </w:rPr>
        <w:t xml:space="preserve">proportion </w:t>
      </w:r>
      <w:r w:rsidR="00F0321C" w:rsidRPr="00BC3E05">
        <w:rPr>
          <w:rFonts w:ascii="Arial" w:hAnsi="Arial"/>
          <w:b/>
          <w:bCs/>
          <w:color w:val="000000" w:themeColor="text1"/>
          <w:sz w:val="18"/>
          <w:szCs w:val="20"/>
        </w:rPr>
        <w:t xml:space="preserve">of all with </w:t>
      </w:r>
      <w:r w:rsidRPr="00BC3E05">
        <w:rPr>
          <w:rFonts w:ascii="Arial" w:hAnsi="Arial"/>
          <w:b/>
          <w:bCs/>
          <w:color w:val="000000" w:themeColor="text1"/>
          <w:sz w:val="18"/>
          <w:szCs w:val="20"/>
        </w:rPr>
        <w:t>4</w:t>
      </w:r>
      <w:r w:rsidR="000F322E" w:rsidRPr="00BC3E05">
        <w:rPr>
          <w:rFonts w:ascii="Arial" w:hAnsi="Arial"/>
          <w:b/>
          <w:bCs/>
          <w:color w:val="000000" w:themeColor="text1"/>
          <w:sz w:val="18"/>
          <w:szCs w:val="20"/>
        </w:rPr>
        <w:t xml:space="preserve">+ or </w:t>
      </w:r>
      <w:r w:rsidRPr="00BC3E05">
        <w:rPr>
          <w:rFonts w:ascii="Arial" w:hAnsi="Arial"/>
          <w:b/>
          <w:bCs/>
          <w:color w:val="000000" w:themeColor="text1"/>
          <w:sz w:val="18"/>
          <w:szCs w:val="20"/>
        </w:rPr>
        <w:t>5</w:t>
      </w:r>
      <w:r w:rsidR="000F322E" w:rsidRPr="00BC3E05">
        <w:rPr>
          <w:rFonts w:ascii="Arial" w:hAnsi="Arial"/>
          <w:b/>
          <w:bCs/>
          <w:color w:val="000000" w:themeColor="text1"/>
          <w:sz w:val="18"/>
          <w:szCs w:val="20"/>
        </w:rPr>
        <w:t xml:space="preserve">+ </w:t>
      </w:r>
      <w:r w:rsidR="0055596F" w:rsidRPr="00BC3E05">
        <w:rPr>
          <w:rFonts w:ascii="Arial" w:hAnsi="Arial"/>
          <w:b/>
          <w:bCs/>
          <w:color w:val="000000" w:themeColor="text1"/>
          <w:sz w:val="18"/>
          <w:szCs w:val="20"/>
        </w:rPr>
        <w:t xml:space="preserve">missing </w:t>
      </w:r>
      <w:r w:rsidR="000F322E" w:rsidRPr="00BC3E05">
        <w:rPr>
          <w:rFonts w:ascii="Arial" w:hAnsi="Arial"/>
          <w:b/>
          <w:bCs/>
          <w:color w:val="000000" w:themeColor="text1"/>
          <w:sz w:val="18"/>
          <w:szCs w:val="20"/>
        </w:rPr>
        <w:t>essentials</w:t>
      </w:r>
      <w:r w:rsidR="00F0321C" w:rsidRPr="00BC3E05">
        <w:rPr>
          <w:rFonts w:ascii="Arial" w:hAnsi="Arial"/>
          <w:b/>
          <w:bCs/>
          <w:color w:val="000000" w:themeColor="text1"/>
          <w:sz w:val="18"/>
          <w:szCs w:val="20"/>
        </w:rPr>
        <w:t xml:space="preserve"> </w:t>
      </w:r>
      <w:r w:rsidR="0055596F" w:rsidRPr="00BC3E05">
        <w:rPr>
          <w:rFonts w:ascii="Arial" w:hAnsi="Arial"/>
          <w:b/>
          <w:bCs/>
          <w:color w:val="000000" w:themeColor="text1"/>
          <w:sz w:val="18"/>
          <w:szCs w:val="20"/>
        </w:rPr>
        <w:t>… for</w:t>
      </w:r>
      <w:r w:rsidR="00F0321C" w:rsidRPr="00BC3E05">
        <w:rPr>
          <w:rFonts w:ascii="Arial" w:hAnsi="Arial"/>
          <w:b/>
          <w:bCs/>
          <w:color w:val="000000" w:themeColor="text1"/>
          <w:sz w:val="18"/>
          <w:szCs w:val="20"/>
        </w:rPr>
        <w:t xml:space="preserve"> a given ventile</w:t>
      </w:r>
      <w:r w:rsidR="000F322E" w:rsidRPr="00BC3E05">
        <w:rPr>
          <w:rFonts w:ascii="Arial" w:hAnsi="Arial"/>
          <w:b/>
          <w:bCs/>
          <w:color w:val="000000" w:themeColor="text1"/>
          <w:sz w:val="18"/>
          <w:szCs w:val="20"/>
        </w:rPr>
        <w:t xml:space="preserve"> (%)</w:t>
      </w:r>
    </w:p>
    <w:p w14:paraId="217E5EC0" w14:textId="0217358D" w:rsidR="00402096" w:rsidRPr="00BC3E05" w:rsidRDefault="00402096" w:rsidP="00C92325">
      <w:pPr>
        <w:spacing w:before="120" w:after="0" w:line="240" w:lineRule="auto"/>
        <w:jc w:val="both"/>
        <w:rPr>
          <w:rFonts w:ascii="Arial" w:hAnsi="Arial"/>
          <w:b/>
          <w:bCs/>
          <w:color w:val="000000" w:themeColor="text1"/>
          <w:szCs w:val="20"/>
        </w:rPr>
      </w:pPr>
      <w:r w:rsidRPr="00BC3E05">
        <w:rPr>
          <w:rFonts w:ascii="Arial" w:eastAsia="Times New Roman" w:hAnsi="Arial"/>
          <w:bCs/>
          <w:color w:val="000000" w:themeColor="text1"/>
          <w:szCs w:val="20"/>
          <w:lang w:val="en-GB"/>
        </w:rPr>
        <w:t>The chart</w:t>
      </w:r>
      <w:r w:rsidR="002A58E8" w:rsidRPr="00BC3E05">
        <w:rPr>
          <w:rFonts w:ascii="Arial" w:eastAsia="Times New Roman" w:hAnsi="Arial"/>
          <w:bCs/>
          <w:color w:val="000000" w:themeColor="text1"/>
          <w:szCs w:val="20"/>
          <w:lang w:val="en-GB"/>
        </w:rPr>
        <w:t>s</w:t>
      </w:r>
      <w:r w:rsidRPr="00BC3E05">
        <w:rPr>
          <w:rFonts w:ascii="Arial" w:eastAsia="Times New Roman" w:hAnsi="Arial"/>
          <w:bCs/>
          <w:color w:val="000000" w:themeColor="text1"/>
          <w:szCs w:val="20"/>
          <w:lang w:val="en-GB"/>
        </w:rPr>
        <w:t xml:space="preserve"> </w:t>
      </w:r>
      <w:r w:rsidRPr="00BC3E05">
        <w:rPr>
          <w:rFonts w:ascii="Arial" w:eastAsia="Times New Roman" w:hAnsi="Arial"/>
          <w:color w:val="000000" w:themeColor="text1"/>
          <w:szCs w:val="20"/>
          <w:lang w:val="en-GB"/>
        </w:rPr>
        <w:t xml:space="preserve">show how different life is for children in the hardship zone (lower </w:t>
      </w:r>
      <w:r w:rsidR="00C92325" w:rsidRPr="00BC3E05">
        <w:rPr>
          <w:rFonts w:ascii="Arial" w:eastAsia="Times New Roman" w:hAnsi="Arial"/>
          <w:color w:val="000000" w:themeColor="text1"/>
          <w:szCs w:val="20"/>
          <w:lang w:val="en-GB"/>
        </w:rPr>
        <w:t xml:space="preserve">two to </w:t>
      </w:r>
      <w:r w:rsidRPr="00BC3E05">
        <w:rPr>
          <w:rFonts w:ascii="Arial" w:eastAsia="Times New Roman" w:hAnsi="Arial"/>
          <w:color w:val="000000" w:themeColor="text1"/>
          <w:szCs w:val="20"/>
          <w:lang w:val="en-GB"/>
        </w:rPr>
        <w:t>three</w:t>
      </w:r>
      <w:r w:rsidR="00C20A12" w:rsidRPr="00BC3E05">
        <w:rPr>
          <w:rFonts w:ascii="Arial" w:eastAsia="Times New Roman" w:hAnsi="Arial"/>
          <w:color w:val="000000" w:themeColor="text1"/>
          <w:szCs w:val="20"/>
          <w:lang w:val="en-GB"/>
        </w:rPr>
        <w:t xml:space="preserve"> </w:t>
      </w:r>
      <w:r w:rsidRPr="00BC3E05">
        <w:rPr>
          <w:rFonts w:ascii="Arial" w:eastAsia="Times New Roman" w:hAnsi="Arial"/>
          <w:color w:val="000000" w:themeColor="text1"/>
          <w:szCs w:val="20"/>
          <w:lang w:val="en-GB"/>
        </w:rPr>
        <w:t xml:space="preserve">ventiles) compared with that experienced by the vast majority of New Zealand children. This </w:t>
      </w:r>
      <w:r w:rsidR="00E95423" w:rsidRPr="00BC3E05">
        <w:rPr>
          <w:rFonts w:ascii="Arial" w:eastAsia="Times New Roman" w:hAnsi="Arial"/>
          <w:color w:val="000000" w:themeColor="text1"/>
          <w:szCs w:val="20"/>
          <w:lang w:val="en-GB"/>
        </w:rPr>
        <w:t>marked</w:t>
      </w:r>
      <w:r w:rsidRPr="00BC3E05">
        <w:rPr>
          <w:rFonts w:ascii="Arial" w:eastAsia="Times New Roman" w:hAnsi="Arial"/>
          <w:color w:val="000000" w:themeColor="text1"/>
          <w:szCs w:val="20"/>
          <w:lang w:val="en-GB"/>
        </w:rPr>
        <w:t xml:space="preserve"> difference </w:t>
      </w:r>
      <w:r w:rsidRPr="00BC3E05">
        <w:rPr>
          <w:rFonts w:ascii="Arial" w:hAnsi="Arial"/>
          <w:color w:val="000000" w:themeColor="text1"/>
          <w:szCs w:val="20"/>
        </w:rPr>
        <w:t>illustrates what it means in practice to be ‘</w:t>
      </w:r>
      <w:r w:rsidRPr="00BC3E05">
        <w:rPr>
          <w:rFonts w:ascii="Arial" w:hAnsi="Arial"/>
          <w:i/>
          <w:iCs/>
          <w:color w:val="000000" w:themeColor="text1"/>
          <w:szCs w:val="20"/>
        </w:rPr>
        <w:t>excluded from the minimum acceptable way of life in one’s own society because of inadequate resources’</w:t>
      </w:r>
      <w:r w:rsidRPr="00BC3E05">
        <w:rPr>
          <w:rFonts w:ascii="Arial" w:hAnsi="Arial"/>
          <w:color w:val="000000" w:themeColor="text1"/>
          <w:szCs w:val="20"/>
        </w:rPr>
        <w:t xml:space="preserve">, the high-level definition of poverty commonly used for richer countries, as discussed in Section A. There is no social gradient of ‘acceptable inequality’ across the material wellbeing spectrum when it comes to missing out on common essentials – this experience </w:t>
      </w:r>
      <w:r w:rsidRPr="00BC3E05">
        <w:rPr>
          <w:rFonts w:ascii="Arial" w:hAnsi="Arial"/>
          <w:color w:val="000000" w:themeColor="text1"/>
          <w:szCs w:val="20"/>
        </w:rPr>
        <w:lastRenderedPageBreak/>
        <w:t xml:space="preserve">is all heavily focussed </w:t>
      </w:r>
      <w:r w:rsidR="00E95423" w:rsidRPr="00BC3E05">
        <w:rPr>
          <w:rFonts w:ascii="Arial" w:hAnsi="Arial"/>
          <w:color w:val="000000" w:themeColor="text1"/>
          <w:szCs w:val="20"/>
        </w:rPr>
        <w:t xml:space="preserve">at </w:t>
      </w:r>
      <w:r w:rsidRPr="00BC3E05">
        <w:rPr>
          <w:rFonts w:ascii="Arial" w:hAnsi="Arial"/>
          <w:color w:val="000000" w:themeColor="text1"/>
          <w:szCs w:val="20"/>
        </w:rPr>
        <w:t>the lower end, especially the lower 5-10%</w:t>
      </w:r>
      <w:r w:rsidR="00C20A12" w:rsidRPr="00BC3E05">
        <w:rPr>
          <w:rFonts w:ascii="Arial" w:hAnsi="Arial"/>
          <w:color w:val="000000" w:themeColor="text1"/>
          <w:szCs w:val="20"/>
        </w:rPr>
        <w:t xml:space="preserve"> </w:t>
      </w:r>
      <w:r w:rsidRPr="00BC3E05">
        <w:rPr>
          <w:rFonts w:ascii="Arial" w:hAnsi="Arial"/>
          <w:color w:val="000000" w:themeColor="text1"/>
          <w:szCs w:val="20"/>
        </w:rPr>
        <w:t xml:space="preserve">of children. </w:t>
      </w:r>
      <w:r w:rsidRPr="00BC3E05">
        <w:rPr>
          <w:rFonts w:ascii="Arial" w:hAnsi="Arial"/>
          <w:color w:val="000000" w:themeColor="text1"/>
        </w:rPr>
        <w:t>The difference is not just a ‘less than’ comparison, but a much more serious status of ‘missing out on things that all children should have and none should go without’.</w:t>
      </w:r>
      <w:r w:rsidRPr="00BC3E05">
        <w:rPr>
          <w:rStyle w:val="FootnoteReference"/>
          <w:rFonts w:ascii="Arial" w:hAnsi="Arial"/>
          <w:color w:val="000000" w:themeColor="text1"/>
        </w:rPr>
        <w:footnoteReference w:id="48"/>
      </w:r>
    </w:p>
    <w:p w14:paraId="234DD989" w14:textId="77777777" w:rsidR="00E95423" w:rsidRPr="00BC3E05" w:rsidRDefault="00E95423" w:rsidP="006B771F">
      <w:pPr>
        <w:spacing w:after="0" w:line="240" w:lineRule="auto"/>
        <w:jc w:val="both"/>
        <w:rPr>
          <w:rFonts w:ascii="Arial" w:hAnsi="Arial"/>
          <w:b/>
          <w:color w:val="000000" w:themeColor="text1"/>
          <w:sz w:val="22"/>
        </w:rPr>
      </w:pPr>
    </w:p>
    <w:p w14:paraId="5E1AEA26" w14:textId="673E3731" w:rsidR="00DE6C0A" w:rsidRPr="00BC3E05" w:rsidRDefault="00E95423" w:rsidP="00DE6C0A">
      <w:pPr>
        <w:spacing w:after="0" w:line="240" w:lineRule="auto"/>
        <w:jc w:val="both"/>
        <w:rPr>
          <w:rFonts w:ascii="Arial" w:hAnsi="Arial"/>
          <w:color w:val="000000" w:themeColor="text1"/>
          <w:szCs w:val="20"/>
        </w:rPr>
      </w:pPr>
      <w:r w:rsidRPr="00BC3E05">
        <w:rPr>
          <w:rFonts w:ascii="Arial" w:hAnsi="Arial"/>
          <w:color w:val="000000" w:themeColor="text1"/>
          <w:szCs w:val="20"/>
        </w:rPr>
        <w:t xml:space="preserve">It is also worth noting that </w:t>
      </w:r>
      <w:r w:rsidR="00DE6C0A" w:rsidRPr="00BC3E05">
        <w:rPr>
          <w:rFonts w:ascii="Arial" w:hAnsi="Arial"/>
          <w:color w:val="000000" w:themeColor="text1"/>
          <w:szCs w:val="20"/>
        </w:rPr>
        <w:t>while the MWI index is a general index, is not focussed on households with children and has no child-specific items, the above analysis shows that it does a</w:t>
      </w:r>
      <w:r w:rsidR="00CD1B6A">
        <w:rPr>
          <w:rFonts w:ascii="Arial" w:hAnsi="Arial"/>
          <w:color w:val="000000" w:themeColor="text1"/>
          <w:szCs w:val="20"/>
        </w:rPr>
        <w:t xml:space="preserve"> </w:t>
      </w:r>
      <w:r w:rsidR="00DE6C0A" w:rsidRPr="00BC3E05">
        <w:rPr>
          <w:rFonts w:ascii="Arial" w:hAnsi="Arial"/>
          <w:color w:val="000000" w:themeColor="text1"/>
          <w:szCs w:val="20"/>
        </w:rPr>
        <w:t xml:space="preserve">good job in identifying the children experiencing material hardship. </w:t>
      </w:r>
    </w:p>
    <w:p w14:paraId="6064417E" w14:textId="77777777" w:rsidR="00E61C62" w:rsidRPr="00BC3E05" w:rsidRDefault="00E61C62" w:rsidP="006B771F">
      <w:pPr>
        <w:spacing w:after="0" w:line="240" w:lineRule="auto"/>
        <w:jc w:val="both"/>
        <w:rPr>
          <w:rFonts w:ascii="Arial" w:hAnsi="Arial"/>
          <w:b/>
          <w:color w:val="000000" w:themeColor="text1"/>
          <w:sz w:val="22"/>
        </w:rPr>
      </w:pPr>
    </w:p>
    <w:p w14:paraId="72B1CFBB" w14:textId="77777777" w:rsidR="00DE6C0A" w:rsidRDefault="00DE6C0A" w:rsidP="009B7BA9">
      <w:pPr>
        <w:spacing w:after="0" w:line="240" w:lineRule="auto"/>
        <w:rPr>
          <w:rFonts w:ascii="Arial" w:hAnsi="Arial"/>
          <w:b/>
          <w:color w:val="000000" w:themeColor="text1"/>
          <w:sz w:val="22"/>
        </w:rPr>
      </w:pPr>
    </w:p>
    <w:p w14:paraId="1392F512" w14:textId="1850E6C5" w:rsidR="009B7BA9" w:rsidRPr="00F37860" w:rsidRDefault="009B7BA9" w:rsidP="009B7BA9">
      <w:pPr>
        <w:spacing w:after="0" w:line="240" w:lineRule="auto"/>
        <w:rPr>
          <w:rFonts w:ascii="Arial" w:hAnsi="Arial"/>
          <w:bCs/>
          <w:color w:val="FF0000"/>
          <w:sz w:val="18"/>
          <w:szCs w:val="18"/>
        </w:rPr>
      </w:pPr>
      <w:r w:rsidRPr="00F37860">
        <w:rPr>
          <w:rFonts w:ascii="Arial" w:hAnsi="Arial"/>
          <w:b/>
          <w:color w:val="000000" w:themeColor="text1"/>
          <w:sz w:val="22"/>
        </w:rPr>
        <w:t xml:space="preserve">A </w:t>
      </w:r>
      <w:r w:rsidR="00ED18DD" w:rsidRPr="00F37860">
        <w:rPr>
          <w:rFonts w:ascii="Arial" w:hAnsi="Arial"/>
          <w:b/>
          <w:color w:val="000000" w:themeColor="text1"/>
          <w:sz w:val="22"/>
        </w:rPr>
        <w:t xml:space="preserve">wider </w:t>
      </w:r>
      <w:r w:rsidRPr="00F37860">
        <w:rPr>
          <w:rFonts w:ascii="Arial" w:hAnsi="Arial"/>
          <w:b/>
          <w:color w:val="000000" w:themeColor="text1"/>
          <w:sz w:val="22"/>
        </w:rPr>
        <w:t>selection of child-relevant household items plus some child-specific items: deprivation</w:t>
      </w:r>
      <w:r w:rsidR="00C77828" w:rsidRPr="00F37860">
        <w:rPr>
          <w:rFonts w:ascii="Arial" w:hAnsi="Arial"/>
          <w:b/>
          <w:color w:val="000000" w:themeColor="text1"/>
          <w:sz w:val="22"/>
        </w:rPr>
        <w:t xml:space="preserve"> rates for</w:t>
      </w:r>
      <w:r w:rsidRPr="00F37860">
        <w:rPr>
          <w:rFonts w:ascii="Arial" w:hAnsi="Arial"/>
          <w:b/>
          <w:color w:val="000000" w:themeColor="text1"/>
          <w:sz w:val="22"/>
        </w:rPr>
        <w:t xml:space="preserve"> </w:t>
      </w:r>
      <w:r w:rsidR="00C77828" w:rsidRPr="00F37860">
        <w:rPr>
          <w:rFonts w:ascii="Arial" w:hAnsi="Arial"/>
          <w:b/>
          <w:color w:val="000000" w:themeColor="text1"/>
          <w:sz w:val="22"/>
        </w:rPr>
        <w:t xml:space="preserve">each of </w:t>
      </w:r>
      <w:r w:rsidRPr="00F37860">
        <w:rPr>
          <w:rFonts w:ascii="Arial" w:hAnsi="Arial"/>
          <w:b/>
          <w:color w:val="000000" w:themeColor="text1"/>
          <w:sz w:val="22"/>
        </w:rPr>
        <w:t xml:space="preserve">these items for all aged 6-17 yrs in </w:t>
      </w:r>
      <w:r w:rsidR="00C77828" w:rsidRPr="00F37860">
        <w:rPr>
          <w:rFonts w:ascii="Arial" w:hAnsi="Arial"/>
          <w:b/>
          <w:color w:val="000000" w:themeColor="text1"/>
          <w:sz w:val="22"/>
        </w:rPr>
        <w:t>households in material</w:t>
      </w:r>
      <w:r w:rsidRPr="00F37860">
        <w:rPr>
          <w:rFonts w:ascii="Arial" w:hAnsi="Arial"/>
          <w:b/>
          <w:color w:val="000000" w:themeColor="text1"/>
          <w:sz w:val="22"/>
        </w:rPr>
        <w:t xml:space="preserve"> </w:t>
      </w:r>
      <w:r w:rsidR="00C77828" w:rsidRPr="00F37860">
        <w:rPr>
          <w:rFonts w:ascii="Arial" w:hAnsi="Arial"/>
          <w:b/>
          <w:color w:val="000000" w:themeColor="text1"/>
          <w:sz w:val="22"/>
        </w:rPr>
        <w:t xml:space="preserve">hardship </w:t>
      </w:r>
      <w:r w:rsidRPr="00F37860">
        <w:rPr>
          <w:rFonts w:ascii="Arial" w:hAnsi="Arial"/>
          <w:b/>
          <w:color w:val="000000" w:themeColor="text1"/>
          <w:sz w:val="22"/>
        </w:rPr>
        <w:t xml:space="preserve">or severe </w:t>
      </w:r>
      <w:r w:rsidR="00C77828" w:rsidRPr="00F37860">
        <w:rPr>
          <w:rFonts w:ascii="Arial" w:hAnsi="Arial"/>
          <w:b/>
          <w:color w:val="000000" w:themeColor="text1"/>
          <w:sz w:val="22"/>
        </w:rPr>
        <w:t>material hardship</w:t>
      </w:r>
      <w:r w:rsidR="007219DE" w:rsidRPr="00F37860">
        <w:rPr>
          <w:rFonts w:ascii="Arial" w:hAnsi="Arial"/>
          <w:b/>
          <w:color w:val="000000" w:themeColor="text1"/>
          <w:sz w:val="22"/>
        </w:rPr>
        <w:t xml:space="preserve"> </w:t>
      </w:r>
    </w:p>
    <w:p w14:paraId="07D07302" w14:textId="148B6146" w:rsidR="009B7BA9" w:rsidRPr="00F37860" w:rsidRDefault="009B7BA9" w:rsidP="009B7BA9">
      <w:pPr>
        <w:spacing w:after="0" w:line="240" w:lineRule="auto"/>
        <w:rPr>
          <w:rFonts w:ascii="Arial" w:hAnsi="Arial"/>
          <w:b/>
          <w:bCs/>
          <w:color w:val="000000" w:themeColor="text1"/>
        </w:rPr>
      </w:pPr>
    </w:p>
    <w:p w14:paraId="7B0A5BB6" w14:textId="3A8B9496" w:rsidR="0040500A" w:rsidRPr="00F37860" w:rsidRDefault="0040500A" w:rsidP="0040500A">
      <w:pPr>
        <w:spacing w:after="60" w:line="240" w:lineRule="auto"/>
        <w:rPr>
          <w:rFonts w:ascii="Arial" w:hAnsi="Arial"/>
          <w:bCs/>
          <w:color w:val="000000" w:themeColor="text1"/>
          <w:szCs w:val="20"/>
        </w:rPr>
      </w:pPr>
      <w:r w:rsidRPr="00F37860">
        <w:rPr>
          <w:rFonts w:ascii="Arial" w:hAnsi="Arial"/>
          <w:bCs/>
          <w:color w:val="000000" w:themeColor="text1"/>
          <w:szCs w:val="20"/>
        </w:rPr>
        <w:t xml:space="preserve">The analysis and information in this sub-section provides a counterpoint to the previous sub-section and its </w:t>
      </w:r>
      <w:r w:rsidR="00E9724A">
        <w:rPr>
          <w:rFonts w:ascii="Arial" w:hAnsi="Arial"/>
          <w:bCs/>
          <w:color w:val="000000" w:themeColor="text1"/>
          <w:szCs w:val="20"/>
        </w:rPr>
        <w:t>Figure</w:t>
      </w:r>
      <w:r w:rsidR="00DE6C0A">
        <w:rPr>
          <w:rFonts w:ascii="Arial" w:hAnsi="Arial"/>
          <w:bCs/>
          <w:color w:val="000000" w:themeColor="text1"/>
          <w:szCs w:val="20"/>
        </w:rPr>
        <w:t>s</w:t>
      </w:r>
      <w:r w:rsidR="00E9724A">
        <w:rPr>
          <w:rFonts w:ascii="Arial" w:hAnsi="Arial"/>
          <w:bCs/>
          <w:color w:val="000000" w:themeColor="text1"/>
          <w:szCs w:val="20"/>
        </w:rPr>
        <w:t xml:space="preserve"> D.1</w:t>
      </w:r>
      <w:r w:rsidR="00DE6C0A">
        <w:rPr>
          <w:rFonts w:ascii="Arial" w:hAnsi="Arial"/>
          <w:bCs/>
          <w:color w:val="000000" w:themeColor="text1"/>
          <w:szCs w:val="20"/>
        </w:rPr>
        <w:t xml:space="preserve"> and D.2.</w:t>
      </w:r>
    </w:p>
    <w:p w14:paraId="576D480E" w14:textId="2BE6768F" w:rsidR="0040500A" w:rsidRPr="00F37860" w:rsidRDefault="0040500A">
      <w:pPr>
        <w:pStyle w:val="ListParagraph"/>
        <w:numPr>
          <w:ilvl w:val="0"/>
          <w:numId w:val="70"/>
        </w:numPr>
        <w:spacing w:after="60" w:line="240" w:lineRule="auto"/>
        <w:contextualSpacing w:val="0"/>
        <w:rPr>
          <w:rFonts w:ascii="Arial" w:hAnsi="Arial"/>
          <w:bCs/>
          <w:color w:val="000000" w:themeColor="text1"/>
          <w:szCs w:val="20"/>
        </w:rPr>
      </w:pPr>
      <w:r w:rsidRPr="00F37860">
        <w:rPr>
          <w:rFonts w:ascii="Arial" w:hAnsi="Arial"/>
          <w:bCs/>
          <w:color w:val="000000" w:themeColor="text1"/>
          <w:szCs w:val="20"/>
        </w:rPr>
        <w:t xml:space="preserve">The latter reported the accumulation of missing essentials for those at different levels of material wellbeing, showing that </w:t>
      </w:r>
      <w:r w:rsidRPr="00F37860">
        <w:rPr>
          <w:rFonts w:ascii="Arial" w:hAnsi="Arial"/>
        </w:rPr>
        <w:t xml:space="preserve">the key difference between those in material hardship and those not is </w:t>
      </w:r>
      <w:r w:rsidR="00F37860" w:rsidRPr="00F37860">
        <w:rPr>
          <w:rFonts w:ascii="Arial" w:hAnsi="Arial"/>
        </w:rPr>
        <w:t xml:space="preserve">the </w:t>
      </w:r>
      <w:r w:rsidRPr="00F37860">
        <w:rPr>
          <w:rFonts w:ascii="Arial" w:hAnsi="Arial"/>
        </w:rPr>
        <w:t xml:space="preserve">high level of accumulated deprivation of essentials / basics. </w:t>
      </w:r>
    </w:p>
    <w:p w14:paraId="21EA7EB9" w14:textId="4BBD2CFC" w:rsidR="0040500A" w:rsidRPr="00F37860" w:rsidRDefault="0040500A">
      <w:pPr>
        <w:pStyle w:val="ListParagraph"/>
        <w:numPr>
          <w:ilvl w:val="0"/>
          <w:numId w:val="70"/>
        </w:numPr>
        <w:spacing w:line="240" w:lineRule="auto"/>
        <w:contextualSpacing w:val="0"/>
        <w:rPr>
          <w:rFonts w:ascii="Arial" w:hAnsi="Arial"/>
          <w:bCs/>
          <w:color w:val="000000" w:themeColor="text1"/>
          <w:szCs w:val="20"/>
        </w:rPr>
      </w:pPr>
      <w:r w:rsidRPr="00F37860">
        <w:rPr>
          <w:rFonts w:ascii="Arial" w:hAnsi="Arial"/>
          <w:bCs/>
          <w:color w:val="000000" w:themeColor="text1"/>
          <w:szCs w:val="20"/>
        </w:rPr>
        <w:t xml:space="preserve">In this sub-section the analysis in </w:t>
      </w:r>
      <w:r w:rsidRPr="00F37860">
        <w:rPr>
          <w:rFonts w:ascii="Arial" w:hAnsi="Arial"/>
          <w:b/>
          <w:color w:val="000000" w:themeColor="text1"/>
          <w:szCs w:val="20"/>
        </w:rPr>
        <w:t xml:space="preserve">Table D.2 </w:t>
      </w:r>
      <w:r w:rsidRPr="00F37860">
        <w:rPr>
          <w:rFonts w:ascii="Arial" w:hAnsi="Arial"/>
          <w:bCs/>
          <w:color w:val="000000" w:themeColor="text1"/>
          <w:szCs w:val="20"/>
        </w:rPr>
        <w:t xml:space="preserve">(next page) focuses on individual items themselves and reports the rate of deprivation for each for those in material hardship. </w:t>
      </w:r>
    </w:p>
    <w:p w14:paraId="16723381" w14:textId="7E5870C0" w:rsidR="0040500A" w:rsidRPr="00F37860" w:rsidRDefault="0040500A">
      <w:pPr>
        <w:pStyle w:val="ListParagraph"/>
        <w:numPr>
          <w:ilvl w:val="0"/>
          <w:numId w:val="70"/>
        </w:numPr>
        <w:spacing w:line="240" w:lineRule="auto"/>
        <w:contextualSpacing w:val="0"/>
        <w:rPr>
          <w:rFonts w:ascii="Arial" w:hAnsi="Arial"/>
          <w:bCs/>
          <w:color w:val="000000" w:themeColor="text1"/>
          <w:szCs w:val="20"/>
        </w:rPr>
      </w:pPr>
      <w:r w:rsidRPr="00F37860">
        <w:rPr>
          <w:rFonts w:ascii="Arial" w:hAnsi="Arial"/>
          <w:bCs/>
          <w:color w:val="000000" w:themeColor="text1"/>
          <w:szCs w:val="20"/>
        </w:rPr>
        <w:t>It also notes what proportion of all children who experience deprivation of that item come from households in hardship and, in doing so, points to the many who are not in MH yet still experience some individual restrictions on basics, just not having a large accumulation of such.</w:t>
      </w:r>
    </w:p>
    <w:p w14:paraId="28128B1F" w14:textId="5ED9297C" w:rsidR="0051369C" w:rsidRPr="00F37860" w:rsidRDefault="0051369C" w:rsidP="0051369C">
      <w:pPr>
        <w:spacing w:after="0" w:line="240" w:lineRule="auto"/>
        <w:rPr>
          <w:rFonts w:ascii="Arial" w:hAnsi="Arial"/>
          <w:color w:val="000000" w:themeColor="text1"/>
        </w:rPr>
      </w:pPr>
      <w:r w:rsidRPr="00F37860">
        <w:rPr>
          <w:rFonts w:ascii="Arial" w:hAnsi="Arial"/>
          <w:color w:val="000000" w:themeColor="text1"/>
        </w:rPr>
        <w:t>Two types of item are used</w:t>
      </w:r>
      <w:r w:rsidR="0040500A" w:rsidRPr="00F37860">
        <w:rPr>
          <w:rFonts w:ascii="Arial" w:hAnsi="Arial"/>
          <w:color w:val="000000" w:themeColor="text1"/>
        </w:rPr>
        <w:t xml:space="preserve"> in the table</w:t>
      </w:r>
      <w:r w:rsidRPr="00F37860">
        <w:rPr>
          <w:rFonts w:ascii="Arial" w:hAnsi="Arial"/>
          <w:color w:val="000000" w:themeColor="text1"/>
        </w:rPr>
        <w:t>, both reported for 6-17 year olds only, for consistency with the child-specific items:</w:t>
      </w:r>
    </w:p>
    <w:p w14:paraId="66D7CE73" w14:textId="77777777" w:rsidR="001A571C" w:rsidRPr="00F37860" w:rsidRDefault="001A571C">
      <w:pPr>
        <w:pStyle w:val="ListParagraph"/>
        <w:numPr>
          <w:ilvl w:val="0"/>
          <w:numId w:val="60"/>
        </w:numPr>
        <w:spacing w:before="60" w:after="0" w:line="240" w:lineRule="auto"/>
        <w:ind w:left="714" w:hanging="357"/>
        <w:contextualSpacing w:val="0"/>
        <w:rPr>
          <w:rFonts w:ascii="Arial" w:hAnsi="Arial"/>
          <w:color w:val="000000" w:themeColor="text1"/>
        </w:rPr>
      </w:pPr>
      <w:r w:rsidRPr="00F37860">
        <w:rPr>
          <w:rFonts w:ascii="Arial" w:hAnsi="Arial"/>
          <w:color w:val="000000" w:themeColor="text1"/>
        </w:rPr>
        <w:t>general child-relevant household items – many are index items but some are non-index items of general interest (eg use of foodbanks)</w:t>
      </w:r>
    </w:p>
    <w:p w14:paraId="0017F968" w14:textId="77777777" w:rsidR="001A571C" w:rsidRDefault="001A571C">
      <w:pPr>
        <w:pStyle w:val="ListParagraph"/>
        <w:numPr>
          <w:ilvl w:val="0"/>
          <w:numId w:val="60"/>
        </w:numPr>
        <w:spacing w:before="60" w:after="0" w:line="240" w:lineRule="auto"/>
        <w:ind w:left="714" w:hanging="357"/>
        <w:contextualSpacing w:val="0"/>
        <w:rPr>
          <w:rFonts w:ascii="Arial" w:hAnsi="Arial"/>
          <w:color w:val="000000" w:themeColor="text1"/>
        </w:rPr>
      </w:pPr>
      <w:r w:rsidRPr="00F37860">
        <w:rPr>
          <w:rFonts w:ascii="Arial" w:hAnsi="Arial"/>
          <w:color w:val="000000" w:themeColor="text1"/>
        </w:rPr>
        <w:t>child specific items – none are index items as the index is designed for all ages.</w:t>
      </w:r>
    </w:p>
    <w:p w14:paraId="50CE8220" w14:textId="77777777" w:rsidR="00A8133F" w:rsidRDefault="00A8133F" w:rsidP="00A8133F">
      <w:pPr>
        <w:spacing w:before="60" w:after="0" w:line="240" w:lineRule="auto"/>
        <w:rPr>
          <w:rFonts w:ascii="Arial" w:hAnsi="Arial"/>
          <w:color w:val="000000" w:themeColor="text1"/>
        </w:rPr>
      </w:pPr>
    </w:p>
    <w:p w14:paraId="3AE631C9" w14:textId="77777777" w:rsidR="00EF07AC" w:rsidRDefault="00EF07AC" w:rsidP="009B7BA9">
      <w:pPr>
        <w:spacing w:after="0" w:line="240" w:lineRule="auto"/>
        <w:rPr>
          <w:rFonts w:ascii="Arial" w:hAnsi="Arial"/>
          <w:color w:val="000000" w:themeColor="text1"/>
        </w:rPr>
      </w:pPr>
    </w:p>
    <w:p w14:paraId="6D9414D0" w14:textId="554E60D8" w:rsidR="009B7BA9" w:rsidRPr="004724FD" w:rsidRDefault="00156058" w:rsidP="009B7BA9">
      <w:pPr>
        <w:spacing w:after="0" w:line="240" w:lineRule="auto"/>
        <w:rPr>
          <w:rFonts w:ascii="Arial" w:hAnsi="Arial"/>
          <w:color w:val="000000" w:themeColor="text1"/>
        </w:rPr>
      </w:pPr>
      <w:r>
        <w:rPr>
          <w:rFonts w:ascii="Arial" w:hAnsi="Arial"/>
          <w:color w:val="000000" w:themeColor="text1"/>
        </w:rPr>
        <w:t xml:space="preserve">Table D.2 uses the HES-based DEP-17 index. </w:t>
      </w:r>
      <w:r w:rsidR="009B7BA9" w:rsidRPr="004724FD">
        <w:rPr>
          <w:rFonts w:ascii="Arial" w:hAnsi="Arial"/>
          <w:color w:val="000000" w:themeColor="text1"/>
        </w:rPr>
        <w:t>The left-hand panel of numbers in the table (‘</w:t>
      </w:r>
      <w:r w:rsidR="001A571C">
        <w:rPr>
          <w:rFonts w:ascii="Arial" w:hAnsi="Arial"/>
          <w:color w:val="000000" w:themeColor="text1"/>
        </w:rPr>
        <w:t>R</w:t>
      </w:r>
      <w:r w:rsidR="009B7BA9" w:rsidRPr="004724FD">
        <w:rPr>
          <w:rFonts w:ascii="Arial" w:hAnsi="Arial"/>
          <w:color w:val="000000" w:themeColor="text1"/>
        </w:rPr>
        <w:t>ates</w:t>
      </w:r>
      <w:r w:rsidR="001A571C">
        <w:rPr>
          <w:rFonts w:ascii="Arial" w:hAnsi="Arial"/>
          <w:color w:val="000000" w:themeColor="text1"/>
        </w:rPr>
        <w:t xml:space="preserve"> (%)</w:t>
      </w:r>
      <w:r w:rsidR="009B7BA9" w:rsidRPr="004724FD">
        <w:rPr>
          <w:rFonts w:ascii="Arial" w:hAnsi="Arial"/>
          <w:color w:val="000000" w:themeColor="text1"/>
        </w:rPr>
        <w:t>’) shows the proportion of children (6-17 yrs) who face restrictions on the basics in the list – for all 6-17 year olds</w:t>
      </w:r>
      <w:r w:rsidR="006E4BB9">
        <w:rPr>
          <w:rFonts w:ascii="Arial" w:hAnsi="Arial"/>
          <w:color w:val="000000" w:themeColor="text1"/>
        </w:rPr>
        <w:t xml:space="preserve">, </w:t>
      </w:r>
      <w:r w:rsidR="009B7BA9" w:rsidRPr="004724FD">
        <w:rPr>
          <w:rFonts w:ascii="Arial" w:hAnsi="Arial"/>
          <w:color w:val="000000" w:themeColor="text1"/>
        </w:rPr>
        <w:t xml:space="preserve">those in </w:t>
      </w:r>
      <w:r w:rsidR="00173069">
        <w:rPr>
          <w:rFonts w:ascii="Arial" w:hAnsi="Arial"/>
          <w:color w:val="000000" w:themeColor="text1"/>
        </w:rPr>
        <w:t xml:space="preserve">households </w:t>
      </w:r>
      <w:r w:rsidR="006E4BB9">
        <w:rPr>
          <w:rFonts w:ascii="Arial" w:hAnsi="Arial"/>
          <w:color w:val="000000" w:themeColor="text1"/>
        </w:rPr>
        <w:t xml:space="preserve">not in MH, those </w:t>
      </w:r>
      <w:r w:rsidR="00173069">
        <w:rPr>
          <w:rFonts w:ascii="Arial" w:hAnsi="Arial"/>
          <w:color w:val="000000" w:themeColor="text1"/>
        </w:rPr>
        <w:t>in standard MH and those in severe MH.</w:t>
      </w:r>
    </w:p>
    <w:p w14:paraId="64EF5038" w14:textId="77777777" w:rsidR="009B7BA9" w:rsidRDefault="009B7BA9" w:rsidP="009B7BA9">
      <w:pPr>
        <w:spacing w:after="0" w:line="240" w:lineRule="auto"/>
        <w:rPr>
          <w:rFonts w:ascii="Arial" w:hAnsi="Arial"/>
          <w:color w:val="000000" w:themeColor="text1"/>
        </w:rPr>
      </w:pPr>
    </w:p>
    <w:p w14:paraId="5EE9E55D" w14:textId="221436BF" w:rsidR="00AA30AF" w:rsidRDefault="009B7BA9" w:rsidP="009B7BA9">
      <w:pPr>
        <w:spacing w:after="0" w:line="240" w:lineRule="auto"/>
        <w:rPr>
          <w:rFonts w:ascii="Arial" w:hAnsi="Arial"/>
          <w:color w:val="000000" w:themeColor="text1"/>
        </w:rPr>
      </w:pPr>
      <w:r w:rsidRPr="004724FD">
        <w:rPr>
          <w:rFonts w:ascii="Arial" w:hAnsi="Arial"/>
          <w:color w:val="000000" w:themeColor="text1"/>
        </w:rPr>
        <w:t>The right-hand panel (‘</w:t>
      </w:r>
      <w:r w:rsidR="00814ACA">
        <w:rPr>
          <w:rFonts w:ascii="Arial" w:hAnsi="Arial"/>
          <w:color w:val="000000" w:themeColor="text1"/>
        </w:rPr>
        <w:t>C</w:t>
      </w:r>
      <w:r w:rsidRPr="004724FD">
        <w:rPr>
          <w:rFonts w:ascii="Arial" w:hAnsi="Arial"/>
          <w:color w:val="000000" w:themeColor="text1"/>
        </w:rPr>
        <w:t>omposition</w:t>
      </w:r>
      <w:r w:rsidR="00814ACA">
        <w:rPr>
          <w:rFonts w:ascii="Arial" w:hAnsi="Arial"/>
          <w:color w:val="000000" w:themeColor="text1"/>
        </w:rPr>
        <w:t xml:space="preserve"> (%)</w:t>
      </w:r>
      <w:r w:rsidRPr="004724FD">
        <w:rPr>
          <w:rFonts w:ascii="Arial" w:hAnsi="Arial"/>
          <w:color w:val="000000" w:themeColor="text1"/>
        </w:rPr>
        <w:t>’</w:t>
      </w:r>
      <w:r w:rsidR="00E9724A">
        <w:rPr>
          <w:rFonts w:ascii="Arial" w:hAnsi="Arial"/>
          <w:color w:val="000000" w:themeColor="text1"/>
        </w:rPr>
        <w:t>)</w:t>
      </w:r>
      <w:r w:rsidRPr="004724FD">
        <w:rPr>
          <w:rFonts w:ascii="Arial" w:hAnsi="Arial"/>
          <w:color w:val="000000" w:themeColor="text1"/>
        </w:rPr>
        <w:t xml:space="preserve"> shows the proportion of all of those deprived of the item whose household has a DEP-17 score of 6+</w:t>
      </w:r>
      <w:r w:rsidR="00814ACA">
        <w:rPr>
          <w:rFonts w:ascii="Arial" w:hAnsi="Arial"/>
          <w:color w:val="000000" w:themeColor="text1"/>
        </w:rPr>
        <w:t xml:space="preserve"> (ie they are in the hardship zone). </w:t>
      </w:r>
      <w:r w:rsidRPr="004724FD">
        <w:rPr>
          <w:rFonts w:ascii="Arial" w:hAnsi="Arial"/>
          <w:color w:val="000000" w:themeColor="text1"/>
        </w:rPr>
        <w:t>For example, 6</w:t>
      </w:r>
      <w:r>
        <w:rPr>
          <w:rFonts w:ascii="Arial" w:hAnsi="Arial"/>
          <w:color w:val="000000" w:themeColor="text1"/>
        </w:rPr>
        <w:t>5</w:t>
      </w:r>
      <w:r w:rsidRPr="004724FD">
        <w:rPr>
          <w:rFonts w:ascii="Arial" w:hAnsi="Arial"/>
          <w:color w:val="000000" w:themeColor="text1"/>
        </w:rPr>
        <w:t>% of all children whose household relied on help from a community agency or foodbank for food or cash in the 12 months prior to interview … are in households in the 6+/17 hardship zone</w:t>
      </w:r>
      <w:r w:rsidR="00AA30AF">
        <w:rPr>
          <w:rFonts w:ascii="Arial" w:hAnsi="Arial"/>
          <w:color w:val="000000" w:themeColor="text1"/>
        </w:rPr>
        <w:t>; 35% come from households not identified as in material hardship.</w:t>
      </w:r>
      <w:r w:rsidR="005B49F5">
        <w:rPr>
          <w:rFonts w:ascii="Arial" w:hAnsi="Arial"/>
          <w:color w:val="000000" w:themeColor="text1"/>
        </w:rPr>
        <w:t xml:space="preserve"> </w:t>
      </w:r>
    </w:p>
    <w:p w14:paraId="3561558C" w14:textId="77777777" w:rsidR="008652D5" w:rsidRDefault="008652D5" w:rsidP="009B7BA9">
      <w:pPr>
        <w:spacing w:after="0" w:line="240" w:lineRule="auto"/>
        <w:rPr>
          <w:rFonts w:ascii="Arial" w:hAnsi="Arial"/>
          <w:color w:val="000000" w:themeColor="text1"/>
        </w:rPr>
      </w:pPr>
    </w:p>
    <w:p w14:paraId="566DA1CF" w14:textId="2FE54E0D" w:rsidR="008B5EDD" w:rsidRDefault="00CE5B08" w:rsidP="00985895">
      <w:pPr>
        <w:spacing w:after="0" w:line="240" w:lineRule="auto"/>
        <w:rPr>
          <w:rFonts w:ascii="Arial" w:hAnsi="Arial"/>
          <w:color w:val="000000" w:themeColor="text1"/>
        </w:rPr>
      </w:pPr>
      <w:r w:rsidRPr="00CE5B08">
        <w:rPr>
          <w:rFonts w:ascii="Arial" w:hAnsi="Arial"/>
          <w:color w:val="000000" w:themeColor="text1"/>
        </w:rPr>
        <w:t xml:space="preserve">Comparing the rates </w:t>
      </w:r>
      <w:r>
        <w:rPr>
          <w:rFonts w:ascii="Arial" w:hAnsi="Arial"/>
          <w:color w:val="000000" w:themeColor="text1"/>
        </w:rPr>
        <w:t>in</w:t>
      </w:r>
      <w:r w:rsidRPr="00CE5B08">
        <w:rPr>
          <w:rFonts w:ascii="Arial" w:hAnsi="Arial"/>
          <w:color w:val="000000" w:themeColor="text1"/>
        </w:rPr>
        <w:t xml:space="preserve"> the 6+/17 column (</w:t>
      </w:r>
      <w:r>
        <w:rPr>
          <w:rFonts w:ascii="Arial" w:hAnsi="Arial"/>
          <w:color w:val="000000" w:themeColor="text1"/>
        </w:rPr>
        <w:t xml:space="preserve">for </w:t>
      </w:r>
      <w:r w:rsidRPr="00CE5B08">
        <w:rPr>
          <w:rFonts w:ascii="Arial" w:hAnsi="Arial"/>
          <w:color w:val="000000" w:themeColor="text1"/>
        </w:rPr>
        <w:t>children in households in MH) with the 0-5/17 column (those not in hardship) gives a very clear contrast, better than using the ‘All’ column as that is by definition a mixed in MH / not in MH group.</w:t>
      </w:r>
      <w:r>
        <w:rPr>
          <w:rFonts w:ascii="Arial" w:hAnsi="Arial"/>
          <w:color w:val="000000" w:themeColor="text1"/>
        </w:rPr>
        <w:t xml:space="preserve"> </w:t>
      </w:r>
    </w:p>
    <w:p w14:paraId="39F799A6" w14:textId="77777777" w:rsidR="00985895" w:rsidRDefault="00985895" w:rsidP="00985895">
      <w:pPr>
        <w:spacing w:after="0" w:line="240" w:lineRule="auto"/>
        <w:rPr>
          <w:rFonts w:ascii="Arial" w:hAnsi="Arial"/>
          <w:color w:val="000000" w:themeColor="text1"/>
        </w:rPr>
      </w:pPr>
    </w:p>
    <w:p w14:paraId="0B11AF6B" w14:textId="09D111DC" w:rsidR="00985895" w:rsidRPr="0035015C" w:rsidRDefault="00985895" w:rsidP="00985895">
      <w:pPr>
        <w:spacing w:after="0" w:line="240" w:lineRule="auto"/>
        <w:jc w:val="both"/>
        <w:rPr>
          <w:rFonts w:ascii="Arial" w:hAnsi="Arial"/>
          <w:b/>
          <w:bCs/>
          <w:color w:val="000000" w:themeColor="text1"/>
          <w:szCs w:val="20"/>
        </w:rPr>
      </w:pPr>
      <w:r>
        <w:rPr>
          <w:rFonts w:ascii="Arial" w:hAnsi="Arial"/>
          <w:color w:val="000000" w:themeColor="text1"/>
        </w:rPr>
        <w:t xml:space="preserve">These underline the point made earlier that the difference is </w:t>
      </w:r>
      <w:r w:rsidRPr="004724FD">
        <w:rPr>
          <w:rFonts w:ascii="Arial" w:hAnsi="Arial"/>
          <w:color w:val="000000" w:themeColor="text1"/>
        </w:rPr>
        <w:t xml:space="preserve">not just a ‘less than’ </w:t>
      </w:r>
      <w:r>
        <w:rPr>
          <w:rFonts w:ascii="Arial" w:hAnsi="Arial"/>
          <w:color w:val="000000" w:themeColor="text1"/>
        </w:rPr>
        <w:t>comparison</w:t>
      </w:r>
      <w:r w:rsidRPr="004724FD">
        <w:rPr>
          <w:rFonts w:ascii="Arial" w:hAnsi="Arial"/>
          <w:color w:val="000000" w:themeColor="text1"/>
        </w:rPr>
        <w:t xml:space="preserve">, but a much more serious </w:t>
      </w:r>
      <w:r>
        <w:rPr>
          <w:rFonts w:ascii="Arial" w:hAnsi="Arial"/>
          <w:color w:val="000000" w:themeColor="text1"/>
        </w:rPr>
        <w:t>status of</w:t>
      </w:r>
      <w:r w:rsidRPr="004724FD">
        <w:rPr>
          <w:rFonts w:ascii="Arial" w:hAnsi="Arial"/>
          <w:color w:val="000000" w:themeColor="text1"/>
        </w:rPr>
        <w:t xml:space="preserve"> ‘missing out on things that all children should have and none should go without’</w:t>
      </w:r>
      <w:r>
        <w:rPr>
          <w:rFonts w:ascii="Arial" w:hAnsi="Arial"/>
          <w:color w:val="000000" w:themeColor="text1"/>
        </w:rPr>
        <w:t>. Life for those identified as being in material hardship is very different than what the vast majority of New Zealand children experience.</w:t>
      </w:r>
    </w:p>
    <w:p w14:paraId="47DE1253" w14:textId="77777777" w:rsidR="00814ACA" w:rsidRDefault="00814ACA" w:rsidP="009B7BA9">
      <w:pPr>
        <w:pStyle w:val="ListParagraph"/>
        <w:spacing w:after="0" w:line="240" w:lineRule="auto"/>
        <w:ind w:left="0"/>
        <w:jc w:val="center"/>
        <w:rPr>
          <w:rFonts w:ascii="Arial" w:hAnsi="Arial"/>
          <w:b/>
          <w:color w:val="000000" w:themeColor="text1"/>
          <w:sz w:val="18"/>
          <w:szCs w:val="24"/>
        </w:rPr>
      </w:pPr>
    </w:p>
    <w:p w14:paraId="17E598BB" w14:textId="77777777" w:rsidR="00EF07AC" w:rsidRDefault="00EF07AC">
      <w:pPr>
        <w:spacing w:after="0" w:line="240" w:lineRule="auto"/>
        <w:rPr>
          <w:rFonts w:ascii="Arial" w:hAnsi="Arial"/>
          <w:b/>
          <w:color w:val="000000" w:themeColor="text1"/>
          <w:sz w:val="18"/>
          <w:szCs w:val="24"/>
        </w:rPr>
      </w:pPr>
      <w:r>
        <w:rPr>
          <w:rFonts w:ascii="Arial" w:hAnsi="Arial"/>
          <w:b/>
          <w:color w:val="000000" w:themeColor="text1"/>
          <w:sz w:val="18"/>
          <w:szCs w:val="24"/>
        </w:rPr>
        <w:br w:type="page"/>
      </w:r>
    </w:p>
    <w:p w14:paraId="1CC478D9" w14:textId="43503EE6" w:rsidR="009B7BA9" w:rsidRPr="00A45346" w:rsidRDefault="003A224E" w:rsidP="009B7BA9">
      <w:pPr>
        <w:pStyle w:val="ListParagraph"/>
        <w:spacing w:after="0" w:line="240" w:lineRule="auto"/>
        <w:ind w:left="0"/>
        <w:jc w:val="center"/>
        <w:rPr>
          <w:rFonts w:ascii="Arial" w:hAnsi="Arial"/>
          <w:b/>
          <w:color w:val="FF0000"/>
          <w:sz w:val="18"/>
          <w:szCs w:val="24"/>
        </w:rPr>
      </w:pPr>
      <w:r>
        <w:rPr>
          <w:rFonts w:ascii="Arial" w:hAnsi="Arial"/>
          <w:b/>
          <w:color w:val="000000" w:themeColor="text1"/>
          <w:sz w:val="18"/>
          <w:szCs w:val="24"/>
        </w:rPr>
        <w:lastRenderedPageBreak/>
        <w:t>T</w:t>
      </w:r>
      <w:r w:rsidR="009B7BA9">
        <w:rPr>
          <w:rFonts w:ascii="Arial" w:hAnsi="Arial"/>
          <w:b/>
          <w:color w:val="000000" w:themeColor="text1"/>
          <w:sz w:val="18"/>
          <w:szCs w:val="24"/>
        </w:rPr>
        <w:t xml:space="preserve">able </w:t>
      </w:r>
      <w:r w:rsidR="00C24200">
        <w:rPr>
          <w:rFonts w:ascii="Arial" w:hAnsi="Arial"/>
          <w:b/>
          <w:color w:val="000000" w:themeColor="text1"/>
          <w:sz w:val="18"/>
          <w:szCs w:val="24"/>
        </w:rPr>
        <w:t>D</w:t>
      </w:r>
      <w:r w:rsidR="009B7BA9">
        <w:rPr>
          <w:rFonts w:ascii="Arial" w:hAnsi="Arial"/>
          <w:b/>
          <w:color w:val="000000" w:themeColor="text1"/>
          <w:sz w:val="18"/>
          <w:szCs w:val="24"/>
        </w:rPr>
        <w:t>.2</w:t>
      </w:r>
    </w:p>
    <w:p w14:paraId="79319CA5" w14:textId="77777777" w:rsidR="00492E94" w:rsidRPr="00BF2CF5" w:rsidRDefault="00492E94" w:rsidP="00492E94">
      <w:pPr>
        <w:spacing w:line="240" w:lineRule="auto"/>
        <w:jc w:val="center"/>
        <w:rPr>
          <w:rFonts w:ascii="Arial" w:hAnsi="Arial"/>
          <w:b/>
          <w:color w:val="000000" w:themeColor="text1"/>
          <w:sz w:val="18"/>
          <w:szCs w:val="24"/>
        </w:rPr>
      </w:pPr>
      <w:r w:rsidRPr="00BF2CF5">
        <w:rPr>
          <w:rFonts w:ascii="Arial" w:hAnsi="Arial"/>
          <w:b/>
          <w:color w:val="000000" w:themeColor="text1"/>
          <w:sz w:val="18"/>
          <w:szCs w:val="24"/>
        </w:rPr>
        <w:t xml:space="preserve">Deprivations/restrictions for children (6-17 yrs) in households </w:t>
      </w:r>
      <w:r>
        <w:rPr>
          <w:rFonts w:ascii="Arial" w:hAnsi="Arial"/>
          <w:b/>
          <w:color w:val="000000" w:themeColor="text1"/>
          <w:sz w:val="18"/>
          <w:szCs w:val="24"/>
        </w:rPr>
        <w:t>not in MH (0-5/17), and in MH</w:t>
      </w:r>
      <w:r w:rsidRPr="00BF2CF5">
        <w:rPr>
          <w:rFonts w:ascii="Arial" w:hAnsi="Arial"/>
          <w:b/>
          <w:color w:val="000000" w:themeColor="text1"/>
          <w:sz w:val="18"/>
          <w:szCs w:val="24"/>
        </w:rPr>
        <w:t xml:space="preserve"> (6+/17, 9+/17)</w:t>
      </w:r>
      <w:r>
        <w:rPr>
          <w:rFonts w:ascii="Arial" w:hAnsi="Arial"/>
          <w:b/>
          <w:color w:val="000000" w:themeColor="text1"/>
          <w:sz w:val="18"/>
          <w:szCs w:val="24"/>
        </w:rPr>
        <w:t>,</w:t>
      </w:r>
      <w:r w:rsidRPr="00BF2CF5">
        <w:rPr>
          <w:rFonts w:ascii="Arial" w:hAnsi="Arial"/>
          <w:b/>
          <w:color w:val="000000" w:themeColor="text1"/>
          <w:sz w:val="18"/>
          <w:szCs w:val="24"/>
        </w:rPr>
        <w:t xml:space="preserve"> HES 20</w:t>
      </w:r>
      <w:r>
        <w:rPr>
          <w:rFonts w:ascii="Arial" w:hAnsi="Arial"/>
          <w:b/>
          <w:color w:val="000000" w:themeColor="text1"/>
          <w:sz w:val="18"/>
          <w:szCs w:val="24"/>
        </w:rPr>
        <w:t>23</w:t>
      </w:r>
      <w:r w:rsidRPr="00BF2CF5">
        <w:rPr>
          <w:rFonts w:ascii="Arial" w:hAnsi="Arial"/>
          <w:b/>
          <w:color w:val="000000" w:themeColor="text1"/>
          <w:sz w:val="18"/>
          <w:szCs w:val="24"/>
        </w:rPr>
        <w:t>-</w:t>
      </w:r>
      <w:r>
        <w:rPr>
          <w:rFonts w:ascii="Arial" w:hAnsi="Arial"/>
          <w:b/>
          <w:color w:val="000000" w:themeColor="text1"/>
          <w:sz w:val="18"/>
          <w:szCs w:val="24"/>
        </w:rPr>
        <w:t>24</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8"/>
        <w:gridCol w:w="1559"/>
        <w:gridCol w:w="709"/>
        <w:gridCol w:w="709"/>
        <w:gridCol w:w="709"/>
        <w:gridCol w:w="708"/>
        <w:gridCol w:w="284"/>
        <w:gridCol w:w="1408"/>
      </w:tblGrid>
      <w:tr w:rsidR="00492E94" w:rsidRPr="00BF2CF5" w14:paraId="170ECB3C" w14:textId="77777777" w:rsidTr="00070514">
        <w:trPr>
          <w:jc w:val="center"/>
        </w:trPr>
        <w:tc>
          <w:tcPr>
            <w:tcW w:w="2698" w:type="dxa"/>
            <w:tcBorders>
              <w:bottom w:val="single" w:sz="4" w:space="0" w:color="auto"/>
            </w:tcBorders>
            <w:tcMar>
              <w:left w:w="28" w:type="dxa"/>
              <w:right w:w="28" w:type="dxa"/>
            </w:tcMar>
          </w:tcPr>
          <w:p w14:paraId="7F534E17" w14:textId="77777777" w:rsidR="00492E94" w:rsidRPr="00BF2CF5" w:rsidRDefault="00492E94" w:rsidP="00070514">
            <w:pPr>
              <w:spacing w:before="20" w:after="20"/>
              <w:jc w:val="center"/>
              <w:rPr>
                <w:rFonts w:ascii="Arial" w:eastAsia="Times New Roman" w:hAnsi="Arial"/>
                <w:b/>
                <w:color w:val="000000" w:themeColor="text1"/>
                <w:sz w:val="14"/>
                <w:szCs w:val="14"/>
              </w:rPr>
            </w:pPr>
            <w:bookmarkStart w:id="11" w:name="_Hlk199960108"/>
          </w:p>
        </w:tc>
        <w:tc>
          <w:tcPr>
            <w:tcW w:w="1559" w:type="dxa"/>
            <w:tcBorders>
              <w:bottom w:val="single" w:sz="4" w:space="0" w:color="auto"/>
              <w:right w:val="single" w:sz="8" w:space="0" w:color="auto"/>
            </w:tcBorders>
          </w:tcPr>
          <w:p w14:paraId="39E7B4C7" w14:textId="77777777" w:rsidR="00492E94" w:rsidRPr="00BF2CF5" w:rsidRDefault="00492E94" w:rsidP="00070514">
            <w:pPr>
              <w:spacing w:before="20" w:after="20"/>
              <w:jc w:val="center"/>
              <w:rPr>
                <w:rFonts w:ascii="Arial" w:eastAsia="Times New Roman" w:hAnsi="Arial"/>
                <w:b/>
                <w:color w:val="000000" w:themeColor="text1"/>
                <w:sz w:val="14"/>
                <w:szCs w:val="14"/>
              </w:rPr>
            </w:pPr>
          </w:p>
        </w:tc>
        <w:tc>
          <w:tcPr>
            <w:tcW w:w="2835" w:type="dxa"/>
            <w:gridSpan w:val="4"/>
            <w:tcBorders>
              <w:bottom w:val="single" w:sz="4" w:space="0" w:color="auto"/>
              <w:right w:val="single" w:sz="4" w:space="0" w:color="auto"/>
            </w:tcBorders>
          </w:tcPr>
          <w:p w14:paraId="090F09D7"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Rates (%)</w:t>
            </w:r>
          </w:p>
        </w:tc>
        <w:tc>
          <w:tcPr>
            <w:tcW w:w="284" w:type="dxa"/>
            <w:tcBorders>
              <w:left w:val="single" w:sz="4" w:space="0" w:color="auto"/>
              <w:bottom w:val="single" w:sz="4" w:space="0" w:color="auto"/>
              <w:right w:val="single" w:sz="4" w:space="0" w:color="auto"/>
            </w:tcBorders>
            <w:vAlign w:val="center"/>
          </w:tcPr>
          <w:p w14:paraId="20F944E4"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p>
        </w:tc>
        <w:tc>
          <w:tcPr>
            <w:tcW w:w="1408" w:type="dxa"/>
            <w:tcBorders>
              <w:left w:val="single" w:sz="4" w:space="0" w:color="auto"/>
              <w:bottom w:val="single" w:sz="4" w:space="0" w:color="auto"/>
              <w:right w:val="single" w:sz="4" w:space="0" w:color="auto"/>
            </w:tcBorders>
            <w:vAlign w:val="center"/>
          </w:tcPr>
          <w:p w14:paraId="15D492C2"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Composition (%)</w:t>
            </w:r>
          </w:p>
        </w:tc>
      </w:tr>
      <w:tr w:rsidR="00492E94" w:rsidRPr="00BF2CF5" w14:paraId="24E44D58" w14:textId="77777777" w:rsidTr="00070514">
        <w:trPr>
          <w:jc w:val="center"/>
        </w:trPr>
        <w:tc>
          <w:tcPr>
            <w:tcW w:w="2698" w:type="dxa"/>
            <w:tcBorders>
              <w:bottom w:val="single" w:sz="4" w:space="0" w:color="auto"/>
            </w:tcBorders>
            <w:tcMar>
              <w:left w:w="28" w:type="dxa"/>
              <w:right w:w="28" w:type="dxa"/>
            </w:tcMar>
          </w:tcPr>
          <w:p w14:paraId="2D977D76" w14:textId="77777777" w:rsidR="00492E94" w:rsidRPr="00BF2CF5" w:rsidRDefault="00492E94" w:rsidP="00070514">
            <w:pPr>
              <w:spacing w:before="20" w:after="20"/>
              <w:jc w:val="center"/>
              <w:rPr>
                <w:rFonts w:ascii="Arial" w:eastAsia="Times New Roman" w:hAnsi="Arial"/>
                <w:b/>
                <w:color w:val="000000" w:themeColor="text1"/>
                <w:sz w:val="14"/>
                <w:szCs w:val="14"/>
              </w:rPr>
            </w:pPr>
          </w:p>
        </w:tc>
        <w:tc>
          <w:tcPr>
            <w:tcW w:w="1559" w:type="dxa"/>
            <w:tcBorders>
              <w:bottom w:val="single" w:sz="4" w:space="0" w:color="auto"/>
              <w:right w:val="single" w:sz="8" w:space="0" w:color="auto"/>
            </w:tcBorders>
          </w:tcPr>
          <w:p w14:paraId="27B4E858" w14:textId="77777777" w:rsidR="00492E94" w:rsidRPr="00BF2CF5" w:rsidRDefault="00492E94" w:rsidP="00070514">
            <w:pPr>
              <w:spacing w:before="20" w:after="20"/>
              <w:jc w:val="center"/>
              <w:rPr>
                <w:rFonts w:ascii="Arial" w:eastAsia="Times New Roman" w:hAnsi="Arial"/>
                <w:b/>
                <w:color w:val="000000" w:themeColor="text1"/>
                <w:sz w:val="14"/>
                <w:szCs w:val="14"/>
              </w:rPr>
            </w:pPr>
          </w:p>
        </w:tc>
        <w:tc>
          <w:tcPr>
            <w:tcW w:w="2835" w:type="dxa"/>
            <w:gridSpan w:val="4"/>
            <w:tcBorders>
              <w:bottom w:val="single" w:sz="4" w:space="0" w:color="auto"/>
              <w:right w:val="single" w:sz="4" w:space="0" w:color="auto"/>
            </w:tcBorders>
          </w:tcPr>
          <w:p w14:paraId="62422E97"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 xml:space="preserve">Deprivation rate for item for all aged 6-17 yrs, those in HHs </w:t>
            </w:r>
            <w:r>
              <w:rPr>
                <w:rFonts w:ascii="Arial" w:eastAsia="Times New Roman" w:hAnsi="Arial"/>
                <w:b/>
                <w:color w:val="000000" w:themeColor="text1"/>
                <w:sz w:val="14"/>
                <w:szCs w:val="14"/>
              </w:rPr>
              <w:t xml:space="preserve">not in hardship, </w:t>
            </w:r>
            <w:r w:rsidRPr="00BF2CF5">
              <w:rPr>
                <w:rFonts w:ascii="Arial" w:eastAsia="Times New Roman" w:hAnsi="Arial"/>
                <w:b/>
                <w:color w:val="000000" w:themeColor="text1"/>
                <w:sz w:val="14"/>
                <w:szCs w:val="14"/>
              </w:rPr>
              <w:t>in hardship and</w:t>
            </w:r>
            <w:r>
              <w:rPr>
                <w:rFonts w:ascii="Arial" w:eastAsia="Times New Roman" w:hAnsi="Arial"/>
                <w:b/>
                <w:color w:val="000000" w:themeColor="text1"/>
                <w:sz w:val="14"/>
                <w:szCs w:val="14"/>
              </w:rPr>
              <w:t xml:space="preserve"> in</w:t>
            </w:r>
            <w:r w:rsidRPr="00BF2CF5">
              <w:rPr>
                <w:rFonts w:ascii="Arial" w:eastAsia="Times New Roman" w:hAnsi="Arial"/>
                <w:b/>
                <w:color w:val="000000" w:themeColor="text1"/>
                <w:sz w:val="14"/>
                <w:szCs w:val="14"/>
              </w:rPr>
              <w:t xml:space="preserve"> severe hardship</w:t>
            </w:r>
          </w:p>
        </w:tc>
        <w:tc>
          <w:tcPr>
            <w:tcW w:w="284" w:type="dxa"/>
            <w:tcBorders>
              <w:left w:val="single" w:sz="4" w:space="0" w:color="auto"/>
              <w:bottom w:val="single" w:sz="4" w:space="0" w:color="auto"/>
              <w:right w:val="single" w:sz="4" w:space="0" w:color="auto"/>
            </w:tcBorders>
            <w:vAlign w:val="center"/>
          </w:tcPr>
          <w:p w14:paraId="200240A8"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p>
        </w:tc>
        <w:tc>
          <w:tcPr>
            <w:tcW w:w="1408" w:type="dxa"/>
            <w:tcBorders>
              <w:left w:val="single" w:sz="4" w:space="0" w:color="auto"/>
              <w:bottom w:val="single" w:sz="4" w:space="0" w:color="auto"/>
              <w:right w:val="single" w:sz="4" w:space="0" w:color="auto"/>
            </w:tcBorders>
            <w:vAlign w:val="center"/>
          </w:tcPr>
          <w:p w14:paraId="117732CB"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Proportion of all deprived of the item whose household is in the specified hardship zone</w:t>
            </w:r>
          </w:p>
        </w:tc>
      </w:tr>
      <w:tr w:rsidR="00492E94" w:rsidRPr="00BF2CF5" w14:paraId="327BDBA8" w14:textId="77777777" w:rsidTr="00070514">
        <w:trPr>
          <w:jc w:val="center"/>
        </w:trPr>
        <w:tc>
          <w:tcPr>
            <w:tcW w:w="2698" w:type="dxa"/>
            <w:tcBorders>
              <w:bottom w:val="single" w:sz="8" w:space="0" w:color="auto"/>
            </w:tcBorders>
            <w:tcMar>
              <w:left w:w="28" w:type="dxa"/>
              <w:right w:w="28" w:type="dxa"/>
            </w:tcMar>
          </w:tcPr>
          <w:p w14:paraId="6577FA44" w14:textId="77777777" w:rsidR="00492E94" w:rsidRPr="00BF2CF5" w:rsidRDefault="00492E94" w:rsidP="00070514">
            <w:pPr>
              <w:spacing w:before="20" w:after="20"/>
              <w:jc w:val="center"/>
              <w:rPr>
                <w:rFonts w:ascii="Arial" w:eastAsia="Times New Roman" w:hAnsi="Arial"/>
                <w:b/>
                <w:color w:val="000000" w:themeColor="text1"/>
                <w:sz w:val="14"/>
                <w:szCs w:val="14"/>
              </w:rPr>
            </w:pPr>
          </w:p>
        </w:tc>
        <w:tc>
          <w:tcPr>
            <w:tcW w:w="1559" w:type="dxa"/>
            <w:tcBorders>
              <w:bottom w:val="single" w:sz="8" w:space="0" w:color="auto"/>
              <w:right w:val="single" w:sz="8" w:space="0" w:color="auto"/>
            </w:tcBorders>
          </w:tcPr>
          <w:p w14:paraId="46C8DF9D" w14:textId="77777777" w:rsidR="00492E94" w:rsidRPr="00BF2CF5" w:rsidRDefault="00492E94" w:rsidP="00070514">
            <w:pPr>
              <w:spacing w:before="20" w:after="20"/>
              <w:jc w:val="center"/>
              <w:rPr>
                <w:rFonts w:ascii="Arial" w:eastAsia="Times New Roman" w:hAnsi="Arial"/>
                <w:b/>
                <w:color w:val="000000" w:themeColor="text1"/>
                <w:sz w:val="14"/>
                <w:szCs w:val="14"/>
              </w:rPr>
            </w:pPr>
          </w:p>
        </w:tc>
        <w:tc>
          <w:tcPr>
            <w:tcW w:w="709" w:type="dxa"/>
            <w:tcBorders>
              <w:left w:val="single" w:sz="8" w:space="0" w:color="auto"/>
              <w:bottom w:val="single" w:sz="8" w:space="0" w:color="auto"/>
              <w:right w:val="single" w:sz="4" w:space="0" w:color="auto"/>
            </w:tcBorders>
            <w:shd w:val="clear" w:color="auto" w:fill="D9D9D9"/>
            <w:tcMar>
              <w:left w:w="28" w:type="dxa"/>
              <w:right w:w="28" w:type="dxa"/>
            </w:tcMar>
            <w:vAlign w:val="center"/>
          </w:tcPr>
          <w:p w14:paraId="23376CDE" w14:textId="77777777" w:rsidR="00492E94" w:rsidRPr="00BF2CF5" w:rsidRDefault="00492E94" w:rsidP="00070514">
            <w:pPr>
              <w:spacing w:before="20" w:after="20" w:line="240" w:lineRule="auto"/>
              <w:jc w:val="center"/>
              <w:rPr>
                <w:rFonts w:ascii="Arial" w:eastAsia="Times New Roman" w:hAnsi="Arial"/>
                <w:b/>
                <w:color w:val="000000" w:themeColor="text1"/>
                <w:sz w:val="14"/>
                <w:szCs w:val="14"/>
              </w:rPr>
            </w:pPr>
            <w:r>
              <w:rPr>
                <w:rFonts w:ascii="Arial" w:hAnsi="Arial"/>
                <w:b/>
                <w:bCs/>
                <w:color w:val="000000"/>
                <w:sz w:val="14"/>
                <w:szCs w:val="14"/>
              </w:rPr>
              <w:t>All</w:t>
            </w:r>
          </w:p>
        </w:tc>
        <w:tc>
          <w:tcPr>
            <w:tcW w:w="709" w:type="dxa"/>
            <w:tcBorders>
              <w:left w:val="single" w:sz="4" w:space="0" w:color="auto"/>
              <w:bottom w:val="single" w:sz="8" w:space="0" w:color="auto"/>
              <w:right w:val="single" w:sz="4" w:space="0" w:color="auto"/>
            </w:tcBorders>
            <w:vAlign w:val="center"/>
          </w:tcPr>
          <w:p w14:paraId="20584A88"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Pr>
                <w:rFonts w:ascii="Arial" w:hAnsi="Arial"/>
                <w:b/>
                <w:bCs/>
                <w:color w:val="000000"/>
                <w:sz w:val="14"/>
                <w:szCs w:val="14"/>
              </w:rPr>
              <w:t>0-5/17</w:t>
            </w:r>
          </w:p>
        </w:tc>
        <w:tc>
          <w:tcPr>
            <w:tcW w:w="709" w:type="dxa"/>
            <w:tcBorders>
              <w:left w:val="single" w:sz="4" w:space="0" w:color="auto"/>
              <w:bottom w:val="single" w:sz="8" w:space="0" w:color="auto"/>
              <w:right w:val="single" w:sz="4" w:space="0" w:color="auto"/>
            </w:tcBorders>
            <w:vAlign w:val="center"/>
          </w:tcPr>
          <w:p w14:paraId="762FFAA0"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Pr>
                <w:rFonts w:ascii="Arial" w:hAnsi="Arial"/>
                <w:b/>
                <w:bCs/>
                <w:color w:val="000000"/>
                <w:sz w:val="14"/>
                <w:szCs w:val="14"/>
              </w:rPr>
              <w:t>6+/17</w:t>
            </w:r>
          </w:p>
        </w:tc>
        <w:tc>
          <w:tcPr>
            <w:tcW w:w="708" w:type="dxa"/>
            <w:tcBorders>
              <w:left w:val="single" w:sz="4" w:space="0" w:color="auto"/>
              <w:bottom w:val="single" w:sz="8" w:space="0" w:color="auto"/>
              <w:right w:val="single" w:sz="4" w:space="0" w:color="auto"/>
            </w:tcBorders>
            <w:vAlign w:val="center"/>
          </w:tcPr>
          <w:p w14:paraId="29AEC74F"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Pr>
                <w:rFonts w:ascii="Arial" w:hAnsi="Arial"/>
                <w:b/>
                <w:bCs/>
                <w:color w:val="000000"/>
                <w:sz w:val="14"/>
                <w:szCs w:val="14"/>
              </w:rPr>
              <w:t>9+/17</w:t>
            </w:r>
          </w:p>
        </w:tc>
        <w:tc>
          <w:tcPr>
            <w:tcW w:w="284" w:type="dxa"/>
            <w:tcBorders>
              <w:left w:val="single" w:sz="4" w:space="0" w:color="auto"/>
              <w:bottom w:val="single" w:sz="8" w:space="0" w:color="auto"/>
              <w:right w:val="single" w:sz="4" w:space="0" w:color="auto"/>
            </w:tcBorders>
            <w:vAlign w:val="center"/>
          </w:tcPr>
          <w:p w14:paraId="3120ECDB"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p>
        </w:tc>
        <w:tc>
          <w:tcPr>
            <w:tcW w:w="1408" w:type="dxa"/>
            <w:tcBorders>
              <w:left w:val="single" w:sz="4" w:space="0" w:color="auto"/>
              <w:bottom w:val="single" w:sz="8" w:space="0" w:color="auto"/>
              <w:right w:val="single" w:sz="4" w:space="0" w:color="auto"/>
            </w:tcBorders>
            <w:vAlign w:val="center"/>
          </w:tcPr>
          <w:p w14:paraId="572B4827" w14:textId="77777777" w:rsidR="00492E94" w:rsidRPr="00BF2CF5" w:rsidRDefault="00492E94" w:rsidP="00070514">
            <w:pPr>
              <w:spacing w:before="40" w:after="4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6+/17</w:t>
            </w:r>
          </w:p>
        </w:tc>
      </w:tr>
      <w:tr w:rsidR="00492E94" w:rsidRPr="00BF2CF5" w14:paraId="32C8F427" w14:textId="77777777" w:rsidTr="00070514">
        <w:trPr>
          <w:jc w:val="center"/>
        </w:trPr>
        <w:tc>
          <w:tcPr>
            <w:tcW w:w="2698" w:type="dxa"/>
            <w:tcBorders>
              <w:top w:val="single" w:sz="8" w:space="0" w:color="auto"/>
              <w:bottom w:val="single" w:sz="4" w:space="0" w:color="auto"/>
            </w:tcBorders>
            <w:vAlign w:val="center"/>
          </w:tcPr>
          <w:p w14:paraId="54A68D8D" w14:textId="77777777" w:rsidR="00492E94" w:rsidRPr="00BF2CF5" w:rsidRDefault="00492E94" w:rsidP="00070514">
            <w:pPr>
              <w:spacing w:before="40" w:after="40" w:line="240" w:lineRule="auto"/>
              <w:ind w:left="61"/>
              <w:rPr>
                <w:rFonts w:ascii="Arial" w:eastAsia="Times New Roman" w:hAnsi="Arial"/>
                <w:b/>
                <w:color w:val="000000" w:themeColor="text1"/>
                <w:sz w:val="14"/>
                <w:szCs w:val="14"/>
              </w:rPr>
            </w:pPr>
            <w:r w:rsidRPr="00BF2CF5">
              <w:rPr>
                <w:rFonts w:ascii="Arial" w:eastAsia="Times New Roman" w:hAnsi="Arial"/>
                <w:b/>
                <w:bCs/>
                <w:color w:val="000000" w:themeColor="text1"/>
                <w:sz w:val="14"/>
                <w:szCs w:val="14"/>
                <w:lang w:val="en-GB" w:eastAsia="en-GB"/>
              </w:rPr>
              <w:t xml:space="preserve">Child-relevant general </w:t>
            </w:r>
            <w:r>
              <w:rPr>
                <w:rFonts w:ascii="Arial" w:eastAsia="Times New Roman" w:hAnsi="Arial"/>
                <w:b/>
                <w:bCs/>
                <w:color w:val="000000" w:themeColor="text1"/>
                <w:sz w:val="14"/>
                <w:szCs w:val="14"/>
                <w:lang w:val="en-GB" w:eastAsia="en-GB"/>
              </w:rPr>
              <w:t>HH</w:t>
            </w:r>
            <w:r w:rsidRPr="00BF2CF5">
              <w:rPr>
                <w:rFonts w:ascii="Arial" w:eastAsia="Times New Roman" w:hAnsi="Arial"/>
                <w:b/>
                <w:bCs/>
                <w:color w:val="000000" w:themeColor="text1"/>
                <w:sz w:val="14"/>
                <w:szCs w:val="14"/>
                <w:lang w:val="en-GB" w:eastAsia="en-GB"/>
              </w:rPr>
              <w:t xml:space="preserve"> items</w:t>
            </w:r>
          </w:p>
        </w:tc>
        <w:tc>
          <w:tcPr>
            <w:tcW w:w="1559" w:type="dxa"/>
            <w:tcBorders>
              <w:top w:val="single" w:sz="8" w:space="0" w:color="auto"/>
              <w:bottom w:val="single" w:sz="4" w:space="0" w:color="auto"/>
              <w:right w:val="single" w:sz="8" w:space="0" w:color="auto"/>
            </w:tcBorders>
          </w:tcPr>
          <w:p w14:paraId="14914C0B" w14:textId="77777777" w:rsidR="00492E94" w:rsidRPr="00BF2CF5" w:rsidRDefault="00492E94" w:rsidP="00070514">
            <w:pPr>
              <w:spacing w:before="40" w:after="40" w:line="240" w:lineRule="auto"/>
              <w:jc w:val="right"/>
              <w:rPr>
                <w:rFonts w:ascii="Arial" w:eastAsia="Times New Roman" w:hAnsi="Arial"/>
                <w:color w:val="000000" w:themeColor="text1"/>
                <w:sz w:val="14"/>
                <w:szCs w:val="14"/>
              </w:rPr>
            </w:pPr>
          </w:p>
        </w:tc>
        <w:tc>
          <w:tcPr>
            <w:tcW w:w="709" w:type="dxa"/>
            <w:tcBorders>
              <w:top w:val="single" w:sz="8" w:space="0" w:color="auto"/>
              <w:left w:val="single" w:sz="8" w:space="0" w:color="auto"/>
              <w:bottom w:val="single" w:sz="4" w:space="0" w:color="auto"/>
              <w:right w:val="single" w:sz="4" w:space="0" w:color="auto"/>
            </w:tcBorders>
            <w:shd w:val="clear" w:color="auto" w:fill="D9D9D9"/>
            <w:noWrap/>
            <w:tcMar>
              <w:left w:w="28" w:type="dxa"/>
              <w:right w:w="170" w:type="dxa"/>
            </w:tcMar>
            <w:vAlign w:val="center"/>
          </w:tcPr>
          <w:p w14:paraId="251EF21A" w14:textId="77777777" w:rsidR="00492E94" w:rsidRPr="00BF2CF5" w:rsidRDefault="00492E94" w:rsidP="00070514">
            <w:pPr>
              <w:spacing w:before="40" w:after="40" w:line="240" w:lineRule="auto"/>
              <w:jc w:val="right"/>
              <w:rPr>
                <w:rFonts w:ascii="Arial" w:eastAsia="Times New Roman" w:hAnsi="Arial"/>
                <w:color w:val="000000" w:themeColor="text1"/>
                <w:sz w:val="14"/>
                <w:szCs w:val="14"/>
              </w:rPr>
            </w:pPr>
            <w:r>
              <w:rPr>
                <w:rFonts w:ascii="Arial" w:hAnsi="Arial"/>
                <w:color w:val="000000"/>
                <w:sz w:val="14"/>
                <w:szCs w:val="14"/>
              </w:rPr>
              <w:t> </w:t>
            </w:r>
          </w:p>
        </w:tc>
        <w:tc>
          <w:tcPr>
            <w:tcW w:w="709" w:type="dxa"/>
            <w:tcBorders>
              <w:top w:val="single" w:sz="8" w:space="0" w:color="auto"/>
              <w:left w:val="single" w:sz="4" w:space="0" w:color="auto"/>
              <w:bottom w:val="single" w:sz="4" w:space="0" w:color="auto"/>
              <w:right w:val="single" w:sz="4" w:space="0" w:color="auto"/>
            </w:tcBorders>
          </w:tcPr>
          <w:p w14:paraId="2F3A9A73"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14:paraId="764400CB"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rPr>
            </w:pPr>
          </w:p>
        </w:tc>
        <w:tc>
          <w:tcPr>
            <w:tcW w:w="708" w:type="dxa"/>
            <w:tcBorders>
              <w:top w:val="single" w:sz="8" w:space="0" w:color="auto"/>
              <w:left w:val="single" w:sz="4" w:space="0" w:color="auto"/>
              <w:bottom w:val="single" w:sz="4" w:space="0" w:color="auto"/>
              <w:right w:val="single" w:sz="4" w:space="0" w:color="auto"/>
            </w:tcBorders>
            <w:vAlign w:val="center"/>
          </w:tcPr>
          <w:p w14:paraId="29DF75D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rPr>
            </w:pPr>
          </w:p>
        </w:tc>
        <w:tc>
          <w:tcPr>
            <w:tcW w:w="284" w:type="dxa"/>
            <w:tcBorders>
              <w:top w:val="single" w:sz="8" w:space="0" w:color="auto"/>
              <w:left w:val="single" w:sz="4" w:space="0" w:color="auto"/>
              <w:bottom w:val="single" w:sz="4" w:space="0" w:color="auto"/>
              <w:right w:val="single" w:sz="4" w:space="0" w:color="auto"/>
            </w:tcBorders>
            <w:vAlign w:val="center"/>
          </w:tcPr>
          <w:p w14:paraId="7CB889F3"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rPr>
            </w:pPr>
          </w:p>
        </w:tc>
        <w:tc>
          <w:tcPr>
            <w:tcW w:w="1408" w:type="dxa"/>
            <w:tcBorders>
              <w:top w:val="single" w:sz="8" w:space="0" w:color="auto"/>
              <w:left w:val="single" w:sz="4" w:space="0" w:color="auto"/>
              <w:bottom w:val="single" w:sz="4" w:space="0" w:color="auto"/>
              <w:right w:val="single" w:sz="4" w:space="0" w:color="auto"/>
            </w:tcBorders>
            <w:vAlign w:val="center"/>
          </w:tcPr>
          <w:p w14:paraId="4E912F1B"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rPr>
            </w:pPr>
          </w:p>
        </w:tc>
      </w:tr>
      <w:tr w:rsidR="00492E94" w:rsidRPr="00BF2CF5" w14:paraId="08006136" w14:textId="77777777" w:rsidTr="00070514">
        <w:trPr>
          <w:jc w:val="center"/>
        </w:trPr>
        <w:tc>
          <w:tcPr>
            <w:tcW w:w="2698" w:type="dxa"/>
            <w:tcBorders>
              <w:top w:val="single" w:sz="4" w:space="0" w:color="auto"/>
            </w:tcBorders>
            <w:vAlign w:val="center"/>
          </w:tcPr>
          <w:p w14:paraId="624B51BC"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Foodbank / other community help</w:t>
            </w:r>
          </w:p>
        </w:tc>
        <w:tc>
          <w:tcPr>
            <w:tcW w:w="1559" w:type="dxa"/>
            <w:tcBorders>
              <w:top w:val="single" w:sz="4" w:space="0" w:color="auto"/>
              <w:right w:val="single" w:sz="8" w:space="0" w:color="auto"/>
            </w:tcBorders>
            <w:vAlign w:val="center"/>
          </w:tcPr>
          <w:p w14:paraId="7E8B83C4"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more than once</w:t>
            </w:r>
          </w:p>
        </w:tc>
        <w:tc>
          <w:tcPr>
            <w:tcW w:w="709" w:type="dxa"/>
            <w:tcBorders>
              <w:top w:val="single" w:sz="4" w:space="0" w:color="auto"/>
              <w:left w:val="single" w:sz="8" w:space="0" w:color="auto"/>
              <w:right w:val="single" w:sz="4" w:space="0" w:color="auto"/>
            </w:tcBorders>
            <w:shd w:val="clear" w:color="auto" w:fill="D9D9D9"/>
            <w:noWrap/>
            <w:tcMar>
              <w:left w:w="28" w:type="dxa"/>
              <w:right w:w="170" w:type="dxa"/>
            </w:tcMar>
            <w:vAlign w:val="center"/>
          </w:tcPr>
          <w:p w14:paraId="494AFAAD"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8</w:t>
            </w:r>
          </w:p>
        </w:tc>
        <w:tc>
          <w:tcPr>
            <w:tcW w:w="709" w:type="dxa"/>
            <w:tcBorders>
              <w:top w:val="single" w:sz="4" w:space="0" w:color="auto"/>
              <w:left w:val="single" w:sz="4" w:space="0" w:color="auto"/>
              <w:right w:val="single" w:sz="4" w:space="0" w:color="auto"/>
            </w:tcBorders>
            <w:vAlign w:val="center"/>
          </w:tcPr>
          <w:p w14:paraId="5C7F9E15"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w:t>
            </w:r>
          </w:p>
        </w:tc>
        <w:tc>
          <w:tcPr>
            <w:tcW w:w="709" w:type="dxa"/>
            <w:tcBorders>
              <w:top w:val="single" w:sz="4" w:space="0" w:color="auto"/>
              <w:left w:val="single" w:sz="4" w:space="0" w:color="auto"/>
              <w:right w:val="single" w:sz="4" w:space="0" w:color="auto"/>
            </w:tcBorders>
            <w:tcMar>
              <w:left w:w="28" w:type="dxa"/>
              <w:right w:w="113" w:type="dxa"/>
            </w:tcMar>
            <w:vAlign w:val="center"/>
          </w:tcPr>
          <w:p w14:paraId="26E0604D"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40</w:t>
            </w:r>
          </w:p>
        </w:tc>
        <w:tc>
          <w:tcPr>
            <w:tcW w:w="708" w:type="dxa"/>
            <w:tcBorders>
              <w:top w:val="single" w:sz="4" w:space="0" w:color="auto"/>
              <w:left w:val="single" w:sz="4" w:space="0" w:color="auto"/>
              <w:right w:val="single" w:sz="4" w:space="0" w:color="auto"/>
            </w:tcBorders>
            <w:tcMar>
              <w:left w:w="28" w:type="dxa"/>
              <w:right w:w="113" w:type="dxa"/>
            </w:tcMar>
            <w:vAlign w:val="center"/>
          </w:tcPr>
          <w:p w14:paraId="08DB273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51</w:t>
            </w:r>
          </w:p>
        </w:tc>
        <w:tc>
          <w:tcPr>
            <w:tcW w:w="284" w:type="dxa"/>
            <w:tcBorders>
              <w:top w:val="single" w:sz="4" w:space="0" w:color="auto"/>
              <w:left w:val="single" w:sz="4" w:space="0" w:color="auto"/>
              <w:bottom w:val="nil"/>
              <w:right w:val="single" w:sz="4" w:space="0" w:color="auto"/>
            </w:tcBorders>
            <w:tcMar>
              <w:left w:w="28" w:type="dxa"/>
              <w:right w:w="113" w:type="dxa"/>
            </w:tcMar>
            <w:vAlign w:val="center"/>
          </w:tcPr>
          <w:p w14:paraId="5A7B45A3"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top w:val="single" w:sz="4" w:space="0" w:color="auto"/>
              <w:left w:val="single" w:sz="4" w:space="0" w:color="auto"/>
              <w:right w:val="single" w:sz="4" w:space="0" w:color="auto"/>
            </w:tcBorders>
            <w:tcMar>
              <w:left w:w="28" w:type="dxa"/>
              <w:right w:w="113" w:type="dxa"/>
            </w:tcMar>
            <w:vAlign w:val="center"/>
          </w:tcPr>
          <w:p w14:paraId="462B58F4"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65</w:t>
            </w:r>
          </w:p>
        </w:tc>
      </w:tr>
      <w:tr w:rsidR="00492E94" w:rsidRPr="00BF2CF5" w14:paraId="29EEA003" w14:textId="77777777" w:rsidTr="00070514">
        <w:trPr>
          <w:jc w:val="center"/>
        </w:trPr>
        <w:tc>
          <w:tcPr>
            <w:tcW w:w="2698" w:type="dxa"/>
            <w:vAlign w:val="center"/>
          </w:tcPr>
          <w:p w14:paraId="119DFC8F"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Delayed replace/repair appliances</w:t>
            </w:r>
          </w:p>
        </w:tc>
        <w:tc>
          <w:tcPr>
            <w:tcW w:w="1559" w:type="dxa"/>
            <w:tcBorders>
              <w:right w:val="single" w:sz="8" w:space="0" w:color="auto"/>
            </w:tcBorders>
            <w:vAlign w:val="center"/>
          </w:tcPr>
          <w:p w14:paraId="74EEA64E"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a lot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026EEC8F"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13</w:t>
            </w:r>
          </w:p>
        </w:tc>
        <w:tc>
          <w:tcPr>
            <w:tcW w:w="709" w:type="dxa"/>
            <w:tcBorders>
              <w:left w:val="single" w:sz="4" w:space="0" w:color="auto"/>
              <w:right w:val="single" w:sz="4" w:space="0" w:color="auto"/>
            </w:tcBorders>
            <w:vAlign w:val="center"/>
          </w:tcPr>
          <w:p w14:paraId="7475E4EA"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709" w:type="dxa"/>
            <w:tcBorders>
              <w:left w:val="single" w:sz="4" w:space="0" w:color="auto"/>
              <w:right w:val="single" w:sz="4" w:space="0" w:color="auto"/>
            </w:tcBorders>
            <w:tcMar>
              <w:left w:w="28" w:type="dxa"/>
              <w:right w:w="113" w:type="dxa"/>
            </w:tcMar>
            <w:vAlign w:val="center"/>
          </w:tcPr>
          <w:p w14:paraId="69DBE35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58</w:t>
            </w:r>
          </w:p>
        </w:tc>
        <w:tc>
          <w:tcPr>
            <w:tcW w:w="708" w:type="dxa"/>
            <w:tcBorders>
              <w:left w:val="single" w:sz="4" w:space="0" w:color="auto"/>
              <w:right w:val="single" w:sz="4" w:space="0" w:color="auto"/>
            </w:tcBorders>
            <w:tcMar>
              <w:left w:w="28" w:type="dxa"/>
              <w:right w:w="113" w:type="dxa"/>
            </w:tcMar>
            <w:vAlign w:val="center"/>
          </w:tcPr>
          <w:p w14:paraId="33AD549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73</w:t>
            </w:r>
          </w:p>
        </w:tc>
        <w:tc>
          <w:tcPr>
            <w:tcW w:w="284" w:type="dxa"/>
            <w:tcBorders>
              <w:top w:val="nil"/>
              <w:left w:val="single" w:sz="4" w:space="0" w:color="auto"/>
              <w:bottom w:val="nil"/>
              <w:right w:val="single" w:sz="4" w:space="0" w:color="auto"/>
            </w:tcBorders>
            <w:tcMar>
              <w:left w:w="28" w:type="dxa"/>
              <w:right w:w="113" w:type="dxa"/>
            </w:tcMar>
            <w:vAlign w:val="center"/>
          </w:tcPr>
          <w:p w14:paraId="1B93632D"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005076E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62</w:t>
            </w:r>
          </w:p>
        </w:tc>
      </w:tr>
      <w:tr w:rsidR="00492E94" w:rsidRPr="00BF2CF5" w14:paraId="78E080A3" w14:textId="77777777" w:rsidTr="00070514">
        <w:trPr>
          <w:jc w:val="center"/>
        </w:trPr>
        <w:tc>
          <w:tcPr>
            <w:tcW w:w="2698" w:type="dxa"/>
            <w:vAlign w:val="center"/>
          </w:tcPr>
          <w:p w14:paraId="427D64FD"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Car</w:t>
            </w:r>
          </w:p>
        </w:tc>
        <w:tc>
          <w:tcPr>
            <w:tcW w:w="1559" w:type="dxa"/>
            <w:tcBorders>
              <w:right w:val="single" w:sz="8" w:space="0" w:color="auto"/>
            </w:tcBorders>
            <w:vAlign w:val="center"/>
          </w:tcPr>
          <w:p w14:paraId="5F98143A"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684CD87F"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5</w:t>
            </w:r>
          </w:p>
        </w:tc>
        <w:tc>
          <w:tcPr>
            <w:tcW w:w="709" w:type="dxa"/>
            <w:tcBorders>
              <w:left w:val="single" w:sz="4" w:space="0" w:color="auto"/>
              <w:right w:val="single" w:sz="4" w:space="0" w:color="auto"/>
            </w:tcBorders>
            <w:vAlign w:val="center"/>
          </w:tcPr>
          <w:p w14:paraId="671A81C3"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4</w:t>
            </w:r>
          </w:p>
        </w:tc>
        <w:tc>
          <w:tcPr>
            <w:tcW w:w="709" w:type="dxa"/>
            <w:tcBorders>
              <w:left w:val="single" w:sz="4" w:space="0" w:color="auto"/>
              <w:right w:val="single" w:sz="4" w:space="0" w:color="auto"/>
            </w:tcBorders>
            <w:tcMar>
              <w:left w:w="28" w:type="dxa"/>
              <w:right w:w="113" w:type="dxa"/>
            </w:tcMar>
            <w:vAlign w:val="center"/>
          </w:tcPr>
          <w:p w14:paraId="7EF0F8D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11</w:t>
            </w:r>
          </w:p>
        </w:tc>
        <w:tc>
          <w:tcPr>
            <w:tcW w:w="708" w:type="dxa"/>
            <w:tcBorders>
              <w:left w:val="single" w:sz="4" w:space="0" w:color="auto"/>
              <w:right w:val="single" w:sz="4" w:space="0" w:color="auto"/>
            </w:tcBorders>
            <w:tcMar>
              <w:left w:w="28" w:type="dxa"/>
              <w:right w:w="113" w:type="dxa"/>
            </w:tcMar>
            <w:vAlign w:val="center"/>
          </w:tcPr>
          <w:p w14:paraId="7D86681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16</w:t>
            </w:r>
          </w:p>
        </w:tc>
        <w:tc>
          <w:tcPr>
            <w:tcW w:w="284" w:type="dxa"/>
            <w:tcBorders>
              <w:top w:val="nil"/>
              <w:left w:val="single" w:sz="4" w:space="0" w:color="auto"/>
              <w:bottom w:val="nil"/>
              <w:right w:val="single" w:sz="4" w:space="0" w:color="auto"/>
            </w:tcBorders>
            <w:tcMar>
              <w:left w:w="28" w:type="dxa"/>
              <w:right w:w="113" w:type="dxa"/>
            </w:tcMar>
            <w:vAlign w:val="center"/>
          </w:tcPr>
          <w:p w14:paraId="2854A92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52EA12CF"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32</w:t>
            </w:r>
          </w:p>
        </w:tc>
      </w:tr>
      <w:tr w:rsidR="00492E94" w:rsidRPr="00BF2CF5" w14:paraId="6181D53C" w14:textId="77777777" w:rsidTr="00070514">
        <w:trPr>
          <w:jc w:val="center"/>
        </w:trPr>
        <w:tc>
          <w:tcPr>
            <w:tcW w:w="2698" w:type="dxa"/>
            <w:vAlign w:val="center"/>
          </w:tcPr>
          <w:p w14:paraId="57B3ED91"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Dampness or mould</w:t>
            </w:r>
          </w:p>
        </w:tc>
        <w:tc>
          <w:tcPr>
            <w:tcW w:w="1559" w:type="dxa"/>
            <w:tcBorders>
              <w:right w:val="single" w:sz="8" w:space="0" w:color="auto"/>
            </w:tcBorders>
            <w:vAlign w:val="center"/>
          </w:tcPr>
          <w:p w14:paraId="2CADB35C"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major problem</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1EC6A88A"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5</w:t>
            </w:r>
          </w:p>
        </w:tc>
        <w:tc>
          <w:tcPr>
            <w:tcW w:w="709" w:type="dxa"/>
            <w:tcBorders>
              <w:left w:val="single" w:sz="4" w:space="0" w:color="auto"/>
              <w:right w:val="single" w:sz="4" w:space="0" w:color="auto"/>
            </w:tcBorders>
            <w:vAlign w:val="center"/>
          </w:tcPr>
          <w:p w14:paraId="463C80FC"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w:t>
            </w:r>
          </w:p>
        </w:tc>
        <w:tc>
          <w:tcPr>
            <w:tcW w:w="709" w:type="dxa"/>
            <w:tcBorders>
              <w:left w:val="single" w:sz="4" w:space="0" w:color="auto"/>
              <w:right w:val="single" w:sz="4" w:space="0" w:color="auto"/>
            </w:tcBorders>
            <w:tcMar>
              <w:left w:w="28" w:type="dxa"/>
              <w:right w:w="113" w:type="dxa"/>
            </w:tcMar>
            <w:vAlign w:val="center"/>
          </w:tcPr>
          <w:p w14:paraId="1A2D2EFF"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17</w:t>
            </w:r>
          </w:p>
        </w:tc>
        <w:tc>
          <w:tcPr>
            <w:tcW w:w="708" w:type="dxa"/>
            <w:tcBorders>
              <w:left w:val="single" w:sz="4" w:space="0" w:color="auto"/>
              <w:right w:val="single" w:sz="4" w:space="0" w:color="auto"/>
            </w:tcBorders>
            <w:tcMar>
              <w:left w:w="28" w:type="dxa"/>
              <w:right w:w="113" w:type="dxa"/>
            </w:tcMar>
            <w:vAlign w:val="center"/>
          </w:tcPr>
          <w:p w14:paraId="5270B23F"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19</w:t>
            </w:r>
          </w:p>
        </w:tc>
        <w:tc>
          <w:tcPr>
            <w:tcW w:w="284" w:type="dxa"/>
            <w:tcBorders>
              <w:top w:val="nil"/>
              <w:left w:val="single" w:sz="4" w:space="0" w:color="auto"/>
              <w:bottom w:val="nil"/>
              <w:right w:val="single" w:sz="4" w:space="0" w:color="auto"/>
            </w:tcBorders>
            <w:tcMar>
              <w:left w:w="28" w:type="dxa"/>
              <w:right w:w="113" w:type="dxa"/>
            </w:tcMar>
            <w:vAlign w:val="center"/>
          </w:tcPr>
          <w:p w14:paraId="4872EAE9"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7BAAC62E"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46</w:t>
            </w:r>
          </w:p>
        </w:tc>
      </w:tr>
      <w:tr w:rsidR="00492E94" w:rsidRPr="00BF2CF5" w14:paraId="41A2CF44" w14:textId="77777777" w:rsidTr="00070514">
        <w:trPr>
          <w:jc w:val="center"/>
        </w:trPr>
        <w:tc>
          <w:tcPr>
            <w:tcW w:w="2698" w:type="dxa"/>
            <w:vAlign w:val="center"/>
          </w:tcPr>
          <w:p w14:paraId="4CDE48D2"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Can afford to keep home warm</w:t>
            </w:r>
          </w:p>
        </w:tc>
        <w:tc>
          <w:tcPr>
            <w:tcW w:w="1559" w:type="dxa"/>
            <w:tcBorders>
              <w:right w:val="single" w:sz="8" w:space="0" w:color="auto"/>
            </w:tcBorders>
            <w:vAlign w:val="center"/>
          </w:tcPr>
          <w:p w14:paraId="069C7AF5"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no</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3C25B43D"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9</w:t>
            </w:r>
          </w:p>
        </w:tc>
        <w:tc>
          <w:tcPr>
            <w:tcW w:w="709" w:type="dxa"/>
            <w:tcBorders>
              <w:left w:val="single" w:sz="4" w:space="0" w:color="auto"/>
              <w:right w:val="single" w:sz="4" w:space="0" w:color="auto"/>
            </w:tcBorders>
            <w:vAlign w:val="center"/>
          </w:tcPr>
          <w:p w14:paraId="0D805A96"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4</w:t>
            </w:r>
          </w:p>
        </w:tc>
        <w:tc>
          <w:tcPr>
            <w:tcW w:w="709" w:type="dxa"/>
            <w:tcBorders>
              <w:left w:val="single" w:sz="4" w:space="0" w:color="auto"/>
              <w:right w:val="single" w:sz="4" w:space="0" w:color="auto"/>
            </w:tcBorders>
            <w:tcMar>
              <w:left w:w="28" w:type="dxa"/>
              <w:right w:w="113" w:type="dxa"/>
            </w:tcMar>
            <w:vAlign w:val="center"/>
          </w:tcPr>
          <w:p w14:paraId="101FD87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38</w:t>
            </w:r>
          </w:p>
        </w:tc>
        <w:tc>
          <w:tcPr>
            <w:tcW w:w="708" w:type="dxa"/>
            <w:tcBorders>
              <w:left w:val="single" w:sz="4" w:space="0" w:color="auto"/>
              <w:right w:val="single" w:sz="4" w:space="0" w:color="auto"/>
            </w:tcBorders>
            <w:tcMar>
              <w:left w:w="28" w:type="dxa"/>
              <w:right w:w="113" w:type="dxa"/>
            </w:tcMar>
            <w:vAlign w:val="center"/>
          </w:tcPr>
          <w:p w14:paraId="30C08BB3"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51</w:t>
            </w:r>
          </w:p>
        </w:tc>
        <w:tc>
          <w:tcPr>
            <w:tcW w:w="284" w:type="dxa"/>
            <w:tcBorders>
              <w:top w:val="nil"/>
              <w:left w:val="single" w:sz="4" w:space="0" w:color="auto"/>
              <w:bottom w:val="nil"/>
              <w:right w:val="single" w:sz="4" w:space="0" w:color="auto"/>
            </w:tcBorders>
            <w:tcMar>
              <w:left w:w="28" w:type="dxa"/>
              <w:right w:w="113" w:type="dxa"/>
            </w:tcMar>
            <w:vAlign w:val="center"/>
          </w:tcPr>
          <w:p w14:paraId="65BC218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7D5F072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58</w:t>
            </w:r>
          </w:p>
        </w:tc>
      </w:tr>
      <w:tr w:rsidR="00492E94" w:rsidRPr="00BF2CF5" w14:paraId="657C3465" w14:textId="77777777" w:rsidTr="00070514">
        <w:trPr>
          <w:jc w:val="center"/>
        </w:trPr>
        <w:tc>
          <w:tcPr>
            <w:tcW w:w="2698" w:type="dxa"/>
            <w:vAlign w:val="center"/>
          </w:tcPr>
          <w:p w14:paraId="1DF64B08" w14:textId="77777777" w:rsidR="00492E94" w:rsidRPr="00BF2CF5" w:rsidRDefault="00492E94" w:rsidP="00070514">
            <w:pPr>
              <w:spacing w:before="40" w:after="40" w:line="240" w:lineRule="auto"/>
              <w:ind w:left="176"/>
              <w:rPr>
                <w:rFonts w:ascii="Arial" w:hAnsi="Arial"/>
                <w:color w:val="000000" w:themeColor="text1"/>
                <w:sz w:val="14"/>
                <w:szCs w:val="14"/>
              </w:rPr>
            </w:pPr>
            <w:r w:rsidRPr="00BF2CF5">
              <w:rPr>
                <w:rFonts w:ascii="Arial" w:hAnsi="Arial"/>
                <w:color w:val="000000" w:themeColor="text1"/>
                <w:sz w:val="14"/>
                <w:szCs w:val="14"/>
              </w:rPr>
              <w:t>Crowding</w:t>
            </w:r>
          </w:p>
        </w:tc>
        <w:tc>
          <w:tcPr>
            <w:tcW w:w="1559" w:type="dxa"/>
            <w:tcBorders>
              <w:right w:val="single" w:sz="8" w:space="0" w:color="auto"/>
            </w:tcBorders>
            <w:vAlign w:val="center"/>
          </w:tcPr>
          <w:p w14:paraId="0CA937E5" w14:textId="77777777" w:rsidR="00492E94" w:rsidRPr="00BF2CF5" w:rsidRDefault="00492E94" w:rsidP="00070514">
            <w:pPr>
              <w:spacing w:before="40" w:after="40" w:line="240" w:lineRule="auto"/>
              <w:rPr>
                <w:rFonts w:ascii="Arial" w:hAnsi="Arial"/>
                <w:color w:val="000000" w:themeColor="text1"/>
                <w:sz w:val="14"/>
                <w:szCs w:val="14"/>
              </w:rPr>
            </w:pPr>
            <w:r w:rsidRPr="00BF2CF5">
              <w:rPr>
                <w:rFonts w:ascii="Arial" w:hAnsi="Arial"/>
                <w:color w:val="000000" w:themeColor="text1"/>
                <w:sz w:val="14"/>
                <w:szCs w:val="14"/>
              </w:rPr>
              <w:t>2+ needed - severe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52D1F254" w14:textId="77777777" w:rsidR="00492E94" w:rsidRDefault="00492E94" w:rsidP="00070514">
            <w:pPr>
              <w:spacing w:before="40" w:after="40" w:line="240" w:lineRule="auto"/>
              <w:ind w:right="-171"/>
              <w:jc w:val="center"/>
              <w:rPr>
                <w:rFonts w:ascii="Arial" w:hAnsi="Arial"/>
                <w:color w:val="000000"/>
                <w:sz w:val="14"/>
                <w:szCs w:val="14"/>
              </w:rPr>
            </w:pPr>
            <w:r>
              <w:rPr>
                <w:rFonts w:ascii="Arial" w:hAnsi="Arial"/>
                <w:color w:val="000000"/>
                <w:sz w:val="14"/>
                <w:szCs w:val="14"/>
              </w:rPr>
              <w:t>3</w:t>
            </w:r>
          </w:p>
        </w:tc>
        <w:tc>
          <w:tcPr>
            <w:tcW w:w="709" w:type="dxa"/>
            <w:tcBorders>
              <w:left w:val="single" w:sz="4" w:space="0" w:color="auto"/>
              <w:right w:val="single" w:sz="4" w:space="0" w:color="auto"/>
            </w:tcBorders>
            <w:vAlign w:val="center"/>
          </w:tcPr>
          <w:p w14:paraId="5B4A6BD0"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2</w:t>
            </w:r>
          </w:p>
        </w:tc>
        <w:tc>
          <w:tcPr>
            <w:tcW w:w="709" w:type="dxa"/>
            <w:tcBorders>
              <w:left w:val="single" w:sz="4" w:space="0" w:color="auto"/>
              <w:right w:val="single" w:sz="4" w:space="0" w:color="auto"/>
            </w:tcBorders>
            <w:tcMar>
              <w:left w:w="28" w:type="dxa"/>
              <w:right w:w="113" w:type="dxa"/>
            </w:tcMar>
            <w:vAlign w:val="center"/>
          </w:tcPr>
          <w:p w14:paraId="5116E899"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708" w:type="dxa"/>
            <w:tcBorders>
              <w:left w:val="single" w:sz="4" w:space="0" w:color="auto"/>
              <w:right w:val="single" w:sz="4" w:space="0" w:color="auto"/>
            </w:tcBorders>
            <w:tcMar>
              <w:left w:w="28" w:type="dxa"/>
              <w:right w:w="113" w:type="dxa"/>
            </w:tcMar>
            <w:vAlign w:val="center"/>
          </w:tcPr>
          <w:p w14:paraId="76E60DD8"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8</w:t>
            </w:r>
          </w:p>
        </w:tc>
        <w:tc>
          <w:tcPr>
            <w:tcW w:w="284" w:type="dxa"/>
            <w:tcBorders>
              <w:top w:val="nil"/>
              <w:left w:val="single" w:sz="4" w:space="0" w:color="auto"/>
              <w:bottom w:val="nil"/>
              <w:right w:val="single" w:sz="4" w:space="0" w:color="auto"/>
            </w:tcBorders>
            <w:tcMar>
              <w:left w:w="28" w:type="dxa"/>
              <w:right w:w="113" w:type="dxa"/>
            </w:tcMar>
            <w:vAlign w:val="center"/>
          </w:tcPr>
          <w:p w14:paraId="72AE169F" w14:textId="77777777" w:rsidR="00492E94" w:rsidRDefault="00492E94" w:rsidP="00070514">
            <w:pPr>
              <w:spacing w:before="40" w:after="40" w:line="240" w:lineRule="auto"/>
              <w:jc w:val="center"/>
              <w:rPr>
                <w:rFonts w:ascii="Arial" w:hAnsi="Arial"/>
                <w:color w:val="000000"/>
                <w:sz w:val="14"/>
                <w:szCs w:val="14"/>
              </w:rPr>
            </w:pPr>
          </w:p>
        </w:tc>
        <w:tc>
          <w:tcPr>
            <w:tcW w:w="1408" w:type="dxa"/>
            <w:tcBorders>
              <w:left w:val="single" w:sz="4" w:space="0" w:color="auto"/>
              <w:right w:val="single" w:sz="4" w:space="0" w:color="auto"/>
            </w:tcBorders>
            <w:tcMar>
              <w:left w:w="28" w:type="dxa"/>
              <w:right w:w="113" w:type="dxa"/>
            </w:tcMar>
            <w:vAlign w:val="center"/>
          </w:tcPr>
          <w:p w14:paraId="1BA6B50B"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32</w:t>
            </w:r>
          </w:p>
        </w:tc>
      </w:tr>
      <w:tr w:rsidR="00492E94" w:rsidRPr="00BF2CF5" w14:paraId="517A35FE" w14:textId="77777777" w:rsidTr="00070514">
        <w:trPr>
          <w:jc w:val="center"/>
        </w:trPr>
        <w:tc>
          <w:tcPr>
            <w:tcW w:w="2698" w:type="dxa"/>
            <w:vAlign w:val="center"/>
          </w:tcPr>
          <w:p w14:paraId="68F2F8E1"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Crowding</w:t>
            </w:r>
          </w:p>
        </w:tc>
        <w:tc>
          <w:tcPr>
            <w:tcW w:w="1559" w:type="dxa"/>
            <w:tcBorders>
              <w:right w:val="single" w:sz="8" w:space="0" w:color="auto"/>
            </w:tcBorders>
            <w:vAlign w:val="center"/>
          </w:tcPr>
          <w:p w14:paraId="4C42C90C"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1+ more rooms needed</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3927AE1F"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14</w:t>
            </w:r>
          </w:p>
        </w:tc>
        <w:tc>
          <w:tcPr>
            <w:tcW w:w="709" w:type="dxa"/>
            <w:tcBorders>
              <w:left w:val="single" w:sz="4" w:space="0" w:color="auto"/>
              <w:right w:val="single" w:sz="4" w:space="0" w:color="auto"/>
            </w:tcBorders>
            <w:vAlign w:val="center"/>
          </w:tcPr>
          <w:p w14:paraId="424FB028"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12</w:t>
            </w:r>
          </w:p>
        </w:tc>
        <w:tc>
          <w:tcPr>
            <w:tcW w:w="709" w:type="dxa"/>
            <w:tcBorders>
              <w:left w:val="single" w:sz="4" w:space="0" w:color="auto"/>
              <w:right w:val="single" w:sz="4" w:space="0" w:color="auto"/>
            </w:tcBorders>
            <w:tcMar>
              <w:left w:w="28" w:type="dxa"/>
              <w:right w:w="113" w:type="dxa"/>
            </w:tcMar>
            <w:vAlign w:val="center"/>
          </w:tcPr>
          <w:p w14:paraId="0625C0A8"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27</w:t>
            </w:r>
          </w:p>
        </w:tc>
        <w:tc>
          <w:tcPr>
            <w:tcW w:w="708" w:type="dxa"/>
            <w:tcBorders>
              <w:left w:val="single" w:sz="4" w:space="0" w:color="auto"/>
              <w:right w:val="single" w:sz="4" w:space="0" w:color="auto"/>
            </w:tcBorders>
            <w:tcMar>
              <w:left w:w="28" w:type="dxa"/>
              <w:right w:w="113" w:type="dxa"/>
            </w:tcMar>
            <w:vAlign w:val="center"/>
          </w:tcPr>
          <w:p w14:paraId="715CA380"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29</w:t>
            </w:r>
          </w:p>
        </w:tc>
        <w:tc>
          <w:tcPr>
            <w:tcW w:w="284" w:type="dxa"/>
            <w:tcBorders>
              <w:top w:val="nil"/>
              <w:left w:val="single" w:sz="4" w:space="0" w:color="auto"/>
              <w:bottom w:val="nil"/>
              <w:right w:val="single" w:sz="4" w:space="0" w:color="auto"/>
            </w:tcBorders>
            <w:tcMar>
              <w:left w:w="28" w:type="dxa"/>
              <w:right w:w="113" w:type="dxa"/>
            </w:tcMar>
            <w:vAlign w:val="center"/>
          </w:tcPr>
          <w:p w14:paraId="09F967BB"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400D18B9"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27</w:t>
            </w:r>
          </w:p>
        </w:tc>
      </w:tr>
      <w:tr w:rsidR="00492E94" w:rsidRPr="00BF2CF5" w14:paraId="65A787D0" w14:textId="77777777" w:rsidTr="00070514">
        <w:trPr>
          <w:jc w:val="center"/>
        </w:trPr>
        <w:tc>
          <w:tcPr>
            <w:tcW w:w="2698" w:type="dxa"/>
            <w:vAlign w:val="center"/>
          </w:tcPr>
          <w:p w14:paraId="5876215F"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Borrowed for basics from family/friends</w:t>
            </w:r>
          </w:p>
        </w:tc>
        <w:tc>
          <w:tcPr>
            <w:tcW w:w="1559" w:type="dxa"/>
            <w:tcBorders>
              <w:right w:val="single" w:sz="8" w:space="0" w:color="auto"/>
            </w:tcBorders>
            <w:vAlign w:val="center"/>
          </w:tcPr>
          <w:p w14:paraId="46EB1A05"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more than once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445209DB"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11</w:t>
            </w:r>
          </w:p>
        </w:tc>
        <w:tc>
          <w:tcPr>
            <w:tcW w:w="709" w:type="dxa"/>
            <w:tcBorders>
              <w:left w:val="single" w:sz="4" w:space="0" w:color="auto"/>
              <w:right w:val="single" w:sz="4" w:space="0" w:color="auto"/>
            </w:tcBorders>
            <w:vAlign w:val="center"/>
          </w:tcPr>
          <w:p w14:paraId="1A5100CF"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5</w:t>
            </w:r>
          </w:p>
        </w:tc>
        <w:tc>
          <w:tcPr>
            <w:tcW w:w="709" w:type="dxa"/>
            <w:tcBorders>
              <w:left w:val="single" w:sz="4" w:space="0" w:color="auto"/>
              <w:right w:val="single" w:sz="4" w:space="0" w:color="auto"/>
            </w:tcBorders>
            <w:tcMar>
              <w:left w:w="28" w:type="dxa"/>
              <w:right w:w="113" w:type="dxa"/>
            </w:tcMar>
            <w:vAlign w:val="center"/>
          </w:tcPr>
          <w:p w14:paraId="3098CE68"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54</w:t>
            </w:r>
          </w:p>
        </w:tc>
        <w:tc>
          <w:tcPr>
            <w:tcW w:w="708" w:type="dxa"/>
            <w:tcBorders>
              <w:left w:val="single" w:sz="4" w:space="0" w:color="auto"/>
              <w:right w:val="single" w:sz="4" w:space="0" w:color="auto"/>
            </w:tcBorders>
            <w:tcMar>
              <w:left w:w="28" w:type="dxa"/>
              <w:right w:w="113" w:type="dxa"/>
            </w:tcMar>
            <w:vAlign w:val="center"/>
          </w:tcPr>
          <w:p w14:paraId="71333103"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67</w:t>
            </w:r>
          </w:p>
        </w:tc>
        <w:tc>
          <w:tcPr>
            <w:tcW w:w="284" w:type="dxa"/>
            <w:tcBorders>
              <w:top w:val="nil"/>
              <w:left w:val="single" w:sz="4" w:space="0" w:color="auto"/>
              <w:bottom w:val="nil"/>
              <w:right w:val="single" w:sz="4" w:space="0" w:color="auto"/>
            </w:tcBorders>
            <w:tcMar>
              <w:left w:w="28" w:type="dxa"/>
              <w:right w:w="113" w:type="dxa"/>
            </w:tcMar>
            <w:vAlign w:val="center"/>
          </w:tcPr>
          <w:p w14:paraId="53EC39FF"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2879D9DC"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64</w:t>
            </w:r>
          </w:p>
        </w:tc>
      </w:tr>
      <w:tr w:rsidR="00492E94" w:rsidRPr="00BF2CF5" w14:paraId="2A06A9B3" w14:textId="77777777" w:rsidTr="00070514">
        <w:trPr>
          <w:jc w:val="center"/>
        </w:trPr>
        <w:tc>
          <w:tcPr>
            <w:tcW w:w="2698" w:type="dxa"/>
            <w:vAlign w:val="center"/>
          </w:tcPr>
          <w:p w14:paraId="67122DEC" w14:textId="77777777" w:rsidR="00492E94" w:rsidRPr="00BF2CF5" w:rsidRDefault="00492E94" w:rsidP="00070514">
            <w:pPr>
              <w:spacing w:before="40" w:after="40" w:line="240" w:lineRule="auto"/>
              <w:ind w:left="176"/>
              <w:rPr>
                <w:rFonts w:ascii="Arial" w:hAnsi="Arial"/>
                <w:color w:val="000000" w:themeColor="text1"/>
                <w:sz w:val="14"/>
                <w:szCs w:val="14"/>
              </w:rPr>
            </w:pPr>
            <w:r w:rsidRPr="00BF2CF5">
              <w:rPr>
                <w:rFonts w:ascii="Arial" w:hAnsi="Arial"/>
                <w:color w:val="000000" w:themeColor="text1"/>
                <w:sz w:val="14"/>
                <w:szCs w:val="14"/>
              </w:rPr>
              <w:t>Can pay unexpected $500 essential bill</w:t>
            </w:r>
          </w:p>
        </w:tc>
        <w:tc>
          <w:tcPr>
            <w:tcW w:w="1559" w:type="dxa"/>
            <w:tcBorders>
              <w:right w:val="single" w:sz="8" w:space="0" w:color="auto"/>
            </w:tcBorders>
            <w:vAlign w:val="center"/>
          </w:tcPr>
          <w:p w14:paraId="3F789E23" w14:textId="77777777" w:rsidR="00492E94" w:rsidRPr="00BF2CF5" w:rsidRDefault="00492E94" w:rsidP="00070514">
            <w:pPr>
              <w:spacing w:before="40" w:after="40" w:line="240" w:lineRule="auto"/>
              <w:rPr>
                <w:rFonts w:ascii="Arial" w:hAnsi="Arial"/>
                <w:color w:val="000000" w:themeColor="text1"/>
                <w:sz w:val="14"/>
                <w:szCs w:val="14"/>
              </w:rPr>
            </w:pPr>
            <w:r w:rsidRPr="00BF2CF5">
              <w:rPr>
                <w:rFonts w:ascii="Arial" w:hAnsi="Arial"/>
                <w:color w:val="000000" w:themeColor="text1"/>
                <w:sz w:val="14"/>
                <w:szCs w:val="14"/>
              </w:rPr>
              <w:t>no</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115771AB" w14:textId="77777777" w:rsidR="00492E94" w:rsidRDefault="00492E94" w:rsidP="00070514">
            <w:pPr>
              <w:spacing w:before="40" w:after="40" w:line="240" w:lineRule="auto"/>
              <w:ind w:right="-171"/>
              <w:jc w:val="center"/>
              <w:rPr>
                <w:rFonts w:ascii="Arial" w:hAnsi="Arial"/>
                <w:color w:val="000000"/>
                <w:sz w:val="14"/>
                <w:szCs w:val="14"/>
              </w:rPr>
            </w:pPr>
            <w:r>
              <w:rPr>
                <w:rFonts w:ascii="Arial" w:hAnsi="Arial"/>
                <w:color w:val="000000"/>
                <w:sz w:val="14"/>
                <w:szCs w:val="14"/>
              </w:rPr>
              <w:t>22</w:t>
            </w:r>
          </w:p>
        </w:tc>
        <w:tc>
          <w:tcPr>
            <w:tcW w:w="709" w:type="dxa"/>
            <w:tcBorders>
              <w:left w:val="single" w:sz="4" w:space="0" w:color="auto"/>
              <w:right w:val="single" w:sz="4" w:space="0" w:color="auto"/>
            </w:tcBorders>
            <w:vAlign w:val="center"/>
          </w:tcPr>
          <w:p w14:paraId="62B07580"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14</w:t>
            </w:r>
          </w:p>
        </w:tc>
        <w:tc>
          <w:tcPr>
            <w:tcW w:w="709" w:type="dxa"/>
            <w:tcBorders>
              <w:left w:val="single" w:sz="4" w:space="0" w:color="auto"/>
              <w:right w:val="single" w:sz="4" w:space="0" w:color="auto"/>
            </w:tcBorders>
            <w:tcMar>
              <w:left w:w="28" w:type="dxa"/>
              <w:right w:w="113" w:type="dxa"/>
            </w:tcMar>
            <w:vAlign w:val="center"/>
          </w:tcPr>
          <w:p w14:paraId="26989B2D"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76</w:t>
            </w:r>
          </w:p>
        </w:tc>
        <w:tc>
          <w:tcPr>
            <w:tcW w:w="708" w:type="dxa"/>
            <w:tcBorders>
              <w:left w:val="single" w:sz="4" w:space="0" w:color="auto"/>
              <w:right w:val="single" w:sz="4" w:space="0" w:color="auto"/>
            </w:tcBorders>
            <w:tcMar>
              <w:left w:w="28" w:type="dxa"/>
              <w:right w:w="113" w:type="dxa"/>
            </w:tcMar>
            <w:vAlign w:val="center"/>
          </w:tcPr>
          <w:p w14:paraId="4785C17F"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84</w:t>
            </w:r>
          </w:p>
        </w:tc>
        <w:tc>
          <w:tcPr>
            <w:tcW w:w="284" w:type="dxa"/>
            <w:tcBorders>
              <w:top w:val="nil"/>
              <w:left w:val="single" w:sz="4" w:space="0" w:color="auto"/>
              <w:bottom w:val="nil"/>
              <w:right w:val="single" w:sz="4" w:space="0" w:color="auto"/>
            </w:tcBorders>
            <w:tcMar>
              <w:left w:w="28" w:type="dxa"/>
              <w:right w:w="113" w:type="dxa"/>
            </w:tcMar>
            <w:vAlign w:val="center"/>
          </w:tcPr>
          <w:p w14:paraId="715D0F28" w14:textId="77777777" w:rsidR="00492E94" w:rsidRDefault="00492E94" w:rsidP="00070514">
            <w:pPr>
              <w:spacing w:before="40" w:after="40" w:line="240" w:lineRule="auto"/>
              <w:jc w:val="center"/>
              <w:rPr>
                <w:rFonts w:ascii="Arial" w:hAnsi="Arial"/>
                <w:color w:val="000000"/>
                <w:sz w:val="14"/>
                <w:szCs w:val="14"/>
              </w:rPr>
            </w:pPr>
          </w:p>
        </w:tc>
        <w:tc>
          <w:tcPr>
            <w:tcW w:w="1408" w:type="dxa"/>
            <w:tcBorders>
              <w:left w:val="single" w:sz="4" w:space="0" w:color="auto"/>
              <w:right w:val="single" w:sz="4" w:space="0" w:color="auto"/>
            </w:tcBorders>
            <w:tcMar>
              <w:left w:w="28" w:type="dxa"/>
              <w:right w:w="113" w:type="dxa"/>
            </w:tcMar>
            <w:vAlign w:val="center"/>
          </w:tcPr>
          <w:p w14:paraId="1A1B728F"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46</w:t>
            </w:r>
          </w:p>
        </w:tc>
      </w:tr>
      <w:tr w:rsidR="00492E94" w:rsidRPr="00BF2CF5" w14:paraId="7A02BFFC" w14:textId="77777777" w:rsidTr="00070514">
        <w:trPr>
          <w:jc w:val="center"/>
        </w:trPr>
        <w:tc>
          <w:tcPr>
            <w:tcW w:w="2698" w:type="dxa"/>
            <w:vAlign w:val="center"/>
          </w:tcPr>
          <w:p w14:paraId="5CA8F205" w14:textId="77777777" w:rsidR="00492E94" w:rsidRPr="00BF2CF5" w:rsidRDefault="00492E94" w:rsidP="00070514">
            <w:pPr>
              <w:spacing w:before="40" w:after="40" w:line="240" w:lineRule="auto"/>
              <w:ind w:left="176"/>
              <w:rPr>
                <w:rFonts w:ascii="Arial" w:hAnsi="Arial"/>
                <w:color w:val="000000" w:themeColor="text1"/>
                <w:sz w:val="14"/>
                <w:szCs w:val="14"/>
              </w:rPr>
            </w:pPr>
            <w:r w:rsidRPr="00BF2CF5">
              <w:rPr>
                <w:rFonts w:ascii="Arial" w:hAnsi="Arial"/>
                <w:color w:val="000000" w:themeColor="text1"/>
                <w:sz w:val="14"/>
                <w:szCs w:val="14"/>
              </w:rPr>
              <w:t>Income adequacy for basics</w:t>
            </w:r>
          </w:p>
        </w:tc>
        <w:tc>
          <w:tcPr>
            <w:tcW w:w="1559" w:type="dxa"/>
            <w:tcBorders>
              <w:right w:val="single" w:sz="8" w:space="0" w:color="auto"/>
            </w:tcBorders>
            <w:vAlign w:val="center"/>
          </w:tcPr>
          <w:p w14:paraId="58599A48" w14:textId="77777777" w:rsidR="00492E94" w:rsidRPr="00BF2CF5" w:rsidRDefault="00492E94" w:rsidP="00070514">
            <w:pPr>
              <w:spacing w:before="40" w:after="40" w:line="240" w:lineRule="auto"/>
              <w:rPr>
                <w:rFonts w:ascii="Arial" w:hAnsi="Arial"/>
                <w:color w:val="000000" w:themeColor="text1"/>
                <w:sz w:val="14"/>
                <w:szCs w:val="14"/>
              </w:rPr>
            </w:pPr>
            <w:r w:rsidRPr="00BF2CF5">
              <w:rPr>
                <w:rFonts w:ascii="Arial" w:hAnsi="Arial"/>
                <w:color w:val="000000" w:themeColor="text1"/>
                <w:sz w:val="14"/>
                <w:szCs w:val="14"/>
              </w:rPr>
              <w:t>not enough</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0080AEA7" w14:textId="77777777" w:rsidR="00492E94" w:rsidRDefault="00492E94" w:rsidP="00070514">
            <w:pPr>
              <w:spacing w:before="40" w:after="40" w:line="240" w:lineRule="auto"/>
              <w:ind w:right="-171"/>
              <w:jc w:val="center"/>
              <w:rPr>
                <w:rFonts w:ascii="Arial" w:hAnsi="Arial"/>
                <w:color w:val="000000"/>
                <w:sz w:val="14"/>
                <w:szCs w:val="14"/>
              </w:rPr>
            </w:pPr>
            <w:r>
              <w:rPr>
                <w:rFonts w:ascii="Arial" w:hAnsi="Arial"/>
                <w:color w:val="000000"/>
                <w:sz w:val="14"/>
                <w:szCs w:val="14"/>
              </w:rPr>
              <w:t>14</w:t>
            </w:r>
          </w:p>
        </w:tc>
        <w:tc>
          <w:tcPr>
            <w:tcW w:w="709" w:type="dxa"/>
            <w:tcBorders>
              <w:left w:val="single" w:sz="4" w:space="0" w:color="auto"/>
              <w:right w:val="single" w:sz="4" w:space="0" w:color="auto"/>
            </w:tcBorders>
            <w:vAlign w:val="center"/>
          </w:tcPr>
          <w:p w14:paraId="63B8DEC2"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8</w:t>
            </w:r>
          </w:p>
        </w:tc>
        <w:tc>
          <w:tcPr>
            <w:tcW w:w="709" w:type="dxa"/>
            <w:tcBorders>
              <w:left w:val="single" w:sz="4" w:space="0" w:color="auto"/>
              <w:right w:val="single" w:sz="4" w:space="0" w:color="auto"/>
            </w:tcBorders>
            <w:tcMar>
              <w:left w:w="28" w:type="dxa"/>
              <w:right w:w="113" w:type="dxa"/>
            </w:tcMar>
            <w:vAlign w:val="center"/>
          </w:tcPr>
          <w:p w14:paraId="4646AB1E"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53</w:t>
            </w:r>
          </w:p>
        </w:tc>
        <w:tc>
          <w:tcPr>
            <w:tcW w:w="708" w:type="dxa"/>
            <w:tcBorders>
              <w:left w:val="single" w:sz="4" w:space="0" w:color="auto"/>
              <w:right w:val="single" w:sz="4" w:space="0" w:color="auto"/>
            </w:tcBorders>
            <w:tcMar>
              <w:left w:w="28" w:type="dxa"/>
              <w:right w:w="113" w:type="dxa"/>
            </w:tcMar>
            <w:vAlign w:val="center"/>
          </w:tcPr>
          <w:p w14:paraId="201F7FC2"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67</w:t>
            </w:r>
          </w:p>
        </w:tc>
        <w:tc>
          <w:tcPr>
            <w:tcW w:w="284" w:type="dxa"/>
            <w:tcBorders>
              <w:top w:val="nil"/>
              <w:left w:val="single" w:sz="4" w:space="0" w:color="auto"/>
              <w:bottom w:val="nil"/>
              <w:right w:val="single" w:sz="4" w:space="0" w:color="auto"/>
            </w:tcBorders>
            <w:tcMar>
              <w:left w:w="28" w:type="dxa"/>
              <w:right w:w="113" w:type="dxa"/>
            </w:tcMar>
            <w:vAlign w:val="center"/>
          </w:tcPr>
          <w:p w14:paraId="7374F17E" w14:textId="77777777" w:rsidR="00492E94" w:rsidRDefault="00492E94" w:rsidP="00070514">
            <w:pPr>
              <w:spacing w:before="40" w:after="40" w:line="240" w:lineRule="auto"/>
              <w:jc w:val="center"/>
              <w:rPr>
                <w:rFonts w:ascii="Arial" w:hAnsi="Arial"/>
                <w:color w:val="000000"/>
                <w:sz w:val="14"/>
                <w:szCs w:val="14"/>
              </w:rPr>
            </w:pPr>
          </w:p>
        </w:tc>
        <w:tc>
          <w:tcPr>
            <w:tcW w:w="1408" w:type="dxa"/>
            <w:tcBorders>
              <w:left w:val="single" w:sz="4" w:space="0" w:color="auto"/>
              <w:right w:val="single" w:sz="4" w:space="0" w:color="auto"/>
            </w:tcBorders>
            <w:tcMar>
              <w:left w:w="28" w:type="dxa"/>
              <w:right w:w="113" w:type="dxa"/>
            </w:tcMar>
            <w:vAlign w:val="center"/>
          </w:tcPr>
          <w:p w14:paraId="68615B91"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51</w:t>
            </w:r>
          </w:p>
        </w:tc>
      </w:tr>
      <w:tr w:rsidR="00492E94" w:rsidRPr="00BF2CF5" w14:paraId="308D6AA2" w14:textId="77777777" w:rsidTr="00070514">
        <w:trPr>
          <w:jc w:val="center"/>
        </w:trPr>
        <w:tc>
          <w:tcPr>
            <w:tcW w:w="2698" w:type="dxa"/>
            <w:vAlign w:val="center"/>
          </w:tcPr>
          <w:p w14:paraId="568C1F7B" w14:textId="77777777" w:rsidR="00492E94" w:rsidRPr="00BF2CF5" w:rsidRDefault="00492E94" w:rsidP="00070514">
            <w:pPr>
              <w:spacing w:before="40" w:after="40" w:line="240" w:lineRule="auto"/>
              <w:ind w:left="176"/>
              <w:rPr>
                <w:rFonts w:ascii="Arial" w:hAnsi="Arial"/>
                <w:color w:val="000000" w:themeColor="text1"/>
                <w:sz w:val="14"/>
                <w:szCs w:val="14"/>
              </w:rPr>
            </w:pPr>
            <w:r w:rsidRPr="00BF2CF5">
              <w:rPr>
                <w:rFonts w:ascii="Arial" w:hAnsi="Arial"/>
                <w:color w:val="000000" w:themeColor="text1"/>
                <w:sz w:val="14"/>
                <w:szCs w:val="14"/>
              </w:rPr>
              <w:t>Holiday away each year</w:t>
            </w:r>
          </w:p>
        </w:tc>
        <w:tc>
          <w:tcPr>
            <w:tcW w:w="1559" w:type="dxa"/>
            <w:tcBorders>
              <w:right w:val="single" w:sz="8" w:space="0" w:color="auto"/>
            </w:tcBorders>
            <w:vAlign w:val="center"/>
          </w:tcPr>
          <w:p w14:paraId="58A0921D" w14:textId="77777777" w:rsidR="00492E94" w:rsidRPr="00BF2CF5" w:rsidRDefault="00492E94" w:rsidP="00070514">
            <w:pPr>
              <w:spacing w:before="40" w:after="40" w:line="240" w:lineRule="auto"/>
              <w:rPr>
                <w:rFonts w:ascii="Arial" w:hAnsi="Arial"/>
                <w:color w:val="000000" w:themeColor="text1"/>
                <w:sz w:val="14"/>
                <w:szCs w:val="14"/>
              </w:rPr>
            </w:pPr>
            <w:r w:rsidRPr="00BF2CF5">
              <w:rPr>
                <w:rFonts w:ascii="Arial" w:hAnsi="Arial"/>
                <w:color w:val="000000" w:themeColor="text1"/>
                <w:sz w:val="14"/>
                <w:szCs w:val="14"/>
              </w:rPr>
              <w:t>don't have - cost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231259F9" w14:textId="77777777" w:rsidR="00492E94" w:rsidRDefault="00492E94" w:rsidP="00070514">
            <w:pPr>
              <w:spacing w:before="40" w:after="40" w:line="240" w:lineRule="auto"/>
              <w:ind w:right="-171"/>
              <w:jc w:val="center"/>
              <w:rPr>
                <w:rFonts w:ascii="Arial" w:hAnsi="Arial"/>
                <w:color w:val="000000"/>
                <w:sz w:val="14"/>
                <w:szCs w:val="14"/>
              </w:rPr>
            </w:pPr>
            <w:r>
              <w:rPr>
                <w:rFonts w:ascii="Arial" w:hAnsi="Arial"/>
                <w:color w:val="000000"/>
                <w:sz w:val="14"/>
                <w:szCs w:val="14"/>
              </w:rPr>
              <w:t>30</w:t>
            </w:r>
          </w:p>
        </w:tc>
        <w:tc>
          <w:tcPr>
            <w:tcW w:w="709" w:type="dxa"/>
            <w:tcBorders>
              <w:left w:val="single" w:sz="4" w:space="0" w:color="auto"/>
              <w:right w:val="single" w:sz="4" w:space="0" w:color="auto"/>
            </w:tcBorders>
            <w:vAlign w:val="center"/>
          </w:tcPr>
          <w:p w14:paraId="12126D77"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23</w:t>
            </w:r>
          </w:p>
        </w:tc>
        <w:tc>
          <w:tcPr>
            <w:tcW w:w="709" w:type="dxa"/>
            <w:tcBorders>
              <w:left w:val="single" w:sz="4" w:space="0" w:color="auto"/>
              <w:right w:val="single" w:sz="4" w:space="0" w:color="auto"/>
            </w:tcBorders>
            <w:tcMar>
              <w:left w:w="28" w:type="dxa"/>
              <w:right w:w="113" w:type="dxa"/>
            </w:tcMar>
            <w:vAlign w:val="center"/>
          </w:tcPr>
          <w:p w14:paraId="67FE370F"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75</w:t>
            </w:r>
          </w:p>
        </w:tc>
        <w:tc>
          <w:tcPr>
            <w:tcW w:w="708" w:type="dxa"/>
            <w:tcBorders>
              <w:left w:val="single" w:sz="4" w:space="0" w:color="auto"/>
              <w:right w:val="single" w:sz="4" w:space="0" w:color="auto"/>
            </w:tcBorders>
            <w:tcMar>
              <w:left w:w="28" w:type="dxa"/>
              <w:right w:w="113" w:type="dxa"/>
            </w:tcMar>
            <w:vAlign w:val="center"/>
          </w:tcPr>
          <w:p w14:paraId="1E932992"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83</w:t>
            </w:r>
          </w:p>
        </w:tc>
        <w:tc>
          <w:tcPr>
            <w:tcW w:w="284" w:type="dxa"/>
            <w:tcBorders>
              <w:top w:val="nil"/>
              <w:left w:val="single" w:sz="4" w:space="0" w:color="auto"/>
              <w:bottom w:val="nil"/>
              <w:right w:val="single" w:sz="4" w:space="0" w:color="auto"/>
            </w:tcBorders>
            <w:tcMar>
              <w:left w:w="28" w:type="dxa"/>
              <w:right w:w="113" w:type="dxa"/>
            </w:tcMar>
            <w:vAlign w:val="center"/>
          </w:tcPr>
          <w:p w14:paraId="0EAE87D4" w14:textId="77777777" w:rsidR="00492E94" w:rsidRDefault="00492E94" w:rsidP="00070514">
            <w:pPr>
              <w:spacing w:before="40" w:after="40" w:line="240" w:lineRule="auto"/>
              <w:jc w:val="center"/>
              <w:rPr>
                <w:rFonts w:ascii="Arial" w:hAnsi="Arial"/>
                <w:color w:val="000000"/>
                <w:sz w:val="14"/>
                <w:szCs w:val="14"/>
              </w:rPr>
            </w:pPr>
          </w:p>
        </w:tc>
        <w:tc>
          <w:tcPr>
            <w:tcW w:w="1408" w:type="dxa"/>
            <w:tcBorders>
              <w:left w:val="single" w:sz="4" w:space="0" w:color="auto"/>
              <w:right w:val="single" w:sz="4" w:space="0" w:color="auto"/>
            </w:tcBorders>
            <w:tcMar>
              <w:left w:w="28" w:type="dxa"/>
              <w:right w:w="113" w:type="dxa"/>
            </w:tcMar>
            <w:vAlign w:val="center"/>
          </w:tcPr>
          <w:p w14:paraId="589D95EC"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34</w:t>
            </w:r>
          </w:p>
        </w:tc>
      </w:tr>
      <w:tr w:rsidR="00492E94" w:rsidRPr="00BF2CF5" w14:paraId="09365B08" w14:textId="77777777" w:rsidTr="00070514">
        <w:trPr>
          <w:jc w:val="center"/>
        </w:trPr>
        <w:tc>
          <w:tcPr>
            <w:tcW w:w="2698" w:type="dxa"/>
            <w:vAlign w:val="center"/>
          </w:tcPr>
          <w:p w14:paraId="3C4091E8" w14:textId="77777777" w:rsidR="00492E94" w:rsidRPr="00BF2CF5" w:rsidRDefault="00492E94" w:rsidP="00070514">
            <w:pPr>
              <w:spacing w:before="40" w:after="40" w:line="240" w:lineRule="auto"/>
              <w:ind w:left="176"/>
              <w:rPr>
                <w:rFonts w:ascii="Arial" w:hAnsi="Arial"/>
                <w:color w:val="000000" w:themeColor="text1"/>
                <w:sz w:val="14"/>
                <w:szCs w:val="14"/>
              </w:rPr>
            </w:pPr>
            <w:r w:rsidRPr="00BF2CF5">
              <w:rPr>
                <w:rFonts w:ascii="Arial" w:hAnsi="Arial"/>
                <w:color w:val="000000" w:themeColor="text1"/>
                <w:sz w:val="14"/>
                <w:szCs w:val="14"/>
              </w:rPr>
              <w:t>Holiday away each year</w:t>
            </w:r>
          </w:p>
        </w:tc>
        <w:tc>
          <w:tcPr>
            <w:tcW w:w="1559" w:type="dxa"/>
            <w:tcBorders>
              <w:right w:val="single" w:sz="8" w:space="0" w:color="auto"/>
            </w:tcBorders>
            <w:vAlign w:val="center"/>
          </w:tcPr>
          <w:p w14:paraId="142A4EF2" w14:textId="77777777" w:rsidR="00492E94" w:rsidRPr="00BF2CF5" w:rsidRDefault="00492E94" w:rsidP="00070514">
            <w:pPr>
              <w:spacing w:before="40" w:after="40" w:line="240" w:lineRule="auto"/>
              <w:rPr>
                <w:rFonts w:ascii="Arial" w:hAnsi="Arial"/>
                <w:color w:val="000000" w:themeColor="text1"/>
                <w:sz w:val="14"/>
                <w:szCs w:val="14"/>
              </w:rPr>
            </w:pPr>
            <w:r w:rsidRPr="00BF2CF5">
              <w:rPr>
                <w:rFonts w:ascii="Arial" w:hAnsi="Arial"/>
                <w:color w:val="000000" w:themeColor="text1"/>
                <w:sz w:val="14"/>
                <w:szCs w:val="14"/>
              </w:rPr>
              <w:t>don't have - other</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36234F57" w14:textId="77777777" w:rsidR="00492E94" w:rsidRDefault="00492E94" w:rsidP="00070514">
            <w:pPr>
              <w:spacing w:before="40" w:after="40" w:line="240" w:lineRule="auto"/>
              <w:ind w:right="-171"/>
              <w:jc w:val="center"/>
              <w:rPr>
                <w:rFonts w:ascii="Arial" w:hAnsi="Arial"/>
                <w:color w:val="000000"/>
                <w:sz w:val="14"/>
                <w:szCs w:val="14"/>
              </w:rPr>
            </w:pPr>
            <w:r>
              <w:rPr>
                <w:rFonts w:ascii="Arial" w:hAnsi="Arial"/>
                <w:color w:val="000000"/>
                <w:sz w:val="14"/>
                <w:szCs w:val="14"/>
              </w:rPr>
              <w:t>9</w:t>
            </w:r>
          </w:p>
        </w:tc>
        <w:tc>
          <w:tcPr>
            <w:tcW w:w="709" w:type="dxa"/>
            <w:tcBorders>
              <w:left w:val="single" w:sz="4" w:space="0" w:color="auto"/>
              <w:right w:val="single" w:sz="4" w:space="0" w:color="auto"/>
            </w:tcBorders>
            <w:vAlign w:val="center"/>
          </w:tcPr>
          <w:p w14:paraId="03A783A4"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10</w:t>
            </w:r>
          </w:p>
        </w:tc>
        <w:tc>
          <w:tcPr>
            <w:tcW w:w="709" w:type="dxa"/>
            <w:tcBorders>
              <w:left w:val="single" w:sz="4" w:space="0" w:color="auto"/>
              <w:right w:val="single" w:sz="4" w:space="0" w:color="auto"/>
            </w:tcBorders>
            <w:tcMar>
              <w:left w:w="28" w:type="dxa"/>
              <w:right w:w="113" w:type="dxa"/>
            </w:tcMar>
            <w:vAlign w:val="center"/>
          </w:tcPr>
          <w:p w14:paraId="4C71E58C"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5</w:t>
            </w:r>
          </w:p>
        </w:tc>
        <w:tc>
          <w:tcPr>
            <w:tcW w:w="708" w:type="dxa"/>
            <w:tcBorders>
              <w:left w:val="single" w:sz="4" w:space="0" w:color="auto"/>
              <w:right w:val="single" w:sz="4" w:space="0" w:color="auto"/>
            </w:tcBorders>
            <w:tcMar>
              <w:left w:w="28" w:type="dxa"/>
              <w:right w:w="113" w:type="dxa"/>
            </w:tcMar>
            <w:vAlign w:val="center"/>
          </w:tcPr>
          <w:p w14:paraId="488003D3"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4</w:t>
            </w:r>
          </w:p>
        </w:tc>
        <w:tc>
          <w:tcPr>
            <w:tcW w:w="284" w:type="dxa"/>
            <w:tcBorders>
              <w:top w:val="nil"/>
              <w:left w:val="single" w:sz="4" w:space="0" w:color="auto"/>
              <w:bottom w:val="nil"/>
              <w:right w:val="single" w:sz="4" w:space="0" w:color="auto"/>
            </w:tcBorders>
            <w:tcMar>
              <w:left w:w="28" w:type="dxa"/>
              <w:right w:w="113" w:type="dxa"/>
            </w:tcMar>
            <w:vAlign w:val="center"/>
          </w:tcPr>
          <w:p w14:paraId="721F98EE" w14:textId="77777777" w:rsidR="00492E94" w:rsidRDefault="00492E94" w:rsidP="00070514">
            <w:pPr>
              <w:spacing w:before="40" w:after="40" w:line="240" w:lineRule="auto"/>
              <w:jc w:val="center"/>
              <w:rPr>
                <w:rFonts w:ascii="Arial" w:hAnsi="Arial"/>
                <w:color w:val="000000"/>
                <w:sz w:val="14"/>
                <w:szCs w:val="14"/>
              </w:rPr>
            </w:pPr>
          </w:p>
        </w:tc>
        <w:tc>
          <w:tcPr>
            <w:tcW w:w="1408" w:type="dxa"/>
            <w:tcBorders>
              <w:left w:val="single" w:sz="4" w:space="0" w:color="auto"/>
              <w:right w:val="single" w:sz="4" w:space="0" w:color="auto"/>
            </w:tcBorders>
            <w:tcMar>
              <w:left w:w="28" w:type="dxa"/>
              <w:right w:w="113" w:type="dxa"/>
            </w:tcMar>
            <w:vAlign w:val="center"/>
          </w:tcPr>
          <w:p w14:paraId="413AD627"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8</w:t>
            </w:r>
          </w:p>
        </w:tc>
      </w:tr>
      <w:tr w:rsidR="00492E94" w:rsidRPr="00BF2CF5" w14:paraId="1200F0B0" w14:textId="77777777" w:rsidTr="00070514">
        <w:trPr>
          <w:jc w:val="center"/>
        </w:trPr>
        <w:tc>
          <w:tcPr>
            <w:tcW w:w="2698" w:type="dxa"/>
            <w:tcBorders>
              <w:top w:val="single" w:sz="4" w:space="0" w:color="auto"/>
              <w:bottom w:val="single" w:sz="8" w:space="0" w:color="auto"/>
            </w:tcBorders>
            <w:vAlign w:val="center"/>
          </w:tcPr>
          <w:p w14:paraId="054EF29D"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Life satisfaction</w:t>
            </w:r>
          </w:p>
        </w:tc>
        <w:tc>
          <w:tcPr>
            <w:tcW w:w="1559" w:type="dxa"/>
            <w:tcBorders>
              <w:top w:val="single" w:sz="4" w:space="0" w:color="auto"/>
              <w:bottom w:val="single" w:sz="8" w:space="0" w:color="auto"/>
              <w:right w:val="single" w:sz="8" w:space="0" w:color="auto"/>
            </w:tcBorders>
            <w:vAlign w:val="center"/>
          </w:tcPr>
          <w:p w14:paraId="40BE270F"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dissatis / very dissatis</w:t>
            </w:r>
          </w:p>
        </w:tc>
        <w:tc>
          <w:tcPr>
            <w:tcW w:w="709" w:type="dxa"/>
            <w:tcBorders>
              <w:top w:val="single" w:sz="4" w:space="0" w:color="auto"/>
              <w:left w:val="single" w:sz="8" w:space="0" w:color="auto"/>
              <w:bottom w:val="single" w:sz="8" w:space="0" w:color="auto"/>
              <w:right w:val="single" w:sz="4" w:space="0" w:color="auto"/>
            </w:tcBorders>
            <w:shd w:val="clear" w:color="auto" w:fill="D9D9D9"/>
            <w:noWrap/>
            <w:tcMar>
              <w:left w:w="28" w:type="dxa"/>
              <w:right w:w="170" w:type="dxa"/>
            </w:tcMar>
            <w:vAlign w:val="center"/>
          </w:tcPr>
          <w:p w14:paraId="59ED42DD"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5</w:t>
            </w:r>
          </w:p>
        </w:tc>
        <w:tc>
          <w:tcPr>
            <w:tcW w:w="709" w:type="dxa"/>
            <w:tcBorders>
              <w:top w:val="single" w:sz="4" w:space="0" w:color="auto"/>
              <w:left w:val="single" w:sz="4" w:space="0" w:color="auto"/>
              <w:bottom w:val="single" w:sz="8" w:space="0" w:color="auto"/>
              <w:right w:val="single" w:sz="4" w:space="0" w:color="auto"/>
            </w:tcBorders>
            <w:vAlign w:val="center"/>
          </w:tcPr>
          <w:p w14:paraId="7E2AFF02"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w:t>
            </w:r>
          </w:p>
        </w:tc>
        <w:tc>
          <w:tcPr>
            <w:tcW w:w="709" w:type="dxa"/>
            <w:tcBorders>
              <w:top w:val="single" w:sz="4" w:space="0" w:color="auto"/>
              <w:left w:val="single" w:sz="4" w:space="0" w:color="auto"/>
              <w:bottom w:val="single" w:sz="8" w:space="0" w:color="auto"/>
              <w:right w:val="single" w:sz="4" w:space="0" w:color="auto"/>
            </w:tcBorders>
            <w:tcMar>
              <w:left w:w="28" w:type="dxa"/>
              <w:right w:w="113" w:type="dxa"/>
            </w:tcMar>
            <w:vAlign w:val="center"/>
          </w:tcPr>
          <w:p w14:paraId="5285F10D"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18</w:t>
            </w:r>
          </w:p>
        </w:tc>
        <w:tc>
          <w:tcPr>
            <w:tcW w:w="708" w:type="dxa"/>
            <w:tcBorders>
              <w:top w:val="single" w:sz="4" w:space="0" w:color="auto"/>
              <w:left w:val="single" w:sz="4" w:space="0" w:color="auto"/>
              <w:bottom w:val="single" w:sz="8" w:space="0" w:color="auto"/>
              <w:right w:val="single" w:sz="4" w:space="0" w:color="auto"/>
            </w:tcBorders>
            <w:tcMar>
              <w:left w:w="28" w:type="dxa"/>
              <w:right w:w="113" w:type="dxa"/>
            </w:tcMar>
            <w:vAlign w:val="center"/>
          </w:tcPr>
          <w:p w14:paraId="777D6D5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24</w:t>
            </w:r>
          </w:p>
        </w:tc>
        <w:tc>
          <w:tcPr>
            <w:tcW w:w="284" w:type="dxa"/>
            <w:tcBorders>
              <w:top w:val="nil"/>
              <w:left w:val="single" w:sz="4" w:space="0" w:color="auto"/>
              <w:bottom w:val="single" w:sz="8" w:space="0" w:color="auto"/>
              <w:right w:val="single" w:sz="4" w:space="0" w:color="auto"/>
            </w:tcBorders>
            <w:tcMar>
              <w:left w:w="28" w:type="dxa"/>
              <w:right w:w="113" w:type="dxa"/>
            </w:tcMar>
            <w:vAlign w:val="center"/>
          </w:tcPr>
          <w:p w14:paraId="21D898D8" w14:textId="77777777" w:rsidR="00492E94" w:rsidRPr="00F52A9D" w:rsidRDefault="00492E94" w:rsidP="00070514">
            <w:pPr>
              <w:spacing w:before="40" w:after="40" w:line="240" w:lineRule="auto"/>
              <w:jc w:val="center"/>
              <w:rPr>
                <w:rFonts w:ascii="Arial" w:hAnsi="Arial"/>
                <w:color w:val="000000"/>
                <w:sz w:val="14"/>
                <w:szCs w:val="14"/>
              </w:rPr>
            </w:pPr>
          </w:p>
        </w:tc>
        <w:tc>
          <w:tcPr>
            <w:tcW w:w="1408" w:type="dxa"/>
            <w:tcBorders>
              <w:top w:val="single" w:sz="4" w:space="0" w:color="auto"/>
              <w:left w:val="single" w:sz="4" w:space="0" w:color="auto"/>
              <w:bottom w:val="single" w:sz="8" w:space="0" w:color="auto"/>
              <w:right w:val="single" w:sz="4" w:space="0" w:color="auto"/>
            </w:tcBorders>
            <w:tcMar>
              <w:left w:w="28" w:type="dxa"/>
              <w:right w:w="113" w:type="dxa"/>
            </w:tcMar>
            <w:vAlign w:val="center"/>
          </w:tcPr>
          <w:p w14:paraId="0D6C623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49</w:t>
            </w:r>
          </w:p>
        </w:tc>
      </w:tr>
      <w:tr w:rsidR="00492E94" w:rsidRPr="00BF2CF5" w14:paraId="39E5E602" w14:textId="77777777" w:rsidTr="00070514">
        <w:trPr>
          <w:jc w:val="center"/>
        </w:trPr>
        <w:tc>
          <w:tcPr>
            <w:tcW w:w="2698" w:type="dxa"/>
            <w:tcBorders>
              <w:top w:val="single" w:sz="8" w:space="0" w:color="auto"/>
              <w:bottom w:val="single" w:sz="4" w:space="0" w:color="auto"/>
            </w:tcBorders>
            <w:vAlign w:val="center"/>
          </w:tcPr>
          <w:p w14:paraId="491E4A75" w14:textId="425D079D" w:rsidR="00492E94" w:rsidRPr="00BF2CF5" w:rsidRDefault="00492E94" w:rsidP="00070514">
            <w:pPr>
              <w:spacing w:before="40" w:after="40" w:line="240" w:lineRule="auto"/>
              <w:ind w:left="28"/>
              <w:rPr>
                <w:rFonts w:ascii="Arial" w:eastAsia="Times New Roman" w:hAnsi="Arial"/>
                <w:b/>
                <w:bCs/>
                <w:color w:val="000000" w:themeColor="text1"/>
                <w:sz w:val="14"/>
                <w:szCs w:val="14"/>
                <w:lang w:val="en-GB" w:eastAsia="en-GB"/>
              </w:rPr>
            </w:pPr>
            <w:r w:rsidRPr="00BF2CF5">
              <w:rPr>
                <w:rFonts w:ascii="Arial" w:eastAsia="Times New Roman" w:hAnsi="Arial"/>
                <w:b/>
                <w:bCs/>
                <w:color w:val="000000" w:themeColor="text1"/>
                <w:sz w:val="14"/>
                <w:szCs w:val="14"/>
                <w:lang w:val="en-GB" w:eastAsia="en-GB"/>
              </w:rPr>
              <w:t>Child-specific items</w:t>
            </w:r>
            <w:r w:rsidR="00CE5B08">
              <w:rPr>
                <w:rFonts w:ascii="Arial" w:eastAsia="Times New Roman" w:hAnsi="Arial"/>
                <w:b/>
                <w:bCs/>
                <w:color w:val="000000" w:themeColor="text1"/>
                <w:sz w:val="14"/>
                <w:szCs w:val="14"/>
                <w:lang w:val="en-GB" w:eastAsia="en-GB"/>
              </w:rPr>
              <w:t xml:space="preserve"> (6-17s)</w:t>
            </w:r>
          </w:p>
        </w:tc>
        <w:tc>
          <w:tcPr>
            <w:tcW w:w="1559" w:type="dxa"/>
            <w:tcBorders>
              <w:top w:val="single" w:sz="8" w:space="0" w:color="auto"/>
              <w:bottom w:val="single" w:sz="4" w:space="0" w:color="auto"/>
              <w:right w:val="single" w:sz="8" w:space="0" w:color="auto"/>
            </w:tcBorders>
            <w:vAlign w:val="bottom"/>
          </w:tcPr>
          <w:p w14:paraId="2A1B3F06"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 </w:t>
            </w:r>
          </w:p>
        </w:tc>
        <w:tc>
          <w:tcPr>
            <w:tcW w:w="709" w:type="dxa"/>
            <w:tcBorders>
              <w:top w:val="single" w:sz="8" w:space="0" w:color="auto"/>
              <w:left w:val="single" w:sz="8" w:space="0" w:color="auto"/>
              <w:bottom w:val="single" w:sz="4" w:space="0" w:color="auto"/>
              <w:right w:val="single" w:sz="4" w:space="0" w:color="auto"/>
            </w:tcBorders>
            <w:shd w:val="clear" w:color="auto" w:fill="D9D9D9"/>
            <w:noWrap/>
            <w:tcMar>
              <w:left w:w="28" w:type="dxa"/>
              <w:right w:w="170" w:type="dxa"/>
            </w:tcMar>
            <w:vAlign w:val="center"/>
          </w:tcPr>
          <w:p w14:paraId="724D9ED2"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c>
          <w:tcPr>
            <w:tcW w:w="709" w:type="dxa"/>
            <w:tcBorders>
              <w:top w:val="single" w:sz="8" w:space="0" w:color="auto"/>
              <w:left w:val="single" w:sz="4" w:space="0" w:color="auto"/>
              <w:bottom w:val="single" w:sz="4" w:space="0" w:color="auto"/>
              <w:right w:val="single" w:sz="4" w:space="0" w:color="auto"/>
            </w:tcBorders>
            <w:vAlign w:val="center"/>
          </w:tcPr>
          <w:p w14:paraId="26D2CFBB"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 </w:t>
            </w:r>
          </w:p>
        </w:tc>
        <w:tc>
          <w:tcPr>
            <w:tcW w:w="709" w:type="dxa"/>
            <w:tcBorders>
              <w:top w:val="single" w:sz="8" w:space="0" w:color="auto"/>
              <w:left w:val="single" w:sz="4" w:space="0" w:color="auto"/>
              <w:bottom w:val="single" w:sz="4" w:space="0" w:color="auto"/>
              <w:right w:val="single" w:sz="4" w:space="0" w:color="auto"/>
            </w:tcBorders>
            <w:tcMar>
              <w:left w:w="28" w:type="dxa"/>
              <w:right w:w="113" w:type="dxa"/>
            </w:tcMar>
            <w:vAlign w:val="center"/>
          </w:tcPr>
          <w:p w14:paraId="00781314"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c>
          <w:tcPr>
            <w:tcW w:w="708" w:type="dxa"/>
            <w:tcBorders>
              <w:top w:val="single" w:sz="8" w:space="0" w:color="auto"/>
              <w:left w:val="single" w:sz="4" w:space="0" w:color="auto"/>
              <w:bottom w:val="single" w:sz="4" w:space="0" w:color="auto"/>
              <w:right w:val="single" w:sz="4" w:space="0" w:color="auto"/>
            </w:tcBorders>
            <w:tcMar>
              <w:left w:w="28" w:type="dxa"/>
              <w:right w:w="113" w:type="dxa"/>
            </w:tcMar>
            <w:vAlign w:val="center"/>
          </w:tcPr>
          <w:p w14:paraId="1980871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c>
          <w:tcPr>
            <w:tcW w:w="284" w:type="dxa"/>
            <w:tcBorders>
              <w:top w:val="single" w:sz="8" w:space="0" w:color="auto"/>
              <w:left w:val="single" w:sz="4" w:space="0" w:color="auto"/>
              <w:bottom w:val="single" w:sz="4" w:space="0" w:color="auto"/>
              <w:right w:val="single" w:sz="4" w:space="0" w:color="auto"/>
            </w:tcBorders>
            <w:tcMar>
              <w:left w:w="28" w:type="dxa"/>
              <w:right w:w="113" w:type="dxa"/>
            </w:tcMar>
            <w:vAlign w:val="center"/>
          </w:tcPr>
          <w:p w14:paraId="72CB1FE5"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top w:val="single" w:sz="8" w:space="0" w:color="auto"/>
              <w:left w:val="single" w:sz="4" w:space="0" w:color="auto"/>
              <w:bottom w:val="single" w:sz="4" w:space="0" w:color="auto"/>
              <w:right w:val="single" w:sz="4" w:space="0" w:color="auto"/>
            </w:tcBorders>
            <w:tcMar>
              <w:left w:w="28" w:type="dxa"/>
              <w:right w:w="113" w:type="dxa"/>
            </w:tcMar>
            <w:vAlign w:val="center"/>
          </w:tcPr>
          <w:p w14:paraId="759395C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r>
      <w:tr w:rsidR="00492E94" w:rsidRPr="00BF2CF5" w14:paraId="3A7FC1EA" w14:textId="77777777" w:rsidTr="00070514">
        <w:trPr>
          <w:jc w:val="center"/>
        </w:trPr>
        <w:tc>
          <w:tcPr>
            <w:tcW w:w="2698" w:type="dxa"/>
            <w:tcBorders>
              <w:top w:val="single" w:sz="4" w:space="0" w:color="auto"/>
            </w:tcBorders>
            <w:vAlign w:val="bottom"/>
          </w:tcPr>
          <w:p w14:paraId="43B5B82A" w14:textId="05C38AF4"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Two pair</w:t>
            </w:r>
            <w:r w:rsidR="00453DD4">
              <w:rPr>
                <w:rFonts w:ascii="Arial" w:eastAsia="Times New Roman" w:hAnsi="Arial"/>
                <w:color w:val="000000" w:themeColor="text1"/>
                <w:sz w:val="14"/>
                <w:szCs w:val="14"/>
                <w:lang w:val="en-GB" w:eastAsia="en-GB"/>
              </w:rPr>
              <w:t>s</w:t>
            </w:r>
            <w:r w:rsidRPr="00BF2CF5">
              <w:rPr>
                <w:rFonts w:ascii="Arial" w:eastAsia="Times New Roman" w:hAnsi="Arial"/>
                <w:color w:val="000000" w:themeColor="text1"/>
                <w:sz w:val="14"/>
                <w:szCs w:val="14"/>
                <w:lang w:val="en-GB" w:eastAsia="en-GB"/>
              </w:rPr>
              <w:t xml:space="preserve"> of </w:t>
            </w:r>
            <w:r w:rsidR="00453DD4">
              <w:rPr>
                <w:rFonts w:ascii="Arial" w:eastAsia="Times New Roman" w:hAnsi="Arial"/>
                <w:color w:val="000000" w:themeColor="text1"/>
                <w:sz w:val="14"/>
                <w:szCs w:val="14"/>
                <w:lang w:val="en-GB" w:eastAsia="en-GB"/>
              </w:rPr>
              <w:t xml:space="preserve">good </w:t>
            </w:r>
            <w:r w:rsidRPr="00BF2CF5">
              <w:rPr>
                <w:rFonts w:ascii="Arial" w:eastAsia="Times New Roman" w:hAnsi="Arial"/>
                <w:color w:val="000000" w:themeColor="text1"/>
                <w:sz w:val="14"/>
                <w:szCs w:val="14"/>
                <w:lang w:val="en-GB" w:eastAsia="en-GB"/>
              </w:rPr>
              <w:t>shoes</w:t>
            </w:r>
          </w:p>
        </w:tc>
        <w:tc>
          <w:tcPr>
            <w:tcW w:w="1559" w:type="dxa"/>
            <w:tcBorders>
              <w:top w:val="single" w:sz="4" w:space="0" w:color="auto"/>
              <w:right w:val="single" w:sz="8" w:space="0" w:color="auto"/>
            </w:tcBorders>
            <w:vAlign w:val="bottom"/>
          </w:tcPr>
          <w:p w14:paraId="2D66EA24"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w:t>
            </w:r>
          </w:p>
        </w:tc>
        <w:tc>
          <w:tcPr>
            <w:tcW w:w="709" w:type="dxa"/>
            <w:tcBorders>
              <w:top w:val="single" w:sz="4" w:space="0" w:color="auto"/>
              <w:left w:val="single" w:sz="8" w:space="0" w:color="auto"/>
              <w:right w:val="single" w:sz="4" w:space="0" w:color="auto"/>
            </w:tcBorders>
            <w:shd w:val="clear" w:color="auto" w:fill="D9D9D9"/>
            <w:noWrap/>
            <w:tcMar>
              <w:left w:w="28" w:type="dxa"/>
              <w:right w:w="170" w:type="dxa"/>
            </w:tcMar>
            <w:vAlign w:val="center"/>
          </w:tcPr>
          <w:p w14:paraId="60313A79"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4</w:t>
            </w:r>
          </w:p>
        </w:tc>
        <w:tc>
          <w:tcPr>
            <w:tcW w:w="709" w:type="dxa"/>
            <w:tcBorders>
              <w:top w:val="single" w:sz="4" w:space="0" w:color="auto"/>
              <w:left w:val="single" w:sz="4" w:space="0" w:color="auto"/>
              <w:right w:val="single" w:sz="4" w:space="0" w:color="auto"/>
            </w:tcBorders>
            <w:vAlign w:val="center"/>
          </w:tcPr>
          <w:p w14:paraId="5B9D142A"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top w:val="single" w:sz="4" w:space="0" w:color="auto"/>
              <w:left w:val="single" w:sz="4" w:space="0" w:color="auto"/>
              <w:right w:val="single" w:sz="4" w:space="0" w:color="auto"/>
            </w:tcBorders>
            <w:tcMar>
              <w:left w:w="28" w:type="dxa"/>
              <w:right w:w="113" w:type="dxa"/>
            </w:tcMar>
            <w:vAlign w:val="center"/>
          </w:tcPr>
          <w:p w14:paraId="341B71CA"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19</w:t>
            </w:r>
          </w:p>
        </w:tc>
        <w:tc>
          <w:tcPr>
            <w:tcW w:w="708" w:type="dxa"/>
            <w:tcBorders>
              <w:top w:val="single" w:sz="4" w:space="0" w:color="auto"/>
              <w:left w:val="single" w:sz="4" w:space="0" w:color="auto"/>
              <w:right w:val="single" w:sz="4" w:space="0" w:color="auto"/>
            </w:tcBorders>
            <w:tcMar>
              <w:left w:w="28" w:type="dxa"/>
              <w:right w:w="113" w:type="dxa"/>
            </w:tcMar>
            <w:vAlign w:val="center"/>
          </w:tcPr>
          <w:p w14:paraId="1BE926C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28</w:t>
            </w:r>
          </w:p>
        </w:tc>
        <w:tc>
          <w:tcPr>
            <w:tcW w:w="284" w:type="dxa"/>
            <w:tcBorders>
              <w:top w:val="single" w:sz="4" w:space="0" w:color="auto"/>
              <w:left w:val="single" w:sz="4" w:space="0" w:color="auto"/>
              <w:bottom w:val="nil"/>
              <w:right w:val="single" w:sz="4" w:space="0" w:color="auto"/>
            </w:tcBorders>
            <w:tcMar>
              <w:left w:w="28" w:type="dxa"/>
              <w:right w:w="113" w:type="dxa"/>
            </w:tcMar>
            <w:vAlign w:val="center"/>
          </w:tcPr>
          <w:p w14:paraId="5A8081D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top w:val="single" w:sz="4" w:space="0" w:color="auto"/>
              <w:left w:val="single" w:sz="4" w:space="0" w:color="auto"/>
              <w:right w:val="single" w:sz="4" w:space="0" w:color="auto"/>
            </w:tcBorders>
            <w:tcMar>
              <w:left w:w="28" w:type="dxa"/>
              <w:right w:w="113" w:type="dxa"/>
            </w:tcMar>
            <w:vAlign w:val="center"/>
          </w:tcPr>
          <w:p w14:paraId="0F01289D"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67</w:t>
            </w:r>
          </w:p>
        </w:tc>
      </w:tr>
      <w:tr w:rsidR="00492E94" w:rsidRPr="00BF2CF5" w14:paraId="6A995351" w14:textId="77777777" w:rsidTr="00070514">
        <w:trPr>
          <w:jc w:val="center"/>
        </w:trPr>
        <w:tc>
          <w:tcPr>
            <w:tcW w:w="2698" w:type="dxa"/>
            <w:vAlign w:val="bottom"/>
          </w:tcPr>
          <w:p w14:paraId="523EEE4C" w14:textId="46098BBF"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Two sets</w:t>
            </w:r>
            <w:r w:rsidR="00453DD4">
              <w:rPr>
                <w:rFonts w:ascii="Arial" w:eastAsia="Times New Roman" w:hAnsi="Arial"/>
                <w:color w:val="000000" w:themeColor="text1"/>
                <w:sz w:val="14"/>
                <w:szCs w:val="14"/>
                <w:lang w:val="en-GB" w:eastAsia="en-GB"/>
              </w:rPr>
              <w:t xml:space="preserve"> of</w:t>
            </w:r>
            <w:r w:rsidRPr="00BF2CF5">
              <w:rPr>
                <w:rFonts w:ascii="Arial" w:eastAsia="Times New Roman" w:hAnsi="Arial"/>
                <w:color w:val="000000" w:themeColor="text1"/>
                <w:sz w:val="14"/>
                <w:szCs w:val="14"/>
                <w:lang w:val="en-GB" w:eastAsia="en-GB"/>
              </w:rPr>
              <w:t xml:space="preserve"> </w:t>
            </w:r>
            <w:r w:rsidR="00453DD4">
              <w:rPr>
                <w:rFonts w:ascii="Arial" w:eastAsia="Times New Roman" w:hAnsi="Arial"/>
                <w:color w:val="000000" w:themeColor="text1"/>
                <w:sz w:val="14"/>
                <w:szCs w:val="14"/>
                <w:lang w:val="en-GB" w:eastAsia="en-GB"/>
              </w:rPr>
              <w:t xml:space="preserve">warm </w:t>
            </w:r>
            <w:r w:rsidRPr="00BF2CF5">
              <w:rPr>
                <w:rFonts w:ascii="Arial" w:eastAsia="Times New Roman" w:hAnsi="Arial"/>
                <w:color w:val="000000" w:themeColor="text1"/>
                <w:sz w:val="14"/>
                <w:szCs w:val="14"/>
                <w:lang w:val="en-GB" w:eastAsia="en-GB"/>
              </w:rPr>
              <w:t>winter clothes</w:t>
            </w:r>
          </w:p>
        </w:tc>
        <w:tc>
          <w:tcPr>
            <w:tcW w:w="1559" w:type="dxa"/>
            <w:tcBorders>
              <w:right w:val="single" w:sz="8" w:space="0" w:color="auto"/>
            </w:tcBorders>
            <w:vAlign w:val="bottom"/>
          </w:tcPr>
          <w:p w14:paraId="5348AD9A"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2638DE8A"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1</w:t>
            </w:r>
          </w:p>
        </w:tc>
        <w:tc>
          <w:tcPr>
            <w:tcW w:w="709" w:type="dxa"/>
            <w:tcBorders>
              <w:left w:val="single" w:sz="4" w:space="0" w:color="auto"/>
              <w:right w:val="single" w:sz="4" w:space="0" w:color="auto"/>
            </w:tcBorders>
            <w:vAlign w:val="center"/>
          </w:tcPr>
          <w:p w14:paraId="6EBE15B1"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left w:val="single" w:sz="4" w:space="0" w:color="auto"/>
              <w:right w:val="single" w:sz="4" w:space="0" w:color="auto"/>
            </w:tcBorders>
            <w:tcMar>
              <w:left w:w="28" w:type="dxa"/>
              <w:right w:w="113" w:type="dxa"/>
            </w:tcMar>
            <w:vAlign w:val="center"/>
          </w:tcPr>
          <w:p w14:paraId="0D532509"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w:t>
            </w:r>
          </w:p>
        </w:tc>
        <w:tc>
          <w:tcPr>
            <w:tcW w:w="708" w:type="dxa"/>
            <w:tcBorders>
              <w:left w:val="single" w:sz="4" w:space="0" w:color="auto"/>
              <w:right w:val="single" w:sz="4" w:space="0" w:color="auto"/>
            </w:tcBorders>
            <w:tcMar>
              <w:left w:w="28" w:type="dxa"/>
              <w:right w:w="113" w:type="dxa"/>
            </w:tcMar>
            <w:vAlign w:val="center"/>
          </w:tcPr>
          <w:p w14:paraId="49C075F4"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10</w:t>
            </w:r>
          </w:p>
        </w:tc>
        <w:tc>
          <w:tcPr>
            <w:tcW w:w="284" w:type="dxa"/>
            <w:tcBorders>
              <w:top w:val="nil"/>
              <w:left w:val="single" w:sz="4" w:space="0" w:color="auto"/>
              <w:bottom w:val="nil"/>
              <w:right w:val="single" w:sz="4" w:space="0" w:color="auto"/>
            </w:tcBorders>
            <w:tcMar>
              <w:left w:w="28" w:type="dxa"/>
              <w:right w:w="113" w:type="dxa"/>
            </w:tcMar>
            <w:vAlign w:val="center"/>
          </w:tcPr>
          <w:p w14:paraId="7779E78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1AB3463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65</w:t>
            </w:r>
          </w:p>
        </w:tc>
      </w:tr>
      <w:tr w:rsidR="00492E94" w:rsidRPr="00BF2CF5" w14:paraId="5874D370" w14:textId="77777777" w:rsidTr="00070514">
        <w:trPr>
          <w:jc w:val="center"/>
        </w:trPr>
        <w:tc>
          <w:tcPr>
            <w:tcW w:w="2698" w:type="dxa"/>
            <w:vAlign w:val="bottom"/>
          </w:tcPr>
          <w:p w14:paraId="171E3221" w14:textId="479AFA13" w:rsidR="00492E94" w:rsidRPr="00BF2CF5" w:rsidRDefault="00453DD4" w:rsidP="00070514">
            <w:pPr>
              <w:spacing w:before="40" w:after="40" w:line="240" w:lineRule="auto"/>
              <w:ind w:left="176"/>
              <w:rPr>
                <w:rFonts w:ascii="Arial" w:eastAsia="Times New Roman" w:hAnsi="Arial"/>
                <w:color w:val="000000" w:themeColor="text1"/>
                <w:sz w:val="14"/>
                <w:szCs w:val="14"/>
                <w:lang w:val="en-GB" w:eastAsia="en-GB"/>
              </w:rPr>
            </w:pPr>
            <w:r>
              <w:rPr>
                <w:rFonts w:ascii="Arial" w:eastAsia="Times New Roman" w:hAnsi="Arial"/>
                <w:color w:val="000000" w:themeColor="text1"/>
                <w:sz w:val="14"/>
                <w:szCs w:val="14"/>
                <w:lang w:val="en-GB" w:eastAsia="en-GB"/>
              </w:rPr>
              <w:t>A w</w:t>
            </w:r>
            <w:r w:rsidR="00492E94" w:rsidRPr="00BF2CF5">
              <w:rPr>
                <w:rFonts w:ascii="Arial" w:eastAsia="Times New Roman" w:hAnsi="Arial"/>
                <w:color w:val="000000" w:themeColor="text1"/>
                <w:sz w:val="14"/>
                <w:szCs w:val="14"/>
                <w:lang w:val="en-GB" w:eastAsia="en-GB"/>
              </w:rPr>
              <w:t>aterproof coat</w:t>
            </w:r>
          </w:p>
        </w:tc>
        <w:tc>
          <w:tcPr>
            <w:tcW w:w="1559" w:type="dxa"/>
            <w:tcBorders>
              <w:right w:val="single" w:sz="8" w:space="0" w:color="auto"/>
            </w:tcBorders>
            <w:vAlign w:val="bottom"/>
          </w:tcPr>
          <w:p w14:paraId="7C75DE72"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 - cost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50E3C009"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4</w:t>
            </w:r>
          </w:p>
        </w:tc>
        <w:tc>
          <w:tcPr>
            <w:tcW w:w="709" w:type="dxa"/>
            <w:tcBorders>
              <w:left w:val="single" w:sz="4" w:space="0" w:color="auto"/>
              <w:right w:val="single" w:sz="4" w:space="0" w:color="auto"/>
            </w:tcBorders>
            <w:vAlign w:val="center"/>
          </w:tcPr>
          <w:p w14:paraId="4C4B0697"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2</w:t>
            </w:r>
          </w:p>
        </w:tc>
        <w:tc>
          <w:tcPr>
            <w:tcW w:w="709" w:type="dxa"/>
            <w:tcBorders>
              <w:left w:val="single" w:sz="4" w:space="0" w:color="auto"/>
              <w:right w:val="single" w:sz="4" w:space="0" w:color="auto"/>
            </w:tcBorders>
            <w:tcMar>
              <w:left w:w="28" w:type="dxa"/>
              <w:right w:w="113" w:type="dxa"/>
            </w:tcMar>
            <w:vAlign w:val="center"/>
          </w:tcPr>
          <w:p w14:paraId="7548A93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20</w:t>
            </w:r>
          </w:p>
        </w:tc>
        <w:tc>
          <w:tcPr>
            <w:tcW w:w="708" w:type="dxa"/>
            <w:tcBorders>
              <w:left w:val="single" w:sz="4" w:space="0" w:color="auto"/>
              <w:right w:val="single" w:sz="4" w:space="0" w:color="auto"/>
            </w:tcBorders>
            <w:tcMar>
              <w:left w:w="28" w:type="dxa"/>
              <w:right w:w="113" w:type="dxa"/>
            </w:tcMar>
            <w:vAlign w:val="center"/>
          </w:tcPr>
          <w:p w14:paraId="7F90A56D"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23</w:t>
            </w:r>
          </w:p>
        </w:tc>
        <w:tc>
          <w:tcPr>
            <w:tcW w:w="284" w:type="dxa"/>
            <w:tcBorders>
              <w:top w:val="nil"/>
              <w:left w:val="single" w:sz="4" w:space="0" w:color="auto"/>
              <w:bottom w:val="nil"/>
              <w:right w:val="single" w:sz="4" w:space="0" w:color="auto"/>
            </w:tcBorders>
            <w:tcMar>
              <w:left w:w="28" w:type="dxa"/>
              <w:right w:w="113" w:type="dxa"/>
            </w:tcMar>
            <w:vAlign w:val="center"/>
          </w:tcPr>
          <w:p w14:paraId="6B274FF0"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5E32A87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62</w:t>
            </w:r>
          </w:p>
        </w:tc>
      </w:tr>
      <w:tr w:rsidR="00492E94" w:rsidRPr="00BF2CF5" w14:paraId="77F961FA" w14:textId="77777777" w:rsidTr="00070514">
        <w:trPr>
          <w:jc w:val="center"/>
        </w:trPr>
        <w:tc>
          <w:tcPr>
            <w:tcW w:w="2698" w:type="dxa"/>
            <w:vAlign w:val="bottom"/>
          </w:tcPr>
          <w:p w14:paraId="14E0481B" w14:textId="13921051" w:rsidR="00492E94" w:rsidRPr="00BF2CF5" w:rsidRDefault="00453DD4" w:rsidP="00070514">
            <w:pPr>
              <w:spacing w:before="40" w:after="40" w:line="240" w:lineRule="auto"/>
              <w:ind w:left="176"/>
              <w:rPr>
                <w:rFonts w:ascii="Arial" w:eastAsia="Times New Roman" w:hAnsi="Arial"/>
                <w:color w:val="000000" w:themeColor="text1"/>
                <w:sz w:val="14"/>
                <w:szCs w:val="14"/>
                <w:lang w:val="en-GB" w:eastAsia="en-GB"/>
              </w:rPr>
            </w:pPr>
            <w:r>
              <w:rPr>
                <w:rFonts w:ascii="Arial" w:eastAsia="Times New Roman" w:hAnsi="Arial"/>
                <w:color w:val="000000" w:themeColor="text1"/>
                <w:sz w:val="14"/>
                <w:szCs w:val="14"/>
                <w:lang w:val="en-GB" w:eastAsia="en-GB"/>
              </w:rPr>
              <w:t>A w</w:t>
            </w:r>
            <w:r w:rsidR="00492E94" w:rsidRPr="00BF2CF5">
              <w:rPr>
                <w:rFonts w:ascii="Arial" w:eastAsia="Times New Roman" w:hAnsi="Arial"/>
                <w:color w:val="000000" w:themeColor="text1"/>
                <w:sz w:val="14"/>
                <w:szCs w:val="14"/>
                <w:lang w:val="en-GB" w:eastAsia="en-GB"/>
              </w:rPr>
              <w:t>aterproof coat</w:t>
            </w:r>
          </w:p>
        </w:tc>
        <w:tc>
          <w:tcPr>
            <w:tcW w:w="1559" w:type="dxa"/>
            <w:tcBorders>
              <w:right w:val="single" w:sz="8" w:space="0" w:color="auto"/>
            </w:tcBorders>
            <w:vAlign w:val="bottom"/>
          </w:tcPr>
          <w:p w14:paraId="7B3AF42B"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 - other</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1FB616F3"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3</w:t>
            </w:r>
          </w:p>
        </w:tc>
        <w:tc>
          <w:tcPr>
            <w:tcW w:w="709" w:type="dxa"/>
            <w:tcBorders>
              <w:left w:val="single" w:sz="4" w:space="0" w:color="auto"/>
              <w:right w:val="single" w:sz="4" w:space="0" w:color="auto"/>
            </w:tcBorders>
            <w:vAlign w:val="center"/>
          </w:tcPr>
          <w:p w14:paraId="279B2F89"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w:t>
            </w:r>
          </w:p>
        </w:tc>
        <w:tc>
          <w:tcPr>
            <w:tcW w:w="709" w:type="dxa"/>
            <w:tcBorders>
              <w:left w:val="single" w:sz="4" w:space="0" w:color="auto"/>
              <w:right w:val="single" w:sz="4" w:space="0" w:color="auto"/>
            </w:tcBorders>
            <w:tcMar>
              <w:left w:w="28" w:type="dxa"/>
              <w:right w:w="113" w:type="dxa"/>
            </w:tcMar>
            <w:vAlign w:val="center"/>
          </w:tcPr>
          <w:p w14:paraId="077B6AA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w:t>
            </w:r>
          </w:p>
        </w:tc>
        <w:tc>
          <w:tcPr>
            <w:tcW w:w="708" w:type="dxa"/>
            <w:tcBorders>
              <w:left w:val="single" w:sz="4" w:space="0" w:color="auto"/>
              <w:right w:val="single" w:sz="4" w:space="0" w:color="auto"/>
            </w:tcBorders>
            <w:tcMar>
              <w:left w:w="28" w:type="dxa"/>
              <w:right w:w="113" w:type="dxa"/>
            </w:tcMar>
            <w:vAlign w:val="center"/>
          </w:tcPr>
          <w:p w14:paraId="24B7078C"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w:t>
            </w:r>
          </w:p>
        </w:tc>
        <w:tc>
          <w:tcPr>
            <w:tcW w:w="284" w:type="dxa"/>
            <w:tcBorders>
              <w:top w:val="nil"/>
              <w:left w:val="single" w:sz="4" w:space="0" w:color="auto"/>
              <w:bottom w:val="nil"/>
              <w:right w:val="single" w:sz="4" w:space="0" w:color="auto"/>
            </w:tcBorders>
            <w:tcMar>
              <w:left w:w="28" w:type="dxa"/>
              <w:right w:w="113" w:type="dxa"/>
            </w:tcMar>
            <w:vAlign w:val="center"/>
          </w:tcPr>
          <w:p w14:paraId="1CA943E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249EB7AE"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31</w:t>
            </w:r>
          </w:p>
        </w:tc>
      </w:tr>
      <w:tr w:rsidR="00492E94" w:rsidRPr="00BF2CF5" w14:paraId="1A961EB6" w14:textId="77777777" w:rsidTr="00070514">
        <w:trPr>
          <w:jc w:val="center"/>
        </w:trPr>
        <w:tc>
          <w:tcPr>
            <w:tcW w:w="2698" w:type="dxa"/>
            <w:vAlign w:val="bottom"/>
          </w:tcPr>
          <w:p w14:paraId="3530B6DF"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Separate bed</w:t>
            </w:r>
          </w:p>
        </w:tc>
        <w:tc>
          <w:tcPr>
            <w:tcW w:w="1559" w:type="dxa"/>
            <w:tcBorders>
              <w:right w:val="single" w:sz="8" w:space="0" w:color="auto"/>
            </w:tcBorders>
            <w:vAlign w:val="bottom"/>
          </w:tcPr>
          <w:p w14:paraId="28E45704"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5AEAEB4D"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4</w:t>
            </w:r>
          </w:p>
        </w:tc>
        <w:tc>
          <w:tcPr>
            <w:tcW w:w="709" w:type="dxa"/>
            <w:tcBorders>
              <w:left w:val="single" w:sz="4" w:space="0" w:color="auto"/>
              <w:right w:val="single" w:sz="4" w:space="0" w:color="auto"/>
            </w:tcBorders>
            <w:vAlign w:val="center"/>
          </w:tcPr>
          <w:p w14:paraId="0151C151"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2</w:t>
            </w:r>
          </w:p>
        </w:tc>
        <w:tc>
          <w:tcPr>
            <w:tcW w:w="709" w:type="dxa"/>
            <w:tcBorders>
              <w:left w:val="single" w:sz="4" w:space="0" w:color="auto"/>
              <w:right w:val="single" w:sz="4" w:space="0" w:color="auto"/>
            </w:tcBorders>
            <w:tcMar>
              <w:left w:w="28" w:type="dxa"/>
              <w:right w:w="113" w:type="dxa"/>
            </w:tcMar>
            <w:vAlign w:val="center"/>
          </w:tcPr>
          <w:p w14:paraId="3871F9D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15</w:t>
            </w:r>
          </w:p>
        </w:tc>
        <w:tc>
          <w:tcPr>
            <w:tcW w:w="708" w:type="dxa"/>
            <w:tcBorders>
              <w:left w:val="single" w:sz="4" w:space="0" w:color="auto"/>
              <w:right w:val="single" w:sz="4" w:space="0" w:color="auto"/>
            </w:tcBorders>
            <w:tcMar>
              <w:left w:w="28" w:type="dxa"/>
              <w:right w:w="113" w:type="dxa"/>
            </w:tcMar>
            <w:vAlign w:val="center"/>
          </w:tcPr>
          <w:p w14:paraId="0789CC6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16</w:t>
            </w:r>
          </w:p>
        </w:tc>
        <w:tc>
          <w:tcPr>
            <w:tcW w:w="284" w:type="dxa"/>
            <w:tcBorders>
              <w:top w:val="nil"/>
              <w:left w:val="single" w:sz="4" w:space="0" w:color="auto"/>
              <w:bottom w:val="nil"/>
              <w:right w:val="single" w:sz="4" w:space="0" w:color="auto"/>
            </w:tcBorders>
            <w:tcMar>
              <w:left w:w="28" w:type="dxa"/>
              <w:right w:w="113" w:type="dxa"/>
            </w:tcMar>
            <w:vAlign w:val="center"/>
          </w:tcPr>
          <w:p w14:paraId="4C72511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589D0358"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51</w:t>
            </w:r>
          </w:p>
        </w:tc>
      </w:tr>
      <w:tr w:rsidR="00492E94" w:rsidRPr="00BF2CF5" w14:paraId="201FC1EE" w14:textId="77777777" w:rsidTr="00070514">
        <w:trPr>
          <w:jc w:val="center"/>
        </w:trPr>
        <w:tc>
          <w:tcPr>
            <w:tcW w:w="2698" w:type="dxa"/>
            <w:vAlign w:val="bottom"/>
          </w:tcPr>
          <w:p w14:paraId="0C24FA7F"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Fruit and veg daily</w:t>
            </w:r>
          </w:p>
        </w:tc>
        <w:tc>
          <w:tcPr>
            <w:tcW w:w="1559" w:type="dxa"/>
            <w:tcBorders>
              <w:right w:val="single" w:sz="8" w:space="0" w:color="auto"/>
            </w:tcBorders>
            <w:vAlign w:val="bottom"/>
          </w:tcPr>
          <w:p w14:paraId="01AA8D77"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0701D1F8"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8</w:t>
            </w:r>
          </w:p>
        </w:tc>
        <w:tc>
          <w:tcPr>
            <w:tcW w:w="709" w:type="dxa"/>
            <w:tcBorders>
              <w:left w:val="single" w:sz="4" w:space="0" w:color="auto"/>
              <w:right w:val="single" w:sz="4" w:space="0" w:color="auto"/>
            </w:tcBorders>
            <w:vAlign w:val="center"/>
          </w:tcPr>
          <w:p w14:paraId="6BE0D25D"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4</w:t>
            </w:r>
          </w:p>
        </w:tc>
        <w:tc>
          <w:tcPr>
            <w:tcW w:w="709" w:type="dxa"/>
            <w:tcBorders>
              <w:left w:val="single" w:sz="4" w:space="0" w:color="auto"/>
              <w:right w:val="single" w:sz="4" w:space="0" w:color="auto"/>
            </w:tcBorders>
            <w:tcMar>
              <w:left w:w="28" w:type="dxa"/>
              <w:right w:w="113" w:type="dxa"/>
            </w:tcMar>
            <w:vAlign w:val="center"/>
          </w:tcPr>
          <w:p w14:paraId="2AF31E4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34</w:t>
            </w:r>
          </w:p>
        </w:tc>
        <w:tc>
          <w:tcPr>
            <w:tcW w:w="708" w:type="dxa"/>
            <w:tcBorders>
              <w:left w:val="single" w:sz="4" w:space="0" w:color="auto"/>
              <w:right w:val="single" w:sz="4" w:space="0" w:color="auto"/>
            </w:tcBorders>
            <w:tcMar>
              <w:left w:w="28" w:type="dxa"/>
              <w:right w:w="113" w:type="dxa"/>
            </w:tcMar>
            <w:vAlign w:val="center"/>
          </w:tcPr>
          <w:p w14:paraId="4BDC847F"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47</w:t>
            </w:r>
          </w:p>
        </w:tc>
        <w:tc>
          <w:tcPr>
            <w:tcW w:w="284" w:type="dxa"/>
            <w:tcBorders>
              <w:top w:val="nil"/>
              <w:left w:val="single" w:sz="4" w:space="0" w:color="auto"/>
              <w:bottom w:val="nil"/>
              <w:right w:val="single" w:sz="4" w:space="0" w:color="auto"/>
            </w:tcBorders>
            <w:tcMar>
              <w:left w:w="28" w:type="dxa"/>
              <w:right w:w="113" w:type="dxa"/>
            </w:tcMar>
            <w:vAlign w:val="center"/>
          </w:tcPr>
          <w:p w14:paraId="65D3D0A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09F892AE"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58</w:t>
            </w:r>
          </w:p>
        </w:tc>
      </w:tr>
      <w:tr w:rsidR="00492E94" w:rsidRPr="00BF2CF5" w14:paraId="5847B129" w14:textId="77777777" w:rsidTr="00070514">
        <w:trPr>
          <w:jc w:val="center"/>
        </w:trPr>
        <w:tc>
          <w:tcPr>
            <w:tcW w:w="2698" w:type="dxa"/>
            <w:vAlign w:val="bottom"/>
          </w:tcPr>
          <w:p w14:paraId="7D5F7B15"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Protein meal daily</w:t>
            </w:r>
          </w:p>
        </w:tc>
        <w:tc>
          <w:tcPr>
            <w:tcW w:w="1559" w:type="dxa"/>
            <w:tcBorders>
              <w:right w:val="single" w:sz="8" w:space="0" w:color="auto"/>
            </w:tcBorders>
            <w:vAlign w:val="bottom"/>
          </w:tcPr>
          <w:p w14:paraId="5301DA9A"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092C1719"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5</w:t>
            </w:r>
          </w:p>
        </w:tc>
        <w:tc>
          <w:tcPr>
            <w:tcW w:w="709" w:type="dxa"/>
            <w:tcBorders>
              <w:left w:val="single" w:sz="4" w:space="0" w:color="auto"/>
              <w:right w:val="single" w:sz="4" w:space="0" w:color="auto"/>
            </w:tcBorders>
            <w:vAlign w:val="center"/>
          </w:tcPr>
          <w:p w14:paraId="7B7EC2B1"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3</w:t>
            </w:r>
          </w:p>
        </w:tc>
        <w:tc>
          <w:tcPr>
            <w:tcW w:w="709" w:type="dxa"/>
            <w:tcBorders>
              <w:left w:val="single" w:sz="4" w:space="0" w:color="auto"/>
              <w:right w:val="single" w:sz="4" w:space="0" w:color="auto"/>
            </w:tcBorders>
            <w:tcMar>
              <w:left w:w="28" w:type="dxa"/>
              <w:right w:w="113" w:type="dxa"/>
            </w:tcMar>
            <w:vAlign w:val="center"/>
          </w:tcPr>
          <w:p w14:paraId="48FFEB60"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20</w:t>
            </w:r>
          </w:p>
        </w:tc>
        <w:tc>
          <w:tcPr>
            <w:tcW w:w="708" w:type="dxa"/>
            <w:tcBorders>
              <w:left w:val="single" w:sz="4" w:space="0" w:color="auto"/>
              <w:right w:val="single" w:sz="4" w:space="0" w:color="auto"/>
            </w:tcBorders>
            <w:tcMar>
              <w:left w:w="28" w:type="dxa"/>
              <w:right w:w="113" w:type="dxa"/>
            </w:tcMar>
            <w:vAlign w:val="center"/>
          </w:tcPr>
          <w:p w14:paraId="1CF58B15"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26</w:t>
            </w:r>
          </w:p>
        </w:tc>
        <w:tc>
          <w:tcPr>
            <w:tcW w:w="284" w:type="dxa"/>
            <w:tcBorders>
              <w:top w:val="nil"/>
              <w:left w:val="single" w:sz="4" w:space="0" w:color="auto"/>
              <w:bottom w:val="nil"/>
              <w:right w:val="single" w:sz="4" w:space="0" w:color="auto"/>
            </w:tcBorders>
            <w:tcMar>
              <w:left w:w="28" w:type="dxa"/>
              <w:right w:w="113" w:type="dxa"/>
            </w:tcMar>
            <w:vAlign w:val="center"/>
          </w:tcPr>
          <w:p w14:paraId="12E569DE"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061B16D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54</w:t>
            </w:r>
          </w:p>
        </w:tc>
      </w:tr>
      <w:tr w:rsidR="00492E94" w:rsidRPr="00BF2CF5" w14:paraId="688E6872" w14:textId="77777777" w:rsidTr="00070514">
        <w:trPr>
          <w:jc w:val="center"/>
        </w:trPr>
        <w:tc>
          <w:tcPr>
            <w:tcW w:w="2698" w:type="dxa"/>
            <w:vAlign w:val="bottom"/>
          </w:tcPr>
          <w:p w14:paraId="51644C2F"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 xml:space="preserve">Computer / internet </w:t>
            </w:r>
          </w:p>
        </w:tc>
        <w:tc>
          <w:tcPr>
            <w:tcW w:w="1559" w:type="dxa"/>
            <w:tcBorders>
              <w:right w:val="single" w:sz="8" w:space="0" w:color="auto"/>
            </w:tcBorders>
            <w:vAlign w:val="bottom"/>
          </w:tcPr>
          <w:p w14:paraId="0FCB7C32"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0C684AD5"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3</w:t>
            </w:r>
          </w:p>
        </w:tc>
        <w:tc>
          <w:tcPr>
            <w:tcW w:w="709" w:type="dxa"/>
            <w:tcBorders>
              <w:left w:val="single" w:sz="4" w:space="0" w:color="auto"/>
              <w:right w:val="single" w:sz="4" w:space="0" w:color="auto"/>
            </w:tcBorders>
            <w:vAlign w:val="center"/>
          </w:tcPr>
          <w:p w14:paraId="180B777E"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2</w:t>
            </w:r>
          </w:p>
        </w:tc>
        <w:tc>
          <w:tcPr>
            <w:tcW w:w="709" w:type="dxa"/>
            <w:tcBorders>
              <w:left w:val="single" w:sz="4" w:space="0" w:color="auto"/>
              <w:right w:val="single" w:sz="4" w:space="0" w:color="auto"/>
            </w:tcBorders>
            <w:tcMar>
              <w:left w:w="28" w:type="dxa"/>
              <w:right w:w="113" w:type="dxa"/>
            </w:tcMar>
            <w:vAlign w:val="center"/>
          </w:tcPr>
          <w:p w14:paraId="0AF3D36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14</w:t>
            </w:r>
          </w:p>
        </w:tc>
        <w:tc>
          <w:tcPr>
            <w:tcW w:w="708" w:type="dxa"/>
            <w:tcBorders>
              <w:left w:val="single" w:sz="4" w:space="0" w:color="auto"/>
              <w:right w:val="single" w:sz="4" w:space="0" w:color="auto"/>
            </w:tcBorders>
            <w:tcMar>
              <w:left w:w="28" w:type="dxa"/>
              <w:right w:w="113" w:type="dxa"/>
            </w:tcMar>
            <w:vAlign w:val="center"/>
          </w:tcPr>
          <w:p w14:paraId="4701B37D"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18</w:t>
            </w:r>
          </w:p>
        </w:tc>
        <w:tc>
          <w:tcPr>
            <w:tcW w:w="284" w:type="dxa"/>
            <w:tcBorders>
              <w:top w:val="nil"/>
              <w:left w:val="single" w:sz="4" w:space="0" w:color="auto"/>
              <w:bottom w:val="nil"/>
              <w:right w:val="single" w:sz="4" w:space="0" w:color="auto"/>
            </w:tcBorders>
            <w:tcMar>
              <w:left w:w="28" w:type="dxa"/>
              <w:right w:w="113" w:type="dxa"/>
            </w:tcMar>
            <w:vAlign w:val="center"/>
          </w:tcPr>
          <w:p w14:paraId="274FAE89"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36E7755E"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55</w:t>
            </w:r>
          </w:p>
        </w:tc>
      </w:tr>
      <w:tr w:rsidR="00492E94" w:rsidRPr="00BF2CF5" w14:paraId="447FAA17" w14:textId="77777777" w:rsidTr="00070514">
        <w:trPr>
          <w:jc w:val="center"/>
        </w:trPr>
        <w:tc>
          <w:tcPr>
            <w:tcW w:w="2698" w:type="dxa"/>
            <w:vAlign w:val="bottom"/>
          </w:tcPr>
          <w:p w14:paraId="3A49BA53"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Friends around to play / eat</w:t>
            </w:r>
          </w:p>
        </w:tc>
        <w:tc>
          <w:tcPr>
            <w:tcW w:w="1559" w:type="dxa"/>
            <w:tcBorders>
              <w:right w:val="single" w:sz="8" w:space="0" w:color="auto"/>
            </w:tcBorders>
            <w:vAlign w:val="bottom"/>
          </w:tcPr>
          <w:p w14:paraId="397DE4FC"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 - cost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2DC6616D"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3</w:t>
            </w:r>
          </w:p>
        </w:tc>
        <w:tc>
          <w:tcPr>
            <w:tcW w:w="709" w:type="dxa"/>
            <w:tcBorders>
              <w:left w:val="single" w:sz="4" w:space="0" w:color="auto"/>
              <w:right w:val="single" w:sz="4" w:space="0" w:color="auto"/>
            </w:tcBorders>
            <w:vAlign w:val="center"/>
          </w:tcPr>
          <w:p w14:paraId="2E94702F"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left w:val="single" w:sz="4" w:space="0" w:color="auto"/>
              <w:right w:val="single" w:sz="4" w:space="0" w:color="auto"/>
            </w:tcBorders>
            <w:tcMar>
              <w:left w:w="28" w:type="dxa"/>
              <w:right w:w="113" w:type="dxa"/>
            </w:tcMar>
            <w:vAlign w:val="center"/>
          </w:tcPr>
          <w:p w14:paraId="0FA08FE5"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14</w:t>
            </w:r>
          </w:p>
        </w:tc>
        <w:tc>
          <w:tcPr>
            <w:tcW w:w="708" w:type="dxa"/>
            <w:tcBorders>
              <w:left w:val="single" w:sz="4" w:space="0" w:color="auto"/>
              <w:right w:val="single" w:sz="4" w:space="0" w:color="auto"/>
            </w:tcBorders>
            <w:tcMar>
              <w:left w:w="28" w:type="dxa"/>
              <w:right w:w="113" w:type="dxa"/>
            </w:tcMar>
            <w:vAlign w:val="center"/>
          </w:tcPr>
          <w:p w14:paraId="1DBD0F59"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19</w:t>
            </w:r>
          </w:p>
        </w:tc>
        <w:tc>
          <w:tcPr>
            <w:tcW w:w="284" w:type="dxa"/>
            <w:tcBorders>
              <w:top w:val="nil"/>
              <w:left w:val="single" w:sz="4" w:space="0" w:color="auto"/>
              <w:bottom w:val="nil"/>
              <w:right w:val="single" w:sz="4" w:space="0" w:color="auto"/>
            </w:tcBorders>
            <w:tcMar>
              <w:left w:w="28" w:type="dxa"/>
              <w:right w:w="113" w:type="dxa"/>
            </w:tcMar>
            <w:vAlign w:val="center"/>
          </w:tcPr>
          <w:p w14:paraId="790283EC"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708BF695"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75</w:t>
            </w:r>
          </w:p>
        </w:tc>
      </w:tr>
      <w:tr w:rsidR="00492E94" w:rsidRPr="00BF2CF5" w14:paraId="05EE986D" w14:textId="77777777" w:rsidTr="00070514">
        <w:trPr>
          <w:jc w:val="center"/>
        </w:trPr>
        <w:tc>
          <w:tcPr>
            <w:tcW w:w="2698" w:type="dxa"/>
            <w:vAlign w:val="bottom"/>
          </w:tcPr>
          <w:p w14:paraId="70AD06D9"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Friends around to play / eat</w:t>
            </w:r>
          </w:p>
        </w:tc>
        <w:tc>
          <w:tcPr>
            <w:tcW w:w="1559" w:type="dxa"/>
            <w:tcBorders>
              <w:right w:val="single" w:sz="8" w:space="0" w:color="auto"/>
            </w:tcBorders>
            <w:vAlign w:val="bottom"/>
          </w:tcPr>
          <w:p w14:paraId="38ECB283"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don't have - other</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6B8912D8"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7</w:t>
            </w:r>
          </w:p>
        </w:tc>
        <w:tc>
          <w:tcPr>
            <w:tcW w:w="709" w:type="dxa"/>
            <w:tcBorders>
              <w:left w:val="single" w:sz="4" w:space="0" w:color="auto"/>
              <w:right w:val="single" w:sz="4" w:space="0" w:color="auto"/>
            </w:tcBorders>
            <w:vAlign w:val="center"/>
          </w:tcPr>
          <w:p w14:paraId="04A4DEB6"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709" w:type="dxa"/>
            <w:tcBorders>
              <w:left w:val="single" w:sz="4" w:space="0" w:color="auto"/>
              <w:right w:val="single" w:sz="4" w:space="0" w:color="auto"/>
            </w:tcBorders>
            <w:tcMar>
              <w:left w:w="28" w:type="dxa"/>
              <w:right w:w="113" w:type="dxa"/>
            </w:tcMar>
            <w:vAlign w:val="center"/>
          </w:tcPr>
          <w:p w14:paraId="4400918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12</w:t>
            </w:r>
          </w:p>
        </w:tc>
        <w:tc>
          <w:tcPr>
            <w:tcW w:w="708" w:type="dxa"/>
            <w:tcBorders>
              <w:left w:val="single" w:sz="4" w:space="0" w:color="auto"/>
              <w:right w:val="single" w:sz="4" w:space="0" w:color="auto"/>
            </w:tcBorders>
            <w:tcMar>
              <w:left w:w="28" w:type="dxa"/>
              <w:right w:w="113" w:type="dxa"/>
            </w:tcMar>
            <w:vAlign w:val="center"/>
          </w:tcPr>
          <w:p w14:paraId="64DAF434"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13</w:t>
            </w:r>
          </w:p>
        </w:tc>
        <w:tc>
          <w:tcPr>
            <w:tcW w:w="284" w:type="dxa"/>
            <w:tcBorders>
              <w:top w:val="nil"/>
              <w:left w:val="single" w:sz="4" w:space="0" w:color="auto"/>
              <w:bottom w:val="nil"/>
              <w:right w:val="single" w:sz="4" w:space="0" w:color="auto"/>
            </w:tcBorders>
            <w:tcMar>
              <w:left w:w="28" w:type="dxa"/>
              <w:right w:w="113" w:type="dxa"/>
            </w:tcMar>
            <w:vAlign w:val="center"/>
          </w:tcPr>
          <w:p w14:paraId="3ED74FC6"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651C337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21</w:t>
            </w:r>
          </w:p>
        </w:tc>
      </w:tr>
      <w:tr w:rsidR="00492E94" w:rsidRPr="00BF2CF5" w14:paraId="47D3E333" w14:textId="77777777" w:rsidTr="00070514">
        <w:trPr>
          <w:jc w:val="center"/>
        </w:trPr>
        <w:tc>
          <w:tcPr>
            <w:tcW w:w="2698" w:type="dxa"/>
            <w:vAlign w:val="bottom"/>
          </w:tcPr>
          <w:p w14:paraId="2D5A3250" w14:textId="77777777" w:rsidR="00492E94" w:rsidRPr="00BF2CF5" w:rsidRDefault="00492E94" w:rsidP="00A8133F">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Unable to fund school trips</w:t>
            </w:r>
          </w:p>
        </w:tc>
        <w:tc>
          <w:tcPr>
            <w:tcW w:w="1559" w:type="dxa"/>
            <w:tcBorders>
              <w:right w:val="single" w:sz="8" w:space="0" w:color="auto"/>
            </w:tcBorders>
            <w:vAlign w:val="bottom"/>
          </w:tcPr>
          <w:p w14:paraId="7849010C" w14:textId="77777777" w:rsidR="00492E94" w:rsidRPr="00BF2CF5" w:rsidRDefault="00492E94" w:rsidP="00A8133F">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a lot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23BA2F55" w14:textId="77777777" w:rsidR="00492E94" w:rsidRPr="00BF2CF5" w:rsidRDefault="00492E94" w:rsidP="00A8133F">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2</w:t>
            </w:r>
          </w:p>
        </w:tc>
        <w:tc>
          <w:tcPr>
            <w:tcW w:w="709" w:type="dxa"/>
            <w:tcBorders>
              <w:left w:val="single" w:sz="4" w:space="0" w:color="auto"/>
              <w:right w:val="single" w:sz="4" w:space="0" w:color="auto"/>
            </w:tcBorders>
            <w:vAlign w:val="center"/>
          </w:tcPr>
          <w:p w14:paraId="38B6A107" w14:textId="77777777" w:rsidR="00492E94" w:rsidRDefault="00492E94" w:rsidP="00A8133F">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left w:val="single" w:sz="4" w:space="0" w:color="auto"/>
              <w:right w:val="single" w:sz="4" w:space="0" w:color="auto"/>
            </w:tcBorders>
            <w:tcMar>
              <w:left w:w="28" w:type="dxa"/>
              <w:right w:w="113" w:type="dxa"/>
            </w:tcMar>
            <w:vAlign w:val="center"/>
          </w:tcPr>
          <w:p w14:paraId="514C5884" w14:textId="77777777" w:rsidR="00492E94" w:rsidRPr="00BF2CF5" w:rsidRDefault="00492E94" w:rsidP="00A8133F">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11</w:t>
            </w:r>
          </w:p>
        </w:tc>
        <w:tc>
          <w:tcPr>
            <w:tcW w:w="708" w:type="dxa"/>
            <w:tcBorders>
              <w:left w:val="single" w:sz="4" w:space="0" w:color="auto"/>
              <w:right w:val="single" w:sz="4" w:space="0" w:color="auto"/>
            </w:tcBorders>
            <w:tcMar>
              <w:left w:w="28" w:type="dxa"/>
              <w:right w:w="113" w:type="dxa"/>
            </w:tcMar>
            <w:vAlign w:val="center"/>
          </w:tcPr>
          <w:p w14:paraId="78ECAB06" w14:textId="77777777" w:rsidR="00492E94" w:rsidRPr="00BF2CF5" w:rsidRDefault="00492E94" w:rsidP="00A8133F">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18</w:t>
            </w:r>
          </w:p>
        </w:tc>
        <w:tc>
          <w:tcPr>
            <w:tcW w:w="284" w:type="dxa"/>
            <w:tcBorders>
              <w:top w:val="nil"/>
              <w:left w:val="single" w:sz="4" w:space="0" w:color="auto"/>
              <w:bottom w:val="nil"/>
              <w:right w:val="single" w:sz="4" w:space="0" w:color="auto"/>
            </w:tcBorders>
            <w:tcMar>
              <w:left w:w="28" w:type="dxa"/>
              <w:right w:w="113" w:type="dxa"/>
            </w:tcMar>
            <w:vAlign w:val="center"/>
          </w:tcPr>
          <w:p w14:paraId="2A69F4AD" w14:textId="77777777" w:rsidR="00492E94" w:rsidRPr="00BF2CF5" w:rsidRDefault="00492E94" w:rsidP="00A8133F">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3DDC4F1D" w14:textId="77777777" w:rsidR="00492E94" w:rsidRPr="00BF2CF5" w:rsidRDefault="00492E94" w:rsidP="00A8133F">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75</w:t>
            </w:r>
          </w:p>
        </w:tc>
      </w:tr>
      <w:tr w:rsidR="00492E94" w:rsidRPr="00BF2CF5" w14:paraId="5141D980" w14:textId="77777777" w:rsidTr="00070514">
        <w:trPr>
          <w:jc w:val="center"/>
        </w:trPr>
        <w:tc>
          <w:tcPr>
            <w:tcW w:w="2698" w:type="dxa"/>
            <w:vAlign w:val="bottom"/>
          </w:tcPr>
          <w:p w14:paraId="26C0094D"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Had to limit participation in sport</w:t>
            </w:r>
          </w:p>
        </w:tc>
        <w:tc>
          <w:tcPr>
            <w:tcW w:w="1559" w:type="dxa"/>
            <w:tcBorders>
              <w:right w:val="single" w:sz="8" w:space="0" w:color="auto"/>
            </w:tcBorders>
            <w:vAlign w:val="bottom"/>
          </w:tcPr>
          <w:p w14:paraId="3031866C"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a lot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76FEA098"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4</w:t>
            </w:r>
          </w:p>
        </w:tc>
        <w:tc>
          <w:tcPr>
            <w:tcW w:w="709" w:type="dxa"/>
            <w:tcBorders>
              <w:left w:val="single" w:sz="4" w:space="0" w:color="auto"/>
              <w:right w:val="single" w:sz="4" w:space="0" w:color="auto"/>
            </w:tcBorders>
            <w:vAlign w:val="center"/>
          </w:tcPr>
          <w:p w14:paraId="2163CC60"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left w:val="single" w:sz="4" w:space="0" w:color="auto"/>
              <w:right w:val="single" w:sz="4" w:space="0" w:color="auto"/>
            </w:tcBorders>
            <w:tcMar>
              <w:left w:w="28" w:type="dxa"/>
              <w:right w:w="113" w:type="dxa"/>
            </w:tcMar>
            <w:vAlign w:val="center"/>
          </w:tcPr>
          <w:p w14:paraId="0CA43ABF"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21</w:t>
            </w:r>
          </w:p>
        </w:tc>
        <w:tc>
          <w:tcPr>
            <w:tcW w:w="708" w:type="dxa"/>
            <w:tcBorders>
              <w:left w:val="single" w:sz="4" w:space="0" w:color="auto"/>
              <w:right w:val="single" w:sz="4" w:space="0" w:color="auto"/>
            </w:tcBorders>
            <w:tcMar>
              <w:left w:w="28" w:type="dxa"/>
              <w:right w:w="113" w:type="dxa"/>
            </w:tcMar>
            <w:vAlign w:val="center"/>
          </w:tcPr>
          <w:p w14:paraId="136E69E3"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28</w:t>
            </w:r>
          </w:p>
        </w:tc>
        <w:tc>
          <w:tcPr>
            <w:tcW w:w="284" w:type="dxa"/>
            <w:tcBorders>
              <w:top w:val="nil"/>
              <w:left w:val="single" w:sz="4" w:space="0" w:color="auto"/>
              <w:bottom w:val="nil"/>
              <w:right w:val="single" w:sz="4" w:space="0" w:color="auto"/>
            </w:tcBorders>
            <w:tcMar>
              <w:left w:w="28" w:type="dxa"/>
              <w:right w:w="113" w:type="dxa"/>
            </w:tcMar>
            <w:vAlign w:val="center"/>
          </w:tcPr>
          <w:p w14:paraId="0DE0DB4C"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06499E1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73</w:t>
            </w:r>
          </w:p>
        </w:tc>
      </w:tr>
      <w:tr w:rsidR="00492E94" w:rsidRPr="00BF2CF5" w14:paraId="464CA9AA" w14:textId="77777777" w:rsidTr="00070514">
        <w:trPr>
          <w:jc w:val="center"/>
        </w:trPr>
        <w:tc>
          <w:tcPr>
            <w:tcW w:w="2698" w:type="dxa"/>
            <w:vAlign w:val="bottom"/>
          </w:tcPr>
          <w:p w14:paraId="6641EFD8"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Had to go without special interests</w:t>
            </w:r>
          </w:p>
        </w:tc>
        <w:tc>
          <w:tcPr>
            <w:tcW w:w="1559" w:type="dxa"/>
            <w:tcBorders>
              <w:right w:val="single" w:sz="8" w:space="0" w:color="auto"/>
            </w:tcBorders>
            <w:vAlign w:val="bottom"/>
          </w:tcPr>
          <w:p w14:paraId="0A9B2456"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a lot</w:t>
            </w:r>
          </w:p>
        </w:tc>
        <w:tc>
          <w:tcPr>
            <w:tcW w:w="709" w:type="dxa"/>
            <w:tcBorders>
              <w:left w:val="single" w:sz="8" w:space="0" w:color="auto"/>
              <w:right w:val="single" w:sz="4" w:space="0" w:color="auto"/>
            </w:tcBorders>
            <w:shd w:val="clear" w:color="auto" w:fill="D9D9D9"/>
            <w:noWrap/>
            <w:tcMar>
              <w:left w:w="28" w:type="dxa"/>
              <w:right w:w="170" w:type="dxa"/>
            </w:tcMar>
            <w:vAlign w:val="center"/>
          </w:tcPr>
          <w:p w14:paraId="7CCDBC2C"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4</w:t>
            </w:r>
          </w:p>
        </w:tc>
        <w:tc>
          <w:tcPr>
            <w:tcW w:w="709" w:type="dxa"/>
            <w:tcBorders>
              <w:left w:val="single" w:sz="4" w:space="0" w:color="auto"/>
              <w:right w:val="single" w:sz="4" w:space="0" w:color="auto"/>
            </w:tcBorders>
            <w:vAlign w:val="center"/>
          </w:tcPr>
          <w:p w14:paraId="7BB8E861"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left w:val="single" w:sz="4" w:space="0" w:color="auto"/>
              <w:right w:val="single" w:sz="4" w:space="0" w:color="auto"/>
            </w:tcBorders>
            <w:tcMar>
              <w:left w:w="28" w:type="dxa"/>
              <w:right w:w="113" w:type="dxa"/>
            </w:tcMar>
            <w:vAlign w:val="center"/>
          </w:tcPr>
          <w:p w14:paraId="7FB7CFF0"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23</w:t>
            </w:r>
          </w:p>
        </w:tc>
        <w:tc>
          <w:tcPr>
            <w:tcW w:w="708" w:type="dxa"/>
            <w:tcBorders>
              <w:left w:val="single" w:sz="4" w:space="0" w:color="auto"/>
              <w:right w:val="single" w:sz="4" w:space="0" w:color="auto"/>
            </w:tcBorders>
            <w:tcMar>
              <w:left w:w="28" w:type="dxa"/>
              <w:right w:w="113" w:type="dxa"/>
            </w:tcMar>
            <w:vAlign w:val="center"/>
          </w:tcPr>
          <w:p w14:paraId="49B1306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30</w:t>
            </w:r>
          </w:p>
        </w:tc>
        <w:tc>
          <w:tcPr>
            <w:tcW w:w="284" w:type="dxa"/>
            <w:tcBorders>
              <w:top w:val="nil"/>
              <w:left w:val="single" w:sz="4" w:space="0" w:color="auto"/>
              <w:bottom w:val="nil"/>
              <w:right w:val="single" w:sz="4" w:space="0" w:color="auto"/>
            </w:tcBorders>
            <w:tcMar>
              <w:left w:w="28" w:type="dxa"/>
              <w:right w:w="113" w:type="dxa"/>
            </w:tcMar>
            <w:vAlign w:val="center"/>
          </w:tcPr>
          <w:p w14:paraId="2D9A05BB"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p>
        </w:tc>
        <w:tc>
          <w:tcPr>
            <w:tcW w:w="1408" w:type="dxa"/>
            <w:tcBorders>
              <w:left w:val="single" w:sz="4" w:space="0" w:color="auto"/>
              <w:right w:val="single" w:sz="4" w:space="0" w:color="auto"/>
            </w:tcBorders>
            <w:tcMar>
              <w:left w:w="28" w:type="dxa"/>
              <w:right w:w="113" w:type="dxa"/>
            </w:tcMar>
            <w:vAlign w:val="center"/>
          </w:tcPr>
          <w:p w14:paraId="08DAA084"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71</w:t>
            </w:r>
          </w:p>
        </w:tc>
      </w:tr>
      <w:tr w:rsidR="00492E94" w:rsidRPr="00BF2CF5" w14:paraId="5C9D6800" w14:textId="77777777" w:rsidTr="00070514">
        <w:trPr>
          <w:jc w:val="center"/>
        </w:trPr>
        <w:tc>
          <w:tcPr>
            <w:tcW w:w="2698" w:type="dxa"/>
            <w:tcBorders>
              <w:bottom w:val="single" w:sz="4" w:space="0" w:color="auto"/>
            </w:tcBorders>
            <w:vAlign w:val="bottom"/>
          </w:tcPr>
          <w:p w14:paraId="0615C411" w14:textId="77777777" w:rsidR="00492E94" w:rsidRPr="00BF2CF5" w:rsidRDefault="00492E94" w:rsidP="00070514">
            <w:pPr>
              <w:spacing w:before="40" w:after="40" w:line="240" w:lineRule="auto"/>
              <w:ind w:left="176"/>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Continued to wear worn out / wrong size shoes/clothes</w:t>
            </w:r>
          </w:p>
        </w:tc>
        <w:tc>
          <w:tcPr>
            <w:tcW w:w="1559" w:type="dxa"/>
            <w:tcBorders>
              <w:bottom w:val="single" w:sz="4" w:space="0" w:color="auto"/>
              <w:right w:val="single" w:sz="8" w:space="0" w:color="auto"/>
            </w:tcBorders>
            <w:vAlign w:val="center"/>
          </w:tcPr>
          <w:p w14:paraId="0C0F6378" w14:textId="77777777" w:rsidR="00492E94" w:rsidRPr="00BF2CF5" w:rsidRDefault="00492E94" w:rsidP="00070514">
            <w:pPr>
              <w:spacing w:before="40" w:after="40" w:line="240" w:lineRule="auto"/>
              <w:rPr>
                <w:rFonts w:ascii="Arial" w:eastAsia="Times New Roman" w:hAnsi="Arial"/>
                <w:color w:val="000000" w:themeColor="text1"/>
                <w:sz w:val="14"/>
                <w:szCs w:val="14"/>
                <w:lang w:val="en-GB" w:eastAsia="en-GB"/>
              </w:rPr>
            </w:pPr>
            <w:r w:rsidRPr="00BF2CF5">
              <w:rPr>
                <w:rFonts w:ascii="Arial" w:eastAsia="Times New Roman" w:hAnsi="Arial"/>
                <w:color w:val="000000" w:themeColor="text1"/>
                <w:sz w:val="14"/>
                <w:szCs w:val="14"/>
                <w:lang w:val="en-GB" w:eastAsia="en-GB"/>
              </w:rPr>
              <w:t>a lot</w:t>
            </w:r>
          </w:p>
        </w:tc>
        <w:tc>
          <w:tcPr>
            <w:tcW w:w="709" w:type="dxa"/>
            <w:tcBorders>
              <w:left w:val="single" w:sz="8" w:space="0" w:color="auto"/>
              <w:bottom w:val="single" w:sz="4" w:space="0" w:color="auto"/>
              <w:right w:val="single" w:sz="4" w:space="0" w:color="auto"/>
            </w:tcBorders>
            <w:shd w:val="clear" w:color="auto" w:fill="D9D9D9"/>
            <w:noWrap/>
            <w:tcMar>
              <w:left w:w="28" w:type="dxa"/>
              <w:right w:w="170" w:type="dxa"/>
            </w:tcMar>
            <w:vAlign w:val="center"/>
          </w:tcPr>
          <w:p w14:paraId="4567BB46" w14:textId="77777777" w:rsidR="00492E94" w:rsidRPr="00BF2CF5" w:rsidRDefault="00492E94" w:rsidP="00070514">
            <w:pPr>
              <w:spacing w:before="40" w:after="40" w:line="240" w:lineRule="auto"/>
              <w:ind w:right="-171"/>
              <w:jc w:val="center"/>
              <w:rPr>
                <w:rFonts w:ascii="Arial" w:eastAsia="Times New Roman" w:hAnsi="Arial"/>
                <w:color w:val="000000" w:themeColor="text1"/>
                <w:sz w:val="14"/>
                <w:szCs w:val="14"/>
                <w:lang w:val="en-GB" w:eastAsia="en-GB"/>
              </w:rPr>
            </w:pPr>
            <w:r>
              <w:rPr>
                <w:rFonts w:ascii="Arial" w:hAnsi="Arial"/>
                <w:color w:val="000000"/>
                <w:sz w:val="14"/>
                <w:szCs w:val="14"/>
              </w:rPr>
              <w:t>2</w:t>
            </w:r>
          </w:p>
        </w:tc>
        <w:tc>
          <w:tcPr>
            <w:tcW w:w="709" w:type="dxa"/>
            <w:tcBorders>
              <w:left w:val="single" w:sz="4" w:space="0" w:color="auto"/>
              <w:bottom w:val="single" w:sz="4" w:space="0" w:color="auto"/>
              <w:right w:val="single" w:sz="4" w:space="0" w:color="auto"/>
            </w:tcBorders>
            <w:vAlign w:val="center"/>
          </w:tcPr>
          <w:p w14:paraId="37884D9D" w14:textId="77777777" w:rsidR="00492E94" w:rsidRDefault="00492E94" w:rsidP="00070514">
            <w:pPr>
              <w:spacing w:before="40" w:after="40" w:line="240" w:lineRule="auto"/>
              <w:jc w:val="center"/>
              <w:rPr>
                <w:rFonts w:ascii="Arial" w:hAnsi="Arial"/>
                <w:color w:val="000000"/>
                <w:sz w:val="14"/>
                <w:szCs w:val="14"/>
              </w:rPr>
            </w:pPr>
            <w:r>
              <w:rPr>
                <w:rFonts w:ascii="Arial" w:hAnsi="Arial"/>
                <w:color w:val="000000"/>
                <w:sz w:val="14"/>
                <w:szCs w:val="14"/>
              </w:rPr>
              <w:t>1</w:t>
            </w:r>
          </w:p>
        </w:tc>
        <w:tc>
          <w:tcPr>
            <w:tcW w:w="709" w:type="dxa"/>
            <w:tcBorders>
              <w:left w:val="single" w:sz="4" w:space="0" w:color="auto"/>
              <w:bottom w:val="single" w:sz="4" w:space="0" w:color="auto"/>
              <w:right w:val="single" w:sz="4" w:space="0" w:color="auto"/>
            </w:tcBorders>
            <w:tcMar>
              <w:left w:w="28" w:type="dxa"/>
              <w:right w:w="113" w:type="dxa"/>
            </w:tcMar>
            <w:vAlign w:val="center"/>
          </w:tcPr>
          <w:p w14:paraId="03164A11"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13</w:t>
            </w:r>
          </w:p>
        </w:tc>
        <w:tc>
          <w:tcPr>
            <w:tcW w:w="708" w:type="dxa"/>
            <w:tcBorders>
              <w:left w:val="single" w:sz="4" w:space="0" w:color="auto"/>
              <w:bottom w:val="single" w:sz="4" w:space="0" w:color="auto"/>
              <w:right w:val="single" w:sz="4" w:space="0" w:color="auto"/>
            </w:tcBorders>
            <w:tcMar>
              <w:left w:w="28" w:type="dxa"/>
              <w:right w:w="113" w:type="dxa"/>
            </w:tcMar>
            <w:vAlign w:val="center"/>
          </w:tcPr>
          <w:p w14:paraId="09243357"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21</w:t>
            </w:r>
          </w:p>
        </w:tc>
        <w:tc>
          <w:tcPr>
            <w:tcW w:w="284" w:type="dxa"/>
            <w:tcBorders>
              <w:top w:val="nil"/>
              <w:left w:val="single" w:sz="4" w:space="0" w:color="auto"/>
              <w:bottom w:val="single" w:sz="4" w:space="0" w:color="auto"/>
              <w:right w:val="single" w:sz="4" w:space="0" w:color="auto"/>
            </w:tcBorders>
            <w:tcMar>
              <w:left w:w="28" w:type="dxa"/>
              <w:right w:w="113" w:type="dxa"/>
            </w:tcMar>
            <w:vAlign w:val="center"/>
          </w:tcPr>
          <w:p w14:paraId="4CD236D2"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c>
          <w:tcPr>
            <w:tcW w:w="1408" w:type="dxa"/>
            <w:tcBorders>
              <w:left w:val="single" w:sz="4" w:space="0" w:color="auto"/>
              <w:bottom w:val="single" w:sz="4" w:space="0" w:color="auto"/>
              <w:right w:val="single" w:sz="4" w:space="0" w:color="auto"/>
            </w:tcBorders>
            <w:tcMar>
              <w:left w:w="28" w:type="dxa"/>
              <w:right w:w="113" w:type="dxa"/>
            </w:tcMar>
            <w:vAlign w:val="center"/>
          </w:tcPr>
          <w:p w14:paraId="378DF930" w14:textId="77777777" w:rsidR="00492E94" w:rsidRPr="00BF2CF5" w:rsidRDefault="00492E94" w:rsidP="00070514">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74</w:t>
            </w:r>
          </w:p>
        </w:tc>
      </w:tr>
    </w:tbl>
    <w:bookmarkEnd w:id="11"/>
    <w:p w14:paraId="5F1DFCA6" w14:textId="77777777" w:rsidR="00EF07AC" w:rsidRPr="00CD1B6A" w:rsidRDefault="00EF07AC" w:rsidP="00B85A45">
      <w:pPr>
        <w:spacing w:before="40" w:after="20" w:line="240" w:lineRule="auto"/>
        <w:ind w:left="142"/>
        <w:rPr>
          <w:rFonts w:ascii="Arial" w:hAnsi="Arial"/>
          <w:bCs/>
          <w:color w:val="000000" w:themeColor="text1"/>
          <w:sz w:val="16"/>
          <w:szCs w:val="16"/>
        </w:rPr>
      </w:pPr>
      <w:r w:rsidRPr="00CD1B6A">
        <w:rPr>
          <w:rFonts w:ascii="Arial" w:hAnsi="Arial"/>
          <w:bCs/>
          <w:color w:val="000000" w:themeColor="text1"/>
          <w:sz w:val="16"/>
          <w:szCs w:val="16"/>
        </w:rPr>
        <w:t>Note for Table D.1</w:t>
      </w:r>
    </w:p>
    <w:p w14:paraId="1C724AF1" w14:textId="02F29288" w:rsidR="00EF07AC" w:rsidRPr="00B85A45" w:rsidRDefault="00EF07AC">
      <w:pPr>
        <w:pStyle w:val="ListParagraph"/>
        <w:numPr>
          <w:ilvl w:val="0"/>
          <w:numId w:val="98"/>
        </w:numPr>
        <w:spacing w:after="0" w:line="240" w:lineRule="auto"/>
        <w:ind w:left="567" w:hanging="207"/>
        <w:rPr>
          <w:rFonts w:ascii="Arial" w:hAnsi="Arial"/>
          <w:b/>
          <w:bCs/>
          <w:color w:val="000000" w:themeColor="text1"/>
          <w:sz w:val="16"/>
          <w:szCs w:val="16"/>
        </w:rPr>
      </w:pPr>
      <w:r w:rsidRPr="00B85A45">
        <w:rPr>
          <w:rFonts w:ascii="Arial" w:hAnsi="Arial"/>
          <w:color w:val="000000" w:themeColor="text1"/>
          <w:sz w:val="16"/>
          <w:szCs w:val="16"/>
        </w:rPr>
        <w:t xml:space="preserve">For the full text for </w:t>
      </w:r>
      <w:r w:rsidRPr="00CD1B6A">
        <w:rPr>
          <w:rFonts w:ascii="Arial" w:hAnsi="Arial"/>
          <w:color w:val="000000" w:themeColor="text1"/>
          <w:sz w:val="16"/>
          <w:szCs w:val="16"/>
        </w:rPr>
        <w:t xml:space="preserve">each item, see </w:t>
      </w:r>
      <w:r w:rsidRPr="00CD1B6A">
        <w:rPr>
          <w:rFonts w:ascii="Arial" w:hAnsi="Arial"/>
          <w:b/>
          <w:bCs/>
          <w:color w:val="000000" w:themeColor="text1"/>
          <w:sz w:val="16"/>
          <w:szCs w:val="16"/>
        </w:rPr>
        <w:t xml:space="preserve">Appendix </w:t>
      </w:r>
      <w:r w:rsidR="00CD1B6A">
        <w:rPr>
          <w:rFonts w:ascii="Arial" w:hAnsi="Arial"/>
          <w:b/>
          <w:bCs/>
          <w:color w:val="000000" w:themeColor="text1"/>
          <w:sz w:val="16"/>
          <w:szCs w:val="16"/>
        </w:rPr>
        <w:t>20 (Table 20.6).</w:t>
      </w:r>
    </w:p>
    <w:p w14:paraId="67B1C2D6" w14:textId="77777777" w:rsidR="00EF07AC" w:rsidRPr="00B85A45" w:rsidRDefault="00EF07AC" w:rsidP="00EF07AC">
      <w:pPr>
        <w:spacing w:after="0" w:line="240" w:lineRule="auto"/>
        <w:rPr>
          <w:rFonts w:ascii="Arial" w:hAnsi="Arial"/>
          <w:bCs/>
          <w:color w:val="000000" w:themeColor="text1"/>
          <w:sz w:val="16"/>
          <w:szCs w:val="16"/>
          <w:highlight w:val="cyan"/>
        </w:rPr>
      </w:pPr>
    </w:p>
    <w:p w14:paraId="6CA5CC79" w14:textId="67B9D49A" w:rsidR="00EF07AC" w:rsidRDefault="00EF07AC">
      <w:pPr>
        <w:spacing w:after="0" w:line="240" w:lineRule="auto"/>
        <w:rPr>
          <w:rFonts w:ascii="Arial" w:hAnsi="Arial"/>
          <w:b/>
          <w:color w:val="000000" w:themeColor="text1"/>
          <w:sz w:val="22"/>
          <w:szCs w:val="32"/>
        </w:rPr>
      </w:pPr>
      <w:r>
        <w:rPr>
          <w:rFonts w:ascii="Arial" w:hAnsi="Arial"/>
          <w:b/>
          <w:color w:val="000000" w:themeColor="text1"/>
          <w:sz w:val="22"/>
          <w:szCs w:val="32"/>
        </w:rPr>
        <w:br w:type="page"/>
      </w:r>
    </w:p>
    <w:p w14:paraId="0D842A24" w14:textId="1ABD5655" w:rsidR="00B6056E" w:rsidRDefault="00B6056E" w:rsidP="00B6056E">
      <w:pPr>
        <w:spacing w:after="0" w:line="240" w:lineRule="auto"/>
        <w:rPr>
          <w:rFonts w:ascii="Arial" w:hAnsi="Arial"/>
          <w:b/>
          <w:color w:val="000000" w:themeColor="text1"/>
          <w:sz w:val="22"/>
          <w:szCs w:val="32"/>
        </w:rPr>
      </w:pPr>
      <w:r w:rsidRPr="003571A4">
        <w:rPr>
          <w:rFonts w:ascii="Arial" w:hAnsi="Arial"/>
          <w:b/>
          <w:color w:val="000000" w:themeColor="text1"/>
          <w:sz w:val="22"/>
          <w:szCs w:val="32"/>
        </w:rPr>
        <w:lastRenderedPageBreak/>
        <w:t>DEP-17 items</w:t>
      </w:r>
      <w:r w:rsidR="00A501E7" w:rsidRPr="003571A4">
        <w:rPr>
          <w:rFonts w:ascii="Arial" w:hAnsi="Arial"/>
          <w:b/>
          <w:color w:val="000000" w:themeColor="text1"/>
          <w:sz w:val="22"/>
          <w:szCs w:val="32"/>
        </w:rPr>
        <w:t xml:space="preserve"> </w:t>
      </w:r>
    </w:p>
    <w:p w14:paraId="77D3D60A" w14:textId="77777777" w:rsidR="000706AF" w:rsidRDefault="000706AF" w:rsidP="00B6056E">
      <w:pPr>
        <w:spacing w:after="0" w:line="240" w:lineRule="auto"/>
        <w:rPr>
          <w:rFonts w:ascii="Arial" w:hAnsi="Arial"/>
          <w:bCs/>
          <w:color w:val="000000" w:themeColor="text1"/>
          <w:szCs w:val="28"/>
        </w:rPr>
      </w:pPr>
    </w:p>
    <w:p w14:paraId="13C9D884" w14:textId="77777777" w:rsidR="00C4633A" w:rsidRDefault="00F37860" w:rsidP="00C4633A">
      <w:pPr>
        <w:spacing w:after="0" w:line="240" w:lineRule="auto"/>
        <w:rPr>
          <w:rFonts w:ascii="Arial" w:hAnsi="Arial"/>
          <w:bCs/>
          <w:color w:val="000000" w:themeColor="text1"/>
          <w:szCs w:val="28"/>
        </w:rPr>
      </w:pPr>
      <w:r w:rsidRPr="00F37860">
        <w:rPr>
          <w:rFonts w:ascii="Arial" w:hAnsi="Arial"/>
          <w:b/>
          <w:color w:val="000000" w:themeColor="text1"/>
          <w:szCs w:val="28"/>
        </w:rPr>
        <w:t>Table D.3</w:t>
      </w:r>
      <w:r w:rsidRPr="00F37860">
        <w:rPr>
          <w:rFonts w:ascii="Arial" w:hAnsi="Arial"/>
          <w:bCs/>
          <w:color w:val="000000" w:themeColor="text1"/>
          <w:szCs w:val="28"/>
        </w:rPr>
        <w:t xml:space="preserve"> shows the deprivation rates for DEP-17 items, for age </w:t>
      </w:r>
      <w:r w:rsidR="00705BAE">
        <w:rPr>
          <w:rFonts w:ascii="Arial" w:hAnsi="Arial"/>
          <w:bCs/>
          <w:color w:val="000000" w:themeColor="text1"/>
          <w:szCs w:val="28"/>
        </w:rPr>
        <w:t>0</w:t>
      </w:r>
      <w:r w:rsidRPr="00F37860">
        <w:rPr>
          <w:rFonts w:ascii="Arial" w:hAnsi="Arial"/>
          <w:bCs/>
          <w:color w:val="000000" w:themeColor="text1"/>
          <w:szCs w:val="28"/>
        </w:rPr>
        <w:t>-17s</w:t>
      </w:r>
      <w:r w:rsidR="00705BAE">
        <w:rPr>
          <w:rFonts w:ascii="Arial" w:hAnsi="Arial"/>
          <w:bCs/>
          <w:color w:val="000000" w:themeColor="text1"/>
          <w:szCs w:val="28"/>
        </w:rPr>
        <w:t xml:space="preserve"> in their households</w:t>
      </w:r>
      <w:r w:rsidRPr="00F37860">
        <w:rPr>
          <w:rFonts w:ascii="Arial" w:hAnsi="Arial"/>
          <w:bCs/>
          <w:color w:val="000000" w:themeColor="text1"/>
          <w:szCs w:val="28"/>
        </w:rPr>
        <w:t xml:space="preserve">.  DEP-17 is a household-level measure of deprivation which scores across a mixture of household and individual items. Some items relate to the household as a whole (for example the contents insurance, fruit &amp; veg, and appliances items) and others to the individual experience of the adult respondent in the household (eg </w:t>
      </w:r>
      <w:r w:rsidR="00011CA4">
        <w:rPr>
          <w:rFonts w:ascii="Arial" w:hAnsi="Arial"/>
          <w:bCs/>
          <w:color w:val="000000" w:themeColor="text1"/>
          <w:szCs w:val="28"/>
        </w:rPr>
        <w:t xml:space="preserve">shoes, </w:t>
      </w:r>
      <w:r w:rsidRPr="00F37860">
        <w:rPr>
          <w:rFonts w:ascii="Arial" w:hAnsi="Arial"/>
          <w:bCs/>
          <w:color w:val="000000" w:themeColor="text1"/>
          <w:szCs w:val="28"/>
        </w:rPr>
        <w:t>protein meal, doctor, dentist). In HES, a suitable adult respondent is selected to answer questions relating to the household, and this adult answers both sets of questions.</w:t>
      </w:r>
      <w:r w:rsidR="007F56F0">
        <w:rPr>
          <w:rFonts w:ascii="Arial" w:hAnsi="Arial"/>
          <w:bCs/>
          <w:color w:val="000000" w:themeColor="text1"/>
          <w:szCs w:val="28"/>
        </w:rPr>
        <w:t xml:space="preserve"> </w:t>
      </w:r>
    </w:p>
    <w:p w14:paraId="7F15C982" w14:textId="77777777" w:rsidR="00C4633A" w:rsidRDefault="00C4633A" w:rsidP="00C4633A">
      <w:pPr>
        <w:spacing w:after="0" w:line="240" w:lineRule="auto"/>
        <w:rPr>
          <w:rFonts w:ascii="Arial" w:hAnsi="Arial"/>
          <w:bCs/>
          <w:color w:val="000000" w:themeColor="text1"/>
          <w:szCs w:val="28"/>
        </w:rPr>
      </w:pPr>
    </w:p>
    <w:p w14:paraId="77437087" w14:textId="62C06A0F" w:rsidR="00C4633A" w:rsidRPr="009331EB" w:rsidRDefault="00C4633A" w:rsidP="00C4633A">
      <w:pPr>
        <w:spacing w:after="0" w:line="240" w:lineRule="auto"/>
        <w:rPr>
          <w:rFonts w:ascii="Arial" w:hAnsi="Arial"/>
          <w:color w:val="000000" w:themeColor="text1"/>
        </w:rPr>
      </w:pPr>
      <w:r w:rsidRPr="009331EB">
        <w:rPr>
          <w:rFonts w:ascii="Arial" w:hAnsi="Arial"/>
          <w:color w:val="000000" w:themeColor="text1"/>
        </w:rPr>
        <w:t xml:space="preserve">Comparing the rates in the </w:t>
      </w:r>
      <w:r w:rsidR="009331EB" w:rsidRPr="009331EB">
        <w:rPr>
          <w:rFonts w:ascii="Arial" w:hAnsi="Arial"/>
          <w:color w:val="000000" w:themeColor="text1"/>
        </w:rPr>
        <w:t>‘</w:t>
      </w:r>
      <w:r w:rsidRPr="009331EB">
        <w:rPr>
          <w:rFonts w:ascii="Arial" w:hAnsi="Arial"/>
          <w:color w:val="000000" w:themeColor="text1"/>
        </w:rPr>
        <w:t>6+/17</w:t>
      </w:r>
      <w:r w:rsidR="009331EB" w:rsidRPr="009331EB">
        <w:rPr>
          <w:rFonts w:ascii="Arial" w:hAnsi="Arial"/>
          <w:color w:val="000000" w:themeColor="text1"/>
        </w:rPr>
        <w:t>’</w:t>
      </w:r>
      <w:r w:rsidRPr="009331EB">
        <w:rPr>
          <w:rFonts w:ascii="Arial" w:hAnsi="Arial"/>
          <w:color w:val="000000" w:themeColor="text1"/>
        </w:rPr>
        <w:t xml:space="preserve"> columns (for children in households in MH) with the ‘</w:t>
      </w:r>
      <w:r w:rsidR="009331EB" w:rsidRPr="009331EB">
        <w:rPr>
          <w:rFonts w:ascii="Arial" w:hAnsi="Arial"/>
          <w:color w:val="000000" w:themeColor="text1"/>
        </w:rPr>
        <w:t>0-5/17</w:t>
      </w:r>
      <w:r w:rsidRPr="009331EB">
        <w:rPr>
          <w:rFonts w:ascii="Arial" w:hAnsi="Arial"/>
          <w:color w:val="000000" w:themeColor="text1"/>
        </w:rPr>
        <w:t>’ column</w:t>
      </w:r>
      <w:r w:rsidR="009331EB" w:rsidRPr="009331EB">
        <w:rPr>
          <w:rFonts w:ascii="Arial" w:hAnsi="Arial"/>
          <w:color w:val="000000" w:themeColor="text1"/>
        </w:rPr>
        <w:t>s</w:t>
      </w:r>
      <w:r w:rsidRPr="009331EB">
        <w:rPr>
          <w:rFonts w:ascii="Arial" w:hAnsi="Arial"/>
          <w:color w:val="000000" w:themeColor="text1"/>
        </w:rPr>
        <w:t xml:space="preserve"> (those not in hardship) gives a very clear contrast. Those in the severe hardship zone (9+/17) are, as expected, </w:t>
      </w:r>
      <w:r w:rsidR="009331EB" w:rsidRPr="009331EB">
        <w:rPr>
          <w:rFonts w:ascii="Arial" w:hAnsi="Arial"/>
          <w:color w:val="000000" w:themeColor="text1"/>
        </w:rPr>
        <w:t>in</w:t>
      </w:r>
      <w:r w:rsidRPr="009331EB">
        <w:rPr>
          <w:rFonts w:ascii="Arial" w:hAnsi="Arial"/>
          <w:color w:val="000000" w:themeColor="text1"/>
        </w:rPr>
        <w:t xml:space="preserve"> an even more different household context.</w:t>
      </w:r>
    </w:p>
    <w:p w14:paraId="7140ED44" w14:textId="77777777" w:rsidR="00C4633A" w:rsidRPr="009331EB" w:rsidRDefault="00C4633A" w:rsidP="00C4633A">
      <w:pPr>
        <w:spacing w:after="0" w:line="240" w:lineRule="auto"/>
        <w:rPr>
          <w:rFonts w:ascii="Arial" w:hAnsi="Arial"/>
          <w:color w:val="000000" w:themeColor="text1"/>
        </w:rPr>
      </w:pPr>
    </w:p>
    <w:p w14:paraId="73463974" w14:textId="40DFB2FF" w:rsidR="00705BAE" w:rsidRPr="00E764D2" w:rsidRDefault="00C4633A" w:rsidP="00CD1B6A">
      <w:pPr>
        <w:spacing w:after="0" w:line="240" w:lineRule="auto"/>
        <w:jc w:val="both"/>
        <w:rPr>
          <w:rFonts w:ascii="Arial" w:hAnsi="Arial"/>
          <w:bCs/>
          <w:color w:val="FF0000"/>
          <w:szCs w:val="28"/>
        </w:rPr>
      </w:pPr>
      <w:r w:rsidRPr="009331EB">
        <w:rPr>
          <w:rFonts w:ascii="Arial" w:hAnsi="Arial"/>
          <w:color w:val="000000" w:themeColor="text1"/>
        </w:rPr>
        <w:t>These underline the point made earlier that the difference is not just a ‘less than’ comparison, but a much more serious status of ‘missing out on things that all children should have and none should go without’. Life for those identified as being in material hardship is very different than what the vast majority of New Zealand children experience.</w:t>
      </w:r>
      <w:r w:rsidR="00157012" w:rsidRPr="009331EB">
        <w:rPr>
          <w:rFonts w:ascii="Arial" w:hAnsi="Arial"/>
          <w:color w:val="000000" w:themeColor="text1"/>
        </w:rPr>
        <w:t xml:space="preserve"> </w:t>
      </w:r>
      <w:r w:rsidR="00E764D2" w:rsidRPr="009331EB">
        <w:rPr>
          <w:rFonts w:ascii="Arial" w:hAnsi="Arial"/>
          <w:color w:val="000000" w:themeColor="text1"/>
        </w:rPr>
        <w:t xml:space="preserve"> </w:t>
      </w:r>
      <w:r w:rsidR="009331EB" w:rsidRPr="009331EB">
        <w:rPr>
          <w:rFonts w:ascii="Arial" w:hAnsi="Arial"/>
          <w:color w:val="000000" w:themeColor="text1"/>
        </w:rPr>
        <w:t xml:space="preserve">See </w:t>
      </w:r>
      <w:r w:rsidR="009331EB" w:rsidRPr="009331EB">
        <w:rPr>
          <w:rFonts w:ascii="Arial" w:hAnsi="Arial"/>
          <w:b/>
          <w:bCs/>
          <w:color w:val="000000" w:themeColor="text1"/>
        </w:rPr>
        <w:t>Table D.4</w:t>
      </w:r>
      <w:r w:rsidR="009331EB" w:rsidRPr="009331EB">
        <w:rPr>
          <w:rFonts w:ascii="Arial" w:hAnsi="Arial"/>
          <w:color w:val="000000" w:themeColor="text1"/>
        </w:rPr>
        <w:t xml:space="preserve"> (next page) for the</w:t>
      </w:r>
      <w:r w:rsidR="009331EB">
        <w:rPr>
          <w:rFonts w:ascii="Arial" w:hAnsi="Arial"/>
          <w:color w:val="000000" w:themeColor="text1"/>
        </w:rPr>
        <w:t xml:space="preserve"> full text for each item and the </w:t>
      </w:r>
      <w:r w:rsidR="009331EB" w:rsidRPr="009331EB">
        <w:rPr>
          <w:rFonts w:ascii="Arial" w:hAnsi="Arial"/>
          <w:color w:val="000000" w:themeColor="text1"/>
        </w:rPr>
        <w:t xml:space="preserve"> item </w:t>
      </w:r>
      <w:r w:rsidR="009331EB">
        <w:rPr>
          <w:rFonts w:ascii="Arial" w:hAnsi="Arial"/>
          <w:color w:val="000000" w:themeColor="text1"/>
        </w:rPr>
        <w:t>deprivation rates</w:t>
      </w:r>
      <w:r w:rsidR="009331EB" w:rsidRPr="009331EB">
        <w:rPr>
          <w:rFonts w:ascii="Arial" w:hAnsi="Arial"/>
          <w:color w:val="000000" w:themeColor="text1"/>
        </w:rPr>
        <w:t xml:space="preserve"> for all children.</w:t>
      </w:r>
    </w:p>
    <w:p w14:paraId="52A7D8BA" w14:textId="77777777" w:rsidR="00CD1B6A" w:rsidRDefault="00CD1B6A" w:rsidP="00B6056E">
      <w:pPr>
        <w:spacing w:after="0" w:line="240" w:lineRule="auto"/>
        <w:jc w:val="center"/>
        <w:rPr>
          <w:rFonts w:ascii="Arial" w:hAnsi="Arial"/>
          <w:b/>
          <w:color w:val="000000"/>
          <w:sz w:val="18"/>
          <w:szCs w:val="18"/>
        </w:rPr>
      </w:pPr>
    </w:p>
    <w:p w14:paraId="37B5D6D4" w14:textId="5BA02949" w:rsidR="00B6056E" w:rsidRPr="00C77828" w:rsidRDefault="00894C8C" w:rsidP="00B6056E">
      <w:pPr>
        <w:spacing w:after="0" w:line="240" w:lineRule="auto"/>
        <w:jc w:val="center"/>
        <w:rPr>
          <w:rFonts w:ascii="Arial" w:hAnsi="Arial"/>
          <w:b/>
          <w:color w:val="FF0000"/>
          <w:sz w:val="18"/>
          <w:szCs w:val="18"/>
        </w:rPr>
      </w:pPr>
      <w:r>
        <w:rPr>
          <w:rFonts w:ascii="Arial" w:hAnsi="Arial"/>
          <w:b/>
          <w:color w:val="000000"/>
          <w:sz w:val="18"/>
          <w:szCs w:val="18"/>
        </w:rPr>
        <w:t>T</w:t>
      </w:r>
      <w:r w:rsidR="00C77828">
        <w:rPr>
          <w:rFonts w:ascii="Arial" w:hAnsi="Arial"/>
          <w:b/>
          <w:color w:val="000000"/>
          <w:sz w:val="18"/>
          <w:szCs w:val="18"/>
        </w:rPr>
        <w:t xml:space="preserve">able </w:t>
      </w:r>
      <w:r w:rsidR="00C24200">
        <w:rPr>
          <w:rFonts w:ascii="Arial" w:hAnsi="Arial"/>
          <w:b/>
          <w:color w:val="000000"/>
          <w:sz w:val="18"/>
          <w:szCs w:val="18"/>
        </w:rPr>
        <w:t>D</w:t>
      </w:r>
      <w:r w:rsidR="00C77828">
        <w:rPr>
          <w:rFonts w:ascii="Arial" w:hAnsi="Arial"/>
          <w:b/>
          <w:color w:val="000000"/>
          <w:sz w:val="18"/>
          <w:szCs w:val="18"/>
        </w:rPr>
        <w:t>.3</w:t>
      </w:r>
    </w:p>
    <w:p w14:paraId="418B845E" w14:textId="1582349E" w:rsidR="00B6056E" w:rsidRDefault="00E42073" w:rsidP="00E42073">
      <w:pPr>
        <w:spacing w:line="240" w:lineRule="auto"/>
        <w:jc w:val="center"/>
        <w:rPr>
          <w:rFonts w:ascii="Arial" w:hAnsi="Arial"/>
          <w:b/>
          <w:color w:val="000000" w:themeColor="text1"/>
          <w:sz w:val="18"/>
          <w:szCs w:val="18"/>
        </w:rPr>
      </w:pPr>
      <w:r>
        <w:rPr>
          <w:rFonts w:ascii="Arial" w:hAnsi="Arial"/>
          <w:b/>
          <w:color w:val="000000" w:themeColor="text1"/>
          <w:sz w:val="18"/>
          <w:szCs w:val="24"/>
        </w:rPr>
        <w:t>DEP-17 d</w:t>
      </w:r>
      <w:r w:rsidRPr="00BF2CF5">
        <w:rPr>
          <w:rFonts w:ascii="Arial" w:hAnsi="Arial"/>
          <w:b/>
          <w:color w:val="000000" w:themeColor="text1"/>
          <w:sz w:val="18"/>
          <w:szCs w:val="24"/>
        </w:rPr>
        <w:t xml:space="preserve">eprivations/restrictions for children in households </w:t>
      </w:r>
      <w:r>
        <w:rPr>
          <w:rFonts w:ascii="Arial" w:hAnsi="Arial"/>
          <w:b/>
          <w:color w:val="000000" w:themeColor="text1"/>
          <w:sz w:val="18"/>
          <w:szCs w:val="24"/>
        </w:rPr>
        <w:t>not in MH (0-5/17), those in MH (6+/17) and those in severe MH (9+/17)</w:t>
      </w:r>
      <w:r>
        <w:rPr>
          <w:rFonts w:ascii="Arial" w:hAnsi="Arial"/>
          <w:b/>
          <w:color w:val="000000" w:themeColor="text1"/>
          <w:sz w:val="18"/>
          <w:szCs w:val="18"/>
        </w:rPr>
        <w:t xml:space="preserve">, </w:t>
      </w:r>
      <w:r w:rsidR="00821A83" w:rsidRPr="00BF2CF5">
        <w:rPr>
          <w:rFonts w:ascii="Arial" w:hAnsi="Arial"/>
          <w:b/>
          <w:color w:val="000000" w:themeColor="text1"/>
          <w:sz w:val="18"/>
          <w:szCs w:val="18"/>
        </w:rPr>
        <w:t xml:space="preserve">HES </w:t>
      </w:r>
      <w:r w:rsidR="00821A83">
        <w:rPr>
          <w:rFonts w:ascii="Arial" w:hAnsi="Arial"/>
          <w:b/>
          <w:color w:val="000000" w:themeColor="text1"/>
          <w:sz w:val="18"/>
          <w:szCs w:val="18"/>
        </w:rPr>
        <w:t>2017-18 to 2023-24</w:t>
      </w:r>
    </w:p>
    <w:tbl>
      <w:tblPr>
        <w:tblW w:w="8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7"/>
        <w:gridCol w:w="1139"/>
        <w:gridCol w:w="533"/>
        <w:gridCol w:w="488"/>
        <w:gridCol w:w="488"/>
        <w:gridCol w:w="489"/>
        <w:gridCol w:w="494"/>
        <w:gridCol w:w="494"/>
        <w:gridCol w:w="489"/>
        <w:gridCol w:w="489"/>
        <w:gridCol w:w="489"/>
        <w:gridCol w:w="494"/>
        <w:gridCol w:w="494"/>
        <w:gridCol w:w="489"/>
        <w:gridCol w:w="489"/>
        <w:gridCol w:w="489"/>
        <w:gridCol w:w="489"/>
      </w:tblGrid>
      <w:tr w:rsidR="00D27B2C" w:rsidRPr="00D27B2C" w14:paraId="4E4FD5B9" w14:textId="77777777" w:rsidTr="000A7CA6">
        <w:trPr>
          <w:jc w:val="center"/>
        </w:trPr>
        <w:tc>
          <w:tcPr>
            <w:tcW w:w="1276" w:type="dxa"/>
            <w:gridSpan w:val="2"/>
            <w:vMerge w:val="restart"/>
            <w:tcBorders>
              <w:top w:val="single" w:sz="6" w:space="0" w:color="auto"/>
              <w:left w:val="single" w:sz="6" w:space="0" w:color="auto"/>
              <w:bottom w:val="single" w:sz="6" w:space="0" w:color="auto"/>
              <w:right w:val="single" w:sz="8" w:space="0" w:color="auto"/>
            </w:tcBorders>
            <w:tcMar>
              <w:left w:w="57" w:type="dxa"/>
              <w:right w:w="113" w:type="dxa"/>
            </w:tcMar>
            <w:vAlign w:val="center"/>
          </w:tcPr>
          <w:p w14:paraId="22DAD149" w14:textId="77777777" w:rsidR="00D27B2C" w:rsidRPr="00D27B2C" w:rsidRDefault="00D27B2C" w:rsidP="00D27B2C">
            <w:pPr>
              <w:spacing w:before="30" w:after="30" w:line="240" w:lineRule="auto"/>
              <w:jc w:val="both"/>
              <w:rPr>
                <w:rFonts w:ascii="Arial" w:hAnsi="Arial"/>
                <w:b/>
                <w:color w:val="000000"/>
                <w:sz w:val="16"/>
                <w:szCs w:val="16"/>
              </w:rPr>
            </w:pPr>
          </w:p>
        </w:tc>
        <w:tc>
          <w:tcPr>
            <w:tcW w:w="7397" w:type="dxa"/>
            <w:gridSpan w:val="15"/>
            <w:tcBorders>
              <w:left w:val="single" w:sz="8" w:space="0" w:color="auto"/>
            </w:tcBorders>
            <w:vAlign w:val="center"/>
          </w:tcPr>
          <w:p w14:paraId="3F9B927F" w14:textId="77777777" w:rsidR="00D27B2C" w:rsidRPr="00D27B2C" w:rsidRDefault="00D27B2C" w:rsidP="00D27B2C">
            <w:pPr>
              <w:spacing w:before="60" w:after="60" w:line="240" w:lineRule="auto"/>
              <w:jc w:val="center"/>
              <w:rPr>
                <w:rFonts w:ascii="Arial" w:hAnsi="Arial"/>
                <w:b/>
                <w:bCs/>
                <w:color w:val="000000"/>
                <w:sz w:val="14"/>
                <w:szCs w:val="14"/>
              </w:rPr>
            </w:pPr>
            <w:r w:rsidRPr="00D27B2C">
              <w:rPr>
                <w:rFonts w:ascii="Arial" w:hAnsi="Arial"/>
                <w:b/>
                <w:bCs/>
                <w:color w:val="000000"/>
                <w:sz w:val="14"/>
                <w:szCs w:val="14"/>
              </w:rPr>
              <w:t>Deprivation rate for items for children in HHs not in hardship, for those in HHs in hardship (6+/17) or severe hardship (9+/17)</w:t>
            </w:r>
          </w:p>
        </w:tc>
      </w:tr>
      <w:tr w:rsidR="00D27B2C" w:rsidRPr="00D27B2C" w14:paraId="6DED643C" w14:textId="77777777" w:rsidTr="000A7CA6">
        <w:trPr>
          <w:jc w:val="center"/>
        </w:trPr>
        <w:tc>
          <w:tcPr>
            <w:tcW w:w="1276" w:type="dxa"/>
            <w:gridSpan w:val="2"/>
            <w:vMerge/>
            <w:tcBorders>
              <w:top w:val="single" w:sz="6" w:space="0" w:color="auto"/>
              <w:left w:val="single" w:sz="6" w:space="0" w:color="auto"/>
              <w:bottom w:val="single" w:sz="6" w:space="0" w:color="auto"/>
              <w:right w:val="single" w:sz="8" w:space="0" w:color="auto"/>
            </w:tcBorders>
            <w:tcMar>
              <w:left w:w="57" w:type="dxa"/>
              <w:right w:w="113" w:type="dxa"/>
            </w:tcMar>
            <w:vAlign w:val="center"/>
          </w:tcPr>
          <w:p w14:paraId="67C6EDE6" w14:textId="77777777" w:rsidR="00D27B2C" w:rsidRPr="00D27B2C" w:rsidRDefault="00D27B2C" w:rsidP="00D27B2C">
            <w:pPr>
              <w:spacing w:before="30" w:after="30" w:line="240" w:lineRule="auto"/>
              <w:jc w:val="both"/>
              <w:rPr>
                <w:rFonts w:ascii="Arial" w:hAnsi="Arial"/>
                <w:b/>
                <w:color w:val="000000"/>
                <w:sz w:val="18"/>
                <w:szCs w:val="16"/>
              </w:rPr>
            </w:pPr>
          </w:p>
        </w:tc>
        <w:tc>
          <w:tcPr>
            <w:tcW w:w="2492" w:type="dxa"/>
            <w:gridSpan w:val="5"/>
            <w:tcBorders>
              <w:left w:val="single" w:sz="8" w:space="0" w:color="auto"/>
              <w:right w:val="single" w:sz="8" w:space="0" w:color="auto"/>
            </w:tcBorders>
          </w:tcPr>
          <w:p w14:paraId="55A18CA3"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0-5/17</w:t>
            </w:r>
          </w:p>
        </w:tc>
        <w:tc>
          <w:tcPr>
            <w:tcW w:w="2455" w:type="dxa"/>
            <w:gridSpan w:val="5"/>
            <w:tcBorders>
              <w:left w:val="single" w:sz="8" w:space="0" w:color="auto"/>
              <w:right w:val="single" w:sz="8" w:space="0" w:color="auto"/>
            </w:tcBorders>
            <w:vAlign w:val="center"/>
          </w:tcPr>
          <w:p w14:paraId="319D1B43"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6+/17</w:t>
            </w:r>
          </w:p>
        </w:tc>
        <w:tc>
          <w:tcPr>
            <w:tcW w:w="2450" w:type="dxa"/>
            <w:gridSpan w:val="5"/>
            <w:tcBorders>
              <w:left w:val="single" w:sz="8" w:space="0" w:color="auto"/>
            </w:tcBorders>
            <w:vAlign w:val="center"/>
          </w:tcPr>
          <w:p w14:paraId="732BAF34"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9+/17</w:t>
            </w:r>
          </w:p>
        </w:tc>
      </w:tr>
      <w:tr w:rsidR="00D27B2C" w:rsidRPr="00D27B2C" w14:paraId="2B6C4DCF" w14:textId="77777777" w:rsidTr="000A7CA6">
        <w:trPr>
          <w:trHeight w:val="170"/>
          <w:jc w:val="center"/>
        </w:trPr>
        <w:tc>
          <w:tcPr>
            <w:tcW w:w="1276" w:type="dxa"/>
            <w:gridSpan w:val="2"/>
            <w:tcBorders>
              <w:top w:val="single" w:sz="6" w:space="0" w:color="auto"/>
              <w:left w:val="single" w:sz="6" w:space="0" w:color="auto"/>
              <w:bottom w:val="single" w:sz="6" w:space="0" w:color="auto"/>
              <w:right w:val="single" w:sz="8" w:space="0" w:color="auto"/>
            </w:tcBorders>
            <w:tcMar>
              <w:left w:w="57" w:type="dxa"/>
              <w:right w:w="113" w:type="dxa"/>
            </w:tcMar>
            <w:vAlign w:val="center"/>
          </w:tcPr>
          <w:p w14:paraId="472B45DC" w14:textId="77777777" w:rsidR="00D27B2C" w:rsidRPr="00D27B2C" w:rsidRDefault="00D27B2C" w:rsidP="00D27B2C">
            <w:pPr>
              <w:spacing w:before="30" w:after="30" w:line="240" w:lineRule="auto"/>
              <w:ind w:right="-106"/>
              <w:jc w:val="both"/>
              <w:rPr>
                <w:rFonts w:ascii="Arial" w:hAnsi="Arial"/>
                <w:b/>
                <w:color w:val="000000"/>
                <w:sz w:val="14"/>
                <w:szCs w:val="14"/>
              </w:rPr>
            </w:pPr>
            <w:r w:rsidRPr="00D27B2C">
              <w:rPr>
                <w:rFonts w:ascii="Arial" w:hAnsi="Arial"/>
                <w:b/>
                <w:color w:val="000000"/>
                <w:sz w:val="14"/>
                <w:szCs w:val="14"/>
              </w:rPr>
              <w:t>Enforced lacks</w:t>
            </w:r>
          </w:p>
        </w:tc>
        <w:tc>
          <w:tcPr>
            <w:tcW w:w="533" w:type="dxa"/>
            <w:tcBorders>
              <w:left w:val="single" w:sz="8" w:space="0" w:color="auto"/>
              <w:bottom w:val="single" w:sz="4" w:space="0" w:color="auto"/>
            </w:tcBorders>
            <w:vAlign w:val="center"/>
          </w:tcPr>
          <w:p w14:paraId="6223F0B2"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17-18</w:t>
            </w:r>
          </w:p>
        </w:tc>
        <w:tc>
          <w:tcPr>
            <w:tcW w:w="488" w:type="dxa"/>
            <w:tcBorders>
              <w:bottom w:val="single" w:sz="4" w:space="0" w:color="auto"/>
            </w:tcBorders>
            <w:vAlign w:val="center"/>
          </w:tcPr>
          <w:p w14:paraId="17D5CC76"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18-19</w:t>
            </w:r>
          </w:p>
        </w:tc>
        <w:tc>
          <w:tcPr>
            <w:tcW w:w="488" w:type="dxa"/>
            <w:tcBorders>
              <w:bottom w:val="single" w:sz="4" w:space="0" w:color="auto"/>
            </w:tcBorders>
            <w:vAlign w:val="center"/>
          </w:tcPr>
          <w:p w14:paraId="00117EA6"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19-20</w:t>
            </w:r>
          </w:p>
        </w:tc>
        <w:tc>
          <w:tcPr>
            <w:tcW w:w="489" w:type="dxa"/>
            <w:tcBorders>
              <w:bottom w:val="single" w:sz="4" w:space="0" w:color="auto"/>
            </w:tcBorders>
            <w:vAlign w:val="center"/>
          </w:tcPr>
          <w:p w14:paraId="3A344720"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22-23</w:t>
            </w:r>
          </w:p>
        </w:tc>
        <w:tc>
          <w:tcPr>
            <w:tcW w:w="494" w:type="dxa"/>
            <w:tcBorders>
              <w:bottom w:val="single" w:sz="4" w:space="0" w:color="auto"/>
              <w:right w:val="single" w:sz="8" w:space="0" w:color="auto"/>
            </w:tcBorders>
            <w:vAlign w:val="center"/>
          </w:tcPr>
          <w:p w14:paraId="02995F89"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23-24</w:t>
            </w:r>
          </w:p>
        </w:tc>
        <w:tc>
          <w:tcPr>
            <w:tcW w:w="494" w:type="dxa"/>
            <w:tcBorders>
              <w:left w:val="single" w:sz="8" w:space="0" w:color="auto"/>
              <w:bottom w:val="single" w:sz="4" w:space="0" w:color="auto"/>
            </w:tcBorders>
            <w:vAlign w:val="center"/>
          </w:tcPr>
          <w:p w14:paraId="50F2C1C4"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17-18</w:t>
            </w:r>
          </w:p>
        </w:tc>
        <w:tc>
          <w:tcPr>
            <w:tcW w:w="489" w:type="dxa"/>
            <w:tcBorders>
              <w:bottom w:val="single" w:sz="4" w:space="0" w:color="auto"/>
            </w:tcBorders>
            <w:vAlign w:val="center"/>
          </w:tcPr>
          <w:p w14:paraId="0C00627C"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18-19</w:t>
            </w:r>
          </w:p>
        </w:tc>
        <w:tc>
          <w:tcPr>
            <w:tcW w:w="489" w:type="dxa"/>
            <w:tcBorders>
              <w:bottom w:val="single" w:sz="4" w:space="0" w:color="auto"/>
            </w:tcBorders>
            <w:vAlign w:val="center"/>
          </w:tcPr>
          <w:p w14:paraId="05CEF735"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19-20</w:t>
            </w:r>
          </w:p>
        </w:tc>
        <w:tc>
          <w:tcPr>
            <w:tcW w:w="489" w:type="dxa"/>
            <w:tcBorders>
              <w:bottom w:val="single" w:sz="4" w:space="0" w:color="auto"/>
            </w:tcBorders>
            <w:vAlign w:val="center"/>
          </w:tcPr>
          <w:p w14:paraId="6FEE5CA8"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22-23</w:t>
            </w:r>
          </w:p>
        </w:tc>
        <w:tc>
          <w:tcPr>
            <w:tcW w:w="494" w:type="dxa"/>
            <w:tcBorders>
              <w:bottom w:val="single" w:sz="4" w:space="0" w:color="auto"/>
              <w:right w:val="single" w:sz="8" w:space="0" w:color="auto"/>
            </w:tcBorders>
            <w:vAlign w:val="center"/>
          </w:tcPr>
          <w:p w14:paraId="26657FE9"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23-24</w:t>
            </w:r>
          </w:p>
        </w:tc>
        <w:tc>
          <w:tcPr>
            <w:tcW w:w="494" w:type="dxa"/>
            <w:tcBorders>
              <w:left w:val="single" w:sz="8" w:space="0" w:color="auto"/>
              <w:bottom w:val="single" w:sz="4" w:space="0" w:color="auto"/>
            </w:tcBorders>
            <w:vAlign w:val="center"/>
          </w:tcPr>
          <w:p w14:paraId="1EE8D042"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17-18</w:t>
            </w:r>
          </w:p>
        </w:tc>
        <w:tc>
          <w:tcPr>
            <w:tcW w:w="489" w:type="dxa"/>
            <w:tcBorders>
              <w:bottom w:val="single" w:sz="4" w:space="0" w:color="auto"/>
            </w:tcBorders>
            <w:vAlign w:val="center"/>
          </w:tcPr>
          <w:p w14:paraId="648A39CF"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18-19</w:t>
            </w:r>
          </w:p>
        </w:tc>
        <w:tc>
          <w:tcPr>
            <w:tcW w:w="489" w:type="dxa"/>
            <w:tcBorders>
              <w:bottom w:val="single" w:sz="4" w:space="0" w:color="auto"/>
            </w:tcBorders>
            <w:vAlign w:val="center"/>
          </w:tcPr>
          <w:p w14:paraId="25D89F21"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19-20</w:t>
            </w:r>
          </w:p>
        </w:tc>
        <w:tc>
          <w:tcPr>
            <w:tcW w:w="489" w:type="dxa"/>
            <w:tcBorders>
              <w:bottom w:val="single" w:sz="4" w:space="0" w:color="auto"/>
            </w:tcBorders>
            <w:vAlign w:val="center"/>
          </w:tcPr>
          <w:p w14:paraId="025D822B"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22-23</w:t>
            </w:r>
          </w:p>
        </w:tc>
        <w:tc>
          <w:tcPr>
            <w:tcW w:w="489" w:type="dxa"/>
            <w:tcBorders>
              <w:bottom w:val="single" w:sz="4" w:space="0" w:color="auto"/>
            </w:tcBorders>
            <w:vAlign w:val="center"/>
          </w:tcPr>
          <w:p w14:paraId="5857628B" w14:textId="77777777" w:rsidR="00D27B2C" w:rsidRPr="00D27B2C" w:rsidRDefault="00D27B2C" w:rsidP="00D27B2C">
            <w:pPr>
              <w:spacing w:before="30" w:after="30" w:line="240" w:lineRule="auto"/>
              <w:jc w:val="center"/>
              <w:rPr>
                <w:rFonts w:ascii="Arial" w:hAnsi="Arial"/>
                <w:b/>
                <w:bCs/>
                <w:color w:val="000000"/>
                <w:sz w:val="14"/>
                <w:szCs w:val="14"/>
              </w:rPr>
            </w:pPr>
            <w:r w:rsidRPr="00D27B2C">
              <w:rPr>
                <w:rFonts w:ascii="Arial" w:hAnsi="Arial"/>
                <w:b/>
                <w:bCs/>
                <w:color w:val="000000"/>
                <w:sz w:val="14"/>
                <w:szCs w:val="14"/>
              </w:rPr>
              <w:t>23-24</w:t>
            </w:r>
          </w:p>
        </w:tc>
      </w:tr>
      <w:tr w:rsidR="00D27B2C" w:rsidRPr="00D27B2C" w14:paraId="3BD4BE94" w14:textId="77777777" w:rsidTr="000A7CA6">
        <w:trPr>
          <w:trHeight w:val="170"/>
          <w:jc w:val="center"/>
        </w:trPr>
        <w:tc>
          <w:tcPr>
            <w:tcW w:w="137" w:type="dxa"/>
            <w:tcBorders>
              <w:top w:val="single" w:sz="6" w:space="0" w:color="auto"/>
              <w:left w:val="single" w:sz="6" w:space="0" w:color="auto"/>
              <w:bottom w:val="single" w:sz="6" w:space="0" w:color="auto"/>
              <w:right w:val="nil"/>
            </w:tcBorders>
            <w:vAlign w:val="center"/>
          </w:tcPr>
          <w:p w14:paraId="74F1CA79"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7AF180B6" w14:textId="77777777" w:rsidR="00D27B2C" w:rsidRPr="00D27B2C" w:rsidRDefault="00D27B2C" w:rsidP="00D27B2C">
            <w:pPr>
              <w:spacing w:before="30" w:after="30" w:line="240" w:lineRule="auto"/>
              <w:jc w:val="both"/>
              <w:rPr>
                <w:rFonts w:ascii="Arial" w:hAnsi="Arial"/>
                <w:color w:val="000000"/>
                <w:sz w:val="14"/>
                <w:szCs w:val="16"/>
              </w:rPr>
            </w:pPr>
            <w:r w:rsidRPr="00D27B2C">
              <w:rPr>
                <w:rFonts w:ascii="Arial" w:hAnsi="Arial"/>
                <w:color w:val="000000"/>
                <w:sz w:val="14"/>
                <w:szCs w:val="14"/>
              </w:rPr>
              <w:t>protein meal</w:t>
            </w:r>
          </w:p>
        </w:tc>
        <w:tc>
          <w:tcPr>
            <w:tcW w:w="533" w:type="dxa"/>
            <w:tcBorders>
              <w:left w:val="single" w:sz="8" w:space="0" w:color="auto"/>
            </w:tcBorders>
            <w:vAlign w:val="center"/>
          </w:tcPr>
          <w:p w14:paraId="1DE3B09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0</w:t>
            </w:r>
          </w:p>
        </w:tc>
        <w:tc>
          <w:tcPr>
            <w:tcW w:w="488" w:type="dxa"/>
            <w:vAlign w:val="center"/>
          </w:tcPr>
          <w:p w14:paraId="42FA6F0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0</w:t>
            </w:r>
          </w:p>
        </w:tc>
        <w:tc>
          <w:tcPr>
            <w:tcW w:w="488" w:type="dxa"/>
            <w:vAlign w:val="center"/>
          </w:tcPr>
          <w:p w14:paraId="1C82B8D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0</w:t>
            </w:r>
          </w:p>
        </w:tc>
        <w:tc>
          <w:tcPr>
            <w:tcW w:w="489" w:type="dxa"/>
            <w:vAlign w:val="center"/>
          </w:tcPr>
          <w:p w14:paraId="5DF9BA4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94" w:type="dxa"/>
            <w:tcBorders>
              <w:right w:val="single" w:sz="8" w:space="0" w:color="auto"/>
            </w:tcBorders>
            <w:vAlign w:val="center"/>
          </w:tcPr>
          <w:p w14:paraId="506C8CD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94" w:type="dxa"/>
            <w:tcBorders>
              <w:left w:val="single" w:sz="8" w:space="0" w:color="auto"/>
            </w:tcBorders>
            <w:vAlign w:val="center"/>
          </w:tcPr>
          <w:p w14:paraId="6F63D36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12</w:t>
            </w:r>
          </w:p>
        </w:tc>
        <w:tc>
          <w:tcPr>
            <w:tcW w:w="489" w:type="dxa"/>
            <w:vAlign w:val="center"/>
          </w:tcPr>
          <w:p w14:paraId="63B29C5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11</w:t>
            </w:r>
          </w:p>
        </w:tc>
        <w:tc>
          <w:tcPr>
            <w:tcW w:w="489" w:type="dxa"/>
            <w:vAlign w:val="center"/>
          </w:tcPr>
          <w:p w14:paraId="56259C9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w:t>
            </w:r>
          </w:p>
        </w:tc>
        <w:tc>
          <w:tcPr>
            <w:tcW w:w="489" w:type="dxa"/>
            <w:vAlign w:val="center"/>
          </w:tcPr>
          <w:p w14:paraId="7BF5098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11</w:t>
            </w:r>
          </w:p>
        </w:tc>
        <w:tc>
          <w:tcPr>
            <w:tcW w:w="494" w:type="dxa"/>
            <w:tcBorders>
              <w:right w:val="single" w:sz="8" w:space="0" w:color="auto"/>
            </w:tcBorders>
            <w:vAlign w:val="center"/>
          </w:tcPr>
          <w:p w14:paraId="027C1EA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11</w:t>
            </w:r>
          </w:p>
        </w:tc>
        <w:tc>
          <w:tcPr>
            <w:tcW w:w="494" w:type="dxa"/>
            <w:tcBorders>
              <w:left w:val="single" w:sz="8" w:space="0" w:color="auto"/>
            </w:tcBorders>
            <w:vAlign w:val="center"/>
          </w:tcPr>
          <w:p w14:paraId="6EB0713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21</w:t>
            </w:r>
          </w:p>
        </w:tc>
        <w:tc>
          <w:tcPr>
            <w:tcW w:w="489" w:type="dxa"/>
            <w:vAlign w:val="center"/>
          </w:tcPr>
          <w:p w14:paraId="01F50E1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17</w:t>
            </w:r>
          </w:p>
        </w:tc>
        <w:tc>
          <w:tcPr>
            <w:tcW w:w="489" w:type="dxa"/>
            <w:vAlign w:val="center"/>
          </w:tcPr>
          <w:p w14:paraId="3129C27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16</w:t>
            </w:r>
          </w:p>
        </w:tc>
        <w:tc>
          <w:tcPr>
            <w:tcW w:w="489" w:type="dxa"/>
            <w:vAlign w:val="center"/>
          </w:tcPr>
          <w:p w14:paraId="2A157D9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23</w:t>
            </w:r>
          </w:p>
        </w:tc>
        <w:tc>
          <w:tcPr>
            <w:tcW w:w="489" w:type="dxa"/>
            <w:vAlign w:val="center"/>
          </w:tcPr>
          <w:p w14:paraId="157EC83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18</w:t>
            </w:r>
          </w:p>
        </w:tc>
      </w:tr>
      <w:tr w:rsidR="00D27B2C" w:rsidRPr="00D27B2C" w14:paraId="0CF37350" w14:textId="77777777" w:rsidTr="000A7CA6">
        <w:trPr>
          <w:trHeight w:val="170"/>
          <w:jc w:val="center"/>
        </w:trPr>
        <w:tc>
          <w:tcPr>
            <w:tcW w:w="137" w:type="dxa"/>
            <w:tcBorders>
              <w:top w:val="single" w:sz="6" w:space="0" w:color="auto"/>
              <w:left w:val="single" w:sz="6" w:space="0" w:color="auto"/>
              <w:bottom w:val="single" w:sz="6" w:space="0" w:color="auto"/>
              <w:right w:val="nil"/>
            </w:tcBorders>
            <w:vAlign w:val="center"/>
          </w:tcPr>
          <w:p w14:paraId="6B9FF540"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72908F02" w14:textId="77777777" w:rsidR="00D27B2C" w:rsidRPr="00D27B2C" w:rsidRDefault="00D27B2C" w:rsidP="00D27B2C">
            <w:pPr>
              <w:spacing w:before="30" w:after="30" w:line="240" w:lineRule="auto"/>
              <w:jc w:val="both"/>
              <w:rPr>
                <w:rFonts w:ascii="Arial" w:hAnsi="Arial"/>
                <w:color w:val="000000"/>
                <w:sz w:val="14"/>
                <w:szCs w:val="16"/>
              </w:rPr>
            </w:pPr>
            <w:r w:rsidRPr="00D27B2C">
              <w:rPr>
                <w:rFonts w:ascii="Arial" w:hAnsi="Arial"/>
                <w:color w:val="000000"/>
                <w:sz w:val="14"/>
                <w:szCs w:val="14"/>
              </w:rPr>
              <w:t>shoes</w:t>
            </w:r>
          </w:p>
        </w:tc>
        <w:tc>
          <w:tcPr>
            <w:tcW w:w="533" w:type="dxa"/>
            <w:tcBorders>
              <w:left w:val="single" w:sz="8" w:space="0" w:color="auto"/>
            </w:tcBorders>
            <w:vAlign w:val="center"/>
          </w:tcPr>
          <w:p w14:paraId="2ECB3C2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8" w:type="dxa"/>
            <w:vAlign w:val="center"/>
          </w:tcPr>
          <w:p w14:paraId="45D0A5A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8" w:type="dxa"/>
            <w:vAlign w:val="center"/>
          </w:tcPr>
          <w:p w14:paraId="7070A61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9" w:type="dxa"/>
            <w:vAlign w:val="center"/>
          </w:tcPr>
          <w:p w14:paraId="2CA02B0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94" w:type="dxa"/>
            <w:tcBorders>
              <w:right w:val="single" w:sz="8" w:space="0" w:color="auto"/>
            </w:tcBorders>
            <w:vAlign w:val="center"/>
          </w:tcPr>
          <w:p w14:paraId="179E81D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94" w:type="dxa"/>
            <w:tcBorders>
              <w:left w:val="single" w:sz="8" w:space="0" w:color="auto"/>
            </w:tcBorders>
            <w:vAlign w:val="center"/>
          </w:tcPr>
          <w:p w14:paraId="36E7924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26</w:t>
            </w:r>
          </w:p>
        </w:tc>
        <w:tc>
          <w:tcPr>
            <w:tcW w:w="489" w:type="dxa"/>
            <w:vAlign w:val="center"/>
          </w:tcPr>
          <w:p w14:paraId="6CE2CB8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22</w:t>
            </w:r>
          </w:p>
        </w:tc>
        <w:tc>
          <w:tcPr>
            <w:tcW w:w="489" w:type="dxa"/>
            <w:vAlign w:val="center"/>
          </w:tcPr>
          <w:p w14:paraId="53A8282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17</w:t>
            </w:r>
          </w:p>
        </w:tc>
        <w:tc>
          <w:tcPr>
            <w:tcW w:w="489" w:type="dxa"/>
            <w:vAlign w:val="center"/>
          </w:tcPr>
          <w:p w14:paraId="75186B8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19</w:t>
            </w:r>
          </w:p>
        </w:tc>
        <w:tc>
          <w:tcPr>
            <w:tcW w:w="494" w:type="dxa"/>
            <w:tcBorders>
              <w:right w:val="single" w:sz="8" w:space="0" w:color="auto"/>
            </w:tcBorders>
            <w:vAlign w:val="center"/>
          </w:tcPr>
          <w:p w14:paraId="44E114D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20</w:t>
            </w:r>
          </w:p>
        </w:tc>
        <w:tc>
          <w:tcPr>
            <w:tcW w:w="494" w:type="dxa"/>
            <w:tcBorders>
              <w:left w:val="single" w:sz="8" w:space="0" w:color="auto"/>
            </w:tcBorders>
            <w:vAlign w:val="center"/>
          </w:tcPr>
          <w:p w14:paraId="09E897E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3B193E8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39</w:t>
            </w:r>
          </w:p>
        </w:tc>
        <w:tc>
          <w:tcPr>
            <w:tcW w:w="489" w:type="dxa"/>
            <w:vAlign w:val="center"/>
          </w:tcPr>
          <w:p w14:paraId="5281B72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29</w:t>
            </w:r>
          </w:p>
        </w:tc>
        <w:tc>
          <w:tcPr>
            <w:tcW w:w="489" w:type="dxa"/>
            <w:vAlign w:val="center"/>
          </w:tcPr>
          <w:p w14:paraId="555C771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29</w:t>
            </w:r>
          </w:p>
        </w:tc>
        <w:tc>
          <w:tcPr>
            <w:tcW w:w="489" w:type="dxa"/>
            <w:vAlign w:val="center"/>
          </w:tcPr>
          <w:p w14:paraId="5752577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32</w:t>
            </w:r>
          </w:p>
        </w:tc>
      </w:tr>
      <w:tr w:rsidR="00D27B2C" w:rsidRPr="00D27B2C" w14:paraId="341B96E8" w14:textId="77777777" w:rsidTr="000A7CA6">
        <w:trPr>
          <w:trHeight w:val="170"/>
          <w:jc w:val="center"/>
        </w:trPr>
        <w:tc>
          <w:tcPr>
            <w:tcW w:w="137" w:type="dxa"/>
            <w:tcBorders>
              <w:top w:val="single" w:sz="6" w:space="0" w:color="auto"/>
              <w:left w:val="single" w:sz="6" w:space="0" w:color="auto"/>
              <w:bottom w:val="single" w:sz="6" w:space="0" w:color="auto"/>
              <w:right w:val="nil"/>
            </w:tcBorders>
            <w:vAlign w:val="center"/>
          </w:tcPr>
          <w:p w14:paraId="729B852C"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5350E344"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suitable clothes</w:t>
            </w:r>
          </w:p>
        </w:tc>
        <w:tc>
          <w:tcPr>
            <w:tcW w:w="533" w:type="dxa"/>
            <w:tcBorders>
              <w:left w:val="single" w:sz="8" w:space="0" w:color="auto"/>
            </w:tcBorders>
            <w:vAlign w:val="center"/>
          </w:tcPr>
          <w:p w14:paraId="612B925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8" w:type="dxa"/>
            <w:vAlign w:val="center"/>
          </w:tcPr>
          <w:p w14:paraId="5F99663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w:t>
            </w:r>
          </w:p>
        </w:tc>
        <w:tc>
          <w:tcPr>
            <w:tcW w:w="488" w:type="dxa"/>
            <w:vAlign w:val="center"/>
          </w:tcPr>
          <w:p w14:paraId="1AF2898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9" w:type="dxa"/>
            <w:vAlign w:val="center"/>
          </w:tcPr>
          <w:p w14:paraId="659288B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94" w:type="dxa"/>
            <w:tcBorders>
              <w:right w:val="single" w:sz="8" w:space="0" w:color="auto"/>
            </w:tcBorders>
            <w:vAlign w:val="center"/>
          </w:tcPr>
          <w:p w14:paraId="419470D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94" w:type="dxa"/>
            <w:tcBorders>
              <w:left w:val="single" w:sz="8" w:space="0" w:color="auto"/>
            </w:tcBorders>
            <w:vAlign w:val="center"/>
          </w:tcPr>
          <w:p w14:paraId="76B981B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31</w:t>
            </w:r>
          </w:p>
        </w:tc>
        <w:tc>
          <w:tcPr>
            <w:tcW w:w="489" w:type="dxa"/>
            <w:vAlign w:val="center"/>
          </w:tcPr>
          <w:p w14:paraId="45B2C16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31</w:t>
            </w:r>
          </w:p>
        </w:tc>
        <w:tc>
          <w:tcPr>
            <w:tcW w:w="489" w:type="dxa"/>
            <w:vAlign w:val="center"/>
          </w:tcPr>
          <w:p w14:paraId="75B301A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24</w:t>
            </w:r>
          </w:p>
        </w:tc>
        <w:tc>
          <w:tcPr>
            <w:tcW w:w="489" w:type="dxa"/>
            <w:vAlign w:val="center"/>
          </w:tcPr>
          <w:p w14:paraId="6F53776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28</w:t>
            </w:r>
          </w:p>
        </w:tc>
        <w:tc>
          <w:tcPr>
            <w:tcW w:w="494" w:type="dxa"/>
            <w:tcBorders>
              <w:right w:val="single" w:sz="8" w:space="0" w:color="auto"/>
            </w:tcBorders>
            <w:vAlign w:val="center"/>
          </w:tcPr>
          <w:p w14:paraId="701971E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24</w:t>
            </w:r>
          </w:p>
        </w:tc>
        <w:tc>
          <w:tcPr>
            <w:tcW w:w="494" w:type="dxa"/>
            <w:tcBorders>
              <w:left w:val="single" w:sz="8" w:space="0" w:color="auto"/>
            </w:tcBorders>
            <w:vAlign w:val="center"/>
          </w:tcPr>
          <w:p w14:paraId="1B348F8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50</w:t>
            </w:r>
          </w:p>
        </w:tc>
        <w:tc>
          <w:tcPr>
            <w:tcW w:w="489" w:type="dxa"/>
            <w:vAlign w:val="center"/>
          </w:tcPr>
          <w:p w14:paraId="4A720BD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48</w:t>
            </w:r>
          </w:p>
        </w:tc>
        <w:tc>
          <w:tcPr>
            <w:tcW w:w="489" w:type="dxa"/>
            <w:vAlign w:val="center"/>
          </w:tcPr>
          <w:p w14:paraId="143C6DD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42</w:t>
            </w:r>
          </w:p>
        </w:tc>
        <w:tc>
          <w:tcPr>
            <w:tcW w:w="489" w:type="dxa"/>
            <w:vAlign w:val="center"/>
          </w:tcPr>
          <w:p w14:paraId="6D4E1F2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39</w:t>
            </w:r>
          </w:p>
        </w:tc>
        <w:tc>
          <w:tcPr>
            <w:tcW w:w="489" w:type="dxa"/>
            <w:vAlign w:val="center"/>
          </w:tcPr>
          <w:p w14:paraId="690D08E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37</w:t>
            </w:r>
          </w:p>
        </w:tc>
      </w:tr>
      <w:tr w:rsidR="00D27B2C" w:rsidRPr="00D27B2C" w14:paraId="097848CB" w14:textId="77777777" w:rsidTr="000A7CA6">
        <w:trPr>
          <w:trHeight w:val="170"/>
          <w:jc w:val="center"/>
        </w:trPr>
        <w:tc>
          <w:tcPr>
            <w:tcW w:w="137" w:type="dxa"/>
            <w:tcBorders>
              <w:top w:val="single" w:sz="6" w:space="0" w:color="auto"/>
              <w:left w:val="single" w:sz="6" w:space="0" w:color="auto"/>
              <w:bottom w:val="single" w:sz="6" w:space="0" w:color="auto"/>
              <w:right w:val="nil"/>
            </w:tcBorders>
            <w:vAlign w:val="center"/>
          </w:tcPr>
          <w:p w14:paraId="217907F7"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3B3365B9"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presents</w:t>
            </w:r>
          </w:p>
        </w:tc>
        <w:tc>
          <w:tcPr>
            <w:tcW w:w="533" w:type="dxa"/>
            <w:tcBorders>
              <w:left w:val="single" w:sz="8" w:space="0" w:color="auto"/>
            </w:tcBorders>
            <w:vAlign w:val="center"/>
          </w:tcPr>
          <w:p w14:paraId="3DD23FA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8" w:type="dxa"/>
            <w:vAlign w:val="center"/>
          </w:tcPr>
          <w:p w14:paraId="45DFB9A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w:t>
            </w:r>
          </w:p>
        </w:tc>
        <w:tc>
          <w:tcPr>
            <w:tcW w:w="488" w:type="dxa"/>
            <w:vAlign w:val="center"/>
          </w:tcPr>
          <w:p w14:paraId="32E26EB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w:t>
            </w:r>
          </w:p>
        </w:tc>
        <w:tc>
          <w:tcPr>
            <w:tcW w:w="489" w:type="dxa"/>
            <w:vAlign w:val="center"/>
          </w:tcPr>
          <w:p w14:paraId="33BF73D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w:t>
            </w:r>
          </w:p>
        </w:tc>
        <w:tc>
          <w:tcPr>
            <w:tcW w:w="494" w:type="dxa"/>
            <w:tcBorders>
              <w:right w:val="single" w:sz="8" w:space="0" w:color="auto"/>
            </w:tcBorders>
            <w:vAlign w:val="center"/>
          </w:tcPr>
          <w:p w14:paraId="52CD0DB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w:t>
            </w:r>
          </w:p>
        </w:tc>
        <w:tc>
          <w:tcPr>
            <w:tcW w:w="494" w:type="dxa"/>
            <w:tcBorders>
              <w:left w:val="single" w:sz="8" w:space="0" w:color="auto"/>
            </w:tcBorders>
            <w:vAlign w:val="center"/>
          </w:tcPr>
          <w:p w14:paraId="1F9458A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26</w:t>
            </w:r>
          </w:p>
        </w:tc>
        <w:tc>
          <w:tcPr>
            <w:tcW w:w="489" w:type="dxa"/>
            <w:vAlign w:val="center"/>
          </w:tcPr>
          <w:p w14:paraId="1919244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30</w:t>
            </w:r>
          </w:p>
        </w:tc>
        <w:tc>
          <w:tcPr>
            <w:tcW w:w="489" w:type="dxa"/>
            <w:vAlign w:val="center"/>
          </w:tcPr>
          <w:p w14:paraId="74929BE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27</w:t>
            </w:r>
          </w:p>
        </w:tc>
        <w:tc>
          <w:tcPr>
            <w:tcW w:w="489" w:type="dxa"/>
            <w:vAlign w:val="center"/>
          </w:tcPr>
          <w:p w14:paraId="3774B9E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29</w:t>
            </w:r>
          </w:p>
        </w:tc>
        <w:tc>
          <w:tcPr>
            <w:tcW w:w="494" w:type="dxa"/>
            <w:tcBorders>
              <w:right w:val="single" w:sz="8" w:space="0" w:color="auto"/>
            </w:tcBorders>
            <w:vAlign w:val="center"/>
          </w:tcPr>
          <w:p w14:paraId="140C8E7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25</w:t>
            </w:r>
          </w:p>
        </w:tc>
        <w:tc>
          <w:tcPr>
            <w:tcW w:w="494" w:type="dxa"/>
            <w:tcBorders>
              <w:left w:val="single" w:sz="8" w:space="0" w:color="auto"/>
            </w:tcBorders>
            <w:vAlign w:val="center"/>
          </w:tcPr>
          <w:p w14:paraId="40C3146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34</w:t>
            </w:r>
          </w:p>
        </w:tc>
        <w:tc>
          <w:tcPr>
            <w:tcW w:w="489" w:type="dxa"/>
            <w:vAlign w:val="center"/>
          </w:tcPr>
          <w:p w14:paraId="16F24F5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40</w:t>
            </w:r>
          </w:p>
        </w:tc>
        <w:tc>
          <w:tcPr>
            <w:tcW w:w="489" w:type="dxa"/>
            <w:vAlign w:val="center"/>
          </w:tcPr>
          <w:p w14:paraId="68DB997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41</w:t>
            </w:r>
          </w:p>
        </w:tc>
        <w:tc>
          <w:tcPr>
            <w:tcW w:w="489" w:type="dxa"/>
            <w:vAlign w:val="center"/>
          </w:tcPr>
          <w:p w14:paraId="4B9B860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43</w:t>
            </w:r>
          </w:p>
        </w:tc>
        <w:tc>
          <w:tcPr>
            <w:tcW w:w="489" w:type="dxa"/>
            <w:vAlign w:val="center"/>
          </w:tcPr>
          <w:p w14:paraId="2870C66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37</w:t>
            </w:r>
          </w:p>
        </w:tc>
      </w:tr>
      <w:tr w:rsidR="00D27B2C" w:rsidRPr="00D27B2C" w14:paraId="7563C767" w14:textId="77777777" w:rsidTr="000A7CA6">
        <w:trPr>
          <w:trHeight w:val="170"/>
          <w:jc w:val="center"/>
        </w:trPr>
        <w:tc>
          <w:tcPr>
            <w:tcW w:w="137" w:type="dxa"/>
            <w:tcBorders>
              <w:top w:val="single" w:sz="6" w:space="0" w:color="auto"/>
              <w:left w:val="single" w:sz="6" w:space="0" w:color="auto"/>
              <w:bottom w:val="single" w:sz="6" w:space="0" w:color="auto"/>
              <w:right w:val="nil"/>
            </w:tcBorders>
            <w:vAlign w:val="center"/>
          </w:tcPr>
          <w:p w14:paraId="668D5262"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569E741C"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contents ins</w:t>
            </w:r>
          </w:p>
        </w:tc>
        <w:tc>
          <w:tcPr>
            <w:tcW w:w="533" w:type="dxa"/>
            <w:tcBorders>
              <w:left w:val="single" w:sz="8" w:space="0" w:color="auto"/>
            </w:tcBorders>
            <w:vAlign w:val="center"/>
          </w:tcPr>
          <w:p w14:paraId="17D92F5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10</w:t>
            </w:r>
          </w:p>
        </w:tc>
        <w:tc>
          <w:tcPr>
            <w:tcW w:w="488" w:type="dxa"/>
            <w:vAlign w:val="center"/>
          </w:tcPr>
          <w:p w14:paraId="01F9D5E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12</w:t>
            </w:r>
          </w:p>
        </w:tc>
        <w:tc>
          <w:tcPr>
            <w:tcW w:w="488" w:type="dxa"/>
            <w:vAlign w:val="center"/>
          </w:tcPr>
          <w:p w14:paraId="6890BD3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12</w:t>
            </w:r>
          </w:p>
        </w:tc>
        <w:tc>
          <w:tcPr>
            <w:tcW w:w="489" w:type="dxa"/>
            <w:vAlign w:val="center"/>
          </w:tcPr>
          <w:p w14:paraId="13B7B1D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12</w:t>
            </w:r>
          </w:p>
        </w:tc>
        <w:tc>
          <w:tcPr>
            <w:tcW w:w="494" w:type="dxa"/>
            <w:tcBorders>
              <w:right w:val="single" w:sz="8" w:space="0" w:color="auto"/>
            </w:tcBorders>
            <w:vAlign w:val="center"/>
          </w:tcPr>
          <w:p w14:paraId="092E3AD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13</w:t>
            </w:r>
          </w:p>
        </w:tc>
        <w:tc>
          <w:tcPr>
            <w:tcW w:w="494" w:type="dxa"/>
            <w:tcBorders>
              <w:left w:val="single" w:sz="8" w:space="0" w:color="auto"/>
            </w:tcBorders>
            <w:vAlign w:val="center"/>
          </w:tcPr>
          <w:p w14:paraId="4D93B9E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66</w:t>
            </w:r>
          </w:p>
        </w:tc>
        <w:tc>
          <w:tcPr>
            <w:tcW w:w="489" w:type="dxa"/>
            <w:vAlign w:val="center"/>
          </w:tcPr>
          <w:p w14:paraId="3750639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62</w:t>
            </w:r>
          </w:p>
        </w:tc>
        <w:tc>
          <w:tcPr>
            <w:tcW w:w="489" w:type="dxa"/>
            <w:vAlign w:val="center"/>
          </w:tcPr>
          <w:p w14:paraId="2209249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68</w:t>
            </w:r>
          </w:p>
        </w:tc>
        <w:tc>
          <w:tcPr>
            <w:tcW w:w="489" w:type="dxa"/>
            <w:vAlign w:val="center"/>
          </w:tcPr>
          <w:p w14:paraId="53CDB06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65</w:t>
            </w:r>
          </w:p>
        </w:tc>
        <w:tc>
          <w:tcPr>
            <w:tcW w:w="494" w:type="dxa"/>
            <w:tcBorders>
              <w:right w:val="single" w:sz="8" w:space="0" w:color="auto"/>
            </w:tcBorders>
            <w:vAlign w:val="center"/>
          </w:tcPr>
          <w:p w14:paraId="14F59A2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67</w:t>
            </w:r>
          </w:p>
        </w:tc>
        <w:tc>
          <w:tcPr>
            <w:tcW w:w="494" w:type="dxa"/>
            <w:tcBorders>
              <w:left w:val="single" w:sz="8" w:space="0" w:color="auto"/>
            </w:tcBorders>
            <w:vAlign w:val="center"/>
          </w:tcPr>
          <w:p w14:paraId="2D27236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75</w:t>
            </w:r>
          </w:p>
        </w:tc>
        <w:tc>
          <w:tcPr>
            <w:tcW w:w="489" w:type="dxa"/>
            <w:vAlign w:val="center"/>
          </w:tcPr>
          <w:p w14:paraId="5187105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78</w:t>
            </w:r>
          </w:p>
        </w:tc>
        <w:tc>
          <w:tcPr>
            <w:tcW w:w="489" w:type="dxa"/>
            <w:vAlign w:val="center"/>
          </w:tcPr>
          <w:p w14:paraId="458A001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80</w:t>
            </w:r>
          </w:p>
        </w:tc>
        <w:tc>
          <w:tcPr>
            <w:tcW w:w="489" w:type="dxa"/>
            <w:vAlign w:val="center"/>
          </w:tcPr>
          <w:p w14:paraId="5A3163B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81</w:t>
            </w:r>
          </w:p>
        </w:tc>
        <w:tc>
          <w:tcPr>
            <w:tcW w:w="489" w:type="dxa"/>
            <w:vAlign w:val="center"/>
          </w:tcPr>
          <w:p w14:paraId="33CA5D2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77</w:t>
            </w:r>
          </w:p>
        </w:tc>
      </w:tr>
      <w:tr w:rsidR="00D27B2C" w:rsidRPr="00D27B2C" w14:paraId="3C497F09" w14:textId="77777777" w:rsidTr="000A7CA6">
        <w:trPr>
          <w:trHeight w:val="170"/>
          <w:jc w:val="center"/>
        </w:trPr>
        <w:tc>
          <w:tcPr>
            <w:tcW w:w="1809" w:type="dxa"/>
            <w:gridSpan w:val="3"/>
            <w:tcBorders>
              <w:bottom w:val="single" w:sz="4" w:space="0" w:color="auto"/>
            </w:tcBorders>
            <w:tcMar>
              <w:left w:w="57" w:type="dxa"/>
              <w:right w:w="113" w:type="dxa"/>
            </w:tcMar>
            <w:vAlign w:val="center"/>
          </w:tcPr>
          <w:p w14:paraId="0FE5A365" w14:textId="77777777" w:rsidR="00D27B2C" w:rsidRPr="00D27B2C" w:rsidRDefault="00D27B2C" w:rsidP="00D27B2C">
            <w:pPr>
              <w:spacing w:before="30" w:after="30" w:line="240" w:lineRule="auto"/>
              <w:rPr>
                <w:rFonts w:ascii="Arial" w:hAnsi="Arial"/>
                <w:color w:val="000000"/>
                <w:sz w:val="14"/>
                <w:szCs w:val="14"/>
              </w:rPr>
            </w:pPr>
            <w:r w:rsidRPr="00D27B2C">
              <w:rPr>
                <w:rFonts w:ascii="Arial" w:hAnsi="Arial"/>
                <w:b/>
                <w:color w:val="000000"/>
                <w:sz w:val="14"/>
                <w:szCs w:val="14"/>
              </w:rPr>
              <w:t>Economised ‘a lot’</w:t>
            </w:r>
          </w:p>
        </w:tc>
        <w:tc>
          <w:tcPr>
            <w:tcW w:w="488" w:type="dxa"/>
            <w:tcBorders>
              <w:bottom w:val="single" w:sz="4" w:space="0" w:color="auto"/>
            </w:tcBorders>
            <w:vAlign w:val="center"/>
          </w:tcPr>
          <w:p w14:paraId="77BA1F9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8" w:type="dxa"/>
            <w:tcBorders>
              <w:bottom w:val="single" w:sz="4" w:space="0" w:color="auto"/>
            </w:tcBorders>
            <w:vAlign w:val="center"/>
          </w:tcPr>
          <w:p w14:paraId="3A5B1C7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tcBorders>
              <w:bottom w:val="single" w:sz="4" w:space="0" w:color="auto"/>
            </w:tcBorders>
            <w:vAlign w:val="center"/>
          </w:tcPr>
          <w:p w14:paraId="546063B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94" w:type="dxa"/>
            <w:tcBorders>
              <w:bottom w:val="single" w:sz="4" w:space="0" w:color="auto"/>
              <w:right w:val="single" w:sz="8" w:space="0" w:color="auto"/>
            </w:tcBorders>
            <w:vAlign w:val="center"/>
          </w:tcPr>
          <w:p w14:paraId="10DF275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left w:val="single" w:sz="8" w:space="0" w:color="auto"/>
              <w:bottom w:val="single" w:sz="4" w:space="0" w:color="auto"/>
            </w:tcBorders>
            <w:vAlign w:val="center"/>
          </w:tcPr>
          <w:p w14:paraId="5BF4509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46C404C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68F8E77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2FD3B20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bottom w:val="single" w:sz="4" w:space="0" w:color="auto"/>
              <w:right w:val="single" w:sz="8" w:space="0" w:color="auto"/>
            </w:tcBorders>
            <w:vAlign w:val="center"/>
          </w:tcPr>
          <w:p w14:paraId="676126B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left w:val="single" w:sz="8" w:space="0" w:color="auto"/>
              <w:bottom w:val="single" w:sz="4" w:space="0" w:color="auto"/>
            </w:tcBorders>
            <w:vAlign w:val="center"/>
          </w:tcPr>
          <w:p w14:paraId="1517C7A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4C5209F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0255DF9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3370666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tcBorders>
              <w:bottom w:val="single" w:sz="4" w:space="0" w:color="auto"/>
            </w:tcBorders>
            <w:vAlign w:val="center"/>
          </w:tcPr>
          <w:p w14:paraId="7A1615A6" w14:textId="77777777" w:rsidR="00D27B2C" w:rsidRPr="00D27B2C" w:rsidRDefault="00D27B2C" w:rsidP="00D27B2C">
            <w:pPr>
              <w:spacing w:before="30" w:after="30" w:line="240" w:lineRule="auto"/>
              <w:jc w:val="center"/>
              <w:rPr>
                <w:rFonts w:ascii="Arial" w:hAnsi="Arial"/>
                <w:b/>
                <w:color w:val="000000"/>
                <w:sz w:val="16"/>
                <w:szCs w:val="16"/>
                <w:highlight w:val="cyan"/>
              </w:rPr>
            </w:pPr>
            <w:r w:rsidRPr="00D27B2C">
              <w:rPr>
                <w:rFonts w:ascii="Arial" w:hAnsi="Arial"/>
                <w:b/>
                <w:bCs/>
                <w:color w:val="000000"/>
                <w:sz w:val="16"/>
                <w:szCs w:val="16"/>
              </w:rPr>
              <w:t> </w:t>
            </w:r>
          </w:p>
        </w:tc>
      </w:tr>
      <w:tr w:rsidR="00D27B2C" w:rsidRPr="00D27B2C" w14:paraId="687E9D8F" w14:textId="77777777" w:rsidTr="000A7CA6">
        <w:trPr>
          <w:trHeight w:val="170"/>
          <w:jc w:val="center"/>
        </w:trPr>
        <w:tc>
          <w:tcPr>
            <w:tcW w:w="137" w:type="dxa"/>
            <w:tcBorders>
              <w:right w:val="nil"/>
            </w:tcBorders>
            <w:vAlign w:val="center"/>
          </w:tcPr>
          <w:p w14:paraId="6A9B4E50"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63184F4B" w14:textId="77777777" w:rsidR="00D27B2C" w:rsidRPr="00D27B2C" w:rsidRDefault="00D27B2C" w:rsidP="00D27B2C">
            <w:pPr>
              <w:spacing w:before="30" w:after="30" w:line="240" w:lineRule="auto"/>
              <w:jc w:val="both"/>
              <w:rPr>
                <w:rFonts w:ascii="Arial" w:hAnsi="Arial"/>
                <w:color w:val="000000"/>
                <w:sz w:val="14"/>
                <w:szCs w:val="16"/>
              </w:rPr>
            </w:pPr>
            <w:r w:rsidRPr="00D27B2C">
              <w:rPr>
                <w:rFonts w:ascii="Arial" w:hAnsi="Arial"/>
                <w:color w:val="000000"/>
                <w:sz w:val="14"/>
                <w:szCs w:val="14"/>
              </w:rPr>
              <w:t>fruit &amp; veg</w:t>
            </w:r>
          </w:p>
        </w:tc>
        <w:tc>
          <w:tcPr>
            <w:tcW w:w="533" w:type="dxa"/>
            <w:tcBorders>
              <w:left w:val="single" w:sz="8" w:space="0" w:color="auto"/>
            </w:tcBorders>
            <w:vAlign w:val="center"/>
          </w:tcPr>
          <w:p w14:paraId="36A6D03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8" w:type="dxa"/>
            <w:vAlign w:val="center"/>
          </w:tcPr>
          <w:p w14:paraId="388F350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8" w:type="dxa"/>
            <w:vAlign w:val="center"/>
          </w:tcPr>
          <w:p w14:paraId="68F3612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w:t>
            </w:r>
          </w:p>
        </w:tc>
        <w:tc>
          <w:tcPr>
            <w:tcW w:w="489" w:type="dxa"/>
            <w:vAlign w:val="center"/>
          </w:tcPr>
          <w:p w14:paraId="5BE40EA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94" w:type="dxa"/>
            <w:tcBorders>
              <w:right w:val="single" w:sz="8" w:space="0" w:color="auto"/>
            </w:tcBorders>
            <w:vAlign w:val="center"/>
          </w:tcPr>
          <w:p w14:paraId="571320E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94" w:type="dxa"/>
            <w:tcBorders>
              <w:left w:val="single" w:sz="8" w:space="0" w:color="auto"/>
            </w:tcBorders>
            <w:vAlign w:val="center"/>
          </w:tcPr>
          <w:p w14:paraId="13E2A1B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33</w:t>
            </w:r>
          </w:p>
        </w:tc>
        <w:tc>
          <w:tcPr>
            <w:tcW w:w="489" w:type="dxa"/>
            <w:vAlign w:val="center"/>
          </w:tcPr>
          <w:p w14:paraId="7862310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28</w:t>
            </w:r>
          </w:p>
        </w:tc>
        <w:tc>
          <w:tcPr>
            <w:tcW w:w="489" w:type="dxa"/>
            <w:vAlign w:val="center"/>
          </w:tcPr>
          <w:p w14:paraId="6A00EEE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27</w:t>
            </w:r>
          </w:p>
        </w:tc>
        <w:tc>
          <w:tcPr>
            <w:tcW w:w="489" w:type="dxa"/>
            <w:vAlign w:val="center"/>
          </w:tcPr>
          <w:p w14:paraId="40DA07D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38</w:t>
            </w:r>
          </w:p>
        </w:tc>
        <w:tc>
          <w:tcPr>
            <w:tcW w:w="494" w:type="dxa"/>
            <w:tcBorders>
              <w:right w:val="single" w:sz="8" w:space="0" w:color="auto"/>
            </w:tcBorders>
            <w:vAlign w:val="center"/>
          </w:tcPr>
          <w:p w14:paraId="076B502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43</w:t>
            </w:r>
          </w:p>
        </w:tc>
        <w:tc>
          <w:tcPr>
            <w:tcW w:w="494" w:type="dxa"/>
            <w:tcBorders>
              <w:left w:val="single" w:sz="8" w:space="0" w:color="auto"/>
            </w:tcBorders>
            <w:vAlign w:val="center"/>
          </w:tcPr>
          <w:p w14:paraId="3AEE662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62</w:t>
            </w:r>
          </w:p>
        </w:tc>
        <w:tc>
          <w:tcPr>
            <w:tcW w:w="489" w:type="dxa"/>
            <w:vAlign w:val="center"/>
          </w:tcPr>
          <w:p w14:paraId="66D176F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0CCD3C7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47</w:t>
            </w:r>
          </w:p>
        </w:tc>
        <w:tc>
          <w:tcPr>
            <w:tcW w:w="489" w:type="dxa"/>
            <w:vAlign w:val="center"/>
          </w:tcPr>
          <w:p w14:paraId="38967D0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57</w:t>
            </w:r>
          </w:p>
        </w:tc>
        <w:tc>
          <w:tcPr>
            <w:tcW w:w="489" w:type="dxa"/>
            <w:vAlign w:val="center"/>
          </w:tcPr>
          <w:p w14:paraId="004815F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66</w:t>
            </w:r>
          </w:p>
        </w:tc>
      </w:tr>
      <w:tr w:rsidR="00D27B2C" w:rsidRPr="00D27B2C" w14:paraId="3024B44B" w14:textId="77777777" w:rsidTr="000A7CA6">
        <w:trPr>
          <w:trHeight w:val="170"/>
          <w:jc w:val="center"/>
        </w:trPr>
        <w:tc>
          <w:tcPr>
            <w:tcW w:w="137" w:type="dxa"/>
            <w:tcBorders>
              <w:right w:val="nil"/>
            </w:tcBorders>
            <w:vAlign w:val="center"/>
          </w:tcPr>
          <w:p w14:paraId="5C6F5D14"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3752A03B"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 xml:space="preserve">meat </w:t>
            </w:r>
          </w:p>
        </w:tc>
        <w:tc>
          <w:tcPr>
            <w:tcW w:w="533" w:type="dxa"/>
            <w:tcBorders>
              <w:left w:val="single" w:sz="8" w:space="0" w:color="auto"/>
            </w:tcBorders>
            <w:vAlign w:val="center"/>
          </w:tcPr>
          <w:p w14:paraId="77D9DAB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w:t>
            </w:r>
          </w:p>
        </w:tc>
        <w:tc>
          <w:tcPr>
            <w:tcW w:w="488" w:type="dxa"/>
            <w:vAlign w:val="center"/>
          </w:tcPr>
          <w:p w14:paraId="7BA86BC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w:t>
            </w:r>
          </w:p>
        </w:tc>
        <w:tc>
          <w:tcPr>
            <w:tcW w:w="488" w:type="dxa"/>
            <w:vAlign w:val="center"/>
          </w:tcPr>
          <w:p w14:paraId="073CA91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w:t>
            </w:r>
          </w:p>
        </w:tc>
        <w:tc>
          <w:tcPr>
            <w:tcW w:w="489" w:type="dxa"/>
            <w:vAlign w:val="center"/>
          </w:tcPr>
          <w:p w14:paraId="3D2E7B9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13</w:t>
            </w:r>
          </w:p>
        </w:tc>
        <w:tc>
          <w:tcPr>
            <w:tcW w:w="494" w:type="dxa"/>
            <w:tcBorders>
              <w:right w:val="single" w:sz="8" w:space="0" w:color="auto"/>
            </w:tcBorders>
            <w:vAlign w:val="center"/>
          </w:tcPr>
          <w:p w14:paraId="3B48333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11</w:t>
            </w:r>
          </w:p>
        </w:tc>
        <w:tc>
          <w:tcPr>
            <w:tcW w:w="494" w:type="dxa"/>
            <w:tcBorders>
              <w:left w:val="single" w:sz="8" w:space="0" w:color="auto"/>
            </w:tcBorders>
            <w:vAlign w:val="center"/>
          </w:tcPr>
          <w:p w14:paraId="5BE172E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71</w:t>
            </w:r>
          </w:p>
        </w:tc>
        <w:tc>
          <w:tcPr>
            <w:tcW w:w="489" w:type="dxa"/>
            <w:vAlign w:val="center"/>
          </w:tcPr>
          <w:p w14:paraId="73023BB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69</w:t>
            </w:r>
          </w:p>
        </w:tc>
        <w:tc>
          <w:tcPr>
            <w:tcW w:w="489" w:type="dxa"/>
            <w:vAlign w:val="center"/>
          </w:tcPr>
          <w:p w14:paraId="37BAE5D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67</w:t>
            </w:r>
          </w:p>
        </w:tc>
        <w:tc>
          <w:tcPr>
            <w:tcW w:w="489" w:type="dxa"/>
            <w:vAlign w:val="center"/>
          </w:tcPr>
          <w:p w14:paraId="180FCEF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77</w:t>
            </w:r>
          </w:p>
        </w:tc>
        <w:tc>
          <w:tcPr>
            <w:tcW w:w="494" w:type="dxa"/>
            <w:tcBorders>
              <w:right w:val="single" w:sz="8" w:space="0" w:color="auto"/>
            </w:tcBorders>
            <w:vAlign w:val="center"/>
          </w:tcPr>
          <w:p w14:paraId="318357C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70</w:t>
            </w:r>
          </w:p>
        </w:tc>
        <w:tc>
          <w:tcPr>
            <w:tcW w:w="494" w:type="dxa"/>
            <w:tcBorders>
              <w:left w:val="single" w:sz="8" w:space="0" w:color="auto"/>
            </w:tcBorders>
            <w:vAlign w:val="center"/>
          </w:tcPr>
          <w:p w14:paraId="16CB782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89</w:t>
            </w:r>
          </w:p>
        </w:tc>
        <w:tc>
          <w:tcPr>
            <w:tcW w:w="489" w:type="dxa"/>
            <w:vAlign w:val="center"/>
          </w:tcPr>
          <w:p w14:paraId="16CCA07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85</w:t>
            </w:r>
          </w:p>
        </w:tc>
        <w:tc>
          <w:tcPr>
            <w:tcW w:w="489" w:type="dxa"/>
            <w:vAlign w:val="center"/>
          </w:tcPr>
          <w:p w14:paraId="4334051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86</w:t>
            </w:r>
          </w:p>
        </w:tc>
        <w:tc>
          <w:tcPr>
            <w:tcW w:w="489" w:type="dxa"/>
            <w:vAlign w:val="center"/>
          </w:tcPr>
          <w:p w14:paraId="3DB313E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87</w:t>
            </w:r>
          </w:p>
        </w:tc>
        <w:tc>
          <w:tcPr>
            <w:tcW w:w="489" w:type="dxa"/>
            <w:vAlign w:val="center"/>
          </w:tcPr>
          <w:p w14:paraId="1A0E42C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83</w:t>
            </w:r>
          </w:p>
        </w:tc>
      </w:tr>
      <w:tr w:rsidR="00D27B2C" w:rsidRPr="00D27B2C" w14:paraId="20301A7B" w14:textId="77777777" w:rsidTr="000A7CA6">
        <w:trPr>
          <w:trHeight w:val="170"/>
          <w:jc w:val="center"/>
        </w:trPr>
        <w:tc>
          <w:tcPr>
            <w:tcW w:w="137" w:type="dxa"/>
            <w:tcBorders>
              <w:right w:val="nil"/>
            </w:tcBorders>
            <w:vAlign w:val="center"/>
          </w:tcPr>
          <w:p w14:paraId="0B257F96"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389C44E8"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heating</w:t>
            </w:r>
          </w:p>
        </w:tc>
        <w:tc>
          <w:tcPr>
            <w:tcW w:w="533" w:type="dxa"/>
            <w:tcBorders>
              <w:left w:val="single" w:sz="8" w:space="0" w:color="auto"/>
            </w:tcBorders>
            <w:vAlign w:val="center"/>
          </w:tcPr>
          <w:p w14:paraId="5E0C409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88" w:type="dxa"/>
            <w:vAlign w:val="center"/>
          </w:tcPr>
          <w:p w14:paraId="17169F3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88" w:type="dxa"/>
            <w:vAlign w:val="center"/>
          </w:tcPr>
          <w:p w14:paraId="59E61FC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89" w:type="dxa"/>
            <w:vAlign w:val="center"/>
          </w:tcPr>
          <w:p w14:paraId="6C5EBEC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94" w:type="dxa"/>
            <w:tcBorders>
              <w:right w:val="single" w:sz="8" w:space="0" w:color="auto"/>
            </w:tcBorders>
            <w:vAlign w:val="center"/>
          </w:tcPr>
          <w:p w14:paraId="09C8F6A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94" w:type="dxa"/>
            <w:tcBorders>
              <w:left w:val="single" w:sz="8" w:space="0" w:color="auto"/>
            </w:tcBorders>
            <w:vAlign w:val="center"/>
          </w:tcPr>
          <w:p w14:paraId="7DAB97A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45</w:t>
            </w:r>
          </w:p>
        </w:tc>
        <w:tc>
          <w:tcPr>
            <w:tcW w:w="489" w:type="dxa"/>
            <w:vAlign w:val="center"/>
          </w:tcPr>
          <w:p w14:paraId="3AE6790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43</w:t>
            </w:r>
          </w:p>
        </w:tc>
        <w:tc>
          <w:tcPr>
            <w:tcW w:w="489" w:type="dxa"/>
            <w:vAlign w:val="center"/>
          </w:tcPr>
          <w:p w14:paraId="36BCD4D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39</w:t>
            </w:r>
          </w:p>
        </w:tc>
        <w:tc>
          <w:tcPr>
            <w:tcW w:w="489" w:type="dxa"/>
            <w:vAlign w:val="center"/>
          </w:tcPr>
          <w:p w14:paraId="053DD56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31</w:t>
            </w:r>
          </w:p>
        </w:tc>
        <w:tc>
          <w:tcPr>
            <w:tcW w:w="494" w:type="dxa"/>
            <w:tcBorders>
              <w:right w:val="single" w:sz="8" w:space="0" w:color="auto"/>
            </w:tcBorders>
            <w:vAlign w:val="center"/>
          </w:tcPr>
          <w:p w14:paraId="3031C5F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31</w:t>
            </w:r>
          </w:p>
        </w:tc>
        <w:tc>
          <w:tcPr>
            <w:tcW w:w="494" w:type="dxa"/>
            <w:tcBorders>
              <w:left w:val="single" w:sz="8" w:space="0" w:color="auto"/>
            </w:tcBorders>
            <w:vAlign w:val="center"/>
          </w:tcPr>
          <w:p w14:paraId="00834E0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63</w:t>
            </w:r>
          </w:p>
        </w:tc>
        <w:tc>
          <w:tcPr>
            <w:tcW w:w="489" w:type="dxa"/>
            <w:vAlign w:val="center"/>
          </w:tcPr>
          <w:p w14:paraId="4854FAB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58</w:t>
            </w:r>
          </w:p>
        </w:tc>
        <w:tc>
          <w:tcPr>
            <w:tcW w:w="489" w:type="dxa"/>
            <w:vAlign w:val="center"/>
          </w:tcPr>
          <w:p w14:paraId="7F243E8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59</w:t>
            </w:r>
          </w:p>
        </w:tc>
        <w:tc>
          <w:tcPr>
            <w:tcW w:w="489" w:type="dxa"/>
            <w:vAlign w:val="center"/>
          </w:tcPr>
          <w:p w14:paraId="2C81031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45</w:t>
            </w:r>
          </w:p>
        </w:tc>
        <w:tc>
          <w:tcPr>
            <w:tcW w:w="489" w:type="dxa"/>
            <w:vAlign w:val="center"/>
          </w:tcPr>
          <w:p w14:paraId="6C5F544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r>
      <w:tr w:rsidR="00D27B2C" w:rsidRPr="00D27B2C" w14:paraId="597F0429" w14:textId="77777777" w:rsidTr="000A7CA6">
        <w:trPr>
          <w:trHeight w:val="170"/>
          <w:jc w:val="center"/>
        </w:trPr>
        <w:tc>
          <w:tcPr>
            <w:tcW w:w="137" w:type="dxa"/>
            <w:tcBorders>
              <w:right w:val="nil"/>
            </w:tcBorders>
            <w:vAlign w:val="center"/>
          </w:tcPr>
          <w:p w14:paraId="7074A4A4"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45DD1E1D"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doctor</w:t>
            </w:r>
          </w:p>
        </w:tc>
        <w:tc>
          <w:tcPr>
            <w:tcW w:w="533" w:type="dxa"/>
            <w:tcBorders>
              <w:left w:val="single" w:sz="8" w:space="0" w:color="auto"/>
            </w:tcBorders>
            <w:vAlign w:val="center"/>
          </w:tcPr>
          <w:p w14:paraId="4ED9262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88" w:type="dxa"/>
            <w:vAlign w:val="center"/>
          </w:tcPr>
          <w:p w14:paraId="7B99D4B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88" w:type="dxa"/>
            <w:vAlign w:val="center"/>
          </w:tcPr>
          <w:p w14:paraId="5783AC2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89" w:type="dxa"/>
            <w:vAlign w:val="center"/>
          </w:tcPr>
          <w:p w14:paraId="716F5AD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94" w:type="dxa"/>
            <w:tcBorders>
              <w:right w:val="single" w:sz="8" w:space="0" w:color="auto"/>
            </w:tcBorders>
            <w:vAlign w:val="center"/>
          </w:tcPr>
          <w:p w14:paraId="57FD80D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94" w:type="dxa"/>
            <w:tcBorders>
              <w:left w:val="single" w:sz="8" w:space="0" w:color="auto"/>
            </w:tcBorders>
            <w:vAlign w:val="center"/>
          </w:tcPr>
          <w:p w14:paraId="3344868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52</w:t>
            </w:r>
          </w:p>
        </w:tc>
        <w:tc>
          <w:tcPr>
            <w:tcW w:w="489" w:type="dxa"/>
            <w:vAlign w:val="center"/>
          </w:tcPr>
          <w:p w14:paraId="66EAD63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55</w:t>
            </w:r>
          </w:p>
        </w:tc>
        <w:tc>
          <w:tcPr>
            <w:tcW w:w="489" w:type="dxa"/>
            <w:vAlign w:val="center"/>
          </w:tcPr>
          <w:p w14:paraId="5A29EE8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50</w:t>
            </w:r>
          </w:p>
        </w:tc>
        <w:tc>
          <w:tcPr>
            <w:tcW w:w="489" w:type="dxa"/>
            <w:vAlign w:val="center"/>
          </w:tcPr>
          <w:p w14:paraId="15AF868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49</w:t>
            </w:r>
          </w:p>
        </w:tc>
        <w:tc>
          <w:tcPr>
            <w:tcW w:w="494" w:type="dxa"/>
            <w:tcBorders>
              <w:right w:val="single" w:sz="8" w:space="0" w:color="auto"/>
            </w:tcBorders>
            <w:vAlign w:val="center"/>
          </w:tcPr>
          <w:p w14:paraId="09C7F32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42</w:t>
            </w:r>
          </w:p>
        </w:tc>
        <w:tc>
          <w:tcPr>
            <w:tcW w:w="494" w:type="dxa"/>
            <w:tcBorders>
              <w:left w:val="single" w:sz="8" w:space="0" w:color="auto"/>
            </w:tcBorders>
            <w:vAlign w:val="center"/>
          </w:tcPr>
          <w:p w14:paraId="56C9104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71</w:t>
            </w:r>
          </w:p>
        </w:tc>
        <w:tc>
          <w:tcPr>
            <w:tcW w:w="489" w:type="dxa"/>
            <w:vAlign w:val="center"/>
          </w:tcPr>
          <w:p w14:paraId="7A81D16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68</w:t>
            </w:r>
          </w:p>
        </w:tc>
        <w:tc>
          <w:tcPr>
            <w:tcW w:w="489" w:type="dxa"/>
            <w:vAlign w:val="center"/>
          </w:tcPr>
          <w:p w14:paraId="614B27F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67</w:t>
            </w:r>
          </w:p>
        </w:tc>
        <w:tc>
          <w:tcPr>
            <w:tcW w:w="489" w:type="dxa"/>
            <w:vAlign w:val="center"/>
          </w:tcPr>
          <w:p w14:paraId="1B484C5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64</w:t>
            </w:r>
          </w:p>
        </w:tc>
        <w:tc>
          <w:tcPr>
            <w:tcW w:w="489" w:type="dxa"/>
            <w:vAlign w:val="center"/>
          </w:tcPr>
          <w:p w14:paraId="3FA5DF9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57</w:t>
            </w:r>
          </w:p>
        </w:tc>
      </w:tr>
      <w:tr w:rsidR="00D27B2C" w:rsidRPr="00D27B2C" w14:paraId="27E777B3" w14:textId="77777777" w:rsidTr="000A7CA6">
        <w:trPr>
          <w:trHeight w:val="170"/>
          <w:jc w:val="center"/>
        </w:trPr>
        <w:tc>
          <w:tcPr>
            <w:tcW w:w="137" w:type="dxa"/>
            <w:tcBorders>
              <w:right w:val="nil"/>
            </w:tcBorders>
            <w:vAlign w:val="center"/>
          </w:tcPr>
          <w:p w14:paraId="78CF7919"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4A65BCFA"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dentist</w:t>
            </w:r>
          </w:p>
        </w:tc>
        <w:tc>
          <w:tcPr>
            <w:tcW w:w="533" w:type="dxa"/>
            <w:tcBorders>
              <w:left w:val="single" w:sz="8" w:space="0" w:color="auto"/>
            </w:tcBorders>
            <w:vAlign w:val="center"/>
          </w:tcPr>
          <w:p w14:paraId="3C0F974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20</w:t>
            </w:r>
          </w:p>
        </w:tc>
        <w:tc>
          <w:tcPr>
            <w:tcW w:w="488" w:type="dxa"/>
            <w:vAlign w:val="center"/>
          </w:tcPr>
          <w:p w14:paraId="3D2ADA6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23</w:t>
            </w:r>
          </w:p>
        </w:tc>
        <w:tc>
          <w:tcPr>
            <w:tcW w:w="488" w:type="dxa"/>
            <w:vAlign w:val="center"/>
          </w:tcPr>
          <w:p w14:paraId="30088A7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22</w:t>
            </w:r>
          </w:p>
        </w:tc>
        <w:tc>
          <w:tcPr>
            <w:tcW w:w="489" w:type="dxa"/>
            <w:vAlign w:val="center"/>
          </w:tcPr>
          <w:p w14:paraId="52B3C44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21</w:t>
            </w:r>
          </w:p>
        </w:tc>
        <w:tc>
          <w:tcPr>
            <w:tcW w:w="494" w:type="dxa"/>
            <w:tcBorders>
              <w:right w:val="single" w:sz="8" w:space="0" w:color="auto"/>
            </w:tcBorders>
            <w:vAlign w:val="center"/>
          </w:tcPr>
          <w:p w14:paraId="557EA11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23</w:t>
            </w:r>
          </w:p>
        </w:tc>
        <w:tc>
          <w:tcPr>
            <w:tcW w:w="494" w:type="dxa"/>
            <w:tcBorders>
              <w:left w:val="single" w:sz="8" w:space="0" w:color="auto"/>
            </w:tcBorders>
            <w:vAlign w:val="center"/>
          </w:tcPr>
          <w:p w14:paraId="75F7483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83</w:t>
            </w:r>
          </w:p>
        </w:tc>
        <w:tc>
          <w:tcPr>
            <w:tcW w:w="489" w:type="dxa"/>
            <w:vAlign w:val="center"/>
          </w:tcPr>
          <w:p w14:paraId="2A9999A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86</w:t>
            </w:r>
          </w:p>
        </w:tc>
        <w:tc>
          <w:tcPr>
            <w:tcW w:w="489" w:type="dxa"/>
            <w:vAlign w:val="center"/>
          </w:tcPr>
          <w:p w14:paraId="61A78BE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81</w:t>
            </w:r>
          </w:p>
        </w:tc>
        <w:tc>
          <w:tcPr>
            <w:tcW w:w="489" w:type="dxa"/>
            <w:vAlign w:val="center"/>
          </w:tcPr>
          <w:p w14:paraId="73AE212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79</w:t>
            </w:r>
          </w:p>
        </w:tc>
        <w:tc>
          <w:tcPr>
            <w:tcW w:w="494" w:type="dxa"/>
            <w:tcBorders>
              <w:right w:val="single" w:sz="8" w:space="0" w:color="auto"/>
            </w:tcBorders>
            <w:vAlign w:val="center"/>
          </w:tcPr>
          <w:p w14:paraId="7A3A12D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82</w:t>
            </w:r>
          </w:p>
        </w:tc>
        <w:tc>
          <w:tcPr>
            <w:tcW w:w="494" w:type="dxa"/>
            <w:tcBorders>
              <w:left w:val="single" w:sz="8" w:space="0" w:color="auto"/>
            </w:tcBorders>
            <w:vAlign w:val="center"/>
          </w:tcPr>
          <w:p w14:paraId="20F23EF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90</w:t>
            </w:r>
          </w:p>
        </w:tc>
        <w:tc>
          <w:tcPr>
            <w:tcW w:w="489" w:type="dxa"/>
            <w:vAlign w:val="center"/>
          </w:tcPr>
          <w:p w14:paraId="08674B4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92</w:t>
            </w:r>
          </w:p>
        </w:tc>
        <w:tc>
          <w:tcPr>
            <w:tcW w:w="489" w:type="dxa"/>
            <w:vAlign w:val="center"/>
          </w:tcPr>
          <w:p w14:paraId="7DBE99D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88</w:t>
            </w:r>
          </w:p>
        </w:tc>
        <w:tc>
          <w:tcPr>
            <w:tcW w:w="489" w:type="dxa"/>
            <w:vAlign w:val="center"/>
          </w:tcPr>
          <w:p w14:paraId="14207A7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85</w:t>
            </w:r>
          </w:p>
        </w:tc>
        <w:tc>
          <w:tcPr>
            <w:tcW w:w="489" w:type="dxa"/>
            <w:vAlign w:val="center"/>
          </w:tcPr>
          <w:p w14:paraId="3D05F07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93</w:t>
            </w:r>
          </w:p>
        </w:tc>
      </w:tr>
      <w:tr w:rsidR="00D27B2C" w:rsidRPr="00D27B2C" w14:paraId="2FA4BBE1" w14:textId="77777777" w:rsidTr="000A7CA6">
        <w:trPr>
          <w:trHeight w:val="170"/>
          <w:jc w:val="center"/>
        </w:trPr>
        <w:tc>
          <w:tcPr>
            <w:tcW w:w="137" w:type="dxa"/>
            <w:tcBorders>
              <w:right w:val="nil"/>
            </w:tcBorders>
            <w:vAlign w:val="center"/>
          </w:tcPr>
          <w:p w14:paraId="75E7DFC5"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5B808F49"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local trips</w:t>
            </w:r>
          </w:p>
        </w:tc>
        <w:tc>
          <w:tcPr>
            <w:tcW w:w="533" w:type="dxa"/>
            <w:tcBorders>
              <w:left w:val="single" w:sz="8" w:space="0" w:color="auto"/>
            </w:tcBorders>
            <w:vAlign w:val="center"/>
          </w:tcPr>
          <w:p w14:paraId="6E05D42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w:t>
            </w:r>
          </w:p>
        </w:tc>
        <w:tc>
          <w:tcPr>
            <w:tcW w:w="488" w:type="dxa"/>
            <w:vAlign w:val="center"/>
          </w:tcPr>
          <w:p w14:paraId="70A81CC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w:t>
            </w:r>
          </w:p>
        </w:tc>
        <w:tc>
          <w:tcPr>
            <w:tcW w:w="488" w:type="dxa"/>
            <w:vAlign w:val="center"/>
          </w:tcPr>
          <w:p w14:paraId="7C64E50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w:t>
            </w:r>
          </w:p>
        </w:tc>
        <w:tc>
          <w:tcPr>
            <w:tcW w:w="489" w:type="dxa"/>
            <w:vAlign w:val="center"/>
          </w:tcPr>
          <w:p w14:paraId="45B2CBD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w:t>
            </w:r>
          </w:p>
        </w:tc>
        <w:tc>
          <w:tcPr>
            <w:tcW w:w="494" w:type="dxa"/>
            <w:tcBorders>
              <w:right w:val="single" w:sz="8" w:space="0" w:color="auto"/>
            </w:tcBorders>
            <w:vAlign w:val="center"/>
          </w:tcPr>
          <w:p w14:paraId="77435EB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10</w:t>
            </w:r>
          </w:p>
        </w:tc>
        <w:tc>
          <w:tcPr>
            <w:tcW w:w="494" w:type="dxa"/>
            <w:tcBorders>
              <w:left w:val="single" w:sz="8" w:space="0" w:color="auto"/>
            </w:tcBorders>
            <w:vAlign w:val="center"/>
          </w:tcPr>
          <w:p w14:paraId="6E9530E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68</w:t>
            </w:r>
          </w:p>
        </w:tc>
        <w:tc>
          <w:tcPr>
            <w:tcW w:w="489" w:type="dxa"/>
            <w:vAlign w:val="center"/>
          </w:tcPr>
          <w:p w14:paraId="6C81DE2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64</w:t>
            </w:r>
          </w:p>
        </w:tc>
        <w:tc>
          <w:tcPr>
            <w:tcW w:w="489" w:type="dxa"/>
            <w:vAlign w:val="center"/>
          </w:tcPr>
          <w:p w14:paraId="4D34DFC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67</w:t>
            </w:r>
          </w:p>
        </w:tc>
        <w:tc>
          <w:tcPr>
            <w:tcW w:w="489" w:type="dxa"/>
            <w:vAlign w:val="center"/>
          </w:tcPr>
          <w:p w14:paraId="0079AC2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72</w:t>
            </w:r>
          </w:p>
        </w:tc>
        <w:tc>
          <w:tcPr>
            <w:tcW w:w="494" w:type="dxa"/>
            <w:tcBorders>
              <w:right w:val="single" w:sz="8" w:space="0" w:color="auto"/>
            </w:tcBorders>
            <w:vAlign w:val="center"/>
          </w:tcPr>
          <w:p w14:paraId="56CD823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67</w:t>
            </w:r>
          </w:p>
        </w:tc>
        <w:tc>
          <w:tcPr>
            <w:tcW w:w="494" w:type="dxa"/>
            <w:tcBorders>
              <w:left w:val="single" w:sz="8" w:space="0" w:color="auto"/>
            </w:tcBorders>
            <w:vAlign w:val="center"/>
          </w:tcPr>
          <w:p w14:paraId="25089CF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81</w:t>
            </w:r>
          </w:p>
        </w:tc>
        <w:tc>
          <w:tcPr>
            <w:tcW w:w="489" w:type="dxa"/>
            <w:vAlign w:val="center"/>
          </w:tcPr>
          <w:p w14:paraId="5679BA9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78</w:t>
            </w:r>
          </w:p>
        </w:tc>
        <w:tc>
          <w:tcPr>
            <w:tcW w:w="489" w:type="dxa"/>
            <w:vAlign w:val="center"/>
          </w:tcPr>
          <w:p w14:paraId="16F91CE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82</w:t>
            </w:r>
          </w:p>
        </w:tc>
        <w:tc>
          <w:tcPr>
            <w:tcW w:w="489" w:type="dxa"/>
            <w:vAlign w:val="center"/>
          </w:tcPr>
          <w:p w14:paraId="6DD6E47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86</w:t>
            </w:r>
          </w:p>
        </w:tc>
        <w:tc>
          <w:tcPr>
            <w:tcW w:w="489" w:type="dxa"/>
            <w:vAlign w:val="center"/>
          </w:tcPr>
          <w:p w14:paraId="6808AB6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85</w:t>
            </w:r>
          </w:p>
        </w:tc>
      </w:tr>
      <w:tr w:rsidR="00D27B2C" w:rsidRPr="00D27B2C" w14:paraId="6B43DEFA" w14:textId="77777777" w:rsidTr="000A7CA6">
        <w:trPr>
          <w:trHeight w:val="170"/>
          <w:jc w:val="center"/>
        </w:trPr>
        <w:tc>
          <w:tcPr>
            <w:tcW w:w="137" w:type="dxa"/>
            <w:tcBorders>
              <w:right w:val="nil"/>
            </w:tcBorders>
            <w:vAlign w:val="center"/>
          </w:tcPr>
          <w:p w14:paraId="5DC86D52"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6D16C0AC"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appliances</w:t>
            </w:r>
          </w:p>
        </w:tc>
        <w:tc>
          <w:tcPr>
            <w:tcW w:w="533" w:type="dxa"/>
            <w:tcBorders>
              <w:left w:val="single" w:sz="8" w:space="0" w:color="auto"/>
            </w:tcBorders>
            <w:vAlign w:val="center"/>
          </w:tcPr>
          <w:p w14:paraId="1CEA772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88" w:type="dxa"/>
            <w:vAlign w:val="center"/>
          </w:tcPr>
          <w:p w14:paraId="69EADA6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88" w:type="dxa"/>
            <w:vAlign w:val="center"/>
          </w:tcPr>
          <w:p w14:paraId="71C89DB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89" w:type="dxa"/>
            <w:vAlign w:val="center"/>
          </w:tcPr>
          <w:p w14:paraId="3856831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94" w:type="dxa"/>
            <w:tcBorders>
              <w:right w:val="single" w:sz="8" w:space="0" w:color="auto"/>
            </w:tcBorders>
            <w:vAlign w:val="center"/>
          </w:tcPr>
          <w:p w14:paraId="69EEEF1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94" w:type="dxa"/>
            <w:tcBorders>
              <w:left w:val="single" w:sz="8" w:space="0" w:color="auto"/>
            </w:tcBorders>
            <w:vAlign w:val="center"/>
          </w:tcPr>
          <w:p w14:paraId="0E56AC2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55</w:t>
            </w:r>
          </w:p>
        </w:tc>
        <w:tc>
          <w:tcPr>
            <w:tcW w:w="489" w:type="dxa"/>
            <w:vAlign w:val="center"/>
          </w:tcPr>
          <w:p w14:paraId="2E18395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58</w:t>
            </w:r>
          </w:p>
        </w:tc>
        <w:tc>
          <w:tcPr>
            <w:tcW w:w="489" w:type="dxa"/>
            <w:vAlign w:val="center"/>
          </w:tcPr>
          <w:p w14:paraId="725D06F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61</w:t>
            </w:r>
          </w:p>
        </w:tc>
        <w:tc>
          <w:tcPr>
            <w:tcW w:w="489" w:type="dxa"/>
            <w:vAlign w:val="center"/>
          </w:tcPr>
          <w:p w14:paraId="75E1005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58</w:t>
            </w:r>
          </w:p>
        </w:tc>
        <w:tc>
          <w:tcPr>
            <w:tcW w:w="494" w:type="dxa"/>
            <w:tcBorders>
              <w:right w:val="single" w:sz="8" w:space="0" w:color="auto"/>
            </w:tcBorders>
            <w:vAlign w:val="center"/>
          </w:tcPr>
          <w:p w14:paraId="53D6852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57</w:t>
            </w:r>
          </w:p>
        </w:tc>
        <w:tc>
          <w:tcPr>
            <w:tcW w:w="494" w:type="dxa"/>
            <w:tcBorders>
              <w:left w:val="single" w:sz="8" w:space="0" w:color="auto"/>
            </w:tcBorders>
            <w:vAlign w:val="center"/>
          </w:tcPr>
          <w:p w14:paraId="67C040D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77</w:t>
            </w:r>
          </w:p>
        </w:tc>
        <w:tc>
          <w:tcPr>
            <w:tcW w:w="489" w:type="dxa"/>
            <w:vAlign w:val="center"/>
          </w:tcPr>
          <w:p w14:paraId="5584D0C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75</w:t>
            </w:r>
          </w:p>
        </w:tc>
        <w:tc>
          <w:tcPr>
            <w:tcW w:w="489" w:type="dxa"/>
            <w:vAlign w:val="center"/>
          </w:tcPr>
          <w:p w14:paraId="634B07A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76</w:t>
            </w:r>
          </w:p>
        </w:tc>
        <w:tc>
          <w:tcPr>
            <w:tcW w:w="489" w:type="dxa"/>
            <w:vAlign w:val="center"/>
          </w:tcPr>
          <w:p w14:paraId="5070D6C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76</w:t>
            </w:r>
          </w:p>
        </w:tc>
        <w:tc>
          <w:tcPr>
            <w:tcW w:w="489" w:type="dxa"/>
            <w:vAlign w:val="center"/>
          </w:tcPr>
          <w:p w14:paraId="13EC4C9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70</w:t>
            </w:r>
          </w:p>
        </w:tc>
      </w:tr>
      <w:tr w:rsidR="00D27B2C" w:rsidRPr="00D27B2C" w14:paraId="3F464E3A" w14:textId="77777777" w:rsidTr="000A7CA6">
        <w:trPr>
          <w:trHeight w:val="170"/>
          <w:jc w:val="center"/>
        </w:trPr>
        <w:tc>
          <w:tcPr>
            <w:tcW w:w="1276" w:type="dxa"/>
            <w:gridSpan w:val="2"/>
            <w:tcBorders>
              <w:right w:val="single" w:sz="8" w:space="0" w:color="auto"/>
            </w:tcBorders>
            <w:tcMar>
              <w:right w:w="57" w:type="dxa"/>
            </w:tcMar>
            <w:vAlign w:val="center"/>
          </w:tcPr>
          <w:p w14:paraId="25CE02A6" w14:textId="77777777" w:rsidR="00D27B2C" w:rsidRPr="00D27B2C" w:rsidRDefault="00D27B2C" w:rsidP="00D27B2C">
            <w:pPr>
              <w:spacing w:before="30" w:after="30" w:line="240" w:lineRule="auto"/>
              <w:rPr>
                <w:rFonts w:ascii="Arial" w:hAnsi="Arial"/>
                <w:color w:val="000000"/>
                <w:sz w:val="14"/>
                <w:szCs w:val="14"/>
              </w:rPr>
            </w:pPr>
            <w:r w:rsidRPr="00D27B2C">
              <w:rPr>
                <w:rFonts w:ascii="Arial" w:hAnsi="Arial"/>
                <w:b/>
                <w:color w:val="000000"/>
                <w:sz w:val="14"/>
                <w:szCs w:val="14"/>
              </w:rPr>
              <w:t xml:space="preserve"> Arrears</w:t>
            </w:r>
          </w:p>
        </w:tc>
        <w:tc>
          <w:tcPr>
            <w:tcW w:w="533" w:type="dxa"/>
            <w:tcBorders>
              <w:left w:val="single" w:sz="8" w:space="0" w:color="auto"/>
            </w:tcBorders>
            <w:vAlign w:val="center"/>
          </w:tcPr>
          <w:p w14:paraId="6B486E72" w14:textId="77777777" w:rsidR="00D27B2C" w:rsidRPr="00D27B2C" w:rsidRDefault="00D27B2C" w:rsidP="00D27B2C">
            <w:pPr>
              <w:spacing w:before="30" w:after="30" w:line="240" w:lineRule="auto"/>
              <w:jc w:val="center"/>
              <w:rPr>
                <w:rFonts w:ascii="Arial" w:hAnsi="Arial"/>
                <w:color w:val="000000"/>
                <w:sz w:val="14"/>
                <w:szCs w:val="14"/>
              </w:rPr>
            </w:pPr>
          </w:p>
        </w:tc>
        <w:tc>
          <w:tcPr>
            <w:tcW w:w="488" w:type="dxa"/>
            <w:vAlign w:val="center"/>
          </w:tcPr>
          <w:p w14:paraId="54C20AF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8" w:type="dxa"/>
            <w:vAlign w:val="center"/>
          </w:tcPr>
          <w:p w14:paraId="332A9F6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053158A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right w:val="single" w:sz="8" w:space="0" w:color="auto"/>
            </w:tcBorders>
            <w:vAlign w:val="center"/>
          </w:tcPr>
          <w:p w14:paraId="5122E7A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left w:val="single" w:sz="8" w:space="0" w:color="auto"/>
            </w:tcBorders>
            <w:vAlign w:val="center"/>
          </w:tcPr>
          <w:p w14:paraId="431D6AC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5A9612D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4A5E4F1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1F0D4F5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right w:val="single" w:sz="8" w:space="0" w:color="auto"/>
            </w:tcBorders>
            <w:vAlign w:val="center"/>
          </w:tcPr>
          <w:p w14:paraId="5CAAA87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94" w:type="dxa"/>
            <w:tcBorders>
              <w:left w:val="single" w:sz="8" w:space="0" w:color="auto"/>
            </w:tcBorders>
            <w:vAlign w:val="center"/>
          </w:tcPr>
          <w:p w14:paraId="1A0D6C2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0FFA808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1821F15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6934942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b/>
                <w:bCs/>
                <w:color w:val="000000"/>
                <w:sz w:val="16"/>
                <w:szCs w:val="16"/>
              </w:rPr>
              <w:t> </w:t>
            </w:r>
          </w:p>
        </w:tc>
        <w:tc>
          <w:tcPr>
            <w:tcW w:w="489" w:type="dxa"/>
            <w:vAlign w:val="center"/>
          </w:tcPr>
          <w:p w14:paraId="2125B966" w14:textId="77777777" w:rsidR="00D27B2C" w:rsidRPr="00D27B2C" w:rsidRDefault="00D27B2C" w:rsidP="00D27B2C">
            <w:pPr>
              <w:spacing w:before="30" w:after="30" w:line="240" w:lineRule="auto"/>
              <w:ind w:left="132"/>
              <w:jc w:val="center"/>
              <w:rPr>
                <w:rFonts w:ascii="Arial" w:hAnsi="Arial"/>
                <w:b/>
                <w:color w:val="000000"/>
                <w:sz w:val="16"/>
                <w:szCs w:val="16"/>
                <w:highlight w:val="cyan"/>
              </w:rPr>
            </w:pPr>
            <w:r w:rsidRPr="00D27B2C">
              <w:rPr>
                <w:rFonts w:ascii="Arial" w:hAnsi="Arial"/>
                <w:b/>
                <w:bCs/>
                <w:color w:val="000000"/>
                <w:sz w:val="16"/>
                <w:szCs w:val="16"/>
              </w:rPr>
              <w:t> </w:t>
            </w:r>
          </w:p>
        </w:tc>
      </w:tr>
      <w:tr w:rsidR="00D27B2C" w:rsidRPr="00D27B2C" w14:paraId="19DE57F7" w14:textId="77777777" w:rsidTr="000A7CA6">
        <w:trPr>
          <w:trHeight w:val="170"/>
          <w:jc w:val="center"/>
        </w:trPr>
        <w:tc>
          <w:tcPr>
            <w:tcW w:w="137" w:type="dxa"/>
            <w:tcBorders>
              <w:right w:val="nil"/>
            </w:tcBorders>
            <w:vAlign w:val="center"/>
          </w:tcPr>
          <w:p w14:paraId="0733EE8D"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6E5344C7" w14:textId="77777777" w:rsidR="00D27B2C" w:rsidRPr="00D27B2C" w:rsidRDefault="00D27B2C" w:rsidP="00D27B2C">
            <w:pPr>
              <w:spacing w:before="30" w:after="30" w:line="240" w:lineRule="auto"/>
              <w:jc w:val="both"/>
              <w:rPr>
                <w:rFonts w:ascii="Arial" w:hAnsi="Arial"/>
                <w:color w:val="000000"/>
                <w:sz w:val="14"/>
                <w:szCs w:val="16"/>
              </w:rPr>
            </w:pPr>
            <w:r w:rsidRPr="00D27B2C">
              <w:rPr>
                <w:rFonts w:ascii="Arial" w:hAnsi="Arial"/>
                <w:color w:val="000000"/>
                <w:sz w:val="14"/>
                <w:szCs w:val="14"/>
              </w:rPr>
              <w:t>utilities</w:t>
            </w:r>
          </w:p>
        </w:tc>
        <w:tc>
          <w:tcPr>
            <w:tcW w:w="533" w:type="dxa"/>
            <w:tcBorders>
              <w:left w:val="single" w:sz="8" w:space="0" w:color="auto"/>
            </w:tcBorders>
            <w:vAlign w:val="center"/>
          </w:tcPr>
          <w:p w14:paraId="0B8270E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88" w:type="dxa"/>
            <w:vAlign w:val="center"/>
          </w:tcPr>
          <w:p w14:paraId="2632AD2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88" w:type="dxa"/>
            <w:vAlign w:val="center"/>
          </w:tcPr>
          <w:p w14:paraId="0128A8F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89" w:type="dxa"/>
            <w:vAlign w:val="center"/>
          </w:tcPr>
          <w:p w14:paraId="0FE6439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94" w:type="dxa"/>
            <w:tcBorders>
              <w:right w:val="single" w:sz="8" w:space="0" w:color="auto"/>
            </w:tcBorders>
            <w:vAlign w:val="center"/>
          </w:tcPr>
          <w:p w14:paraId="0FBB3B5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w:t>
            </w:r>
          </w:p>
        </w:tc>
        <w:tc>
          <w:tcPr>
            <w:tcW w:w="494" w:type="dxa"/>
            <w:tcBorders>
              <w:left w:val="single" w:sz="8" w:space="0" w:color="auto"/>
            </w:tcBorders>
            <w:vAlign w:val="center"/>
          </w:tcPr>
          <w:p w14:paraId="1CDF5A6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3F9BAD3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52511B5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0C92C09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50</w:t>
            </w:r>
          </w:p>
        </w:tc>
        <w:tc>
          <w:tcPr>
            <w:tcW w:w="494" w:type="dxa"/>
            <w:tcBorders>
              <w:right w:val="single" w:sz="8" w:space="0" w:color="auto"/>
            </w:tcBorders>
            <w:vAlign w:val="center"/>
          </w:tcPr>
          <w:p w14:paraId="74F3D8A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50</w:t>
            </w:r>
          </w:p>
        </w:tc>
        <w:tc>
          <w:tcPr>
            <w:tcW w:w="494" w:type="dxa"/>
            <w:tcBorders>
              <w:left w:val="single" w:sz="8" w:space="0" w:color="auto"/>
            </w:tcBorders>
            <w:vAlign w:val="center"/>
          </w:tcPr>
          <w:p w14:paraId="49CAFFB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66</w:t>
            </w:r>
          </w:p>
        </w:tc>
        <w:tc>
          <w:tcPr>
            <w:tcW w:w="489" w:type="dxa"/>
            <w:vAlign w:val="center"/>
          </w:tcPr>
          <w:p w14:paraId="0BC0FE4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62</w:t>
            </w:r>
          </w:p>
        </w:tc>
        <w:tc>
          <w:tcPr>
            <w:tcW w:w="489" w:type="dxa"/>
            <w:vAlign w:val="center"/>
          </w:tcPr>
          <w:p w14:paraId="05E89C4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57</w:t>
            </w:r>
          </w:p>
        </w:tc>
        <w:tc>
          <w:tcPr>
            <w:tcW w:w="489" w:type="dxa"/>
            <w:vAlign w:val="center"/>
          </w:tcPr>
          <w:p w14:paraId="47BF19A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66</w:t>
            </w:r>
          </w:p>
        </w:tc>
        <w:tc>
          <w:tcPr>
            <w:tcW w:w="489" w:type="dxa"/>
            <w:vAlign w:val="center"/>
          </w:tcPr>
          <w:p w14:paraId="094792F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68</w:t>
            </w:r>
          </w:p>
        </w:tc>
      </w:tr>
      <w:tr w:rsidR="00D27B2C" w:rsidRPr="00D27B2C" w14:paraId="1F52EB50" w14:textId="77777777" w:rsidTr="000A7CA6">
        <w:trPr>
          <w:trHeight w:val="170"/>
          <w:jc w:val="center"/>
        </w:trPr>
        <w:tc>
          <w:tcPr>
            <w:tcW w:w="137" w:type="dxa"/>
            <w:tcBorders>
              <w:right w:val="nil"/>
            </w:tcBorders>
            <w:vAlign w:val="center"/>
          </w:tcPr>
          <w:p w14:paraId="01E15BBA"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3D889C80"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vehicle exp</w:t>
            </w:r>
          </w:p>
        </w:tc>
        <w:tc>
          <w:tcPr>
            <w:tcW w:w="533" w:type="dxa"/>
            <w:tcBorders>
              <w:left w:val="single" w:sz="8" w:space="0" w:color="auto"/>
            </w:tcBorders>
            <w:vAlign w:val="center"/>
          </w:tcPr>
          <w:p w14:paraId="3CE8C19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88" w:type="dxa"/>
            <w:vAlign w:val="center"/>
          </w:tcPr>
          <w:p w14:paraId="48581F6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88" w:type="dxa"/>
            <w:vAlign w:val="center"/>
          </w:tcPr>
          <w:p w14:paraId="77B90F2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89" w:type="dxa"/>
            <w:vAlign w:val="center"/>
          </w:tcPr>
          <w:p w14:paraId="118629A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94" w:type="dxa"/>
            <w:tcBorders>
              <w:right w:val="single" w:sz="8" w:space="0" w:color="auto"/>
            </w:tcBorders>
            <w:vAlign w:val="center"/>
          </w:tcPr>
          <w:p w14:paraId="62F7A14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3</w:t>
            </w:r>
          </w:p>
        </w:tc>
        <w:tc>
          <w:tcPr>
            <w:tcW w:w="494" w:type="dxa"/>
            <w:tcBorders>
              <w:left w:val="single" w:sz="8" w:space="0" w:color="auto"/>
            </w:tcBorders>
            <w:vAlign w:val="center"/>
          </w:tcPr>
          <w:p w14:paraId="50F3564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45</w:t>
            </w:r>
          </w:p>
        </w:tc>
        <w:tc>
          <w:tcPr>
            <w:tcW w:w="489" w:type="dxa"/>
            <w:vAlign w:val="center"/>
          </w:tcPr>
          <w:p w14:paraId="22416C5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42E6D05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89" w:type="dxa"/>
            <w:vAlign w:val="center"/>
          </w:tcPr>
          <w:p w14:paraId="2BD3D8C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46</w:t>
            </w:r>
          </w:p>
        </w:tc>
        <w:tc>
          <w:tcPr>
            <w:tcW w:w="494" w:type="dxa"/>
            <w:tcBorders>
              <w:right w:val="single" w:sz="8" w:space="0" w:color="auto"/>
            </w:tcBorders>
            <w:vAlign w:val="center"/>
          </w:tcPr>
          <w:p w14:paraId="792EFF3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49</w:t>
            </w:r>
          </w:p>
        </w:tc>
        <w:tc>
          <w:tcPr>
            <w:tcW w:w="494" w:type="dxa"/>
            <w:tcBorders>
              <w:left w:val="single" w:sz="8" w:space="0" w:color="auto"/>
            </w:tcBorders>
            <w:vAlign w:val="center"/>
          </w:tcPr>
          <w:p w14:paraId="1B02979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58</w:t>
            </w:r>
          </w:p>
        </w:tc>
        <w:tc>
          <w:tcPr>
            <w:tcW w:w="489" w:type="dxa"/>
            <w:vAlign w:val="center"/>
          </w:tcPr>
          <w:p w14:paraId="4D7D1F0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58</w:t>
            </w:r>
          </w:p>
        </w:tc>
        <w:tc>
          <w:tcPr>
            <w:tcW w:w="489" w:type="dxa"/>
            <w:vAlign w:val="center"/>
          </w:tcPr>
          <w:p w14:paraId="541CB78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64</w:t>
            </w:r>
          </w:p>
        </w:tc>
        <w:tc>
          <w:tcPr>
            <w:tcW w:w="489" w:type="dxa"/>
            <w:vAlign w:val="center"/>
          </w:tcPr>
          <w:p w14:paraId="6CB950F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66</w:t>
            </w:r>
          </w:p>
        </w:tc>
        <w:tc>
          <w:tcPr>
            <w:tcW w:w="489" w:type="dxa"/>
            <w:vAlign w:val="center"/>
          </w:tcPr>
          <w:p w14:paraId="1C630F6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69</w:t>
            </w:r>
          </w:p>
        </w:tc>
      </w:tr>
      <w:tr w:rsidR="00D27B2C" w:rsidRPr="00D27B2C" w14:paraId="641EFB2E" w14:textId="77777777" w:rsidTr="000A7CA6">
        <w:trPr>
          <w:trHeight w:val="170"/>
          <w:jc w:val="center"/>
        </w:trPr>
        <w:tc>
          <w:tcPr>
            <w:tcW w:w="1276" w:type="dxa"/>
            <w:gridSpan w:val="2"/>
            <w:tcBorders>
              <w:right w:val="single" w:sz="8" w:space="0" w:color="auto"/>
            </w:tcBorders>
            <w:vAlign w:val="center"/>
          </w:tcPr>
          <w:p w14:paraId="4B1A306E" w14:textId="77777777" w:rsidR="00D27B2C" w:rsidRPr="00D27B2C" w:rsidRDefault="00D27B2C" w:rsidP="00D27B2C">
            <w:pPr>
              <w:spacing w:before="30" w:after="30" w:line="240" w:lineRule="auto"/>
              <w:jc w:val="both"/>
              <w:rPr>
                <w:rFonts w:ascii="Arial" w:hAnsi="Arial"/>
                <w:b/>
                <w:color w:val="000000"/>
                <w:sz w:val="14"/>
                <w:szCs w:val="14"/>
              </w:rPr>
            </w:pPr>
            <w:r w:rsidRPr="00D27B2C">
              <w:rPr>
                <w:rFonts w:ascii="Arial" w:hAnsi="Arial"/>
                <w:b/>
                <w:color w:val="000000"/>
                <w:sz w:val="14"/>
                <w:szCs w:val="14"/>
              </w:rPr>
              <w:t xml:space="preserve"> Financial stress</w:t>
            </w:r>
          </w:p>
        </w:tc>
        <w:tc>
          <w:tcPr>
            <w:tcW w:w="533" w:type="dxa"/>
            <w:tcBorders>
              <w:left w:val="single" w:sz="8" w:space="0" w:color="auto"/>
            </w:tcBorders>
            <w:vAlign w:val="center"/>
          </w:tcPr>
          <w:p w14:paraId="46C0DA08" w14:textId="77777777" w:rsidR="00D27B2C" w:rsidRPr="00D27B2C" w:rsidRDefault="00D27B2C" w:rsidP="00D27B2C">
            <w:pPr>
              <w:spacing w:before="30" w:after="30" w:line="240" w:lineRule="auto"/>
              <w:jc w:val="center"/>
              <w:rPr>
                <w:rFonts w:ascii="Arial" w:hAnsi="Arial"/>
                <w:color w:val="000000"/>
                <w:sz w:val="14"/>
                <w:szCs w:val="14"/>
              </w:rPr>
            </w:pPr>
          </w:p>
        </w:tc>
        <w:tc>
          <w:tcPr>
            <w:tcW w:w="488" w:type="dxa"/>
            <w:vAlign w:val="center"/>
          </w:tcPr>
          <w:p w14:paraId="6F79383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8" w:type="dxa"/>
            <w:vAlign w:val="center"/>
          </w:tcPr>
          <w:p w14:paraId="186EE25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70ECD76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94" w:type="dxa"/>
            <w:tcBorders>
              <w:right w:val="single" w:sz="8" w:space="0" w:color="auto"/>
            </w:tcBorders>
            <w:vAlign w:val="center"/>
          </w:tcPr>
          <w:p w14:paraId="49114B8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94" w:type="dxa"/>
            <w:tcBorders>
              <w:left w:val="single" w:sz="8" w:space="0" w:color="auto"/>
            </w:tcBorders>
            <w:vAlign w:val="center"/>
          </w:tcPr>
          <w:p w14:paraId="378C9A9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2812A2E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6E00B69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2C6A631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94" w:type="dxa"/>
            <w:tcBorders>
              <w:right w:val="single" w:sz="8" w:space="0" w:color="auto"/>
            </w:tcBorders>
            <w:vAlign w:val="center"/>
          </w:tcPr>
          <w:p w14:paraId="0867B90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94" w:type="dxa"/>
            <w:tcBorders>
              <w:left w:val="single" w:sz="8" w:space="0" w:color="auto"/>
            </w:tcBorders>
            <w:vAlign w:val="center"/>
          </w:tcPr>
          <w:p w14:paraId="0E32155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32687AC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6D39E5A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612CF41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c>
          <w:tcPr>
            <w:tcW w:w="489" w:type="dxa"/>
            <w:vAlign w:val="center"/>
          </w:tcPr>
          <w:p w14:paraId="149CF2E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 </w:t>
            </w:r>
          </w:p>
        </w:tc>
      </w:tr>
      <w:tr w:rsidR="00D27B2C" w:rsidRPr="00D27B2C" w14:paraId="7AD40D4B" w14:textId="77777777" w:rsidTr="000A7CA6">
        <w:trPr>
          <w:trHeight w:val="170"/>
          <w:jc w:val="center"/>
        </w:trPr>
        <w:tc>
          <w:tcPr>
            <w:tcW w:w="137" w:type="dxa"/>
            <w:tcBorders>
              <w:right w:val="nil"/>
            </w:tcBorders>
            <w:vAlign w:val="center"/>
          </w:tcPr>
          <w:p w14:paraId="1396F233"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20D643E1" w14:textId="77777777" w:rsidR="00D27B2C" w:rsidRPr="00D27B2C" w:rsidRDefault="00D27B2C" w:rsidP="00D27B2C">
            <w:pPr>
              <w:spacing w:before="30" w:after="30" w:line="240" w:lineRule="auto"/>
              <w:jc w:val="both"/>
              <w:rPr>
                <w:rFonts w:ascii="Arial" w:hAnsi="Arial"/>
                <w:color w:val="000000"/>
                <w:sz w:val="14"/>
                <w:szCs w:val="16"/>
              </w:rPr>
            </w:pPr>
            <w:r w:rsidRPr="00D27B2C">
              <w:rPr>
                <w:rFonts w:ascii="Arial" w:hAnsi="Arial"/>
                <w:color w:val="000000"/>
                <w:sz w:val="14"/>
                <w:szCs w:val="14"/>
              </w:rPr>
              <w:t>borrowed</w:t>
            </w:r>
          </w:p>
        </w:tc>
        <w:tc>
          <w:tcPr>
            <w:tcW w:w="533" w:type="dxa"/>
            <w:tcBorders>
              <w:left w:val="single" w:sz="8" w:space="0" w:color="auto"/>
            </w:tcBorders>
            <w:vAlign w:val="center"/>
          </w:tcPr>
          <w:p w14:paraId="56F6CEC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88" w:type="dxa"/>
            <w:vAlign w:val="center"/>
          </w:tcPr>
          <w:p w14:paraId="556873E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w:t>
            </w:r>
          </w:p>
        </w:tc>
        <w:tc>
          <w:tcPr>
            <w:tcW w:w="488" w:type="dxa"/>
            <w:vAlign w:val="center"/>
          </w:tcPr>
          <w:p w14:paraId="233422B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89" w:type="dxa"/>
            <w:vAlign w:val="center"/>
          </w:tcPr>
          <w:p w14:paraId="2223A0B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w:t>
            </w:r>
          </w:p>
        </w:tc>
        <w:tc>
          <w:tcPr>
            <w:tcW w:w="494" w:type="dxa"/>
            <w:tcBorders>
              <w:right w:val="single" w:sz="8" w:space="0" w:color="auto"/>
            </w:tcBorders>
            <w:vAlign w:val="center"/>
          </w:tcPr>
          <w:p w14:paraId="4BDA549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w:t>
            </w:r>
          </w:p>
        </w:tc>
        <w:tc>
          <w:tcPr>
            <w:tcW w:w="494" w:type="dxa"/>
            <w:tcBorders>
              <w:left w:val="single" w:sz="8" w:space="0" w:color="auto"/>
            </w:tcBorders>
            <w:vAlign w:val="center"/>
          </w:tcPr>
          <w:p w14:paraId="11EC0E3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55</w:t>
            </w:r>
          </w:p>
        </w:tc>
        <w:tc>
          <w:tcPr>
            <w:tcW w:w="489" w:type="dxa"/>
            <w:vAlign w:val="center"/>
          </w:tcPr>
          <w:p w14:paraId="27E9C99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58</w:t>
            </w:r>
          </w:p>
        </w:tc>
        <w:tc>
          <w:tcPr>
            <w:tcW w:w="489" w:type="dxa"/>
            <w:vAlign w:val="center"/>
          </w:tcPr>
          <w:p w14:paraId="4EE6900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55</w:t>
            </w:r>
          </w:p>
        </w:tc>
        <w:tc>
          <w:tcPr>
            <w:tcW w:w="489" w:type="dxa"/>
            <w:vAlign w:val="center"/>
          </w:tcPr>
          <w:p w14:paraId="7E2F1F0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55</w:t>
            </w:r>
          </w:p>
        </w:tc>
        <w:tc>
          <w:tcPr>
            <w:tcW w:w="494" w:type="dxa"/>
            <w:tcBorders>
              <w:right w:val="single" w:sz="8" w:space="0" w:color="auto"/>
            </w:tcBorders>
            <w:vAlign w:val="center"/>
          </w:tcPr>
          <w:p w14:paraId="70C7016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56</w:t>
            </w:r>
          </w:p>
        </w:tc>
        <w:tc>
          <w:tcPr>
            <w:tcW w:w="494" w:type="dxa"/>
            <w:tcBorders>
              <w:left w:val="single" w:sz="8" w:space="0" w:color="auto"/>
            </w:tcBorders>
            <w:vAlign w:val="center"/>
          </w:tcPr>
          <w:p w14:paraId="1D8D919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65</w:t>
            </w:r>
          </w:p>
        </w:tc>
        <w:tc>
          <w:tcPr>
            <w:tcW w:w="489" w:type="dxa"/>
            <w:vAlign w:val="center"/>
          </w:tcPr>
          <w:p w14:paraId="5B16A76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72</w:t>
            </w:r>
          </w:p>
        </w:tc>
        <w:tc>
          <w:tcPr>
            <w:tcW w:w="489" w:type="dxa"/>
            <w:vAlign w:val="center"/>
          </w:tcPr>
          <w:p w14:paraId="0F2186B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67</w:t>
            </w:r>
          </w:p>
        </w:tc>
        <w:tc>
          <w:tcPr>
            <w:tcW w:w="489" w:type="dxa"/>
            <w:vAlign w:val="center"/>
          </w:tcPr>
          <w:p w14:paraId="143AFCD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69</w:t>
            </w:r>
          </w:p>
        </w:tc>
        <w:tc>
          <w:tcPr>
            <w:tcW w:w="489" w:type="dxa"/>
            <w:vAlign w:val="center"/>
          </w:tcPr>
          <w:p w14:paraId="3601B6F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68</w:t>
            </w:r>
          </w:p>
        </w:tc>
      </w:tr>
      <w:tr w:rsidR="00D27B2C" w:rsidRPr="00D27B2C" w14:paraId="745A1EAE" w14:textId="77777777" w:rsidTr="000A7CA6">
        <w:trPr>
          <w:trHeight w:val="170"/>
          <w:jc w:val="center"/>
        </w:trPr>
        <w:tc>
          <w:tcPr>
            <w:tcW w:w="137" w:type="dxa"/>
            <w:tcBorders>
              <w:right w:val="nil"/>
            </w:tcBorders>
            <w:vAlign w:val="center"/>
          </w:tcPr>
          <w:p w14:paraId="340EFCF8"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3E0B8059" w14:textId="77777777" w:rsidR="00D27B2C" w:rsidRPr="00D27B2C" w:rsidRDefault="00D27B2C" w:rsidP="00D27B2C">
            <w:pPr>
              <w:spacing w:before="30" w:after="30" w:line="240" w:lineRule="auto"/>
              <w:jc w:val="both"/>
              <w:rPr>
                <w:rFonts w:ascii="Arial" w:hAnsi="Arial"/>
                <w:color w:val="000000"/>
                <w:sz w:val="14"/>
                <w:szCs w:val="16"/>
              </w:rPr>
            </w:pPr>
            <w:r w:rsidRPr="00D27B2C">
              <w:rPr>
                <w:rFonts w:ascii="Arial" w:hAnsi="Arial"/>
                <w:color w:val="000000"/>
                <w:sz w:val="14"/>
                <w:szCs w:val="14"/>
              </w:rPr>
              <w:t>‘very limited’</w:t>
            </w:r>
          </w:p>
        </w:tc>
        <w:tc>
          <w:tcPr>
            <w:tcW w:w="533" w:type="dxa"/>
            <w:tcBorders>
              <w:left w:val="single" w:sz="8" w:space="0" w:color="auto"/>
            </w:tcBorders>
            <w:vAlign w:val="center"/>
          </w:tcPr>
          <w:p w14:paraId="5A47B06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w:t>
            </w:r>
          </w:p>
        </w:tc>
        <w:tc>
          <w:tcPr>
            <w:tcW w:w="488" w:type="dxa"/>
            <w:vAlign w:val="center"/>
          </w:tcPr>
          <w:p w14:paraId="0B46F94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10</w:t>
            </w:r>
          </w:p>
        </w:tc>
        <w:tc>
          <w:tcPr>
            <w:tcW w:w="488" w:type="dxa"/>
            <w:vAlign w:val="center"/>
          </w:tcPr>
          <w:p w14:paraId="3CD5991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w:t>
            </w:r>
          </w:p>
        </w:tc>
        <w:tc>
          <w:tcPr>
            <w:tcW w:w="489" w:type="dxa"/>
            <w:vAlign w:val="center"/>
          </w:tcPr>
          <w:p w14:paraId="695EFD1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11</w:t>
            </w:r>
          </w:p>
        </w:tc>
        <w:tc>
          <w:tcPr>
            <w:tcW w:w="494" w:type="dxa"/>
            <w:tcBorders>
              <w:right w:val="single" w:sz="8" w:space="0" w:color="auto"/>
            </w:tcBorders>
            <w:vAlign w:val="center"/>
          </w:tcPr>
          <w:p w14:paraId="7C1F5CB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11</w:t>
            </w:r>
          </w:p>
        </w:tc>
        <w:tc>
          <w:tcPr>
            <w:tcW w:w="494" w:type="dxa"/>
            <w:tcBorders>
              <w:left w:val="single" w:sz="8" w:space="0" w:color="auto"/>
            </w:tcBorders>
            <w:vAlign w:val="center"/>
          </w:tcPr>
          <w:p w14:paraId="5A35267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80</w:t>
            </w:r>
          </w:p>
        </w:tc>
        <w:tc>
          <w:tcPr>
            <w:tcW w:w="489" w:type="dxa"/>
            <w:vAlign w:val="center"/>
          </w:tcPr>
          <w:p w14:paraId="44113D15"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74</w:t>
            </w:r>
          </w:p>
        </w:tc>
        <w:tc>
          <w:tcPr>
            <w:tcW w:w="489" w:type="dxa"/>
            <w:vAlign w:val="center"/>
          </w:tcPr>
          <w:p w14:paraId="64611BA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71</w:t>
            </w:r>
          </w:p>
        </w:tc>
        <w:tc>
          <w:tcPr>
            <w:tcW w:w="489" w:type="dxa"/>
            <w:vAlign w:val="center"/>
          </w:tcPr>
          <w:p w14:paraId="7C6ECB6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74</w:t>
            </w:r>
          </w:p>
        </w:tc>
        <w:tc>
          <w:tcPr>
            <w:tcW w:w="494" w:type="dxa"/>
            <w:tcBorders>
              <w:right w:val="single" w:sz="8" w:space="0" w:color="auto"/>
            </w:tcBorders>
            <w:vAlign w:val="center"/>
          </w:tcPr>
          <w:p w14:paraId="417D2FC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76</w:t>
            </w:r>
          </w:p>
        </w:tc>
        <w:tc>
          <w:tcPr>
            <w:tcW w:w="494" w:type="dxa"/>
            <w:tcBorders>
              <w:left w:val="single" w:sz="8" w:space="0" w:color="auto"/>
            </w:tcBorders>
            <w:vAlign w:val="center"/>
          </w:tcPr>
          <w:p w14:paraId="7A9F336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94</w:t>
            </w:r>
          </w:p>
        </w:tc>
        <w:tc>
          <w:tcPr>
            <w:tcW w:w="489" w:type="dxa"/>
            <w:vAlign w:val="center"/>
          </w:tcPr>
          <w:p w14:paraId="4884844F"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84</w:t>
            </w:r>
          </w:p>
        </w:tc>
        <w:tc>
          <w:tcPr>
            <w:tcW w:w="489" w:type="dxa"/>
            <w:vAlign w:val="center"/>
          </w:tcPr>
          <w:p w14:paraId="1ED4AF0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86</w:t>
            </w:r>
          </w:p>
        </w:tc>
        <w:tc>
          <w:tcPr>
            <w:tcW w:w="489" w:type="dxa"/>
            <w:vAlign w:val="center"/>
          </w:tcPr>
          <w:p w14:paraId="604B81B3"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80</w:t>
            </w:r>
          </w:p>
        </w:tc>
        <w:tc>
          <w:tcPr>
            <w:tcW w:w="489" w:type="dxa"/>
            <w:vAlign w:val="center"/>
          </w:tcPr>
          <w:p w14:paraId="4BBB87EB"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87</w:t>
            </w:r>
          </w:p>
        </w:tc>
      </w:tr>
      <w:tr w:rsidR="00D27B2C" w:rsidRPr="00D27B2C" w14:paraId="52D969D9" w14:textId="77777777" w:rsidTr="000A7CA6">
        <w:trPr>
          <w:trHeight w:val="170"/>
          <w:jc w:val="center"/>
        </w:trPr>
        <w:tc>
          <w:tcPr>
            <w:tcW w:w="137" w:type="dxa"/>
            <w:tcBorders>
              <w:right w:val="nil"/>
            </w:tcBorders>
            <w:vAlign w:val="center"/>
          </w:tcPr>
          <w:p w14:paraId="4057F106" w14:textId="77777777" w:rsidR="00D27B2C" w:rsidRPr="00D27B2C" w:rsidRDefault="00D27B2C" w:rsidP="00D27B2C">
            <w:pPr>
              <w:spacing w:before="30" w:after="30" w:line="240" w:lineRule="auto"/>
              <w:rPr>
                <w:rFonts w:ascii="Arial" w:hAnsi="Arial"/>
                <w:color w:val="000000"/>
                <w:sz w:val="16"/>
                <w:szCs w:val="16"/>
              </w:rPr>
            </w:pPr>
          </w:p>
        </w:tc>
        <w:tc>
          <w:tcPr>
            <w:tcW w:w="1139" w:type="dxa"/>
            <w:tcBorders>
              <w:left w:val="nil"/>
              <w:right w:val="single" w:sz="8" w:space="0" w:color="auto"/>
            </w:tcBorders>
            <w:tcMar>
              <w:left w:w="57" w:type="dxa"/>
              <w:right w:w="113" w:type="dxa"/>
            </w:tcMar>
            <w:vAlign w:val="center"/>
          </w:tcPr>
          <w:p w14:paraId="08C637BE" w14:textId="77777777" w:rsidR="00D27B2C" w:rsidRPr="00D27B2C" w:rsidRDefault="00D27B2C" w:rsidP="00D27B2C">
            <w:pPr>
              <w:spacing w:before="30" w:after="30" w:line="240" w:lineRule="auto"/>
              <w:rPr>
                <w:rFonts w:ascii="Arial" w:hAnsi="Arial"/>
                <w:color w:val="000000"/>
                <w:sz w:val="14"/>
                <w:szCs w:val="16"/>
              </w:rPr>
            </w:pPr>
            <w:r w:rsidRPr="00D27B2C">
              <w:rPr>
                <w:rFonts w:ascii="Arial" w:hAnsi="Arial"/>
                <w:color w:val="000000"/>
                <w:sz w:val="14"/>
                <w:szCs w:val="14"/>
              </w:rPr>
              <w:t>$500 bill</w:t>
            </w:r>
          </w:p>
        </w:tc>
        <w:tc>
          <w:tcPr>
            <w:tcW w:w="533" w:type="dxa"/>
            <w:tcBorders>
              <w:left w:val="single" w:sz="8" w:space="0" w:color="auto"/>
              <w:bottom w:val="single" w:sz="4" w:space="0" w:color="auto"/>
            </w:tcBorders>
            <w:vAlign w:val="center"/>
          </w:tcPr>
          <w:p w14:paraId="37552F38"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20</w:t>
            </w:r>
          </w:p>
        </w:tc>
        <w:tc>
          <w:tcPr>
            <w:tcW w:w="488" w:type="dxa"/>
            <w:tcBorders>
              <w:bottom w:val="single" w:sz="4" w:space="0" w:color="auto"/>
            </w:tcBorders>
            <w:vAlign w:val="center"/>
          </w:tcPr>
          <w:p w14:paraId="5A013DDA"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18</w:t>
            </w:r>
          </w:p>
        </w:tc>
        <w:tc>
          <w:tcPr>
            <w:tcW w:w="488" w:type="dxa"/>
            <w:tcBorders>
              <w:bottom w:val="single" w:sz="4" w:space="0" w:color="auto"/>
            </w:tcBorders>
            <w:vAlign w:val="center"/>
          </w:tcPr>
          <w:p w14:paraId="7CAEAB1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18</w:t>
            </w:r>
          </w:p>
        </w:tc>
        <w:tc>
          <w:tcPr>
            <w:tcW w:w="489" w:type="dxa"/>
            <w:tcBorders>
              <w:bottom w:val="single" w:sz="4" w:space="0" w:color="auto"/>
            </w:tcBorders>
            <w:vAlign w:val="center"/>
          </w:tcPr>
          <w:p w14:paraId="53E745F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15</w:t>
            </w:r>
          </w:p>
        </w:tc>
        <w:tc>
          <w:tcPr>
            <w:tcW w:w="494" w:type="dxa"/>
            <w:tcBorders>
              <w:bottom w:val="single" w:sz="4" w:space="0" w:color="auto"/>
              <w:right w:val="single" w:sz="8" w:space="0" w:color="auto"/>
            </w:tcBorders>
            <w:vAlign w:val="center"/>
          </w:tcPr>
          <w:p w14:paraId="6A74B547"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14</w:t>
            </w:r>
          </w:p>
        </w:tc>
        <w:tc>
          <w:tcPr>
            <w:tcW w:w="494" w:type="dxa"/>
            <w:tcBorders>
              <w:left w:val="single" w:sz="8" w:space="0" w:color="auto"/>
              <w:bottom w:val="single" w:sz="4" w:space="0" w:color="auto"/>
            </w:tcBorders>
            <w:vAlign w:val="center"/>
          </w:tcPr>
          <w:p w14:paraId="1A5B51BE"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89</w:t>
            </w:r>
          </w:p>
        </w:tc>
        <w:tc>
          <w:tcPr>
            <w:tcW w:w="489" w:type="dxa"/>
            <w:tcBorders>
              <w:bottom w:val="single" w:sz="4" w:space="0" w:color="auto"/>
            </w:tcBorders>
            <w:vAlign w:val="center"/>
          </w:tcPr>
          <w:p w14:paraId="3C5B9D8C"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84</w:t>
            </w:r>
          </w:p>
        </w:tc>
        <w:tc>
          <w:tcPr>
            <w:tcW w:w="489" w:type="dxa"/>
            <w:tcBorders>
              <w:bottom w:val="single" w:sz="4" w:space="0" w:color="auto"/>
            </w:tcBorders>
            <w:vAlign w:val="center"/>
          </w:tcPr>
          <w:p w14:paraId="21B7CE3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85</w:t>
            </w:r>
          </w:p>
        </w:tc>
        <w:tc>
          <w:tcPr>
            <w:tcW w:w="489" w:type="dxa"/>
            <w:tcBorders>
              <w:bottom w:val="single" w:sz="4" w:space="0" w:color="auto"/>
            </w:tcBorders>
            <w:vAlign w:val="center"/>
          </w:tcPr>
          <w:p w14:paraId="236DE879"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76</w:t>
            </w:r>
          </w:p>
        </w:tc>
        <w:tc>
          <w:tcPr>
            <w:tcW w:w="494" w:type="dxa"/>
            <w:tcBorders>
              <w:bottom w:val="single" w:sz="4" w:space="0" w:color="auto"/>
              <w:right w:val="single" w:sz="8" w:space="0" w:color="auto"/>
            </w:tcBorders>
            <w:vAlign w:val="center"/>
          </w:tcPr>
          <w:p w14:paraId="4A7C260D"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76</w:t>
            </w:r>
          </w:p>
        </w:tc>
        <w:tc>
          <w:tcPr>
            <w:tcW w:w="494" w:type="dxa"/>
            <w:tcBorders>
              <w:left w:val="single" w:sz="8" w:space="0" w:color="auto"/>
              <w:bottom w:val="single" w:sz="4" w:space="0" w:color="auto"/>
            </w:tcBorders>
            <w:vAlign w:val="center"/>
          </w:tcPr>
          <w:p w14:paraId="17CC8E20"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95</w:t>
            </w:r>
          </w:p>
        </w:tc>
        <w:tc>
          <w:tcPr>
            <w:tcW w:w="489" w:type="dxa"/>
            <w:tcBorders>
              <w:bottom w:val="single" w:sz="4" w:space="0" w:color="auto"/>
            </w:tcBorders>
            <w:vAlign w:val="center"/>
          </w:tcPr>
          <w:p w14:paraId="1D752D74"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92</w:t>
            </w:r>
          </w:p>
        </w:tc>
        <w:tc>
          <w:tcPr>
            <w:tcW w:w="489" w:type="dxa"/>
            <w:tcBorders>
              <w:bottom w:val="single" w:sz="4" w:space="0" w:color="auto"/>
            </w:tcBorders>
            <w:vAlign w:val="center"/>
          </w:tcPr>
          <w:p w14:paraId="335D8E16"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93</w:t>
            </w:r>
          </w:p>
        </w:tc>
        <w:tc>
          <w:tcPr>
            <w:tcW w:w="489" w:type="dxa"/>
            <w:tcBorders>
              <w:bottom w:val="single" w:sz="4" w:space="0" w:color="auto"/>
            </w:tcBorders>
            <w:vAlign w:val="center"/>
          </w:tcPr>
          <w:p w14:paraId="2720BEC1"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82</w:t>
            </w:r>
          </w:p>
        </w:tc>
        <w:tc>
          <w:tcPr>
            <w:tcW w:w="489" w:type="dxa"/>
            <w:tcBorders>
              <w:bottom w:val="single" w:sz="4" w:space="0" w:color="auto"/>
            </w:tcBorders>
            <w:vAlign w:val="center"/>
          </w:tcPr>
          <w:p w14:paraId="2E42C702" w14:textId="77777777" w:rsidR="00D27B2C" w:rsidRPr="00D27B2C" w:rsidRDefault="00D27B2C" w:rsidP="00D27B2C">
            <w:pPr>
              <w:spacing w:before="30" w:after="30" w:line="240" w:lineRule="auto"/>
              <w:jc w:val="center"/>
              <w:rPr>
                <w:rFonts w:ascii="Arial" w:hAnsi="Arial"/>
                <w:color w:val="000000"/>
                <w:sz w:val="14"/>
                <w:szCs w:val="14"/>
              </w:rPr>
            </w:pPr>
            <w:r w:rsidRPr="00D27B2C">
              <w:rPr>
                <w:rFonts w:ascii="Arial" w:hAnsi="Arial"/>
                <w:color w:val="000000"/>
                <w:sz w:val="14"/>
                <w:szCs w:val="14"/>
              </w:rPr>
              <w:t>83</w:t>
            </w:r>
          </w:p>
        </w:tc>
      </w:tr>
    </w:tbl>
    <w:p w14:paraId="74CE4284" w14:textId="7F4545BF" w:rsidR="00B6056E" w:rsidRDefault="00F41333" w:rsidP="00F41333">
      <w:pPr>
        <w:spacing w:before="60" w:after="20" w:line="240" w:lineRule="auto"/>
        <w:ind w:left="142" w:right="96"/>
        <w:jc w:val="both"/>
        <w:rPr>
          <w:rFonts w:ascii="Arial" w:eastAsia="Times New Roman" w:hAnsi="Arial"/>
          <w:color w:val="000000"/>
          <w:sz w:val="16"/>
          <w:szCs w:val="16"/>
        </w:rPr>
      </w:pPr>
      <w:r w:rsidRPr="00D45341">
        <w:rPr>
          <w:rFonts w:ascii="Arial" w:eastAsia="Times New Roman" w:hAnsi="Arial"/>
          <w:color w:val="000000"/>
          <w:sz w:val="16"/>
          <w:szCs w:val="16"/>
        </w:rPr>
        <w:t xml:space="preserve">Reading note for </w:t>
      </w:r>
      <w:r>
        <w:rPr>
          <w:rFonts w:ascii="Arial" w:eastAsia="Times New Roman" w:hAnsi="Arial"/>
          <w:color w:val="000000"/>
          <w:sz w:val="16"/>
          <w:szCs w:val="16"/>
        </w:rPr>
        <w:t>Table</w:t>
      </w:r>
      <w:r w:rsidRPr="00D45341">
        <w:rPr>
          <w:rFonts w:ascii="Arial" w:eastAsia="Times New Roman" w:hAnsi="Arial"/>
          <w:color w:val="000000"/>
          <w:sz w:val="16"/>
          <w:szCs w:val="16"/>
        </w:rPr>
        <w:t xml:space="preserve"> D.</w:t>
      </w:r>
      <w:r>
        <w:rPr>
          <w:rFonts w:ascii="Arial" w:eastAsia="Times New Roman" w:hAnsi="Arial"/>
          <w:color w:val="000000"/>
          <w:sz w:val="16"/>
          <w:szCs w:val="16"/>
        </w:rPr>
        <w:t>3:</w:t>
      </w:r>
    </w:p>
    <w:p w14:paraId="07532198" w14:textId="4B45FD0B" w:rsidR="00F41333" w:rsidRDefault="00F41333">
      <w:pPr>
        <w:pStyle w:val="ListParagraph"/>
        <w:numPr>
          <w:ilvl w:val="0"/>
          <w:numId w:val="79"/>
        </w:numPr>
        <w:spacing w:after="20" w:line="240" w:lineRule="auto"/>
        <w:ind w:left="568" w:right="96" w:hanging="284"/>
        <w:contextualSpacing w:val="0"/>
        <w:jc w:val="both"/>
        <w:rPr>
          <w:rFonts w:ascii="Arial" w:eastAsia="Times New Roman" w:hAnsi="Arial"/>
          <w:color w:val="000000"/>
          <w:sz w:val="16"/>
          <w:szCs w:val="16"/>
        </w:rPr>
      </w:pPr>
      <w:r w:rsidRPr="00D45341">
        <w:rPr>
          <w:rFonts w:ascii="Arial" w:eastAsia="Times New Roman" w:hAnsi="Arial"/>
          <w:color w:val="000000"/>
          <w:sz w:val="16"/>
          <w:szCs w:val="16"/>
        </w:rPr>
        <w:t xml:space="preserve">The reported figures </w:t>
      </w:r>
      <w:r>
        <w:rPr>
          <w:rFonts w:ascii="Arial" w:eastAsia="Times New Roman" w:hAnsi="Arial"/>
          <w:color w:val="000000"/>
          <w:sz w:val="16"/>
          <w:szCs w:val="16"/>
        </w:rPr>
        <w:t xml:space="preserve">in </w:t>
      </w:r>
      <w:r w:rsidRPr="00D45341">
        <w:rPr>
          <w:rFonts w:ascii="Arial" w:eastAsia="Times New Roman" w:hAnsi="Arial"/>
          <w:b/>
          <w:bCs/>
          <w:color w:val="000000"/>
          <w:sz w:val="16"/>
          <w:szCs w:val="16"/>
        </w:rPr>
        <w:t>Table D.3</w:t>
      </w:r>
      <w:r>
        <w:rPr>
          <w:rFonts w:ascii="Arial" w:eastAsia="Times New Roman" w:hAnsi="Arial"/>
          <w:color w:val="000000"/>
          <w:sz w:val="16"/>
          <w:szCs w:val="16"/>
        </w:rPr>
        <w:t xml:space="preserve"> </w:t>
      </w:r>
      <w:r w:rsidRPr="00D45341">
        <w:rPr>
          <w:rFonts w:ascii="Arial" w:eastAsia="Times New Roman" w:hAnsi="Arial"/>
          <w:color w:val="000000"/>
          <w:sz w:val="16"/>
          <w:szCs w:val="16"/>
        </w:rPr>
        <w:t>are based on the information provided by the household’s respondent. For example, in the fresh fruit and vegetables row for ‘</w:t>
      </w:r>
      <w:r w:rsidR="005443FF">
        <w:rPr>
          <w:rFonts w:ascii="Arial" w:eastAsia="Times New Roman" w:hAnsi="Arial"/>
          <w:color w:val="000000"/>
          <w:sz w:val="16"/>
          <w:szCs w:val="16"/>
        </w:rPr>
        <w:t xml:space="preserve">the 6+/17’ group (those children in households defined as in material hardship) </w:t>
      </w:r>
      <w:r w:rsidRPr="00D45341">
        <w:rPr>
          <w:rFonts w:ascii="Arial" w:eastAsia="Times New Roman" w:hAnsi="Arial"/>
          <w:color w:val="000000"/>
          <w:sz w:val="16"/>
          <w:szCs w:val="16"/>
        </w:rPr>
        <w:t xml:space="preserve">in </w:t>
      </w:r>
      <w:r w:rsidR="005443FF">
        <w:rPr>
          <w:rFonts w:ascii="Arial" w:eastAsia="Times New Roman" w:hAnsi="Arial"/>
          <w:color w:val="000000"/>
          <w:sz w:val="16"/>
          <w:szCs w:val="16"/>
        </w:rPr>
        <w:t>20</w:t>
      </w:r>
      <w:r w:rsidRPr="00D45341">
        <w:rPr>
          <w:rFonts w:ascii="Arial" w:eastAsia="Times New Roman" w:hAnsi="Arial"/>
          <w:color w:val="000000"/>
          <w:sz w:val="16"/>
          <w:szCs w:val="16"/>
        </w:rPr>
        <w:t>1</w:t>
      </w:r>
      <w:r>
        <w:rPr>
          <w:rFonts w:ascii="Arial" w:eastAsia="Times New Roman" w:hAnsi="Arial"/>
          <w:color w:val="000000"/>
          <w:sz w:val="16"/>
          <w:szCs w:val="16"/>
        </w:rPr>
        <w:t>8</w:t>
      </w:r>
      <w:r w:rsidRPr="00D45341">
        <w:rPr>
          <w:rFonts w:ascii="Arial" w:eastAsia="Times New Roman" w:hAnsi="Arial"/>
          <w:color w:val="000000"/>
          <w:sz w:val="16"/>
          <w:szCs w:val="16"/>
        </w:rPr>
        <w:t>-1</w:t>
      </w:r>
      <w:r>
        <w:rPr>
          <w:rFonts w:ascii="Arial" w:eastAsia="Times New Roman" w:hAnsi="Arial"/>
          <w:color w:val="000000"/>
          <w:sz w:val="16"/>
          <w:szCs w:val="16"/>
        </w:rPr>
        <w:t>9</w:t>
      </w:r>
      <w:r w:rsidRPr="00D45341">
        <w:rPr>
          <w:rFonts w:ascii="Arial" w:eastAsia="Times New Roman" w:hAnsi="Arial"/>
          <w:color w:val="000000"/>
          <w:sz w:val="16"/>
          <w:szCs w:val="16"/>
        </w:rPr>
        <w:t xml:space="preserve"> </w:t>
      </w:r>
      <w:r w:rsidR="005443FF">
        <w:rPr>
          <w:rFonts w:ascii="Arial" w:eastAsia="Times New Roman" w:hAnsi="Arial"/>
          <w:color w:val="000000"/>
          <w:sz w:val="16"/>
          <w:szCs w:val="16"/>
        </w:rPr>
        <w:t>28</w:t>
      </w:r>
      <w:r w:rsidRPr="00D45341">
        <w:rPr>
          <w:rFonts w:ascii="Arial" w:eastAsia="Times New Roman" w:hAnsi="Arial"/>
          <w:color w:val="000000"/>
          <w:sz w:val="16"/>
          <w:szCs w:val="16"/>
        </w:rPr>
        <w:t xml:space="preserve">% of </w:t>
      </w:r>
      <w:r>
        <w:rPr>
          <w:rFonts w:ascii="Arial" w:eastAsia="Times New Roman" w:hAnsi="Arial"/>
          <w:color w:val="000000"/>
          <w:sz w:val="16"/>
          <w:szCs w:val="16"/>
        </w:rPr>
        <w:t>children</w:t>
      </w:r>
      <w:r w:rsidRPr="00D45341">
        <w:rPr>
          <w:rFonts w:ascii="Arial" w:eastAsia="Times New Roman" w:hAnsi="Arial"/>
          <w:color w:val="000000"/>
          <w:sz w:val="16"/>
          <w:szCs w:val="16"/>
        </w:rPr>
        <w:t xml:space="preserve"> were in households where the respondent said they (or their partner) went without or cut back ‘a lot’ (rather than ‘a little’ or ‘not at all’).</w:t>
      </w:r>
    </w:p>
    <w:p w14:paraId="205D1A41" w14:textId="6699FA0A" w:rsidR="00D25CE5" w:rsidRDefault="00D25CE5">
      <w:pPr>
        <w:pStyle w:val="ListParagraph"/>
        <w:numPr>
          <w:ilvl w:val="0"/>
          <w:numId w:val="79"/>
        </w:numPr>
        <w:spacing w:after="0" w:line="240" w:lineRule="auto"/>
        <w:ind w:left="568" w:right="96" w:hanging="284"/>
        <w:contextualSpacing w:val="0"/>
        <w:jc w:val="both"/>
        <w:rPr>
          <w:rFonts w:ascii="Arial" w:eastAsia="Times New Roman" w:hAnsi="Arial"/>
          <w:color w:val="000000"/>
          <w:sz w:val="16"/>
          <w:szCs w:val="16"/>
        </w:rPr>
      </w:pPr>
      <w:r>
        <w:rPr>
          <w:rFonts w:ascii="Arial" w:eastAsia="Times New Roman" w:hAnsi="Arial"/>
          <w:color w:val="000000"/>
          <w:sz w:val="16"/>
          <w:szCs w:val="16"/>
        </w:rPr>
        <w:t xml:space="preserve">See </w:t>
      </w:r>
      <w:r w:rsidRPr="00D25CE5">
        <w:rPr>
          <w:rFonts w:ascii="Arial" w:eastAsia="Times New Roman" w:hAnsi="Arial"/>
          <w:b/>
          <w:bCs/>
          <w:color w:val="000000"/>
          <w:sz w:val="16"/>
          <w:szCs w:val="16"/>
        </w:rPr>
        <w:t>Appendix 5</w:t>
      </w:r>
      <w:r>
        <w:rPr>
          <w:rFonts w:ascii="Arial" w:eastAsia="Times New Roman" w:hAnsi="Arial"/>
          <w:color w:val="000000"/>
          <w:sz w:val="16"/>
          <w:szCs w:val="16"/>
        </w:rPr>
        <w:t xml:space="preserve"> for this table for the whole population.</w:t>
      </w:r>
    </w:p>
    <w:p w14:paraId="5AC60C1E" w14:textId="77777777" w:rsidR="003571A4" w:rsidRDefault="003571A4">
      <w:pPr>
        <w:spacing w:after="0" w:line="240" w:lineRule="auto"/>
        <w:rPr>
          <w:rFonts w:ascii="Arial" w:eastAsia="Times New Roman" w:hAnsi="Arial"/>
          <w:color w:val="000000"/>
          <w:szCs w:val="20"/>
        </w:rPr>
      </w:pPr>
    </w:p>
    <w:p w14:paraId="7A2D23C1" w14:textId="4A0A3E44" w:rsidR="00894C8C" w:rsidRPr="007F56F0" w:rsidRDefault="00894C8C" w:rsidP="00894C8C">
      <w:pPr>
        <w:spacing w:after="0" w:line="240" w:lineRule="auto"/>
        <w:rPr>
          <w:rFonts w:ascii="Arial" w:hAnsi="Arial"/>
          <w:szCs w:val="20"/>
        </w:rPr>
      </w:pPr>
      <w:r w:rsidRPr="007F56F0">
        <w:rPr>
          <w:rFonts w:ascii="Arial" w:hAnsi="Arial"/>
          <w:bCs/>
          <w:color w:val="000000" w:themeColor="text1"/>
          <w:szCs w:val="20"/>
        </w:rPr>
        <w:t xml:space="preserve">Some care is needed when using the DEP-17 items to describe what material hardship means for children. </w:t>
      </w:r>
      <w:r>
        <w:rPr>
          <w:rFonts w:ascii="Arial" w:hAnsi="Arial"/>
          <w:szCs w:val="20"/>
        </w:rPr>
        <w:t>For example,</w:t>
      </w:r>
      <w:r w:rsidRPr="007F56F0">
        <w:rPr>
          <w:rFonts w:ascii="Arial" w:hAnsi="Arial"/>
          <w:szCs w:val="20"/>
        </w:rPr>
        <w:t xml:space="preserve"> it is sometimes said that “it’s about not having two pair of good shoes, going without meals, not being able to go to the doctor”. This leaves the misleading impression that these are child-specific items that are being used in the index. There are no child-specific items in the DEP-17 index.</w:t>
      </w:r>
    </w:p>
    <w:p w14:paraId="30C1ABC9" w14:textId="77777777" w:rsidR="00894C8C" w:rsidRDefault="00894C8C" w:rsidP="00894C8C">
      <w:pPr>
        <w:spacing w:after="0" w:line="240" w:lineRule="auto"/>
        <w:rPr>
          <w:rFonts w:ascii="Arial" w:hAnsi="Arial"/>
          <w:bCs/>
          <w:color w:val="000000" w:themeColor="text1"/>
          <w:szCs w:val="20"/>
        </w:rPr>
      </w:pPr>
    </w:p>
    <w:p w14:paraId="10E7FD7D" w14:textId="22DC5114" w:rsidR="00894C8C" w:rsidRPr="007F56F0" w:rsidRDefault="00894C8C" w:rsidP="00894C8C">
      <w:pPr>
        <w:spacing w:after="0" w:line="240" w:lineRule="auto"/>
        <w:rPr>
          <w:rFonts w:ascii="Arial" w:hAnsi="Arial"/>
          <w:bCs/>
          <w:color w:val="000000" w:themeColor="text1"/>
          <w:szCs w:val="20"/>
        </w:rPr>
      </w:pPr>
      <w:r w:rsidRPr="007F56F0">
        <w:rPr>
          <w:rFonts w:ascii="Arial" w:hAnsi="Arial"/>
          <w:bCs/>
          <w:color w:val="000000" w:themeColor="text1"/>
          <w:szCs w:val="20"/>
        </w:rPr>
        <w:lastRenderedPageBreak/>
        <w:t xml:space="preserve">While many of the </w:t>
      </w:r>
      <w:r>
        <w:rPr>
          <w:rFonts w:ascii="Arial" w:hAnsi="Arial"/>
          <w:bCs/>
          <w:color w:val="000000" w:themeColor="text1"/>
          <w:szCs w:val="20"/>
        </w:rPr>
        <w:t xml:space="preserve">DEP-17 </w:t>
      </w:r>
      <w:r w:rsidRPr="007F56F0">
        <w:rPr>
          <w:rFonts w:ascii="Arial" w:hAnsi="Arial"/>
          <w:bCs/>
          <w:color w:val="000000" w:themeColor="text1"/>
          <w:szCs w:val="20"/>
        </w:rPr>
        <w:t>item deprivations may not directly relate to the experience of children in the household, they do illustrate the living conditions of the households of these children. The analysis reported in Figures D.1 and D.2 above and the associated text is relevant to the themes in this paragraph</w:t>
      </w:r>
      <w:r>
        <w:rPr>
          <w:rFonts w:ascii="Arial" w:hAnsi="Arial"/>
          <w:bCs/>
          <w:color w:val="000000" w:themeColor="text1"/>
          <w:szCs w:val="20"/>
        </w:rPr>
        <w:t xml:space="preserve"> and the previous one</w:t>
      </w:r>
      <w:r w:rsidRPr="007F56F0">
        <w:rPr>
          <w:rFonts w:ascii="Arial" w:hAnsi="Arial"/>
          <w:bCs/>
          <w:color w:val="000000" w:themeColor="text1"/>
          <w:szCs w:val="20"/>
        </w:rPr>
        <w:t>.</w:t>
      </w:r>
      <w:r>
        <w:rPr>
          <w:rFonts w:ascii="Arial" w:hAnsi="Arial"/>
          <w:bCs/>
          <w:color w:val="000000" w:themeColor="text1"/>
          <w:szCs w:val="20"/>
        </w:rPr>
        <w:t xml:space="preserve"> </w:t>
      </w:r>
    </w:p>
    <w:p w14:paraId="2EF4521E" w14:textId="77777777" w:rsidR="00894C8C" w:rsidRPr="00F37860" w:rsidRDefault="00894C8C" w:rsidP="00894C8C">
      <w:pPr>
        <w:spacing w:after="0" w:line="240" w:lineRule="auto"/>
        <w:rPr>
          <w:rFonts w:ascii="Arial" w:hAnsi="Arial"/>
          <w:bCs/>
          <w:color w:val="000000" w:themeColor="text1"/>
          <w:szCs w:val="28"/>
        </w:rPr>
      </w:pPr>
    </w:p>
    <w:p w14:paraId="59801187" w14:textId="12632111" w:rsidR="00E03637" w:rsidRDefault="003571A4">
      <w:pPr>
        <w:spacing w:after="0" w:line="240" w:lineRule="auto"/>
        <w:rPr>
          <w:rFonts w:ascii="Arial" w:eastAsia="Times New Roman" w:hAnsi="Arial"/>
          <w:color w:val="000000"/>
          <w:szCs w:val="20"/>
        </w:rPr>
      </w:pPr>
      <w:r w:rsidRPr="003571A4">
        <w:rPr>
          <w:rFonts w:ascii="Arial" w:eastAsia="Times New Roman" w:hAnsi="Arial"/>
          <w:color w:val="000000"/>
          <w:szCs w:val="20"/>
        </w:rPr>
        <w:t>The same patterns are evident when the HILS 2024-25 data is used</w:t>
      </w:r>
      <w:r w:rsidR="00E9724A">
        <w:rPr>
          <w:rFonts w:ascii="Arial" w:eastAsia="Times New Roman" w:hAnsi="Arial"/>
          <w:color w:val="000000"/>
          <w:szCs w:val="20"/>
        </w:rPr>
        <w:t xml:space="preserve"> with the MH-18 index,</w:t>
      </w:r>
      <w:r>
        <w:rPr>
          <w:rFonts w:ascii="Arial" w:eastAsia="Times New Roman" w:hAnsi="Arial"/>
          <w:color w:val="000000"/>
          <w:szCs w:val="20"/>
        </w:rPr>
        <w:t xml:space="preserve"> even with the changed wording </w:t>
      </w:r>
      <w:r w:rsidR="00E9724A">
        <w:rPr>
          <w:rFonts w:ascii="Arial" w:eastAsia="Times New Roman" w:hAnsi="Arial"/>
          <w:color w:val="000000"/>
          <w:szCs w:val="20"/>
        </w:rPr>
        <w:t xml:space="preserve">for </w:t>
      </w:r>
      <w:r>
        <w:rPr>
          <w:rFonts w:ascii="Arial" w:eastAsia="Times New Roman" w:hAnsi="Arial"/>
          <w:color w:val="000000"/>
          <w:szCs w:val="20"/>
        </w:rPr>
        <w:t>several</w:t>
      </w:r>
      <w:r w:rsidR="00E9724A">
        <w:rPr>
          <w:rFonts w:ascii="Arial" w:eastAsia="Times New Roman" w:hAnsi="Arial"/>
          <w:color w:val="000000"/>
          <w:szCs w:val="20"/>
        </w:rPr>
        <w:t xml:space="preserve"> items</w:t>
      </w:r>
      <w:r>
        <w:rPr>
          <w:rFonts w:ascii="Arial" w:eastAsia="Times New Roman" w:hAnsi="Arial"/>
          <w:color w:val="000000"/>
          <w:szCs w:val="20"/>
        </w:rPr>
        <w:t>. HES 2023-24 is used here as it allows rates for multiple years to be reported using the same items.</w:t>
      </w:r>
      <w:r w:rsidRPr="003571A4">
        <w:rPr>
          <w:rFonts w:ascii="Arial" w:eastAsia="Times New Roman" w:hAnsi="Arial"/>
          <w:color w:val="000000"/>
          <w:szCs w:val="20"/>
        </w:rPr>
        <w:t xml:space="preserve"> </w:t>
      </w:r>
    </w:p>
    <w:p w14:paraId="5AE9B796" w14:textId="77777777" w:rsidR="005D2A86" w:rsidRPr="003571A4" w:rsidRDefault="005D2A86">
      <w:pPr>
        <w:spacing w:after="0" w:line="240" w:lineRule="auto"/>
        <w:rPr>
          <w:rFonts w:ascii="Arial" w:eastAsia="Times New Roman" w:hAnsi="Arial"/>
          <w:color w:val="000000"/>
          <w:szCs w:val="20"/>
        </w:rPr>
      </w:pPr>
    </w:p>
    <w:p w14:paraId="2A568FBD" w14:textId="77777777" w:rsidR="009C6F84" w:rsidRPr="00F41333" w:rsidRDefault="009C6F84" w:rsidP="009C6F84">
      <w:pPr>
        <w:spacing w:after="0" w:line="240" w:lineRule="auto"/>
        <w:ind w:left="284" w:right="240"/>
        <w:jc w:val="center"/>
        <w:rPr>
          <w:rFonts w:ascii="Arial" w:eastAsia="Times New Roman" w:hAnsi="Arial"/>
          <w:b/>
          <w:bCs/>
          <w:color w:val="000000"/>
          <w:sz w:val="18"/>
          <w:szCs w:val="18"/>
        </w:rPr>
      </w:pPr>
      <w:r w:rsidRPr="00F41333">
        <w:rPr>
          <w:rFonts w:ascii="Arial" w:eastAsia="Times New Roman" w:hAnsi="Arial"/>
          <w:b/>
          <w:bCs/>
          <w:color w:val="000000"/>
          <w:sz w:val="18"/>
          <w:szCs w:val="18"/>
        </w:rPr>
        <w:t>Table D.4</w:t>
      </w:r>
    </w:p>
    <w:p w14:paraId="55D5014D" w14:textId="2381C7CD" w:rsidR="009C6F84" w:rsidRDefault="009C6F84" w:rsidP="009C6F84">
      <w:pPr>
        <w:spacing w:after="0" w:line="240" w:lineRule="auto"/>
        <w:ind w:left="284" w:right="240"/>
        <w:jc w:val="center"/>
        <w:rPr>
          <w:rFonts w:ascii="Arial" w:eastAsia="Times New Roman" w:hAnsi="Arial"/>
          <w:color w:val="000000"/>
          <w:sz w:val="16"/>
          <w:szCs w:val="16"/>
        </w:rPr>
      </w:pPr>
      <w:r w:rsidRPr="00F41333">
        <w:rPr>
          <w:rFonts w:ascii="Arial" w:eastAsia="Times New Roman" w:hAnsi="Arial"/>
          <w:b/>
          <w:bCs/>
          <w:color w:val="000000"/>
          <w:sz w:val="18"/>
          <w:szCs w:val="18"/>
        </w:rPr>
        <w:t>Fuller text for DEP-17 items</w:t>
      </w:r>
      <w:r>
        <w:rPr>
          <w:rFonts w:ascii="Arial" w:eastAsia="Times New Roman" w:hAnsi="Arial"/>
          <w:b/>
          <w:bCs/>
          <w:color w:val="000000"/>
          <w:sz w:val="18"/>
          <w:szCs w:val="18"/>
        </w:rPr>
        <w:t xml:space="preserve"> and item deprivation rates for </w:t>
      </w:r>
      <w:r w:rsidR="00072961">
        <w:rPr>
          <w:rFonts w:ascii="Arial" w:eastAsia="Times New Roman" w:hAnsi="Arial"/>
          <w:b/>
          <w:bCs/>
          <w:color w:val="000000"/>
          <w:sz w:val="18"/>
          <w:szCs w:val="18"/>
        </w:rPr>
        <w:t xml:space="preserve">all </w:t>
      </w:r>
      <w:r>
        <w:rPr>
          <w:rFonts w:ascii="Arial" w:eastAsia="Times New Roman" w:hAnsi="Arial"/>
          <w:b/>
          <w:bCs/>
          <w:color w:val="000000"/>
          <w:sz w:val="18"/>
          <w:szCs w:val="18"/>
        </w:rPr>
        <w:t>children</w:t>
      </w:r>
      <w:r w:rsidR="00072961">
        <w:rPr>
          <w:rFonts w:ascii="Arial" w:eastAsia="Times New Roman" w:hAnsi="Arial"/>
          <w:b/>
          <w:bCs/>
          <w:color w:val="000000"/>
          <w:sz w:val="18"/>
          <w:szCs w:val="18"/>
        </w:rPr>
        <w:t xml:space="preserve"> in their households</w:t>
      </w:r>
    </w:p>
    <w:p w14:paraId="679FD74A" w14:textId="77777777" w:rsidR="009C6F84" w:rsidRPr="00B6056E" w:rsidRDefault="009C6F84" w:rsidP="009C6F84">
      <w:pPr>
        <w:spacing w:after="0" w:line="240" w:lineRule="auto"/>
        <w:ind w:left="284" w:right="240"/>
        <w:jc w:val="both"/>
        <w:rPr>
          <w:rFonts w:ascii="Arial" w:eastAsia="Times New Roman" w:hAnsi="Arial"/>
          <w:color w:val="000000"/>
          <w:sz w:val="16"/>
          <w:szCs w:val="16"/>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2"/>
        <w:gridCol w:w="1064"/>
        <w:gridCol w:w="533"/>
        <w:gridCol w:w="4255"/>
        <w:gridCol w:w="534"/>
        <w:gridCol w:w="534"/>
        <w:gridCol w:w="534"/>
        <w:gridCol w:w="534"/>
        <w:gridCol w:w="534"/>
      </w:tblGrid>
      <w:tr w:rsidR="009C6F84" w:rsidRPr="00B6056E" w14:paraId="33CC7C92" w14:textId="77777777" w:rsidTr="00366F04">
        <w:trPr>
          <w:jc w:val="center"/>
        </w:trPr>
        <w:tc>
          <w:tcPr>
            <w:tcW w:w="6114" w:type="dxa"/>
            <w:gridSpan w:val="4"/>
            <w:vAlign w:val="center"/>
          </w:tcPr>
          <w:p w14:paraId="7A13166F" w14:textId="77777777" w:rsidR="009C6F84" w:rsidRPr="00B6056E" w:rsidRDefault="009C6F84" w:rsidP="00366F04">
            <w:pPr>
              <w:spacing w:before="30" w:after="30" w:line="240" w:lineRule="auto"/>
              <w:ind w:left="57" w:right="57"/>
              <w:rPr>
                <w:rFonts w:ascii="Arial" w:hAnsi="Arial"/>
                <w:b/>
                <w:color w:val="000000"/>
                <w:sz w:val="14"/>
                <w:szCs w:val="14"/>
              </w:rPr>
            </w:pPr>
            <w:r>
              <w:rPr>
                <w:rFonts w:ascii="Arial" w:hAnsi="Arial"/>
                <w:b/>
                <w:color w:val="000000"/>
                <w:sz w:val="14"/>
                <w:szCs w:val="14"/>
              </w:rPr>
              <w:t>Dep-17 items</w:t>
            </w:r>
          </w:p>
        </w:tc>
        <w:tc>
          <w:tcPr>
            <w:tcW w:w="2670" w:type="dxa"/>
            <w:gridSpan w:val="5"/>
          </w:tcPr>
          <w:p w14:paraId="49509763" w14:textId="77777777" w:rsidR="009C6F84" w:rsidRPr="00B6056E" w:rsidRDefault="009C6F84" w:rsidP="00366F04">
            <w:pPr>
              <w:spacing w:before="30" w:after="30" w:line="240" w:lineRule="auto"/>
              <w:ind w:left="113" w:right="113"/>
              <w:jc w:val="center"/>
              <w:rPr>
                <w:rFonts w:ascii="Arial" w:hAnsi="Arial"/>
                <w:b/>
                <w:color w:val="000000"/>
                <w:sz w:val="14"/>
                <w:szCs w:val="14"/>
              </w:rPr>
            </w:pPr>
            <w:r>
              <w:rPr>
                <w:rFonts w:ascii="Arial" w:hAnsi="Arial"/>
                <w:b/>
                <w:color w:val="000000"/>
                <w:sz w:val="14"/>
                <w:szCs w:val="14"/>
              </w:rPr>
              <w:t>item deprivation rates for all children in their HHs</w:t>
            </w:r>
          </w:p>
        </w:tc>
      </w:tr>
      <w:tr w:rsidR="009C6F84" w:rsidRPr="00B6056E" w14:paraId="67EACAFD" w14:textId="77777777" w:rsidTr="00366F04">
        <w:trPr>
          <w:jc w:val="center"/>
        </w:trPr>
        <w:tc>
          <w:tcPr>
            <w:tcW w:w="6114" w:type="dxa"/>
            <w:gridSpan w:val="4"/>
          </w:tcPr>
          <w:p w14:paraId="46D3AB14" w14:textId="77777777" w:rsidR="009C6F84" w:rsidRPr="00B6056E" w:rsidRDefault="009C6F84" w:rsidP="00366F04">
            <w:pPr>
              <w:spacing w:before="30" w:after="30" w:line="240" w:lineRule="auto"/>
              <w:rPr>
                <w:rFonts w:ascii="Arial" w:hAnsi="Arial"/>
                <w:color w:val="000000"/>
                <w:sz w:val="14"/>
                <w:szCs w:val="14"/>
              </w:rPr>
            </w:pPr>
            <w:r w:rsidRPr="00B6056E">
              <w:rPr>
                <w:rFonts w:ascii="Arial" w:hAnsi="Arial"/>
                <w:b/>
                <w:color w:val="000000"/>
                <w:sz w:val="14"/>
                <w:szCs w:val="14"/>
              </w:rPr>
              <w:t xml:space="preserve">  Enforced lack of essentials </w:t>
            </w:r>
            <w:r w:rsidRPr="00B6056E">
              <w:rPr>
                <w:rFonts w:ascii="Arial" w:hAnsi="Arial"/>
                <w:color w:val="000000"/>
                <w:sz w:val="14"/>
                <w:szCs w:val="14"/>
              </w:rPr>
              <w:t>(for respondent or household as a whole)</w:t>
            </w:r>
          </w:p>
        </w:tc>
        <w:tc>
          <w:tcPr>
            <w:tcW w:w="534" w:type="dxa"/>
            <w:vAlign w:val="center"/>
          </w:tcPr>
          <w:p w14:paraId="41570764" w14:textId="77777777" w:rsidR="009C6F84" w:rsidRPr="00B6056E" w:rsidRDefault="009C6F84" w:rsidP="00366F04">
            <w:pPr>
              <w:spacing w:before="30" w:after="30" w:line="240" w:lineRule="auto"/>
              <w:jc w:val="center"/>
              <w:rPr>
                <w:rFonts w:ascii="Arial" w:hAnsi="Arial"/>
                <w:b/>
                <w:color w:val="000000"/>
                <w:sz w:val="14"/>
                <w:szCs w:val="14"/>
              </w:rPr>
            </w:pPr>
            <w:r w:rsidRPr="00D27B2C">
              <w:rPr>
                <w:rFonts w:ascii="Arial" w:hAnsi="Arial"/>
                <w:b/>
                <w:bCs/>
                <w:color w:val="000000"/>
                <w:sz w:val="14"/>
                <w:szCs w:val="14"/>
              </w:rPr>
              <w:t>17-18</w:t>
            </w:r>
          </w:p>
        </w:tc>
        <w:tc>
          <w:tcPr>
            <w:tcW w:w="534" w:type="dxa"/>
            <w:vAlign w:val="center"/>
          </w:tcPr>
          <w:p w14:paraId="42C35B19" w14:textId="77777777" w:rsidR="009C6F84" w:rsidRPr="00B6056E" w:rsidRDefault="009C6F84" w:rsidP="00366F04">
            <w:pPr>
              <w:spacing w:before="30" w:after="30" w:line="240" w:lineRule="auto"/>
              <w:jc w:val="center"/>
              <w:rPr>
                <w:rFonts w:ascii="Arial" w:hAnsi="Arial"/>
                <w:b/>
                <w:color w:val="000000"/>
                <w:sz w:val="14"/>
                <w:szCs w:val="14"/>
              </w:rPr>
            </w:pPr>
            <w:r w:rsidRPr="00D27B2C">
              <w:rPr>
                <w:rFonts w:ascii="Arial" w:hAnsi="Arial"/>
                <w:b/>
                <w:bCs/>
                <w:color w:val="000000"/>
                <w:sz w:val="14"/>
                <w:szCs w:val="14"/>
              </w:rPr>
              <w:t>18-19</w:t>
            </w:r>
          </w:p>
        </w:tc>
        <w:tc>
          <w:tcPr>
            <w:tcW w:w="534" w:type="dxa"/>
            <w:vAlign w:val="center"/>
          </w:tcPr>
          <w:p w14:paraId="5B8AAAC4" w14:textId="77777777" w:rsidR="009C6F84" w:rsidRPr="00B6056E" w:rsidRDefault="009C6F84" w:rsidP="00366F04">
            <w:pPr>
              <w:spacing w:before="30" w:after="30" w:line="240" w:lineRule="auto"/>
              <w:jc w:val="center"/>
              <w:rPr>
                <w:rFonts w:ascii="Arial" w:hAnsi="Arial"/>
                <w:b/>
                <w:color w:val="000000"/>
                <w:sz w:val="14"/>
                <w:szCs w:val="14"/>
              </w:rPr>
            </w:pPr>
            <w:r w:rsidRPr="00D27B2C">
              <w:rPr>
                <w:rFonts w:ascii="Arial" w:hAnsi="Arial"/>
                <w:b/>
                <w:bCs/>
                <w:color w:val="000000"/>
                <w:sz w:val="14"/>
                <w:szCs w:val="14"/>
              </w:rPr>
              <w:t>19-20</w:t>
            </w:r>
          </w:p>
        </w:tc>
        <w:tc>
          <w:tcPr>
            <w:tcW w:w="534" w:type="dxa"/>
            <w:vAlign w:val="center"/>
          </w:tcPr>
          <w:p w14:paraId="71C6157D" w14:textId="77777777" w:rsidR="009C6F84" w:rsidRPr="00B6056E" w:rsidRDefault="009C6F84" w:rsidP="00366F04">
            <w:pPr>
              <w:spacing w:before="30" w:after="30" w:line="240" w:lineRule="auto"/>
              <w:jc w:val="center"/>
              <w:rPr>
                <w:rFonts w:ascii="Arial" w:hAnsi="Arial"/>
                <w:b/>
                <w:color w:val="000000"/>
                <w:sz w:val="14"/>
                <w:szCs w:val="14"/>
              </w:rPr>
            </w:pPr>
            <w:r w:rsidRPr="00D27B2C">
              <w:rPr>
                <w:rFonts w:ascii="Arial" w:hAnsi="Arial"/>
                <w:b/>
                <w:bCs/>
                <w:color w:val="000000"/>
                <w:sz w:val="14"/>
                <w:szCs w:val="14"/>
              </w:rPr>
              <w:t>22-23</w:t>
            </w:r>
          </w:p>
        </w:tc>
        <w:tc>
          <w:tcPr>
            <w:tcW w:w="534" w:type="dxa"/>
            <w:vAlign w:val="center"/>
          </w:tcPr>
          <w:p w14:paraId="57335904" w14:textId="77777777" w:rsidR="009C6F84" w:rsidRPr="00B6056E" w:rsidRDefault="009C6F84" w:rsidP="00366F04">
            <w:pPr>
              <w:spacing w:before="30" w:after="30" w:line="240" w:lineRule="auto"/>
              <w:jc w:val="center"/>
              <w:rPr>
                <w:rFonts w:ascii="Arial" w:hAnsi="Arial"/>
                <w:b/>
                <w:color w:val="000000"/>
                <w:sz w:val="14"/>
                <w:szCs w:val="14"/>
              </w:rPr>
            </w:pPr>
            <w:r w:rsidRPr="00D27B2C">
              <w:rPr>
                <w:rFonts w:ascii="Arial" w:hAnsi="Arial"/>
                <w:b/>
                <w:bCs/>
                <w:color w:val="000000"/>
                <w:sz w:val="14"/>
                <w:szCs w:val="14"/>
              </w:rPr>
              <w:t>23-24</w:t>
            </w:r>
          </w:p>
        </w:tc>
      </w:tr>
      <w:tr w:rsidR="009C6F84" w:rsidRPr="00B6056E" w14:paraId="64CF26D1" w14:textId="77777777" w:rsidTr="00366F04">
        <w:trPr>
          <w:jc w:val="center"/>
        </w:trPr>
        <w:tc>
          <w:tcPr>
            <w:tcW w:w="262" w:type="dxa"/>
            <w:tcBorders>
              <w:right w:val="nil"/>
            </w:tcBorders>
          </w:tcPr>
          <w:p w14:paraId="357A3243"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2BE712D3" w14:textId="77777777" w:rsidR="009C6F84" w:rsidRPr="00B6056E" w:rsidRDefault="009C6F84" w:rsidP="00366F04">
            <w:pPr>
              <w:spacing w:before="30" w:after="30" w:line="240" w:lineRule="auto"/>
              <w:rPr>
                <w:rFonts w:ascii="Arial" w:hAnsi="Arial"/>
                <w:color w:val="000000"/>
                <w:sz w:val="14"/>
                <w:szCs w:val="16"/>
              </w:rPr>
            </w:pPr>
            <w:r>
              <w:rPr>
                <w:rFonts w:ascii="Arial" w:hAnsi="Arial"/>
                <w:color w:val="000000"/>
                <w:sz w:val="14"/>
                <w:szCs w:val="14"/>
              </w:rPr>
              <w:t>protein</w:t>
            </w:r>
            <w:r w:rsidRPr="00B6056E">
              <w:rPr>
                <w:rFonts w:ascii="Arial" w:hAnsi="Arial"/>
                <w:color w:val="000000"/>
                <w:sz w:val="14"/>
                <w:szCs w:val="14"/>
              </w:rPr>
              <w:t xml:space="preserve"> meal</w:t>
            </w:r>
          </w:p>
        </w:tc>
        <w:tc>
          <w:tcPr>
            <w:tcW w:w="533" w:type="dxa"/>
            <w:vAlign w:val="center"/>
          </w:tcPr>
          <w:p w14:paraId="5ACA045D"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13164A37"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meal with meat, fish or chicken (or vegetarian equivalent) at least each 2nd day</w:t>
            </w:r>
          </w:p>
        </w:tc>
        <w:tc>
          <w:tcPr>
            <w:tcW w:w="534" w:type="dxa"/>
            <w:vAlign w:val="center"/>
          </w:tcPr>
          <w:p w14:paraId="5929DF12"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w:t>
            </w:r>
          </w:p>
        </w:tc>
        <w:tc>
          <w:tcPr>
            <w:tcW w:w="534" w:type="dxa"/>
            <w:vAlign w:val="center"/>
          </w:tcPr>
          <w:p w14:paraId="365F8D22"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w:t>
            </w:r>
          </w:p>
        </w:tc>
        <w:tc>
          <w:tcPr>
            <w:tcW w:w="534" w:type="dxa"/>
            <w:vAlign w:val="center"/>
          </w:tcPr>
          <w:p w14:paraId="0AB611C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w:t>
            </w:r>
          </w:p>
        </w:tc>
        <w:tc>
          <w:tcPr>
            <w:tcW w:w="534" w:type="dxa"/>
            <w:vAlign w:val="center"/>
          </w:tcPr>
          <w:p w14:paraId="05D55451"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w:t>
            </w:r>
          </w:p>
        </w:tc>
        <w:tc>
          <w:tcPr>
            <w:tcW w:w="534" w:type="dxa"/>
            <w:vAlign w:val="center"/>
          </w:tcPr>
          <w:p w14:paraId="64106A6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w:t>
            </w:r>
          </w:p>
        </w:tc>
      </w:tr>
      <w:tr w:rsidR="009C6F84" w:rsidRPr="00B6056E" w14:paraId="5367583F" w14:textId="77777777" w:rsidTr="00366F04">
        <w:trPr>
          <w:jc w:val="center"/>
        </w:trPr>
        <w:tc>
          <w:tcPr>
            <w:tcW w:w="262" w:type="dxa"/>
            <w:tcBorders>
              <w:right w:val="nil"/>
            </w:tcBorders>
          </w:tcPr>
          <w:p w14:paraId="7A11169C"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7C9D5415"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shoes</w:t>
            </w:r>
          </w:p>
        </w:tc>
        <w:tc>
          <w:tcPr>
            <w:tcW w:w="533" w:type="dxa"/>
            <w:vAlign w:val="center"/>
          </w:tcPr>
          <w:p w14:paraId="3AAF9BBF"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7DF6BA6F"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two pairs of shoes in good repair and suitable for everyday use</w:t>
            </w:r>
          </w:p>
        </w:tc>
        <w:tc>
          <w:tcPr>
            <w:tcW w:w="534" w:type="dxa"/>
            <w:vAlign w:val="center"/>
          </w:tcPr>
          <w:p w14:paraId="7D5B428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3</w:t>
            </w:r>
          </w:p>
        </w:tc>
        <w:tc>
          <w:tcPr>
            <w:tcW w:w="534" w:type="dxa"/>
            <w:vAlign w:val="center"/>
          </w:tcPr>
          <w:p w14:paraId="311478AF"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w:t>
            </w:r>
          </w:p>
        </w:tc>
        <w:tc>
          <w:tcPr>
            <w:tcW w:w="534" w:type="dxa"/>
            <w:vAlign w:val="center"/>
          </w:tcPr>
          <w:p w14:paraId="79668F3D"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w:t>
            </w:r>
          </w:p>
        </w:tc>
        <w:tc>
          <w:tcPr>
            <w:tcW w:w="534" w:type="dxa"/>
            <w:vAlign w:val="center"/>
          </w:tcPr>
          <w:p w14:paraId="6E9203CE"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3</w:t>
            </w:r>
          </w:p>
        </w:tc>
        <w:tc>
          <w:tcPr>
            <w:tcW w:w="534" w:type="dxa"/>
            <w:vAlign w:val="center"/>
          </w:tcPr>
          <w:p w14:paraId="72A8DE5C"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3</w:t>
            </w:r>
          </w:p>
        </w:tc>
      </w:tr>
      <w:tr w:rsidR="009C6F84" w:rsidRPr="00B6056E" w14:paraId="454C4618" w14:textId="77777777" w:rsidTr="00366F04">
        <w:trPr>
          <w:jc w:val="center"/>
        </w:trPr>
        <w:tc>
          <w:tcPr>
            <w:tcW w:w="262" w:type="dxa"/>
            <w:tcBorders>
              <w:right w:val="nil"/>
            </w:tcBorders>
          </w:tcPr>
          <w:p w14:paraId="3EB14739"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3206237C"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suitable clothes</w:t>
            </w:r>
          </w:p>
        </w:tc>
        <w:tc>
          <w:tcPr>
            <w:tcW w:w="533" w:type="dxa"/>
            <w:vAlign w:val="center"/>
          </w:tcPr>
          <w:p w14:paraId="308C145B"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08F5A567"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suitable clothes for important or special occasions</w:t>
            </w:r>
          </w:p>
        </w:tc>
        <w:tc>
          <w:tcPr>
            <w:tcW w:w="534" w:type="dxa"/>
            <w:vAlign w:val="center"/>
          </w:tcPr>
          <w:p w14:paraId="52D718B0"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c>
          <w:tcPr>
            <w:tcW w:w="534" w:type="dxa"/>
            <w:vAlign w:val="center"/>
          </w:tcPr>
          <w:p w14:paraId="20DB0197"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c>
          <w:tcPr>
            <w:tcW w:w="534" w:type="dxa"/>
            <w:vAlign w:val="center"/>
          </w:tcPr>
          <w:p w14:paraId="0CD8B5AE"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3</w:t>
            </w:r>
          </w:p>
        </w:tc>
        <w:tc>
          <w:tcPr>
            <w:tcW w:w="534" w:type="dxa"/>
            <w:vAlign w:val="center"/>
          </w:tcPr>
          <w:p w14:paraId="70BE940C"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c>
          <w:tcPr>
            <w:tcW w:w="534" w:type="dxa"/>
            <w:vAlign w:val="center"/>
          </w:tcPr>
          <w:p w14:paraId="5A42874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r>
      <w:tr w:rsidR="009C6F84" w:rsidRPr="00B6056E" w14:paraId="62CC5DD4" w14:textId="77777777" w:rsidTr="00366F04">
        <w:trPr>
          <w:jc w:val="center"/>
        </w:trPr>
        <w:tc>
          <w:tcPr>
            <w:tcW w:w="262" w:type="dxa"/>
            <w:tcBorders>
              <w:right w:val="nil"/>
            </w:tcBorders>
          </w:tcPr>
          <w:p w14:paraId="1A29F35E"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566A1F29"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presents</w:t>
            </w:r>
          </w:p>
        </w:tc>
        <w:tc>
          <w:tcPr>
            <w:tcW w:w="533" w:type="dxa"/>
            <w:vAlign w:val="center"/>
          </w:tcPr>
          <w:p w14:paraId="403A42B5"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161DF94A"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presents for family and friends on special occasions</w:t>
            </w:r>
          </w:p>
        </w:tc>
        <w:tc>
          <w:tcPr>
            <w:tcW w:w="534" w:type="dxa"/>
            <w:vAlign w:val="center"/>
          </w:tcPr>
          <w:p w14:paraId="16F15611"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5</w:t>
            </w:r>
          </w:p>
        </w:tc>
        <w:tc>
          <w:tcPr>
            <w:tcW w:w="534" w:type="dxa"/>
            <w:vAlign w:val="center"/>
          </w:tcPr>
          <w:p w14:paraId="437F76E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c>
          <w:tcPr>
            <w:tcW w:w="534" w:type="dxa"/>
            <w:vAlign w:val="center"/>
          </w:tcPr>
          <w:p w14:paraId="0C018CFC"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5</w:t>
            </w:r>
          </w:p>
        </w:tc>
        <w:tc>
          <w:tcPr>
            <w:tcW w:w="534" w:type="dxa"/>
            <w:vAlign w:val="center"/>
          </w:tcPr>
          <w:p w14:paraId="328A45D6"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6</w:t>
            </w:r>
          </w:p>
        </w:tc>
        <w:tc>
          <w:tcPr>
            <w:tcW w:w="534" w:type="dxa"/>
            <w:vAlign w:val="center"/>
          </w:tcPr>
          <w:p w14:paraId="7DA5F59C"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5</w:t>
            </w:r>
          </w:p>
        </w:tc>
      </w:tr>
      <w:tr w:rsidR="009C6F84" w:rsidRPr="00B6056E" w14:paraId="7A7DB5E1" w14:textId="77777777" w:rsidTr="00366F04">
        <w:trPr>
          <w:jc w:val="center"/>
        </w:trPr>
        <w:tc>
          <w:tcPr>
            <w:tcW w:w="262" w:type="dxa"/>
            <w:tcBorders>
              <w:right w:val="nil"/>
            </w:tcBorders>
          </w:tcPr>
          <w:p w14:paraId="5538671B"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6FD84F85"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contents ins</w:t>
            </w:r>
          </w:p>
        </w:tc>
        <w:tc>
          <w:tcPr>
            <w:tcW w:w="533" w:type="dxa"/>
            <w:vAlign w:val="center"/>
          </w:tcPr>
          <w:p w14:paraId="586FA3EA"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4DF038ED"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home contents insurance</w:t>
            </w:r>
          </w:p>
        </w:tc>
        <w:tc>
          <w:tcPr>
            <w:tcW w:w="534" w:type="dxa"/>
            <w:vAlign w:val="center"/>
          </w:tcPr>
          <w:p w14:paraId="13C4ABAD"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19</w:t>
            </w:r>
          </w:p>
        </w:tc>
        <w:tc>
          <w:tcPr>
            <w:tcW w:w="534" w:type="dxa"/>
            <w:vAlign w:val="center"/>
          </w:tcPr>
          <w:p w14:paraId="7AFABB93"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18</w:t>
            </w:r>
          </w:p>
        </w:tc>
        <w:tc>
          <w:tcPr>
            <w:tcW w:w="534" w:type="dxa"/>
            <w:vAlign w:val="center"/>
          </w:tcPr>
          <w:p w14:paraId="7FFAEB4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16</w:t>
            </w:r>
          </w:p>
        </w:tc>
        <w:tc>
          <w:tcPr>
            <w:tcW w:w="534" w:type="dxa"/>
            <w:vAlign w:val="center"/>
          </w:tcPr>
          <w:p w14:paraId="58215D82"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18</w:t>
            </w:r>
          </w:p>
        </w:tc>
        <w:tc>
          <w:tcPr>
            <w:tcW w:w="534" w:type="dxa"/>
            <w:vAlign w:val="center"/>
          </w:tcPr>
          <w:p w14:paraId="130D262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20</w:t>
            </w:r>
          </w:p>
        </w:tc>
      </w:tr>
      <w:tr w:rsidR="009C6F84" w:rsidRPr="00B6056E" w14:paraId="0D293A31" w14:textId="77777777" w:rsidTr="00366F04">
        <w:trPr>
          <w:trHeight w:val="391"/>
          <w:jc w:val="center"/>
        </w:trPr>
        <w:tc>
          <w:tcPr>
            <w:tcW w:w="6114" w:type="dxa"/>
            <w:gridSpan w:val="4"/>
            <w:tcBorders>
              <w:bottom w:val="single" w:sz="4" w:space="0" w:color="auto"/>
            </w:tcBorders>
          </w:tcPr>
          <w:p w14:paraId="43B7616A" w14:textId="77777777" w:rsidR="009C6F84" w:rsidRPr="00B6056E" w:rsidRDefault="009C6F84" w:rsidP="00366F04">
            <w:pPr>
              <w:spacing w:before="30" w:after="30" w:line="240" w:lineRule="auto"/>
              <w:ind w:left="284" w:hanging="284"/>
              <w:rPr>
                <w:rFonts w:ascii="Arial" w:hAnsi="Arial"/>
                <w:b/>
                <w:color w:val="000000"/>
                <w:sz w:val="14"/>
                <w:szCs w:val="14"/>
              </w:rPr>
            </w:pPr>
            <w:r w:rsidRPr="00B6056E">
              <w:rPr>
                <w:rFonts w:ascii="Arial" w:hAnsi="Arial"/>
                <w:b/>
                <w:color w:val="000000"/>
                <w:sz w:val="16"/>
                <w:szCs w:val="16"/>
              </w:rPr>
              <w:t xml:space="preserve">  </w:t>
            </w:r>
            <w:r w:rsidRPr="00B6056E">
              <w:rPr>
                <w:rFonts w:ascii="Arial" w:hAnsi="Arial"/>
                <w:b/>
                <w:color w:val="000000"/>
                <w:sz w:val="14"/>
                <w:szCs w:val="14"/>
              </w:rPr>
              <w:t xml:space="preserve">Economised, cut back or delayed purchases ‘a lot’ </w:t>
            </w:r>
            <w:r w:rsidRPr="00B6056E">
              <w:rPr>
                <w:rFonts w:ascii="Arial" w:hAnsi="Arial"/>
                <w:color w:val="000000"/>
                <w:sz w:val="14"/>
                <w:szCs w:val="14"/>
              </w:rPr>
              <w:t>(because money was needed for other essentials, not just to be thrifty or to save for a trip or other non-essential)</w:t>
            </w:r>
          </w:p>
        </w:tc>
        <w:tc>
          <w:tcPr>
            <w:tcW w:w="534" w:type="dxa"/>
            <w:tcBorders>
              <w:bottom w:val="single" w:sz="4" w:space="0" w:color="auto"/>
            </w:tcBorders>
          </w:tcPr>
          <w:p w14:paraId="6D20EFE7" w14:textId="77777777" w:rsidR="009C6F84" w:rsidRPr="00B6056E" w:rsidRDefault="009C6F84" w:rsidP="00366F04">
            <w:pPr>
              <w:spacing w:before="30" w:after="30" w:line="240" w:lineRule="auto"/>
              <w:ind w:hanging="284"/>
              <w:jc w:val="center"/>
              <w:rPr>
                <w:rFonts w:ascii="Arial" w:hAnsi="Arial"/>
                <w:b/>
                <w:color w:val="000000"/>
                <w:sz w:val="16"/>
                <w:szCs w:val="16"/>
              </w:rPr>
            </w:pPr>
          </w:p>
        </w:tc>
        <w:tc>
          <w:tcPr>
            <w:tcW w:w="534" w:type="dxa"/>
            <w:tcBorders>
              <w:bottom w:val="single" w:sz="4" w:space="0" w:color="auto"/>
            </w:tcBorders>
          </w:tcPr>
          <w:p w14:paraId="23A06D4D" w14:textId="77777777" w:rsidR="009C6F84" w:rsidRPr="00B6056E" w:rsidRDefault="009C6F84" w:rsidP="00366F04">
            <w:pPr>
              <w:spacing w:before="30" w:after="30" w:line="240" w:lineRule="auto"/>
              <w:ind w:hanging="284"/>
              <w:jc w:val="center"/>
              <w:rPr>
                <w:rFonts w:ascii="Arial" w:hAnsi="Arial"/>
                <w:b/>
                <w:color w:val="000000"/>
                <w:sz w:val="16"/>
                <w:szCs w:val="16"/>
              </w:rPr>
            </w:pPr>
          </w:p>
        </w:tc>
        <w:tc>
          <w:tcPr>
            <w:tcW w:w="534" w:type="dxa"/>
            <w:tcBorders>
              <w:bottom w:val="single" w:sz="4" w:space="0" w:color="auto"/>
            </w:tcBorders>
          </w:tcPr>
          <w:p w14:paraId="5C8DEA87" w14:textId="77777777" w:rsidR="009C6F84" w:rsidRPr="00B6056E" w:rsidRDefault="009C6F84" w:rsidP="00366F04">
            <w:pPr>
              <w:spacing w:before="30" w:after="30" w:line="240" w:lineRule="auto"/>
              <w:ind w:hanging="284"/>
              <w:jc w:val="center"/>
              <w:rPr>
                <w:rFonts w:ascii="Arial" w:hAnsi="Arial"/>
                <w:b/>
                <w:color w:val="000000"/>
                <w:sz w:val="16"/>
                <w:szCs w:val="16"/>
              </w:rPr>
            </w:pPr>
          </w:p>
        </w:tc>
        <w:tc>
          <w:tcPr>
            <w:tcW w:w="534" w:type="dxa"/>
            <w:tcBorders>
              <w:bottom w:val="single" w:sz="4" w:space="0" w:color="auto"/>
            </w:tcBorders>
            <w:vAlign w:val="center"/>
          </w:tcPr>
          <w:p w14:paraId="4B6B28CA" w14:textId="77777777" w:rsidR="009C6F84" w:rsidRPr="00B6056E" w:rsidRDefault="009C6F84" w:rsidP="00366F04">
            <w:pPr>
              <w:spacing w:before="30" w:after="30" w:line="240" w:lineRule="auto"/>
              <w:ind w:hanging="284"/>
              <w:jc w:val="center"/>
              <w:rPr>
                <w:rFonts w:ascii="Arial" w:hAnsi="Arial"/>
                <w:b/>
                <w:color w:val="000000"/>
                <w:sz w:val="16"/>
                <w:szCs w:val="16"/>
              </w:rPr>
            </w:pPr>
          </w:p>
        </w:tc>
        <w:tc>
          <w:tcPr>
            <w:tcW w:w="534" w:type="dxa"/>
            <w:tcBorders>
              <w:bottom w:val="single" w:sz="4" w:space="0" w:color="auto"/>
            </w:tcBorders>
            <w:vAlign w:val="center"/>
          </w:tcPr>
          <w:p w14:paraId="6908AEDD" w14:textId="77777777" w:rsidR="009C6F84" w:rsidRPr="00B6056E" w:rsidRDefault="009C6F84" w:rsidP="00366F04">
            <w:pPr>
              <w:spacing w:before="30" w:after="30" w:line="240" w:lineRule="auto"/>
              <w:ind w:hanging="284"/>
              <w:jc w:val="center"/>
              <w:rPr>
                <w:rFonts w:ascii="Arial" w:hAnsi="Arial"/>
                <w:b/>
                <w:color w:val="000000"/>
                <w:sz w:val="16"/>
                <w:szCs w:val="16"/>
              </w:rPr>
            </w:pPr>
          </w:p>
        </w:tc>
      </w:tr>
      <w:tr w:rsidR="009C6F84" w:rsidRPr="00B6056E" w14:paraId="566C96A1" w14:textId="77777777" w:rsidTr="00366F04">
        <w:trPr>
          <w:jc w:val="center"/>
        </w:trPr>
        <w:tc>
          <w:tcPr>
            <w:tcW w:w="262" w:type="dxa"/>
            <w:tcBorders>
              <w:right w:val="nil"/>
            </w:tcBorders>
          </w:tcPr>
          <w:p w14:paraId="01AA1E7B"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765FFC65"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fruit &amp; veg</w:t>
            </w:r>
          </w:p>
        </w:tc>
        <w:tc>
          <w:tcPr>
            <w:tcW w:w="533" w:type="dxa"/>
            <w:vAlign w:val="center"/>
          </w:tcPr>
          <w:p w14:paraId="5B6292DF"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6FA954D8"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went without fresh fruit and vegetables</w:t>
            </w:r>
          </w:p>
        </w:tc>
        <w:tc>
          <w:tcPr>
            <w:tcW w:w="534" w:type="dxa"/>
            <w:vAlign w:val="center"/>
          </w:tcPr>
          <w:p w14:paraId="4E28C88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c>
          <w:tcPr>
            <w:tcW w:w="534" w:type="dxa"/>
            <w:vAlign w:val="center"/>
          </w:tcPr>
          <w:p w14:paraId="0DA17F72"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4</w:t>
            </w:r>
          </w:p>
        </w:tc>
        <w:tc>
          <w:tcPr>
            <w:tcW w:w="534" w:type="dxa"/>
            <w:vAlign w:val="center"/>
          </w:tcPr>
          <w:p w14:paraId="07A2E5D3"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5</w:t>
            </w:r>
          </w:p>
        </w:tc>
        <w:tc>
          <w:tcPr>
            <w:tcW w:w="534" w:type="dxa"/>
            <w:vAlign w:val="center"/>
          </w:tcPr>
          <w:p w14:paraId="0F5785F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8</w:t>
            </w:r>
          </w:p>
        </w:tc>
        <w:tc>
          <w:tcPr>
            <w:tcW w:w="534" w:type="dxa"/>
            <w:vAlign w:val="center"/>
          </w:tcPr>
          <w:p w14:paraId="2BBB95BF"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8</w:t>
            </w:r>
          </w:p>
        </w:tc>
      </w:tr>
      <w:tr w:rsidR="009C6F84" w:rsidRPr="00B6056E" w14:paraId="21A49912" w14:textId="77777777" w:rsidTr="00366F04">
        <w:trPr>
          <w:jc w:val="center"/>
        </w:trPr>
        <w:tc>
          <w:tcPr>
            <w:tcW w:w="262" w:type="dxa"/>
            <w:tcBorders>
              <w:right w:val="nil"/>
            </w:tcBorders>
          </w:tcPr>
          <w:p w14:paraId="1EDB7AF4"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65089BA9"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 xml:space="preserve">meat </w:t>
            </w:r>
          </w:p>
        </w:tc>
        <w:tc>
          <w:tcPr>
            <w:tcW w:w="533" w:type="dxa"/>
            <w:vAlign w:val="center"/>
          </w:tcPr>
          <w:p w14:paraId="16488501"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77232C56"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bought cheaper cuts of meat or bought less than wanted</w:t>
            </w:r>
          </w:p>
        </w:tc>
        <w:tc>
          <w:tcPr>
            <w:tcW w:w="534" w:type="dxa"/>
            <w:vAlign w:val="center"/>
          </w:tcPr>
          <w:p w14:paraId="1B68C932"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15</w:t>
            </w:r>
          </w:p>
        </w:tc>
        <w:tc>
          <w:tcPr>
            <w:tcW w:w="534" w:type="dxa"/>
            <w:vAlign w:val="center"/>
          </w:tcPr>
          <w:p w14:paraId="1DFB30A6"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13</w:t>
            </w:r>
          </w:p>
        </w:tc>
        <w:tc>
          <w:tcPr>
            <w:tcW w:w="534" w:type="dxa"/>
            <w:vAlign w:val="center"/>
          </w:tcPr>
          <w:p w14:paraId="48860D9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15</w:t>
            </w:r>
          </w:p>
        </w:tc>
        <w:tc>
          <w:tcPr>
            <w:tcW w:w="534" w:type="dxa"/>
            <w:vAlign w:val="center"/>
          </w:tcPr>
          <w:p w14:paraId="59C47063"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21</w:t>
            </w:r>
          </w:p>
        </w:tc>
        <w:tc>
          <w:tcPr>
            <w:tcW w:w="534" w:type="dxa"/>
            <w:vAlign w:val="center"/>
          </w:tcPr>
          <w:p w14:paraId="60185C9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19</w:t>
            </w:r>
          </w:p>
        </w:tc>
      </w:tr>
      <w:tr w:rsidR="009C6F84" w:rsidRPr="00B6056E" w14:paraId="132BC7C3" w14:textId="77777777" w:rsidTr="00366F04">
        <w:trPr>
          <w:jc w:val="center"/>
        </w:trPr>
        <w:tc>
          <w:tcPr>
            <w:tcW w:w="262" w:type="dxa"/>
            <w:tcBorders>
              <w:right w:val="nil"/>
            </w:tcBorders>
          </w:tcPr>
          <w:p w14:paraId="42911251"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527891E7"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heating</w:t>
            </w:r>
          </w:p>
        </w:tc>
        <w:tc>
          <w:tcPr>
            <w:tcW w:w="533" w:type="dxa"/>
            <w:vAlign w:val="center"/>
          </w:tcPr>
          <w:p w14:paraId="76823B02"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R/H</w:t>
            </w:r>
          </w:p>
        </w:tc>
        <w:tc>
          <w:tcPr>
            <w:tcW w:w="4255" w:type="dxa"/>
            <w:vAlign w:val="center"/>
          </w:tcPr>
          <w:p w14:paraId="7D1EB1BC"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put up with feeling cold to save on heating costs</w:t>
            </w:r>
          </w:p>
        </w:tc>
        <w:tc>
          <w:tcPr>
            <w:tcW w:w="534" w:type="dxa"/>
            <w:vAlign w:val="center"/>
          </w:tcPr>
          <w:p w14:paraId="1D957CCC"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8</w:t>
            </w:r>
          </w:p>
        </w:tc>
        <w:tc>
          <w:tcPr>
            <w:tcW w:w="534" w:type="dxa"/>
            <w:vAlign w:val="center"/>
          </w:tcPr>
          <w:p w14:paraId="0AE16F8F"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6</w:t>
            </w:r>
          </w:p>
        </w:tc>
        <w:tc>
          <w:tcPr>
            <w:tcW w:w="534" w:type="dxa"/>
            <w:vAlign w:val="center"/>
          </w:tcPr>
          <w:p w14:paraId="05818570"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7</w:t>
            </w:r>
          </w:p>
        </w:tc>
        <w:tc>
          <w:tcPr>
            <w:tcW w:w="534" w:type="dxa"/>
            <w:vAlign w:val="center"/>
          </w:tcPr>
          <w:p w14:paraId="54E8CDE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7</w:t>
            </w:r>
          </w:p>
        </w:tc>
        <w:tc>
          <w:tcPr>
            <w:tcW w:w="534" w:type="dxa"/>
            <w:vAlign w:val="center"/>
          </w:tcPr>
          <w:p w14:paraId="023054A4"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6</w:t>
            </w:r>
          </w:p>
        </w:tc>
      </w:tr>
      <w:tr w:rsidR="009C6F84" w:rsidRPr="00B6056E" w14:paraId="583C253E" w14:textId="77777777" w:rsidTr="00366F04">
        <w:trPr>
          <w:jc w:val="center"/>
        </w:trPr>
        <w:tc>
          <w:tcPr>
            <w:tcW w:w="262" w:type="dxa"/>
            <w:tcBorders>
              <w:right w:val="nil"/>
            </w:tcBorders>
          </w:tcPr>
          <w:p w14:paraId="119B2F74"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097834AF"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doctor</w:t>
            </w:r>
          </w:p>
        </w:tc>
        <w:tc>
          <w:tcPr>
            <w:tcW w:w="533" w:type="dxa"/>
            <w:vAlign w:val="center"/>
          </w:tcPr>
          <w:p w14:paraId="6389D23F"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3953AF53"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postponed visits to the doctor</w:t>
            </w:r>
          </w:p>
        </w:tc>
        <w:tc>
          <w:tcPr>
            <w:tcW w:w="534" w:type="dxa"/>
            <w:vAlign w:val="center"/>
          </w:tcPr>
          <w:p w14:paraId="5A79E75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c>
          <w:tcPr>
            <w:tcW w:w="534" w:type="dxa"/>
            <w:vAlign w:val="center"/>
          </w:tcPr>
          <w:p w14:paraId="11AC7C1A"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c>
          <w:tcPr>
            <w:tcW w:w="534" w:type="dxa"/>
            <w:vAlign w:val="center"/>
          </w:tcPr>
          <w:p w14:paraId="2121AB3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c>
          <w:tcPr>
            <w:tcW w:w="534" w:type="dxa"/>
            <w:vAlign w:val="center"/>
          </w:tcPr>
          <w:p w14:paraId="23B2388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10</w:t>
            </w:r>
          </w:p>
        </w:tc>
        <w:tc>
          <w:tcPr>
            <w:tcW w:w="534" w:type="dxa"/>
            <w:vAlign w:val="center"/>
          </w:tcPr>
          <w:p w14:paraId="073004FD"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10</w:t>
            </w:r>
          </w:p>
        </w:tc>
      </w:tr>
      <w:tr w:rsidR="009C6F84" w:rsidRPr="00B6056E" w14:paraId="2BFCF1F6" w14:textId="77777777" w:rsidTr="00366F04">
        <w:trPr>
          <w:jc w:val="center"/>
        </w:trPr>
        <w:tc>
          <w:tcPr>
            <w:tcW w:w="262" w:type="dxa"/>
            <w:tcBorders>
              <w:right w:val="nil"/>
            </w:tcBorders>
          </w:tcPr>
          <w:p w14:paraId="166D925E"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0494E7A2"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dentist</w:t>
            </w:r>
          </w:p>
        </w:tc>
        <w:tc>
          <w:tcPr>
            <w:tcW w:w="533" w:type="dxa"/>
            <w:vAlign w:val="center"/>
          </w:tcPr>
          <w:p w14:paraId="5F86F044"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56BC464E"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postponed visits to the dentist</w:t>
            </w:r>
          </w:p>
        </w:tc>
        <w:tc>
          <w:tcPr>
            <w:tcW w:w="534" w:type="dxa"/>
            <w:vAlign w:val="center"/>
          </w:tcPr>
          <w:p w14:paraId="0FE203DE"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29</w:t>
            </w:r>
          </w:p>
        </w:tc>
        <w:tc>
          <w:tcPr>
            <w:tcW w:w="534" w:type="dxa"/>
            <w:vAlign w:val="center"/>
          </w:tcPr>
          <w:p w14:paraId="6CBB13D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27</w:t>
            </w:r>
          </w:p>
        </w:tc>
        <w:tc>
          <w:tcPr>
            <w:tcW w:w="534" w:type="dxa"/>
            <w:vAlign w:val="center"/>
          </w:tcPr>
          <w:p w14:paraId="5FF52826"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25</w:t>
            </w:r>
          </w:p>
        </w:tc>
        <w:tc>
          <w:tcPr>
            <w:tcW w:w="534" w:type="dxa"/>
            <w:vAlign w:val="center"/>
          </w:tcPr>
          <w:p w14:paraId="5B121C2F"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28</w:t>
            </w:r>
          </w:p>
        </w:tc>
        <w:tc>
          <w:tcPr>
            <w:tcW w:w="534" w:type="dxa"/>
            <w:vAlign w:val="center"/>
          </w:tcPr>
          <w:p w14:paraId="60D023DE"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31</w:t>
            </w:r>
          </w:p>
        </w:tc>
      </w:tr>
      <w:tr w:rsidR="009C6F84" w:rsidRPr="00B6056E" w14:paraId="7BD2E36B" w14:textId="77777777" w:rsidTr="00366F04">
        <w:trPr>
          <w:jc w:val="center"/>
        </w:trPr>
        <w:tc>
          <w:tcPr>
            <w:tcW w:w="262" w:type="dxa"/>
            <w:tcBorders>
              <w:right w:val="nil"/>
            </w:tcBorders>
          </w:tcPr>
          <w:p w14:paraId="21DB3CF1"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72BDA378"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local trips</w:t>
            </w:r>
          </w:p>
        </w:tc>
        <w:tc>
          <w:tcPr>
            <w:tcW w:w="533" w:type="dxa"/>
            <w:vAlign w:val="center"/>
          </w:tcPr>
          <w:p w14:paraId="70351C17"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R/H</w:t>
            </w:r>
          </w:p>
        </w:tc>
        <w:tc>
          <w:tcPr>
            <w:tcW w:w="4255" w:type="dxa"/>
            <w:vAlign w:val="center"/>
          </w:tcPr>
          <w:p w14:paraId="408394F8"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did without or cut back on trips to the shops or other local places</w:t>
            </w:r>
          </w:p>
        </w:tc>
        <w:tc>
          <w:tcPr>
            <w:tcW w:w="534" w:type="dxa"/>
            <w:vAlign w:val="center"/>
          </w:tcPr>
          <w:p w14:paraId="12F6B641"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14</w:t>
            </w:r>
          </w:p>
        </w:tc>
        <w:tc>
          <w:tcPr>
            <w:tcW w:w="534" w:type="dxa"/>
            <w:vAlign w:val="center"/>
          </w:tcPr>
          <w:p w14:paraId="1DBA8C0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11</w:t>
            </w:r>
          </w:p>
        </w:tc>
        <w:tc>
          <w:tcPr>
            <w:tcW w:w="534" w:type="dxa"/>
            <w:vAlign w:val="center"/>
          </w:tcPr>
          <w:p w14:paraId="189A5C5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14</w:t>
            </w:r>
          </w:p>
        </w:tc>
        <w:tc>
          <w:tcPr>
            <w:tcW w:w="534" w:type="dxa"/>
            <w:vAlign w:val="center"/>
          </w:tcPr>
          <w:p w14:paraId="74D4EB6A"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16</w:t>
            </w:r>
          </w:p>
        </w:tc>
        <w:tc>
          <w:tcPr>
            <w:tcW w:w="534" w:type="dxa"/>
            <w:vAlign w:val="center"/>
          </w:tcPr>
          <w:p w14:paraId="275826BD"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17</w:t>
            </w:r>
          </w:p>
        </w:tc>
      </w:tr>
      <w:tr w:rsidR="009C6F84" w:rsidRPr="00B6056E" w14:paraId="2CE63F0B" w14:textId="77777777" w:rsidTr="00366F04">
        <w:trPr>
          <w:jc w:val="center"/>
        </w:trPr>
        <w:tc>
          <w:tcPr>
            <w:tcW w:w="262" w:type="dxa"/>
            <w:tcBorders>
              <w:right w:val="nil"/>
            </w:tcBorders>
          </w:tcPr>
          <w:p w14:paraId="646B7A01"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0A345534"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appliances</w:t>
            </w:r>
          </w:p>
        </w:tc>
        <w:tc>
          <w:tcPr>
            <w:tcW w:w="533" w:type="dxa"/>
            <w:vAlign w:val="center"/>
          </w:tcPr>
          <w:p w14:paraId="14B56164"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0D660755"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delayed repairing or replacing broken or damaged appliances</w:t>
            </w:r>
          </w:p>
        </w:tc>
        <w:tc>
          <w:tcPr>
            <w:tcW w:w="534" w:type="dxa"/>
            <w:vAlign w:val="center"/>
          </w:tcPr>
          <w:p w14:paraId="1E33FEB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11</w:t>
            </w:r>
          </w:p>
        </w:tc>
        <w:tc>
          <w:tcPr>
            <w:tcW w:w="534" w:type="dxa"/>
            <w:vAlign w:val="center"/>
          </w:tcPr>
          <w:p w14:paraId="4BBFFDE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10</w:t>
            </w:r>
          </w:p>
        </w:tc>
        <w:tc>
          <w:tcPr>
            <w:tcW w:w="534" w:type="dxa"/>
            <w:vAlign w:val="center"/>
          </w:tcPr>
          <w:p w14:paraId="1F7CB36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10</w:t>
            </w:r>
          </w:p>
        </w:tc>
        <w:tc>
          <w:tcPr>
            <w:tcW w:w="534" w:type="dxa"/>
            <w:vAlign w:val="center"/>
          </w:tcPr>
          <w:p w14:paraId="0DFB5581"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12</w:t>
            </w:r>
          </w:p>
        </w:tc>
        <w:tc>
          <w:tcPr>
            <w:tcW w:w="534" w:type="dxa"/>
            <w:vAlign w:val="center"/>
          </w:tcPr>
          <w:p w14:paraId="7E0BFC9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12</w:t>
            </w:r>
          </w:p>
        </w:tc>
      </w:tr>
      <w:tr w:rsidR="009C6F84" w:rsidRPr="00B6056E" w14:paraId="59005E56" w14:textId="77777777" w:rsidTr="00366F04">
        <w:trPr>
          <w:jc w:val="center"/>
        </w:trPr>
        <w:tc>
          <w:tcPr>
            <w:tcW w:w="6114" w:type="dxa"/>
            <w:gridSpan w:val="4"/>
          </w:tcPr>
          <w:p w14:paraId="180D4B29" w14:textId="77777777" w:rsidR="009C6F84" w:rsidRPr="00B6056E" w:rsidRDefault="009C6F84" w:rsidP="00366F04">
            <w:pPr>
              <w:spacing w:before="30" w:after="30" w:line="240" w:lineRule="auto"/>
              <w:rPr>
                <w:rFonts w:ascii="Arial" w:hAnsi="Arial"/>
                <w:color w:val="000000"/>
                <w:sz w:val="14"/>
                <w:szCs w:val="14"/>
              </w:rPr>
            </w:pPr>
            <w:r w:rsidRPr="00B6056E">
              <w:rPr>
                <w:rFonts w:ascii="Arial" w:hAnsi="Arial"/>
                <w:b/>
                <w:color w:val="000000"/>
                <w:sz w:val="16"/>
                <w:szCs w:val="16"/>
              </w:rPr>
              <w:t xml:space="preserve">  </w:t>
            </w:r>
            <w:r w:rsidRPr="00B6056E">
              <w:rPr>
                <w:rFonts w:ascii="Arial" w:hAnsi="Arial"/>
                <w:b/>
                <w:color w:val="000000"/>
                <w:sz w:val="14"/>
                <w:szCs w:val="14"/>
              </w:rPr>
              <w:t xml:space="preserve">In arrears more than once in last 12 months </w:t>
            </w:r>
            <w:r w:rsidRPr="00B6056E">
              <w:rPr>
                <w:rFonts w:ascii="Arial" w:hAnsi="Arial"/>
                <w:bCs/>
                <w:color w:val="000000"/>
                <w:sz w:val="14"/>
                <w:szCs w:val="14"/>
              </w:rPr>
              <w:t>(because of shortage of cash at the time, not through forgetting)</w:t>
            </w:r>
            <w:r w:rsidRPr="00B6056E">
              <w:rPr>
                <w:rFonts w:ascii="Arial Mäori" w:hAnsi="Arial Mäori"/>
                <w:color w:val="000000"/>
                <w:sz w:val="14"/>
                <w:szCs w:val="14"/>
              </w:rPr>
              <w:t> </w:t>
            </w:r>
          </w:p>
        </w:tc>
        <w:tc>
          <w:tcPr>
            <w:tcW w:w="534" w:type="dxa"/>
          </w:tcPr>
          <w:p w14:paraId="51092648"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tcPr>
          <w:p w14:paraId="670E6F72"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tcPr>
          <w:p w14:paraId="2FD659B5"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vAlign w:val="center"/>
          </w:tcPr>
          <w:p w14:paraId="4D3C40CE"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vAlign w:val="center"/>
          </w:tcPr>
          <w:p w14:paraId="1B8F06B0" w14:textId="77777777" w:rsidR="009C6F84" w:rsidRPr="00B6056E" w:rsidRDefault="009C6F84" w:rsidP="00366F04">
            <w:pPr>
              <w:spacing w:before="30" w:after="30" w:line="240" w:lineRule="auto"/>
              <w:jc w:val="center"/>
              <w:rPr>
                <w:rFonts w:ascii="Arial" w:hAnsi="Arial"/>
                <w:b/>
                <w:color w:val="000000"/>
                <w:sz w:val="16"/>
                <w:szCs w:val="16"/>
              </w:rPr>
            </w:pPr>
          </w:p>
        </w:tc>
      </w:tr>
      <w:tr w:rsidR="009C6F84" w:rsidRPr="00B6056E" w14:paraId="1F419E9C" w14:textId="77777777" w:rsidTr="00366F04">
        <w:trPr>
          <w:jc w:val="center"/>
        </w:trPr>
        <w:tc>
          <w:tcPr>
            <w:tcW w:w="262" w:type="dxa"/>
            <w:tcBorders>
              <w:right w:val="nil"/>
            </w:tcBorders>
          </w:tcPr>
          <w:p w14:paraId="7E2FDF42"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0D94D4E6"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utilities</w:t>
            </w:r>
          </w:p>
        </w:tc>
        <w:tc>
          <w:tcPr>
            <w:tcW w:w="533" w:type="dxa"/>
            <w:vAlign w:val="center"/>
          </w:tcPr>
          <w:p w14:paraId="21B84104"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34A2F88A"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rates, electricity, water</w:t>
            </w:r>
          </w:p>
        </w:tc>
        <w:tc>
          <w:tcPr>
            <w:tcW w:w="534" w:type="dxa"/>
            <w:vAlign w:val="center"/>
          </w:tcPr>
          <w:p w14:paraId="6B25A7E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c>
          <w:tcPr>
            <w:tcW w:w="534" w:type="dxa"/>
            <w:vAlign w:val="center"/>
          </w:tcPr>
          <w:p w14:paraId="1EA7976C"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c>
          <w:tcPr>
            <w:tcW w:w="534" w:type="dxa"/>
            <w:vAlign w:val="center"/>
          </w:tcPr>
          <w:p w14:paraId="1E68D4CA"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c>
          <w:tcPr>
            <w:tcW w:w="534" w:type="dxa"/>
            <w:vAlign w:val="center"/>
          </w:tcPr>
          <w:p w14:paraId="36B818F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10</w:t>
            </w:r>
          </w:p>
        </w:tc>
        <w:tc>
          <w:tcPr>
            <w:tcW w:w="534" w:type="dxa"/>
            <w:vAlign w:val="center"/>
          </w:tcPr>
          <w:p w14:paraId="4FA2451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11</w:t>
            </w:r>
          </w:p>
        </w:tc>
      </w:tr>
      <w:tr w:rsidR="009C6F84" w:rsidRPr="00B6056E" w14:paraId="02545814" w14:textId="77777777" w:rsidTr="00366F04">
        <w:trPr>
          <w:jc w:val="center"/>
        </w:trPr>
        <w:tc>
          <w:tcPr>
            <w:tcW w:w="262" w:type="dxa"/>
            <w:tcBorders>
              <w:right w:val="nil"/>
            </w:tcBorders>
          </w:tcPr>
          <w:p w14:paraId="336E87EF"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3261BDAF"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vehicle exp</w:t>
            </w:r>
          </w:p>
        </w:tc>
        <w:tc>
          <w:tcPr>
            <w:tcW w:w="533" w:type="dxa"/>
            <w:vAlign w:val="center"/>
          </w:tcPr>
          <w:p w14:paraId="6AB69E97"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7AEEF3A6"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vehicle registration, insurance or warrant of fitness</w:t>
            </w:r>
          </w:p>
        </w:tc>
        <w:tc>
          <w:tcPr>
            <w:tcW w:w="534" w:type="dxa"/>
            <w:vAlign w:val="center"/>
          </w:tcPr>
          <w:p w14:paraId="3C061D9E"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8</w:t>
            </w:r>
          </w:p>
        </w:tc>
        <w:tc>
          <w:tcPr>
            <w:tcW w:w="534" w:type="dxa"/>
            <w:vAlign w:val="center"/>
          </w:tcPr>
          <w:p w14:paraId="51AB090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7</w:t>
            </w:r>
          </w:p>
        </w:tc>
        <w:tc>
          <w:tcPr>
            <w:tcW w:w="534" w:type="dxa"/>
            <w:vAlign w:val="center"/>
          </w:tcPr>
          <w:p w14:paraId="2986D240"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8</w:t>
            </w:r>
          </w:p>
        </w:tc>
        <w:tc>
          <w:tcPr>
            <w:tcW w:w="534" w:type="dxa"/>
            <w:vAlign w:val="center"/>
          </w:tcPr>
          <w:p w14:paraId="343CA044"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8</w:t>
            </w:r>
          </w:p>
        </w:tc>
        <w:tc>
          <w:tcPr>
            <w:tcW w:w="534" w:type="dxa"/>
            <w:vAlign w:val="center"/>
          </w:tcPr>
          <w:p w14:paraId="14DD2154"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9</w:t>
            </w:r>
          </w:p>
        </w:tc>
      </w:tr>
      <w:tr w:rsidR="009C6F84" w:rsidRPr="00B6056E" w14:paraId="069AAAFF" w14:textId="77777777" w:rsidTr="00366F04">
        <w:trPr>
          <w:jc w:val="center"/>
        </w:trPr>
        <w:tc>
          <w:tcPr>
            <w:tcW w:w="6114" w:type="dxa"/>
            <w:gridSpan w:val="4"/>
          </w:tcPr>
          <w:p w14:paraId="78C3B275" w14:textId="77777777" w:rsidR="009C6F84" w:rsidRPr="00B6056E" w:rsidRDefault="009C6F84" w:rsidP="00366F04">
            <w:pPr>
              <w:spacing w:before="30" w:after="30" w:line="240" w:lineRule="auto"/>
              <w:rPr>
                <w:rFonts w:ascii="Arial" w:hAnsi="Arial"/>
                <w:color w:val="000000"/>
                <w:sz w:val="14"/>
                <w:szCs w:val="14"/>
              </w:rPr>
            </w:pPr>
            <w:r w:rsidRPr="00B6056E">
              <w:rPr>
                <w:rFonts w:ascii="Arial" w:hAnsi="Arial"/>
                <w:b/>
                <w:color w:val="000000"/>
                <w:sz w:val="16"/>
                <w:szCs w:val="16"/>
              </w:rPr>
              <w:t xml:space="preserve">  </w:t>
            </w:r>
            <w:r w:rsidRPr="00B6056E">
              <w:rPr>
                <w:rFonts w:ascii="Arial" w:hAnsi="Arial"/>
                <w:b/>
                <w:color w:val="000000"/>
                <w:sz w:val="14"/>
                <w:szCs w:val="14"/>
              </w:rPr>
              <w:t>Financial stress and vulnerability</w:t>
            </w:r>
            <w:r w:rsidRPr="00B6056E">
              <w:rPr>
                <w:rFonts w:ascii="Arial Mäori" w:hAnsi="Arial Mäori"/>
                <w:color w:val="000000"/>
                <w:sz w:val="14"/>
                <w:szCs w:val="14"/>
              </w:rPr>
              <w:t> </w:t>
            </w:r>
          </w:p>
        </w:tc>
        <w:tc>
          <w:tcPr>
            <w:tcW w:w="534" w:type="dxa"/>
          </w:tcPr>
          <w:p w14:paraId="06A21F62"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tcPr>
          <w:p w14:paraId="149A93CC"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tcPr>
          <w:p w14:paraId="0924BE7F"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vAlign w:val="center"/>
          </w:tcPr>
          <w:p w14:paraId="61ACC941" w14:textId="77777777" w:rsidR="009C6F84" w:rsidRPr="00B6056E" w:rsidRDefault="009C6F84" w:rsidP="00366F04">
            <w:pPr>
              <w:spacing w:before="30" w:after="30" w:line="240" w:lineRule="auto"/>
              <w:jc w:val="center"/>
              <w:rPr>
                <w:rFonts w:ascii="Arial" w:hAnsi="Arial"/>
                <w:b/>
                <w:color w:val="000000"/>
                <w:sz w:val="16"/>
                <w:szCs w:val="16"/>
              </w:rPr>
            </w:pPr>
          </w:p>
        </w:tc>
        <w:tc>
          <w:tcPr>
            <w:tcW w:w="534" w:type="dxa"/>
            <w:vAlign w:val="center"/>
          </w:tcPr>
          <w:p w14:paraId="3CB1A884" w14:textId="77777777" w:rsidR="009C6F84" w:rsidRPr="00B6056E" w:rsidRDefault="009C6F84" w:rsidP="00366F04">
            <w:pPr>
              <w:spacing w:before="30" w:after="30" w:line="240" w:lineRule="auto"/>
              <w:jc w:val="center"/>
              <w:rPr>
                <w:rFonts w:ascii="Arial" w:hAnsi="Arial"/>
                <w:b/>
                <w:color w:val="000000"/>
                <w:sz w:val="16"/>
                <w:szCs w:val="16"/>
              </w:rPr>
            </w:pPr>
          </w:p>
        </w:tc>
      </w:tr>
      <w:tr w:rsidR="009C6F84" w:rsidRPr="00B6056E" w14:paraId="13A47D9A" w14:textId="77777777" w:rsidTr="00366F04">
        <w:trPr>
          <w:jc w:val="center"/>
        </w:trPr>
        <w:tc>
          <w:tcPr>
            <w:tcW w:w="262" w:type="dxa"/>
            <w:tcBorders>
              <w:right w:val="nil"/>
            </w:tcBorders>
          </w:tcPr>
          <w:p w14:paraId="769EA059"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3E7A5A83"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borrowed</w:t>
            </w:r>
          </w:p>
        </w:tc>
        <w:tc>
          <w:tcPr>
            <w:tcW w:w="533" w:type="dxa"/>
            <w:vAlign w:val="center"/>
          </w:tcPr>
          <w:p w14:paraId="76EF27E2"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4FD9F034"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borrowed from family or friends ‘more than once’ in the last 12 months to cover everyday living costs</w:t>
            </w:r>
          </w:p>
        </w:tc>
        <w:tc>
          <w:tcPr>
            <w:tcW w:w="534" w:type="dxa"/>
            <w:vAlign w:val="center"/>
          </w:tcPr>
          <w:p w14:paraId="76E0D254"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11</w:t>
            </w:r>
          </w:p>
        </w:tc>
        <w:tc>
          <w:tcPr>
            <w:tcW w:w="534" w:type="dxa"/>
            <w:vAlign w:val="center"/>
          </w:tcPr>
          <w:p w14:paraId="29F1DFBF"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11</w:t>
            </w:r>
          </w:p>
        </w:tc>
        <w:tc>
          <w:tcPr>
            <w:tcW w:w="534" w:type="dxa"/>
            <w:vAlign w:val="center"/>
          </w:tcPr>
          <w:p w14:paraId="3F216659"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12</w:t>
            </w:r>
          </w:p>
        </w:tc>
        <w:tc>
          <w:tcPr>
            <w:tcW w:w="534" w:type="dxa"/>
            <w:vAlign w:val="center"/>
          </w:tcPr>
          <w:p w14:paraId="7F603480"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12</w:t>
            </w:r>
          </w:p>
        </w:tc>
        <w:tc>
          <w:tcPr>
            <w:tcW w:w="534" w:type="dxa"/>
            <w:vAlign w:val="center"/>
          </w:tcPr>
          <w:p w14:paraId="28CB2057"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12</w:t>
            </w:r>
          </w:p>
        </w:tc>
      </w:tr>
      <w:tr w:rsidR="009C6F84" w:rsidRPr="00B6056E" w14:paraId="74538F05" w14:textId="77777777" w:rsidTr="00366F04">
        <w:trPr>
          <w:jc w:val="center"/>
        </w:trPr>
        <w:tc>
          <w:tcPr>
            <w:tcW w:w="262" w:type="dxa"/>
            <w:tcBorders>
              <w:right w:val="nil"/>
            </w:tcBorders>
          </w:tcPr>
          <w:p w14:paraId="2873482D"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69A4A7E8"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‘very limited’</w:t>
            </w:r>
          </w:p>
        </w:tc>
        <w:tc>
          <w:tcPr>
            <w:tcW w:w="533" w:type="dxa"/>
            <w:vAlign w:val="center"/>
          </w:tcPr>
          <w:p w14:paraId="6CCA6D02"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R</w:t>
            </w:r>
          </w:p>
        </w:tc>
        <w:tc>
          <w:tcPr>
            <w:tcW w:w="4255" w:type="dxa"/>
            <w:vAlign w:val="center"/>
          </w:tcPr>
          <w:p w14:paraId="2CC4DDFD"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feel ‘very limited’ by the money available when thinking about purchase of clothes or shoes for self (options were: not at all, a little, quite limited, and very limited)</w:t>
            </w:r>
          </w:p>
        </w:tc>
        <w:tc>
          <w:tcPr>
            <w:tcW w:w="534" w:type="dxa"/>
            <w:vAlign w:val="center"/>
          </w:tcPr>
          <w:p w14:paraId="1784FAE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16</w:t>
            </w:r>
          </w:p>
        </w:tc>
        <w:tc>
          <w:tcPr>
            <w:tcW w:w="534" w:type="dxa"/>
            <w:vAlign w:val="center"/>
          </w:tcPr>
          <w:p w14:paraId="639AD233"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16</w:t>
            </w:r>
          </w:p>
        </w:tc>
        <w:tc>
          <w:tcPr>
            <w:tcW w:w="534" w:type="dxa"/>
            <w:vAlign w:val="center"/>
          </w:tcPr>
          <w:p w14:paraId="457EDDA5"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16</w:t>
            </w:r>
          </w:p>
        </w:tc>
        <w:tc>
          <w:tcPr>
            <w:tcW w:w="534" w:type="dxa"/>
            <w:vAlign w:val="center"/>
          </w:tcPr>
          <w:p w14:paraId="2F09EB1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19</w:t>
            </w:r>
          </w:p>
        </w:tc>
        <w:tc>
          <w:tcPr>
            <w:tcW w:w="534" w:type="dxa"/>
            <w:vAlign w:val="center"/>
          </w:tcPr>
          <w:p w14:paraId="2A8CBDA1"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19</w:t>
            </w:r>
          </w:p>
        </w:tc>
      </w:tr>
      <w:tr w:rsidR="009C6F84" w:rsidRPr="00B6056E" w14:paraId="194E29B9" w14:textId="77777777" w:rsidTr="00366F04">
        <w:trPr>
          <w:jc w:val="center"/>
        </w:trPr>
        <w:tc>
          <w:tcPr>
            <w:tcW w:w="262" w:type="dxa"/>
            <w:tcBorders>
              <w:right w:val="nil"/>
            </w:tcBorders>
          </w:tcPr>
          <w:p w14:paraId="44A2A23C" w14:textId="77777777" w:rsidR="009C6F84" w:rsidRPr="00B6056E" w:rsidRDefault="009C6F84" w:rsidP="00366F04">
            <w:pPr>
              <w:spacing w:before="30" w:after="30" w:line="240" w:lineRule="auto"/>
              <w:jc w:val="center"/>
              <w:rPr>
                <w:rFonts w:ascii="Arial" w:hAnsi="Arial"/>
                <w:color w:val="000000"/>
                <w:sz w:val="14"/>
                <w:szCs w:val="14"/>
              </w:rPr>
            </w:pPr>
          </w:p>
        </w:tc>
        <w:tc>
          <w:tcPr>
            <w:tcW w:w="1064" w:type="dxa"/>
            <w:tcBorders>
              <w:left w:val="nil"/>
            </w:tcBorders>
            <w:vAlign w:val="center"/>
          </w:tcPr>
          <w:p w14:paraId="2E36B589" w14:textId="77777777" w:rsidR="009C6F84" w:rsidRPr="00B6056E" w:rsidRDefault="009C6F84" w:rsidP="00366F04">
            <w:pPr>
              <w:spacing w:before="30" w:after="30" w:line="240" w:lineRule="auto"/>
              <w:rPr>
                <w:rFonts w:ascii="Arial" w:hAnsi="Arial"/>
                <w:color w:val="000000"/>
                <w:sz w:val="14"/>
                <w:szCs w:val="16"/>
              </w:rPr>
            </w:pPr>
            <w:r w:rsidRPr="00B6056E">
              <w:rPr>
                <w:rFonts w:ascii="Arial" w:hAnsi="Arial"/>
                <w:color w:val="000000"/>
                <w:sz w:val="14"/>
                <w:szCs w:val="14"/>
              </w:rPr>
              <w:t>$500 bill</w:t>
            </w:r>
          </w:p>
        </w:tc>
        <w:tc>
          <w:tcPr>
            <w:tcW w:w="533" w:type="dxa"/>
            <w:vAlign w:val="center"/>
          </w:tcPr>
          <w:p w14:paraId="03DF052A" w14:textId="77777777" w:rsidR="009C6F84" w:rsidRPr="00B6056E" w:rsidRDefault="009C6F84" w:rsidP="00366F04">
            <w:pPr>
              <w:spacing w:before="30" w:after="30" w:line="240" w:lineRule="auto"/>
              <w:jc w:val="center"/>
              <w:rPr>
                <w:rFonts w:ascii="Arial" w:hAnsi="Arial"/>
                <w:color w:val="000000"/>
                <w:sz w:val="14"/>
                <w:szCs w:val="16"/>
              </w:rPr>
            </w:pPr>
            <w:r w:rsidRPr="00B6056E">
              <w:rPr>
                <w:rFonts w:ascii="Arial" w:hAnsi="Arial"/>
                <w:color w:val="000000"/>
                <w:sz w:val="14"/>
                <w:szCs w:val="16"/>
              </w:rPr>
              <w:t>H</w:t>
            </w:r>
          </w:p>
        </w:tc>
        <w:tc>
          <w:tcPr>
            <w:tcW w:w="4255" w:type="dxa"/>
            <w:vAlign w:val="center"/>
          </w:tcPr>
          <w:p w14:paraId="1DD5DF2C" w14:textId="77777777" w:rsidR="009C6F84" w:rsidRPr="00B6056E" w:rsidRDefault="009C6F84" w:rsidP="00366F04">
            <w:pPr>
              <w:spacing w:before="30" w:after="30" w:line="240" w:lineRule="auto"/>
              <w:ind w:left="144"/>
              <w:rPr>
                <w:rFonts w:ascii="Arial" w:hAnsi="Arial"/>
                <w:color w:val="000000"/>
                <w:sz w:val="14"/>
                <w:szCs w:val="16"/>
              </w:rPr>
            </w:pPr>
            <w:r w:rsidRPr="00B6056E">
              <w:rPr>
                <w:rFonts w:ascii="Arial" w:hAnsi="Arial"/>
                <w:color w:val="000000"/>
                <w:sz w:val="14"/>
                <w:szCs w:val="16"/>
              </w:rPr>
              <w:t>could not pay an unexpected and unavoidable bill of $500 within a month without borrowing</w:t>
            </w:r>
          </w:p>
        </w:tc>
        <w:tc>
          <w:tcPr>
            <w:tcW w:w="534" w:type="dxa"/>
            <w:vAlign w:val="center"/>
          </w:tcPr>
          <w:p w14:paraId="30DF5654"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25</w:t>
            </w:r>
          </w:p>
        </w:tc>
        <w:tc>
          <w:tcPr>
            <w:tcW w:w="534" w:type="dxa"/>
            <w:vAlign w:val="center"/>
          </w:tcPr>
          <w:p w14:paraId="02FFA8F7"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23</w:t>
            </w:r>
          </w:p>
        </w:tc>
        <w:tc>
          <w:tcPr>
            <w:tcW w:w="534" w:type="dxa"/>
            <w:vAlign w:val="center"/>
          </w:tcPr>
          <w:p w14:paraId="2501B40B"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22</w:t>
            </w:r>
          </w:p>
        </w:tc>
        <w:tc>
          <w:tcPr>
            <w:tcW w:w="534" w:type="dxa"/>
            <w:vAlign w:val="center"/>
          </w:tcPr>
          <w:p w14:paraId="4D64D932"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22</w:t>
            </w:r>
          </w:p>
        </w:tc>
        <w:tc>
          <w:tcPr>
            <w:tcW w:w="534" w:type="dxa"/>
            <w:vAlign w:val="center"/>
          </w:tcPr>
          <w:p w14:paraId="30ED43C8" w14:textId="77777777" w:rsidR="009C6F84" w:rsidRPr="00B6056E" w:rsidRDefault="009C6F84" w:rsidP="00366F04">
            <w:pPr>
              <w:spacing w:before="30" w:after="30" w:line="240" w:lineRule="auto"/>
              <w:jc w:val="center"/>
              <w:rPr>
                <w:rFonts w:ascii="Arial" w:hAnsi="Arial"/>
                <w:color w:val="000000"/>
                <w:sz w:val="14"/>
                <w:szCs w:val="16"/>
              </w:rPr>
            </w:pPr>
            <w:r>
              <w:rPr>
                <w:rFonts w:ascii="Arial" w:hAnsi="Arial"/>
                <w:color w:val="000000"/>
                <w:sz w:val="14"/>
                <w:szCs w:val="14"/>
              </w:rPr>
              <w:t>22</w:t>
            </w:r>
          </w:p>
        </w:tc>
      </w:tr>
    </w:tbl>
    <w:p w14:paraId="66A35E6B" w14:textId="77777777" w:rsidR="009C6F84" w:rsidRPr="00D45341" w:rsidRDefault="009C6F84" w:rsidP="009C6F84">
      <w:pPr>
        <w:spacing w:before="60" w:after="20" w:line="240" w:lineRule="auto"/>
        <w:ind w:left="142" w:right="96"/>
        <w:jc w:val="both"/>
        <w:rPr>
          <w:rFonts w:ascii="Arial" w:eastAsia="Times New Roman" w:hAnsi="Arial"/>
          <w:color w:val="000000"/>
          <w:sz w:val="16"/>
          <w:szCs w:val="16"/>
        </w:rPr>
      </w:pPr>
      <w:r w:rsidRPr="00D45341">
        <w:rPr>
          <w:rFonts w:ascii="Arial" w:eastAsia="Times New Roman" w:hAnsi="Arial"/>
          <w:color w:val="000000"/>
          <w:sz w:val="16"/>
          <w:szCs w:val="16"/>
        </w:rPr>
        <w:t xml:space="preserve">Reading note for </w:t>
      </w:r>
      <w:r>
        <w:rPr>
          <w:rFonts w:ascii="Arial" w:eastAsia="Times New Roman" w:hAnsi="Arial"/>
          <w:color w:val="000000"/>
          <w:sz w:val="16"/>
          <w:szCs w:val="16"/>
        </w:rPr>
        <w:t>Table</w:t>
      </w:r>
      <w:r w:rsidRPr="00D45341">
        <w:rPr>
          <w:rFonts w:ascii="Arial" w:eastAsia="Times New Roman" w:hAnsi="Arial"/>
          <w:color w:val="000000"/>
          <w:sz w:val="16"/>
          <w:szCs w:val="16"/>
        </w:rPr>
        <w:t xml:space="preserve"> D.4</w:t>
      </w:r>
    </w:p>
    <w:p w14:paraId="246A2243" w14:textId="77777777" w:rsidR="009C6F84" w:rsidRPr="00D45341" w:rsidRDefault="009C6F84">
      <w:pPr>
        <w:pStyle w:val="ListParagraph"/>
        <w:numPr>
          <w:ilvl w:val="0"/>
          <w:numId w:val="79"/>
        </w:numPr>
        <w:spacing w:before="20" w:after="0" w:line="240" w:lineRule="auto"/>
        <w:ind w:left="567" w:right="96" w:hanging="204"/>
        <w:contextualSpacing w:val="0"/>
        <w:jc w:val="both"/>
        <w:rPr>
          <w:rFonts w:ascii="Arial" w:eastAsia="Times New Roman" w:hAnsi="Arial"/>
          <w:color w:val="000000"/>
          <w:sz w:val="16"/>
          <w:szCs w:val="16"/>
        </w:rPr>
      </w:pPr>
      <w:r w:rsidRPr="00D45341">
        <w:rPr>
          <w:rFonts w:ascii="Arial" w:eastAsia="Times New Roman" w:hAnsi="Arial"/>
          <w:color w:val="000000"/>
          <w:sz w:val="16"/>
          <w:szCs w:val="16"/>
        </w:rPr>
        <w:t xml:space="preserve">In </w:t>
      </w:r>
      <w:r w:rsidRPr="00347FA1">
        <w:rPr>
          <w:rFonts w:ascii="Arial" w:eastAsia="Times New Roman" w:hAnsi="Arial"/>
          <w:b/>
          <w:bCs/>
          <w:color w:val="000000"/>
          <w:sz w:val="16"/>
          <w:szCs w:val="16"/>
        </w:rPr>
        <w:t>Table D.4</w:t>
      </w:r>
      <w:r w:rsidRPr="00D45341">
        <w:rPr>
          <w:rFonts w:ascii="Arial" w:eastAsia="Times New Roman" w:hAnsi="Arial"/>
          <w:color w:val="000000"/>
          <w:sz w:val="16"/>
          <w:szCs w:val="16"/>
        </w:rPr>
        <w:t>, the second from left column indicates whether the item is respondent-focussed (R) or household-focussed (H). Though for most items the R/H distinction is clear, a few could be either.</w:t>
      </w:r>
    </w:p>
    <w:p w14:paraId="16B133B1" w14:textId="77777777" w:rsidR="009C6F84" w:rsidRPr="00B6056E" w:rsidRDefault="009C6F84" w:rsidP="009C6F84"/>
    <w:p w14:paraId="2718CE7E" w14:textId="77777777" w:rsidR="009C6F84" w:rsidRDefault="009C6F84" w:rsidP="009C6F84">
      <w:pPr>
        <w:spacing w:after="0" w:line="240" w:lineRule="auto"/>
        <w:rPr>
          <w:rFonts w:ascii="Arial" w:hAnsi="Arial"/>
          <w:b/>
          <w:color w:val="000000"/>
          <w:sz w:val="18"/>
          <w:szCs w:val="18"/>
        </w:rPr>
      </w:pPr>
      <w:r>
        <w:rPr>
          <w:rFonts w:ascii="Arial" w:hAnsi="Arial"/>
          <w:b/>
          <w:color w:val="000000"/>
          <w:sz w:val="18"/>
          <w:szCs w:val="18"/>
        </w:rPr>
        <w:br w:type="page"/>
      </w:r>
    </w:p>
    <w:p w14:paraId="4DD8368E" w14:textId="2BC53A5F" w:rsidR="00B6056E" w:rsidRDefault="00884617" w:rsidP="00B6056E">
      <w:pPr>
        <w:spacing w:after="0" w:line="240" w:lineRule="auto"/>
        <w:rPr>
          <w:rFonts w:ascii="Arial" w:hAnsi="Arial"/>
          <w:b/>
          <w:color w:val="000000" w:themeColor="text1"/>
          <w:sz w:val="22"/>
          <w:szCs w:val="32"/>
        </w:rPr>
      </w:pPr>
      <w:r>
        <w:rPr>
          <w:rFonts w:ascii="Arial" w:hAnsi="Arial"/>
          <w:b/>
          <w:color w:val="000000" w:themeColor="text1"/>
          <w:sz w:val="22"/>
          <w:szCs w:val="32"/>
        </w:rPr>
        <w:lastRenderedPageBreak/>
        <w:t>Self-assessed i</w:t>
      </w:r>
      <w:r w:rsidR="00B6056E" w:rsidRPr="00BC00AE">
        <w:rPr>
          <w:rFonts w:ascii="Arial" w:hAnsi="Arial"/>
          <w:b/>
          <w:color w:val="000000" w:themeColor="text1"/>
          <w:sz w:val="22"/>
          <w:szCs w:val="32"/>
        </w:rPr>
        <w:t>ncome adequacy</w:t>
      </w:r>
    </w:p>
    <w:p w14:paraId="723A41A8" w14:textId="77777777" w:rsidR="00DD35AB" w:rsidRDefault="00DD35AB" w:rsidP="00B6056E">
      <w:pPr>
        <w:spacing w:after="0" w:line="240" w:lineRule="auto"/>
        <w:rPr>
          <w:rFonts w:ascii="Arial" w:hAnsi="Arial"/>
          <w:b/>
          <w:color w:val="000000" w:themeColor="text1"/>
          <w:sz w:val="22"/>
          <w:szCs w:val="32"/>
        </w:rPr>
      </w:pPr>
    </w:p>
    <w:p w14:paraId="03DCA06B" w14:textId="7E3886E0" w:rsidR="00DD35AB" w:rsidRPr="007E39DD" w:rsidRDefault="00DD35AB" w:rsidP="00B6056E">
      <w:pPr>
        <w:spacing w:after="0" w:line="240" w:lineRule="auto"/>
        <w:rPr>
          <w:rFonts w:ascii="Arial" w:hAnsi="Arial"/>
          <w:bCs/>
          <w:color w:val="000000" w:themeColor="text1"/>
          <w:szCs w:val="20"/>
        </w:rPr>
      </w:pPr>
      <w:r w:rsidRPr="007E39DD">
        <w:rPr>
          <w:rFonts w:ascii="Arial" w:hAnsi="Arial"/>
          <w:bCs/>
          <w:color w:val="000000" w:themeColor="text1"/>
          <w:szCs w:val="20"/>
        </w:rPr>
        <w:t>The self-assessed income adequacy question in both HES and HILS asks the designated household respondent</w:t>
      </w:r>
      <w:r w:rsidR="007E39DD" w:rsidRPr="007E39DD">
        <w:rPr>
          <w:rFonts w:ascii="Arial" w:hAnsi="Arial"/>
          <w:bCs/>
          <w:color w:val="000000" w:themeColor="text1"/>
          <w:szCs w:val="20"/>
        </w:rPr>
        <w:t xml:space="preserve"> how well the household’s </w:t>
      </w:r>
      <w:r w:rsidR="007E39DD" w:rsidRPr="007E39DD">
        <w:rPr>
          <w:rFonts w:ascii="Arial" w:hAnsi="Arial"/>
          <w:color w:val="000000" w:themeColor="text1"/>
          <w:szCs w:val="20"/>
        </w:rPr>
        <w:t xml:space="preserve">total income meets everyday needs for such things as accommodation, food, clothing, and other necessities. The response options are </w:t>
      </w:r>
      <w:r w:rsidR="00486B83" w:rsidRPr="00486B83">
        <w:rPr>
          <w:rFonts w:ascii="Arial" w:hAnsi="Arial"/>
          <w:color w:val="000000" w:themeColor="text1"/>
          <w:szCs w:val="20"/>
        </w:rPr>
        <w:t>‘not enough’, ‘only just enough’, ‘enough’, and ‘more than enough’</w:t>
      </w:r>
      <w:r w:rsidR="000E7439">
        <w:rPr>
          <w:rFonts w:ascii="Arial" w:hAnsi="Arial"/>
          <w:color w:val="000000" w:themeColor="text1"/>
          <w:szCs w:val="20"/>
        </w:rPr>
        <w:t>.</w:t>
      </w:r>
    </w:p>
    <w:p w14:paraId="4821330B" w14:textId="77777777" w:rsidR="00486B83" w:rsidRDefault="00486B83" w:rsidP="00FE2258">
      <w:pPr>
        <w:spacing w:after="0" w:line="240" w:lineRule="auto"/>
        <w:rPr>
          <w:rFonts w:ascii="Arial" w:hAnsi="Arial"/>
          <w:b/>
          <w:color w:val="000000" w:themeColor="text1"/>
          <w:szCs w:val="28"/>
        </w:rPr>
      </w:pPr>
    </w:p>
    <w:p w14:paraId="2ECC2797" w14:textId="4B138D51" w:rsidR="009B77BE" w:rsidRDefault="00DD35AB" w:rsidP="007E39DD">
      <w:pPr>
        <w:spacing w:line="240" w:lineRule="auto"/>
        <w:rPr>
          <w:rFonts w:ascii="Arial" w:hAnsi="Arial"/>
          <w:bCs/>
          <w:color w:val="000000" w:themeColor="text1"/>
          <w:szCs w:val="28"/>
        </w:rPr>
      </w:pPr>
      <w:r w:rsidRPr="00DD35AB">
        <w:rPr>
          <w:rFonts w:ascii="Arial" w:hAnsi="Arial"/>
          <w:b/>
          <w:color w:val="000000" w:themeColor="text1"/>
          <w:szCs w:val="28"/>
        </w:rPr>
        <w:t xml:space="preserve">Table </w:t>
      </w:r>
      <w:r w:rsidR="00C24200">
        <w:rPr>
          <w:rFonts w:ascii="Arial" w:hAnsi="Arial"/>
          <w:b/>
          <w:color w:val="000000" w:themeColor="text1"/>
          <w:szCs w:val="28"/>
        </w:rPr>
        <w:t>D</w:t>
      </w:r>
      <w:r w:rsidRPr="00DD35AB">
        <w:rPr>
          <w:rFonts w:ascii="Arial" w:hAnsi="Arial"/>
          <w:b/>
          <w:color w:val="000000" w:themeColor="text1"/>
          <w:szCs w:val="28"/>
        </w:rPr>
        <w:t>.5</w:t>
      </w:r>
      <w:r>
        <w:rPr>
          <w:rFonts w:ascii="Arial" w:hAnsi="Arial"/>
          <w:bCs/>
          <w:color w:val="000000" w:themeColor="text1"/>
          <w:szCs w:val="28"/>
        </w:rPr>
        <w:t xml:space="preserve"> shows that</w:t>
      </w:r>
      <w:r w:rsidR="009B77BE">
        <w:rPr>
          <w:rFonts w:ascii="Arial" w:hAnsi="Arial"/>
          <w:bCs/>
          <w:color w:val="000000" w:themeColor="text1"/>
          <w:szCs w:val="28"/>
        </w:rPr>
        <w:t>:</w:t>
      </w:r>
    </w:p>
    <w:p w14:paraId="5A514D9A" w14:textId="169E2B94" w:rsidR="009B77BE" w:rsidRPr="009B77BE" w:rsidRDefault="009B77BE">
      <w:pPr>
        <w:pStyle w:val="ListParagraph"/>
        <w:numPr>
          <w:ilvl w:val="0"/>
          <w:numId w:val="74"/>
        </w:numPr>
        <w:spacing w:line="240" w:lineRule="auto"/>
        <w:ind w:left="714" w:hanging="357"/>
        <w:contextualSpacing w:val="0"/>
        <w:rPr>
          <w:rFonts w:ascii="Arial" w:hAnsi="Arial"/>
          <w:bCs/>
          <w:color w:val="000000" w:themeColor="text1"/>
          <w:szCs w:val="28"/>
        </w:rPr>
      </w:pPr>
      <w:r>
        <w:rPr>
          <w:rFonts w:ascii="Arial" w:hAnsi="Arial"/>
          <w:bCs/>
          <w:color w:val="000000" w:themeColor="text1"/>
          <w:szCs w:val="28"/>
        </w:rPr>
        <w:t>F</w:t>
      </w:r>
      <w:r w:rsidR="00DD35AB" w:rsidRPr="009B77BE">
        <w:rPr>
          <w:rFonts w:ascii="Arial" w:hAnsi="Arial"/>
          <w:bCs/>
          <w:color w:val="000000" w:themeColor="text1"/>
          <w:szCs w:val="28"/>
        </w:rPr>
        <w:t>or 50% of children in households identified as being in material hardship</w:t>
      </w:r>
      <w:r>
        <w:rPr>
          <w:rFonts w:ascii="Arial" w:hAnsi="Arial"/>
          <w:bCs/>
          <w:color w:val="000000" w:themeColor="text1"/>
          <w:szCs w:val="28"/>
        </w:rPr>
        <w:t xml:space="preserve"> (the 6+ column)</w:t>
      </w:r>
      <w:r w:rsidR="00A1080C" w:rsidRPr="009B77BE">
        <w:rPr>
          <w:rFonts w:ascii="Arial" w:hAnsi="Arial"/>
          <w:bCs/>
          <w:color w:val="000000" w:themeColor="text1"/>
          <w:szCs w:val="28"/>
        </w:rPr>
        <w:t xml:space="preserve"> the household reports having ‘not enough’ income for basics, and 95% have ‘not enough’ or ‘only just enough’</w:t>
      </w:r>
      <w:r>
        <w:rPr>
          <w:rFonts w:ascii="Arial" w:hAnsi="Arial"/>
          <w:bCs/>
          <w:color w:val="000000" w:themeColor="text1"/>
          <w:szCs w:val="28"/>
        </w:rPr>
        <w:t>. V</w:t>
      </w:r>
      <w:r w:rsidR="00A1080C" w:rsidRPr="009B77BE">
        <w:rPr>
          <w:rFonts w:ascii="Arial" w:hAnsi="Arial"/>
          <w:bCs/>
          <w:color w:val="000000" w:themeColor="text1"/>
          <w:szCs w:val="28"/>
        </w:rPr>
        <w:t>ery few report having ‘enough’ or ‘more than enough’.</w:t>
      </w:r>
      <w:r w:rsidR="00350A9F" w:rsidRPr="009B77BE">
        <w:rPr>
          <w:rFonts w:ascii="Arial" w:hAnsi="Arial"/>
          <w:bCs/>
          <w:color w:val="000000" w:themeColor="text1"/>
          <w:szCs w:val="28"/>
        </w:rPr>
        <w:t xml:space="preserve"> </w:t>
      </w:r>
    </w:p>
    <w:p w14:paraId="51AD04F1" w14:textId="4F187BD0" w:rsidR="00DD35AB" w:rsidRPr="009B77BE" w:rsidRDefault="009B77BE">
      <w:pPr>
        <w:pStyle w:val="ListParagraph"/>
        <w:numPr>
          <w:ilvl w:val="0"/>
          <w:numId w:val="74"/>
        </w:numPr>
        <w:spacing w:before="60" w:after="0" w:line="240" w:lineRule="auto"/>
        <w:ind w:left="714" w:hanging="357"/>
        <w:contextualSpacing w:val="0"/>
        <w:rPr>
          <w:rFonts w:ascii="Arial" w:hAnsi="Arial"/>
          <w:bCs/>
          <w:color w:val="000000" w:themeColor="text1"/>
          <w:szCs w:val="28"/>
        </w:rPr>
      </w:pPr>
      <w:r>
        <w:rPr>
          <w:rFonts w:ascii="Arial" w:hAnsi="Arial"/>
          <w:bCs/>
          <w:color w:val="000000" w:themeColor="text1"/>
          <w:szCs w:val="28"/>
        </w:rPr>
        <w:t>F</w:t>
      </w:r>
      <w:r w:rsidR="00350A9F" w:rsidRPr="009B77BE">
        <w:rPr>
          <w:rFonts w:ascii="Arial" w:hAnsi="Arial"/>
          <w:bCs/>
          <w:color w:val="000000" w:themeColor="text1"/>
          <w:szCs w:val="28"/>
        </w:rPr>
        <w:t>or those in households not designated as in hardship (</w:t>
      </w:r>
      <w:r w:rsidRPr="009B77BE">
        <w:rPr>
          <w:rFonts w:ascii="Arial" w:hAnsi="Arial"/>
          <w:bCs/>
          <w:color w:val="000000" w:themeColor="text1"/>
          <w:szCs w:val="28"/>
        </w:rPr>
        <w:t>the 0-3 and 4-5 columns</w:t>
      </w:r>
      <w:r w:rsidR="00350A9F" w:rsidRPr="009B77BE">
        <w:rPr>
          <w:rFonts w:ascii="Arial" w:hAnsi="Arial"/>
          <w:bCs/>
          <w:color w:val="000000" w:themeColor="text1"/>
          <w:szCs w:val="28"/>
        </w:rPr>
        <w:t>)</w:t>
      </w:r>
      <w:r w:rsidRPr="009B77BE">
        <w:rPr>
          <w:rFonts w:ascii="Arial" w:hAnsi="Arial"/>
          <w:bCs/>
          <w:color w:val="000000" w:themeColor="text1"/>
          <w:szCs w:val="28"/>
        </w:rPr>
        <w:t>, the proportions reporting ‘not enough’</w:t>
      </w:r>
      <w:r w:rsidR="004039A4">
        <w:rPr>
          <w:rFonts w:ascii="Arial" w:hAnsi="Arial"/>
          <w:bCs/>
          <w:color w:val="000000" w:themeColor="text1"/>
          <w:szCs w:val="28"/>
        </w:rPr>
        <w:t xml:space="preserve"> </w:t>
      </w:r>
      <w:r w:rsidRPr="009B77BE">
        <w:rPr>
          <w:rFonts w:ascii="Arial" w:hAnsi="Arial"/>
          <w:bCs/>
          <w:color w:val="000000" w:themeColor="text1"/>
          <w:szCs w:val="28"/>
        </w:rPr>
        <w:t>are much lower, as expected.</w:t>
      </w:r>
    </w:p>
    <w:p w14:paraId="784A46ED" w14:textId="77777777" w:rsidR="007E39DD" w:rsidRDefault="007E39DD" w:rsidP="008F2334">
      <w:pPr>
        <w:spacing w:after="0" w:line="240" w:lineRule="auto"/>
        <w:jc w:val="center"/>
        <w:rPr>
          <w:rFonts w:ascii="Arial" w:hAnsi="Arial"/>
          <w:b/>
          <w:bCs/>
          <w:color w:val="000000"/>
          <w:sz w:val="18"/>
          <w:szCs w:val="18"/>
        </w:rPr>
      </w:pPr>
    </w:p>
    <w:p w14:paraId="1394D5B4" w14:textId="4069F1F9" w:rsidR="008F2334" w:rsidRPr="008F2334" w:rsidRDefault="008F2334" w:rsidP="008F2334">
      <w:pPr>
        <w:spacing w:after="0" w:line="240" w:lineRule="auto"/>
        <w:jc w:val="center"/>
        <w:rPr>
          <w:rFonts w:ascii="Arial" w:hAnsi="Arial"/>
          <w:b/>
          <w:bCs/>
          <w:color w:val="FF0000"/>
          <w:sz w:val="18"/>
          <w:szCs w:val="18"/>
        </w:rPr>
      </w:pPr>
      <w:r w:rsidRPr="008F2334">
        <w:rPr>
          <w:rFonts w:ascii="Arial" w:hAnsi="Arial"/>
          <w:b/>
          <w:bCs/>
          <w:color w:val="000000"/>
          <w:sz w:val="18"/>
          <w:szCs w:val="18"/>
        </w:rPr>
        <w:t xml:space="preserve">Table </w:t>
      </w:r>
      <w:r w:rsidR="00C24200">
        <w:rPr>
          <w:rFonts w:ascii="Arial" w:hAnsi="Arial"/>
          <w:b/>
          <w:bCs/>
          <w:color w:val="000000"/>
          <w:sz w:val="18"/>
          <w:szCs w:val="18"/>
        </w:rPr>
        <w:t>D</w:t>
      </w:r>
      <w:r w:rsidR="00DD35AB">
        <w:rPr>
          <w:rFonts w:ascii="Arial" w:hAnsi="Arial"/>
          <w:b/>
          <w:bCs/>
          <w:color w:val="000000"/>
          <w:sz w:val="18"/>
          <w:szCs w:val="18"/>
        </w:rPr>
        <w:t>.5</w:t>
      </w:r>
    </w:p>
    <w:p w14:paraId="517EE148" w14:textId="77777777" w:rsidR="00434DD9" w:rsidRDefault="00434DD9" w:rsidP="00434DD9">
      <w:pPr>
        <w:spacing w:after="0" w:line="240" w:lineRule="auto"/>
        <w:jc w:val="center"/>
        <w:rPr>
          <w:rFonts w:ascii="Arial" w:hAnsi="Arial"/>
          <w:b/>
          <w:bCs/>
          <w:color w:val="000000" w:themeColor="text1"/>
          <w:sz w:val="18"/>
          <w:szCs w:val="18"/>
        </w:rPr>
      </w:pPr>
      <w:r>
        <w:rPr>
          <w:rFonts w:ascii="Arial" w:hAnsi="Arial"/>
          <w:b/>
          <w:bCs/>
          <w:color w:val="000000" w:themeColor="text1"/>
          <w:sz w:val="18"/>
          <w:szCs w:val="18"/>
        </w:rPr>
        <w:t>Self-assessed</w:t>
      </w:r>
      <w:r w:rsidRPr="00050CD3">
        <w:rPr>
          <w:rFonts w:ascii="Arial" w:hAnsi="Arial"/>
          <w:b/>
          <w:bCs/>
          <w:color w:val="000000" w:themeColor="text1"/>
          <w:sz w:val="18"/>
          <w:szCs w:val="18"/>
        </w:rPr>
        <w:t xml:space="preserve"> </w:t>
      </w:r>
      <w:r>
        <w:rPr>
          <w:rFonts w:ascii="Arial" w:hAnsi="Arial"/>
          <w:b/>
          <w:bCs/>
          <w:color w:val="000000" w:themeColor="text1"/>
          <w:sz w:val="18"/>
          <w:szCs w:val="18"/>
        </w:rPr>
        <w:t xml:space="preserve">income adequacy </w:t>
      </w:r>
      <w:r w:rsidRPr="00050CD3">
        <w:rPr>
          <w:rFonts w:ascii="Arial" w:hAnsi="Arial"/>
          <w:b/>
          <w:bCs/>
          <w:color w:val="000000" w:themeColor="text1"/>
          <w:sz w:val="18"/>
          <w:szCs w:val="18"/>
        </w:rPr>
        <w:t xml:space="preserve">for those in </w:t>
      </w:r>
      <w:r>
        <w:rPr>
          <w:rFonts w:ascii="Arial" w:hAnsi="Arial"/>
          <w:b/>
          <w:bCs/>
          <w:color w:val="000000" w:themeColor="text1"/>
          <w:sz w:val="18"/>
          <w:szCs w:val="18"/>
        </w:rPr>
        <w:t xml:space="preserve">households in </w:t>
      </w:r>
      <w:r w:rsidRPr="0040500A">
        <w:rPr>
          <w:rFonts w:ascii="Arial" w:hAnsi="Arial"/>
          <w:b/>
          <w:bCs/>
          <w:color w:val="000000" w:themeColor="text1"/>
          <w:sz w:val="18"/>
          <w:szCs w:val="18"/>
        </w:rPr>
        <w:t>different levels of hardship,</w:t>
      </w:r>
      <w:r w:rsidRPr="00050CD3">
        <w:rPr>
          <w:rFonts w:ascii="Arial" w:hAnsi="Arial"/>
          <w:b/>
          <w:bCs/>
          <w:color w:val="000000" w:themeColor="text1"/>
          <w:sz w:val="18"/>
          <w:szCs w:val="18"/>
        </w:rPr>
        <w:t xml:space="preserve">  </w:t>
      </w:r>
    </w:p>
    <w:p w14:paraId="0B9575FB" w14:textId="77777777" w:rsidR="00434DD9" w:rsidRPr="003219FF" w:rsidRDefault="00434DD9" w:rsidP="00434DD9">
      <w:pPr>
        <w:spacing w:line="240" w:lineRule="auto"/>
        <w:jc w:val="center"/>
        <w:rPr>
          <w:rFonts w:ascii="Arial" w:hAnsi="Arial"/>
          <w:b/>
          <w:bCs/>
          <w:color w:val="000000" w:themeColor="text1"/>
          <w:sz w:val="18"/>
          <w:szCs w:val="18"/>
        </w:rPr>
      </w:pPr>
      <w:r>
        <w:rPr>
          <w:rFonts w:ascii="Arial" w:hAnsi="Arial"/>
          <w:b/>
          <w:bCs/>
          <w:color w:val="000000" w:themeColor="text1"/>
          <w:sz w:val="18"/>
          <w:szCs w:val="18"/>
        </w:rPr>
        <w:t xml:space="preserve">for age 0-17s </w:t>
      </w:r>
      <w:r w:rsidRPr="00050CD3">
        <w:rPr>
          <w:rFonts w:ascii="Arial" w:hAnsi="Arial"/>
          <w:b/>
          <w:bCs/>
          <w:color w:val="000000" w:themeColor="text1"/>
          <w:sz w:val="18"/>
          <w:szCs w:val="18"/>
        </w:rPr>
        <w:t>and whole population</w:t>
      </w:r>
      <w:r>
        <w:rPr>
          <w:rFonts w:ascii="Arial" w:hAnsi="Arial"/>
          <w:b/>
          <w:bCs/>
          <w:color w:val="000000" w:themeColor="text1"/>
          <w:sz w:val="18"/>
          <w:szCs w:val="18"/>
        </w:rPr>
        <w:t xml:space="preserve"> (% down)</w:t>
      </w:r>
      <w:r w:rsidRPr="00050CD3">
        <w:rPr>
          <w:rFonts w:ascii="Arial" w:hAnsi="Arial"/>
          <w:b/>
          <w:bCs/>
          <w:color w:val="000000" w:themeColor="text1"/>
          <w:sz w:val="18"/>
          <w:szCs w:val="18"/>
        </w:rPr>
        <w:t>, HES 2023-24</w:t>
      </w:r>
    </w:p>
    <w:tbl>
      <w:tblPr>
        <w:tblpPr w:leftFromText="180" w:rightFromText="180" w:vertAnchor="text" w:tblpXSpec="center" w:tblpY="1"/>
        <w:tblOverlap w:val="neve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692"/>
        <w:gridCol w:w="692"/>
        <w:gridCol w:w="692"/>
        <w:gridCol w:w="692"/>
        <w:gridCol w:w="692"/>
        <w:gridCol w:w="692"/>
        <w:gridCol w:w="692"/>
        <w:gridCol w:w="692"/>
        <w:gridCol w:w="692"/>
        <w:gridCol w:w="692"/>
      </w:tblGrid>
      <w:tr w:rsidR="00434DD9" w:rsidRPr="00707A0D" w14:paraId="769D8711" w14:textId="77777777" w:rsidTr="005C46EF">
        <w:trPr>
          <w:jc w:val="center"/>
        </w:trPr>
        <w:tc>
          <w:tcPr>
            <w:tcW w:w="1439" w:type="dxa"/>
            <w:vMerge w:val="restart"/>
            <w:vAlign w:val="center"/>
          </w:tcPr>
          <w:p w14:paraId="7FDBC418" w14:textId="77777777" w:rsidR="00434DD9" w:rsidRPr="00050CD3" w:rsidRDefault="00434DD9" w:rsidP="005C46EF">
            <w:pPr>
              <w:spacing w:before="30" w:after="30" w:line="240" w:lineRule="auto"/>
              <w:rPr>
                <w:rFonts w:ascii="Arial" w:hAnsi="Arial"/>
                <w:color w:val="000000" w:themeColor="text1"/>
                <w:sz w:val="14"/>
                <w:szCs w:val="14"/>
              </w:rPr>
            </w:pPr>
          </w:p>
        </w:tc>
        <w:tc>
          <w:tcPr>
            <w:tcW w:w="3460" w:type="dxa"/>
            <w:gridSpan w:val="5"/>
            <w:tcBorders>
              <w:right w:val="single" w:sz="8" w:space="0" w:color="auto"/>
            </w:tcBorders>
            <w:tcMar>
              <w:left w:w="28" w:type="dxa"/>
              <w:right w:w="28" w:type="dxa"/>
            </w:tcMar>
            <w:vAlign w:val="center"/>
          </w:tcPr>
          <w:p w14:paraId="2CFEC97A" w14:textId="77777777" w:rsidR="00434DD9" w:rsidRPr="00050CD3" w:rsidRDefault="00434DD9" w:rsidP="005C46EF">
            <w:pPr>
              <w:spacing w:before="30" w:after="30" w:line="240" w:lineRule="auto"/>
              <w:jc w:val="center"/>
              <w:rPr>
                <w:rFonts w:ascii="Arial" w:hAnsi="Arial"/>
                <w:b/>
                <w:bCs/>
                <w:color w:val="000000" w:themeColor="text1"/>
                <w:sz w:val="14"/>
                <w:szCs w:val="14"/>
              </w:rPr>
            </w:pPr>
            <w:r w:rsidRPr="00050CD3">
              <w:rPr>
                <w:rFonts w:ascii="Arial" w:hAnsi="Arial"/>
                <w:b/>
                <w:bCs/>
                <w:color w:val="000000"/>
                <w:sz w:val="14"/>
                <w:szCs w:val="14"/>
              </w:rPr>
              <w:t>Age 0-17s</w:t>
            </w:r>
          </w:p>
        </w:tc>
        <w:tc>
          <w:tcPr>
            <w:tcW w:w="3460" w:type="dxa"/>
            <w:gridSpan w:val="5"/>
            <w:tcBorders>
              <w:left w:val="single" w:sz="8" w:space="0" w:color="auto"/>
            </w:tcBorders>
            <w:tcMar>
              <w:left w:w="28" w:type="dxa"/>
              <w:right w:w="28" w:type="dxa"/>
            </w:tcMar>
            <w:vAlign w:val="center"/>
          </w:tcPr>
          <w:p w14:paraId="4584116E" w14:textId="77777777" w:rsidR="00434DD9" w:rsidRPr="00050CD3" w:rsidRDefault="00434DD9" w:rsidP="005C46EF">
            <w:pPr>
              <w:spacing w:before="30" w:after="30" w:line="240" w:lineRule="auto"/>
              <w:jc w:val="center"/>
              <w:rPr>
                <w:rFonts w:ascii="Arial" w:hAnsi="Arial"/>
                <w:b/>
                <w:bCs/>
                <w:color w:val="000000" w:themeColor="text1"/>
                <w:sz w:val="14"/>
                <w:szCs w:val="14"/>
              </w:rPr>
            </w:pPr>
            <w:r w:rsidRPr="00050CD3">
              <w:rPr>
                <w:rFonts w:ascii="Arial" w:hAnsi="Arial"/>
                <w:b/>
                <w:bCs/>
                <w:color w:val="000000"/>
                <w:sz w:val="14"/>
                <w:szCs w:val="14"/>
              </w:rPr>
              <w:t>Whole population</w:t>
            </w:r>
          </w:p>
        </w:tc>
      </w:tr>
      <w:tr w:rsidR="00434DD9" w:rsidRPr="00707A0D" w14:paraId="7A3BFE6F" w14:textId="77777777" w:rsidTr="005C46EF">
        <w:trPr>
          <w:jc w:val="center"/>
        </w:trPr>
        <w:tc>
          <w:tcPr>
            <w:tcW w:w="1439" w:type="dxa"/>
            <w:vMerge/>
            <w:tcMar>
              <w:left w:w="28" w:type="dxa"/>
              <w:right w:w="28" w:type="dxa"/>
            </w:tcMar>
            <w:vAlign w:val="center"/>
          </w:tcPr>
          <w:p w14:paraId="14539CC7" w14:textId="77777777" w:rsidR="00434DD9" w:rsidRPr="00050CD3" w:rsidRDefault="00434DD9" w:rsidP="005C46EF">
            <w:pPr>
              <w:spacing w:before="30" w:after="30" w:line="240" w:lineRule="auto"/>
              <w:ind w:hanging="174"/>
              <w:rPr>
                <w:rFonts w:ascii="Arial" w:hAnsi="Arial"/>
                <w:b/>
                <w:bCs/>
                <w:color w:val="000000" w:themeColor="text1"/>
                <w:sz w:val="14"/>
                <w:szCs w:val="14"/>
              </w:rPr>
            </w:pPr>
          </w:p>
        </w:tc>
        <w:tc>
          <w:tcPr>
            <w:tcW w:w="692" w:type="dxa"/>
            <w:vMerge w:val="restart"/>
            <w:tcMar>
              <w:left w:w="28" w:type="dxa"/>
              <w:right w:w="28" w:type="dxa"/>
            </w:tcMar>
            <w:vAlign w:val="center"/>
          </w:tcPr>
          <w:p w14:paraId="66B22CAC" w14:textId="77777777" w:rsidR="00434DD9" w:rsidRPr="00050CD3" w:rsidRDefault="00434DD9" w:rsidP="005C46EF">
            <w:pPr>
              <w:spacing w:before="30" w:after="30" w:line="240" w:lineRule="auto"/>
              <w:jc w:val="center"/>
              <w:rPr>
                <w:rFonts w:ascii="Arial" w:hAnsi="Arial"/>
                <w:b/>
                <w:bCs/>
                <w:color w:val="000000"/>
                <w:sz w:val="14"/>
                <w:szCs w:val="14"/>
              </w:rPr>
            </w:pPr>
            <w:r w:rsidRPr="00050CD3">
              <w:rPr>
                <w:rFonts w:ascii="Arial" w:hAnsi="Arial"/>
                <w:b/>
                <w:bCs/>
                <w:color w:val="000000"/>
                <w:sz w:val="14"/>
                <w:szCs w:val="14"/>
              </w:rPr>
              <w:t>All</w:t>
            </w:r>
          </w:p>
        </w:tc>
        <w:tc>
          <w:tcPr>
            <w:tcW w:w="2768" w:type="dxa"/>
            <w:gridSpan w:val="4"/>
            <w:tcBorders>
              <w:right w:val="single" w:sz="8" w:space="0" w:color="auto"/>
            </w:tcBorders>
            <w:vAlign w:val="center"/>
          </w:tcPr>
          <w:p w14:paraId="5C68AD08" w14:textId="77777777" w:rsidR="00434DD9" w:rsidRPr="00050CD3" w:rsidRDefault="00434DD9" w:rsidP="005C46EF">
            <w:pPr>
              <w:spacing w:before="30" w:after="30" w:line="240" w:lineRule="auto"/>
              <w:jc w:val="center"/>
              <w:rPr>
                <w:rFonts w:ascii="Arial" w:hAnsi="Arial"/>
                <w:b/>
                <w:bCs/>
                <w:color w:val="000000"/>
                <w:sz w:val="14"/>
                <w:szCs w:val="14"/>
              </w:rPr>
            </w:pPr>
            <w:r w:rsidRPr="00050CD3">
              <w:rPr>
                <w:rFonts w:ascii="Arial" w:hAnsi="Arial"/>
                <w:b/>
                <w:bCs/>
                <w:color w:val="000000"/>
                <w:sz w:val="14"/>
                <w:szCs w:val="14"/>
              </w:rPr>
              <w:t>DEP-17</w:t>
            </w:r>
          </w:p>
        </w:tc>
        <w:tc>
          <w:tcPr>
            <w:tcW w:w="692" w:type="dxa"/>
            <w:vMerge w:val="restart"/>
            <w:tcBorders>
              <w:left w:val="single" w:sz="8" w:space="0" w:color="auto"/>
              <w:right w:val="single" w:sz="4" w:space="0" w:color="auto"/>
            </w:tcBorders>
            <w:tcMar>
              <w:left w:w="28" w:type="dxa"/>
              <w:right w:w="28" w:type="dxa"/>
            </w:tcMar>
            <w:vAlign w:val="center"/>
          </w:tcPr>
          <w:p w14:paraId="36C2F0FC" w14:textId="77777777" w:rsidR="00434DD9" w:rsidRPr="00050CD3" w:rsidRDefault="00434DD9" w:rsidP="005C46EF">
            <w:pPr>
              <w:spacing w:before="30" w:after="30" w:line="240" w:lineRule="auto"/>
              <w:jc w:val="center"/>
              <w:rPr>
                <w:rFonts w:ascii="Arial" w:hAnsi="Arial"/>
                <w:b/>
                <w:bCs/>
                <w:color w:val="000000"/>
                <w:sz w:val="14"/>
                <w:szCs w:val="14"/>
              </w:rPr>
            </w:pPr>
            <w:r w:rsidRPr="00050CD3">
              <w:rPr>
                <w:rFonts w:ascii="Arial" w:hAnsi="Arial"/>
                <w:b/>
                <w:bCs/>
                <w:color w:val="000000"/>
                <w:sz w:val="14"/>
                <w:szCs w:val="14"/>
              </w:rPr>
              <w:t>All</w:t>
            </w:r>
          </w:p>
        </w:tc>
        <w:tc>
          <w:tcPr>
            <w:tcW w:w="2768" w:type="dxa"/>
            <w:gridSpan w:val="4"/>
            <w:tcBorders>
              <w:left w:val="single" w:sz="4" w:space="0" w:color="auto"/>
            </w:tcBorders>
            <w:vAlign w:val="center"/>
          </w:tcPr>
          <w:p w14:paraId="6FA3CEA8" w14:textId="77777777" w:rsidR="00434DD9" w:rsidRPr="00050CD3" w:rsidRDefault="00434DD9" w:rsidP="005C46EF">
            <w:pPr>
              <w:spacing w:before="30" w:after="30" w:line="240" w:lineRule="auto"/>
              <w:jc w:val="center"/>
              <w:rPr>
                <w:rFonts w:ascii="Arial" w:hAnsi="Arial"/>
                <w:b/>
                <w:bCs/>
                <w:color w:val="000000"/>
                <w:sz w:val="14"/>
                <w:szCs w:val="14"/>
              </w:rPr>
            </w:pPr>
            <w:r w:rsidRPr="00050CD3">
              <w:rPr>
                <w:rFonts w:ascii="Arial" w:hAnsi="Arial"/>
                <w:b/>
                <w:bCs/>
                <w:color w:val="000000"/>
                <w:sz w:val="14"/>
                <w:szCs w:val="14"/>
              </w:rPr>
              <w:t>DEP-17</w:t>
            </w:r>
          </w:p>
        </w:tc>
      </w:tr>
      <w:tr w:rsidR="00434DD9" w:rsidRPr="00707A0D" w14:paraId="227FC6BA" w14:textId="77777777" w:rsidTr="005C46EF">
        <w:trPr>
          <w:jc w:val="center"/>
        </w:trPr>
        <w:tc>
          <w:tcPr>
            <w:tcW w:w="1439" w:type="dxa"/>
            <w:vMerge/>
            <w:tcMar>
              <w:left w:w="28" w:type="dxa"/>
              <w:right w:w="28" w:type="dxa"/>
            </w:tcMar>
            <w:vAlign w:val="center"/>
          </w:tcPr>
          <w:p w14:paraId="6A9CEED1" w14:textId="77777777" w:rsidR="00434DD9" w:rsidRPr="00050CD3" w:rsidRDefault="00434DD9" w:rsidP="005C46EF">
            <w:pPr>
              <w:spacing w:before="30" w:after="30" w:line="240" w:lineRule="auto"/>
              <w:ind w:hanging="174"/>
              <w:rPr>
                <w:rFonts w:ascii="Arial" w:hAnsi="Arial"/>
                <w:b/>
                <w:bCs/>
                <w:color w:val="000000" w:themeColor="text1"/>
                <w:sz w:val="14"/>
                <w:szCs w:val="14"/>
              </w:rPr>
            </w:pPr>
          </w:p>
        </w:tc>
        <w:tc>
          <w:tcPr>
            <w:tcW w:w="692" w:type="dxa"/>
            <w:vMerge/>
            <w:tcMar>
              <w:left w:w="28" w:type="dxa"/>
              <w:right w:w="28" w:type="dxa"/>
            </w:tcMar>
            <w:vAlign w:val="center"/>
          </w:tcPr>
          <w:p w14:paraId="2182C9EE" w14:textId="77777777" w:rsidR="00434DD9" w:rsidRPr="00050CD3" w:rsidRDefault="00434DD9" w:rsidP="005C46EF">
            <w:pPr>
              <w:spacing w:before="30" w:after="30" w:line="240" w:lineRule="auto"/>
              <w:jc w:val="center"/>
              <w:rPr>
                <w:rFonts w:ascii="Arial" w:hAnsi="Arial"/>
                <w:color w:val="000000" w:themeColor="text1"/>
                <w:sz w:val="14"/>
                <w:szCs w:val="14"/>
              </w:rPr>
            </w:pPr>
          </w:p>
        </w:tc>
        <w:tc>
          <w:tcPr>
            <w:tcW w:w="692" w:type="dxa"/>
            <w:vAlign w:val="center"/>
          </w:tcPr>
          <w:p w14:paraId="3189688F" w14:textId="77777777" w:rsidR="00434DD9" w:rsidRPr="00050CD3" w:rsidRDefault="00434DD9" w:rsidP="005C46EF">
            <w:pPr>
              <w:spacing w:before="30" w:after="30" w:line="240" w:lineRule="auto"/>
              <w:jc w:val="center"/>
              <w:rPr>
                <w:rFonts w:ascii="Arial" w:hAnsi="Arial"/>
                <w:b/>
                <w:bCs/>
                <w:color w:val="000000"/>
                <w:sz w:val="14"/>
                <w:szCs w:val="14"/>
              </w:rPr>
            </w:pPr>
            <w:r>
              <w:rPr>
                <w:rFonts w:ascii="Arial" w:hAnsi="Arial"/>
                <w:b/>
                <w:bCs/>
                <w:color w:val="000000"/>
                <w:sz w:val="14"/>
                <w:szCs w:val="14"/>
              </w:rPr>
              <w:t>0-3</w:t>
            </w:r>
          </w:p>
        </w:tc>
        <w:tc>
          <w:tcPr>
            <w:tcW w:w="692" w:type="dxa"/>
            <w:vAlign w:val="center"/>
          </w:tcPr>
          <w:p w14:paraId="7F7CF928" w14:textId="77777777" w:rsidR="00434DD9" w:rsidRPr="00050CD3" w:rsidRDefault="00434DD9" w:rsidP="005C46EF">
            <w:pPr>
              <w:spacing w:before="30" w:after="30" w:line="240" w:lineRule="auto"/>
              <w:jc w:val="center"/>
              <w:rPr>
                <w:rFonts w:ascii="Arial" w:hAnsi="Arial"/>
                <w:b/>
                <w:bCs/>
                <w:color w:val="000000"/>
                <w:sz w:val="14"/>
                <w:szCs w:val="14"/>
              </w:rPr>
            </w:pPr>
            <w:r>
              <w:rPr>
                <w:rFonts w:ascii="Arial" w:hAnsi="Arial"/>
                <w:b/>
                <w:bCs/>
                <w:color w:val="000000"/>
                <w:sz w:val="14"/>
                <w:szCs w:val="14"/>
              </w:rPr>
              <w:t>4-5</w:t>
            </w:r>
          </w:p>
        </w:tc>
        <w:tc>
          <w:tcPr>
            <w:tcW w:w="692" w:type="dxa"/>
            <w:tcMar>
              <w:left w:w="28" w:type="dxa"/>
              <w:right w:w="28" w:type="dxa"/>
            </w:tcMar>
            <w:vAlign w:val="center"/>
          </w:tcPr>
          <w:p w14:paraId="786F711C" w14:textId="77777777" w:rsidR="00434DD9" w:rsidRPr="00050CD3" w:rsidRDefault="00434DD9" w:rsidP="005C46EF">
            <w:pPr>
              <w:spacing w:before="30" w:after="30" w:line="240" w:lineRule="auto"/>
              <w:jc w:val="center"/>
              <w:rPr>
                <w:rFonts w:ascii="Arial" w:hAnsi="Arial"/>
                <w:color w:val="000000" w:themeColor="text1"/>
                <w:sz w:val="14"/>
                <w:szCs w:val="14"/>
              </w:rPr>
            </w:pPr>
            <w:r w:rsidRPr="00050CD3">
              <w:rPr>
                <w:rFonts w:ascii="Arial" w:hAnsi="Arial"/>
                <w:b/>
                <w:bCs/>
                <w:color w:val="000000"/>
                <w:sz w:val="14"/>
                <w:szCs w:val="14"/>
              </w:rPr>
              <w:t>6+</w:t>
            </w:r>
          </w:p>
        </w:tc>
        <w:tc>
          <w:tcPr>
            <w:tcW w:w="692" w:type="dxa"/>
            <w:tcBorders>
              <w:right w:val="single" w:sz="8" w:space="0" w:color="auto"/>
            </w:tcBorders>
            <w:tcMar>
              <w:left w:w="28" w:type="dxa"/>
              <w:right w:w="28" w:type="dxa"/>
            </w:tcMar>
            <w:vAlign w:val="center"/>
          </w:tcPr>
          <w:p w14:paraId="6653297E" w14:textId="77777777" w:rsidR="00434DD9" w:rsidRPr="00050CD3" w:rsidRDefault="00434DD9" w:rsidP="005C46EF">
            <w:pPr>
              <w:spacing w:before="30" w:after="30" w:line="240" w:lineRule="auto"/>
              <w:jc w:val="center"/>
              <w:rPr>
                <w:rFonts w:ascii="Arial" w:hAnsi="Arial"/>
                <w:b/>
                <w:bCs/>
                <w:color w:val="000000" w:themeColor="text1"/>
                <w:sz w:val="14"/>
                <w:szCs w:val="14"/>
              </w:rPr>
            </w:pPr>
            <w:r w:rsidRPr="00050CD3">
              <w:rPr>
                <w:rFonts w:ascii="Arial" w:hAnsi="Arial"/>
                <w:b/>
                <w:bCs/>
                <w:color w:val="000000"/>
                <w:sz w:val="14"/>
                <w:szCs w:val="14"/>
              </w:rPr>
              <w:t>9+</w:t>
            </w:r>
          </w:p>
        </w:tc>
        <w:tc>
          <w:tcPr>
            <w:tcW w:w="692" w:type="dxa"/>
            <w:vMerge/>
            <w:tcBorders>
              <w:left w:val="single" w:sz="8" w:space="0" w:color="auto"/>
              <w:right w:val="single" w:sz="4" w:space="0" w:color="auto"/>
            </w:tcBorders>
            <w:tcMar>
              <w:left w:w="28" w:type="dxa"/>
              <w:right w:w="28" w:type="dxa"/>
            </w:tcMar>
            <w:vAlign w:val="center"/>
          </w:tcPr>
          <w:p w14:paraId="1F6BBD63" w14:textId="77777777" w:rsidR="00434DD9" w:rsidRPr="00050CD3" w:rsidRDefault="00434DD9" w:rsidP="005C46EF">
            <w:pPr>
              <w:spacing w:before="30" w:after="30" w:line="240" w:lineRule="auto"/>
              <w:jc w:val="center"/>
              <w:rPr>
                <w:rFonts w:ascii="Arial" w:hAnsi="Arial"/>
                <w:b/>
                <w:bCs/>
                <w:color w:val="000000" w:themeColor="text1"/>
                <w:sz w:val="14"/>
                <w:szCs w:val="14"/>
              </w:rPr>
            </w:pPr>
          </w:p>
        </w:tc>
        <w:tc>
          <w:tcPr>
            <w:tcW w:w="692" w:type="dxa"/>
            <w:tcBorders>
              <w:left w:val="single" w:sz="4" w:space="0" w:color="auto"/>
              <w:right w:val="single" w:sz="4" w:space="0" w:color="auto"/>
            </w:tcBorders>
            <w:vAlign w:val="center"/>
          </w:tcPr>
          <w:p w14:paraId="034D470D" w14:textId="77777777" w:rsidR="00434DD9" w:rsidRPr="00050CD3" w:rsidRDefault="00434DD9" w:rsidP="005C46EF">
            <w:pPr>
              <w:spacing w:before="30" w:after="30" w:line="240" w:lineRule="auto"/>
              <w:jc w:val="center"/>
              <w:rPr>
                <w:rFonts w:ascii="Arial" w:hAnsi="Arial"/>
                <w:b/>
                <w:bCs/>
                <w:color w:val="000000"/>
                <w:sz w:val="14"/>
                <w:szCs w:val="14"/>
              </w:rPr>
            </w:pPr>
            <w:r>
              <w:rPr>
                <w:rFonts w:ascii="Arial" w:hAnsi="Arial"/>
                <w:b/>
                <w:bCs/>
                <w:color w:val="000000"/>
                <w:sz w:val="14"/>
                <w:szCs w:val="14"/>
              </w:rPr>
              <w:t>0-3</w:t>
            </w:r>
          </w:p>
        </w:tc>
        <w:tc>
          <w:tcPr>
            <w:tcW w:w="692" w:type="dxa"/>
            <w:tcBorders>
              <w:left w:val="single" w:sz="4" w:space="0" w:color="auto"/>
              <w:right w:val="single" w:sz="4" w:space="0" w:color="auto"/>
            </w:tcBorders>
            <w:vAlign w:val="center"/>
          </w:tcPr>
          <w:p w14:paraId="46AB6728" w14:textId="77777777" w:rsidR="00434DD9" w:rsidRPr="00050CD3" w:rsidRDefault="00434DD9" w:rsidP="005C46EF">
            <w:pPr>
              <w:spacing w:before="30" w:after="30" w:line="240" w:lineRule="auto"/>
              <w:jc w:val="center"/>
              <w:rPr>
                <w:rFonts w:ascii="Arial" w:hAnsi="Arial"/>
                <w:b/>
                <w:bCs/>
                <w:color w:val="000000"/>
                <w:sz w:val="14"/>
                <w:szCs w:val="14"/>
              </w:rPr>
            </w:pPr>
            <w:r>
              <w:rPr>
                <w:rFonts w:ascii="Arial" w:hAnsi="Arial"/>
                <w:b/>
                <w:bCs/>
                <w:color w:val="000000"/>
                <w:sz w:val="14"/>
                <w:szCs w:val="14"/>
              </w:rPr>
              <w:t>4-5</w:t>
            </w:r>
          </w:p>
        </w:tc>
        <w:tc>
          <w:tcPr>
            <w:tcW w:w="692" w:type="dxa"/>
            <w:tcBorders>
              <w:top w:val="single" w:sz="4" w:space="0" w:color="auto"/>
              <w:left w:val="single" w:sz="4" w:space="0" w:color="auto"/>
              <w:bottom w:val="single" w:sz="4" w:space="0" w:color="auto"/>
              <w:right w:val="single" w:sz="4" w:space="0" w:color="auto"/>
            </w:tcBorders>
            <w:vAlign w:val="center"/>
          </w:tcPr>
          <w:p w14:paraId="38A15488" w14:textId="77777777" w:rsidR="00434DD9" w:rsidRPr="00050CD3" w:rsidRDefault="00434DD9" w:rsidP="005C46EF">
            <w:pPr>
              <w:spacing w:before="30" w:after="30" w:line="240" w:lineRule="auto"/>
              <w:jc w:val="center"/>
              <w:rPr>
                <w:rFonts w:ascii="Arial" w:hAnsi="Arial"/>
                <w:b/>
                <w:bCs/>
                <w:color w:val="000000"/>
                <w:sz w:val="14"/>
                <w:szCs w:val="14"/>
              </w:rPr>
            </w:pPr>
            <w:r w:rsidRPr="00050CD3">
              <w:rPr>
                <w:rFonts w:ascii="Arial" w:hAnsi="Arial"/>
                <w:b/>
                <w:bCs/>
                <w:color w:val="000000"/>
                <w:sz w:val="14"/>
                <w:szCs w:val="14"/>
              </w:rPr>
              <w:t>6+</w:t>
            </w:r>
          </w:p>
        </w:tc>
        <w:tc>
          <w:tcPr>
            <w:tcW w:w="692" w:type="dxa"/>
            <w:tcBorders>
              <w:left w:val="single" w:sz="4" w:space="0" w:color="auto"/>
            </w:tcBorders>
            <w:vAlign w:val="center"/>
          </w:tcPr>
          <w:p w14:paraId="2034BE93" w14:textId="77777777" w:rsidR="00434DD9" w:rsidRPr="00050CD3" w:rsidRDefault="00434DD9" w:rsidP="005C46EF">
            <w:pPr>
              <w:spacing w:before="30" w:after="30" w:line="240" w:lineRule="auto"/>
              <w:jc w:val="center"/>
              <w:rPr>
                <w:rFonts w:ascii="Arial" w:hAnsi="Arial"/>
                <w:b/>
                <w:bCs/>
                <w:color w:val="000000"/>
                <w:sz w:val="14"/>
                <w:szCs w:val="14"/>
              </w:rPr>
            </w:pPr>
            <w:r w:rsidRPr="00050CD3">
              <w:rPr>
                <w:rFonts w:ascii="Arial" w:hAnsi="Arial"/>
                <w:b/>
                <w:bCs/>
                <w:color w:val="000000"/>
                <w:sz w:val="14"/>
                <w:szCs w:val="14"/>
              </w:rPr>
              <w:t>9+</w:t>
            </w:r>
          </w:p>
        </w:tc>
      </w:tr>
      <w:tr w:rsidR="00434DD9" w:rsidRPr="00707A0D" w14:paraId="797FDFFD" w14:textId="77777777" w:rsidTr="005C46EF">
        <w:trPr>
          <w:jc w:val="center"/>
        </w:trPr>
        <w:tc>
          <w:tcPr>
            <w:tcW w:w="1439" w:type="dxa"/>
            <w:tcMar>
              <w:left w:w="28" w:type="dxa"/>
              <w:right w:w="28" w:type="dxa"/>
            </w:tcMar>
            <w:vAlign w:val="center"/>
          </w:tcPr>
          <w:p w14:paraId="1AF77F53" w14:textId="77777777" w:rsidR="00434DD9" w:rsidRPr="00050CD3" w:rsidRDefault="00434DD9" w:rsidP="005C46EF">
            <w:pPr>
              <w:spacing w:before="30" w:after="30" w:line="240" w:lineRule="auto"/>
              <w:rPr>
                <w:rFonts w:ascii="Arial" w:hAnsi="Arial"/>
                <w:color w:val="000000" w:themeColor="text1"/>
                <w:sz w:val="14"/>
                <w:szCs w:val="14"/>
              </w:rPr>
            </w:pPr>
            <w:r w:rsidRPr="00050CD3">
              <w:rPr>
                <w:rFonts w:ascii="Arial" w:hAnsi="Arial"/>
                <w:color w:val="000000" w:themeColor="text1"/>
                <w:sz w:val="14"/>
                <w:szCs w:val="14"/>
              </w:rPr>
              <w:t>Not enough</w:t>
            </w:r>
          </w:p>
        </w:tc>
        <w:tc>
          <w:tcPr>
            <w:tcW w:w="692" w:type="dxa"/>
            <w:tcMar>
              <w:left w:w="28" w:type="dxa"/>
              <w:right w:w="28" w:type="dxa"/>
            </w:tcMar>
            <w:vAlign w:val="center"/>
          </w:tcPr>
          <w:p w14:paraId="23DC5E02" w14:textId="77777777" w:rsidR="00434DD9" w:rsidRPr="008414BC" w:rsidRDefault="00434DD9" w:rsidP="005C46EF">
            <w:pPr>
              <w:spacing w:before="30" w:after="30" w:line="240" w:lineRule="auto"/>
              <w:jc w:val="center"/>
              <w:rPr>
                <w:rFonts w:ascii="Arial" w:hAnsi="Arial"/>
                <w:color w:val="000000" w:themeColor="text1"/>
                <w:sz w:val="14"/>
                <w:szCs w:val="14"/>
              </w:rPr>
            </w:pPr>
            <w:r w:rsidRPr="008414BC">
              <w:rPr>
                <w:rFonts w:ascii="Arial" w:hAnsi="Arial"/>
                <w:color w:val="000000"/>
                <w:sz w:val="14"/>
                <w:szCs w:val="14"/>
              </w:rPr>
              <w:t>14</w:t>
            </w:r>
          </w:p>
        </w:tc>
        <w:tc>
          <w:tcPr>
            <w:tcW w:w="692" w:type="dxa"/>
            <w:vAlign w:val="center"/>
          </w:tcPr>
          <w:p w14:paraId="580F37CF"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6</w:t>
            </w:r>
          </w:p>
        </w:tc>
        <w:tc>
          <w:tcPr>
            <w:tcW w:w="692" w:type="dxa"/>
            <w:vAlign w:val="center"/>
          </w:tcPr>
          <w:p w14:paraId="5ADCEC2B"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22</w:t>
            </w:r>
          </w:p>
        </w:tc>
        <w:tc>
          <w:tcPr>
            <w:tcW w:w="692" w:type="dxa"/>
            <w:tcMar>
              <w:left w:w="28" w:type="dxa"/>
              <w:right w:w="28" w:type="dxa"/>
            </w:tcMar>
            <w:vAlign w:val="center"/>
          </w:tcPr>
          <w:p w14:paraId="685D2401" w14:textId="77777777" w:rsidR="00434DD9" w:rsidRPr="008414BC" w:rsidRDefault="00434DD9" w:rsidP="005C46EF">
            <w:pPr>
              <w:spacing w:before="30" w:after="30" w:line="240" w:lineRule="auto"/>
              <w:jc w:val="center"/>
              <w:rPr>
                <w:rFonts w:ascii="Arial" w:hAnsi="Arial"/>
                <w:color w:val="000000" w:themeColor="text1"/>
                <w:sz w:val="14"/>
                <w:szCs w:val="14"/>
              </w:rPr>
            </w:pPr>
            <w:r w:rsidRPr="008414BC">
              <w:rPr>
                <w:rFonts w:ascii="Arial" w:hAnsi="Arial"/>
                <w:color w:val="000000"/>
                <w:sz w:val="14"/>
                <w:szCs w:val="14"/>
              </w:rPr>
              <w:t>50</w:t>
            </w:r>
          </w:p>
        </w:tc>
        <w:tc>
          <w:tcPr>
            <w:tcW w:w="692" w:type="dxa"/>
            <w:tcBorders>
              <w:right w:val="single" w:sz="8" w:space="0" w:color="auto"/>
            </w:tcBorders>
            <w:tcMar>
              <w:left w:w="28" w:type="dxa"/>
              <w:right w:w="28" w:type="dxa"/>
            </w:tcMar>
            <w:vAlign w:val="center"/>
          </w:tcPr>
          <w:p w14:paraId="583B3A44" w14:textId="77777777" w:rsidR="00434DD9" w:rsidRPr="008414BC" w:rsidRDefault="00434DD9" w:rsidP="005C46EF">
            <w:pPr>
              <w:spacing w:before="30" w:after="30" w:line="240" w:lineRule="auto"/>
              <w:jc w:val="center"/>
              <w:rPr>
                <w:rFonts w:ascii="Arial" w:hAnsi="Arial"/>
                <w:b/>
                <w:bCs/>
                <w:color w:val="000000" w:themeColor="text1"/>
                <w:sz w:val="14"/>
                <w:szCs w:val="14"/>
              </w:rPr>
            </w:pPr>
            <w:r w:rsidRPr="008414BC">
              <w:rPr>
                <w:rFonts w:ascii="Arial" w:hAnsi="Arial"/>
                <w:color w:val="000000"/>
                <w:sz w:val="14"/>
                <w:szCs w:val="14"/>
              </w:rPr>
              <w:t>62</w:t>
            </w:r>
          </w:p>
        </w:tc>
        <w:tc>
          <w:tcPr>
            <w:tcW w:w="692" w:type="dxa"/>
            <w:tcBorders>
              <w:left w:val="single" w:sz="8" w:space="0" w:color="auto"/>
              <w:right w:val="single" w:sz="4" w:space="0" w:color="auto"/>
            </w:tcBorders>
            <w:tcMar>
              <w:left w:w="28" w:type="dxa"/>
              <w:right w:w="28" w:type="dxa"/>
            </w:tcMar>
            <w:vAlign w:val="center"/>
          </w:tcPr>
          <w:p w14:paraId="73371EDD" w14:textId="77777777" w:rsidR="00434DD9" w:rsidRPr="008414BC" w:rsidRDefault="00434DD9" w:rsidP="005C46EF">
            <w:pPr>
              <w:spacing w:before="30" w:after="30" w:line="240" w:lineRule="auto"/>
              <w:jc w:val="center"/>
              <w:rPr>
                <w:rFonts w:ascii="Arial" w:hAnsi="Arial"/>
                <w:b/>
                <w:bCs/>
                <w:color w:val="000000" w:themeColor="text1"/>
                <w:sz w:val="14"/>
                <w:szCs w:val="14"/>
              </w:rPr>
            </w:pPr>
            <w:r w:rsidRPr="008414BC">
              <w:rPr>
                <w:rFonts w:ascii="Arial" w:hAnsi="Arial"/>
                <w:color w:val="000000"/>
                <w:sz w:val="14"/>
                <w:szCs w:val="14"/>
              </w:rPr>
              <w:t>11</w:t>
            </w:r>
          </w:p>
        </w:tc>
        <w:tc>
          <w:tcPr>
            <w:tcW w:w="692" w:type="dxa"/>
            <w:tcBorders>
              <w:left w:val="single" w:sz="4" w:space="0" w:color="auto"/>
              <w:right w:val="single" w:sz="4" w:space="0" w:color="auto"/>
            </w:tcBorders>
            <w:vAlign w:val="center"/>
          </w:tcPr>
          <w:p w14:paraId="24A7EE29"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5</w:t>
            </w:r>
          </w:p>
        </w:tc>
        <w:tc>
          <w:tcPr>
            <w:tcW w:w="692" w:type="dxa"/>
            <w:tcBorders>
              <w:left w:val="single" w:sz="4" w:space="0" w:color="auto"/>
              <w:right w:val="single" w:sz="4" w:space="0" w:color="auto"/>
            </w:tcBorders>
            <w:vAlign w:val="center"/>
          </w:tcPr>
          <w:p w14:paraId="596867B2"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22</w:t>
            </w:r>
          </w:p>
        </w:tc>
        <w:tc>
          <w:tcPr>
            <w:tcW w:w="692" w:type="dxa"/>
            <w:tcBorders>
              <w:top w:val="single" w:sz="4" w:space="0" w:color="auto"/>
              <w:left w:val="single" w:sz="4" w:space="0" w:color="auto"/>
              <w:bottom w:val="single" w:sz="4" w:space="0" w:color="auto"/>
              <w:right w:val="single" w:sz="4" w:space="0" w:color="auto"/>
            </w:tcBorders>
            <w:vAlign w:val="center"/>
          </w:tcPr>
          <w:p w14:paraId="155EF879"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50</w:t>
            </w:r>
          </w:p>
        </w:tc>
        <w:tc>
          <w:tcPr>
            <w:tcW w:w="692" w:type="dxa"/>
            <w:tcBorders>
              <w:left w:val="single" w:sz="4" w:space="0" w:color="auto"/>
            </w:tcBorders>
            <w:vAlign w:val="center"/>
          </w:tcPr>
          <w:p w14:paraId="776F0781"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62</w:t>
            </w:r>
          </w:p>
        </w:tc>
      </w:tr>
      <w:tr w:rsidR="00434DD9" w:rsidRPr="00317C3B" w14:paraId="68602D3E" w14:textId="77777777" w:rsidTr="005C46EF">
        <w:trPr>
          <w:jc w:val="center"/>
        </w:trPr>
        <w:tc>
          <w:tcPr>
            <w:tcW w:w="1439" w:type="dxa"/>
            <w:tcMar>
              <w:left w:w="28" w:type="dxa"/>
              <w:right w:w="28" w:type="dxa"/>
            </w:tcMar>
            <w:vAlign w:val="center"/>
          </w:tcPr>
          <w:p w14:paraId="39C0DE21" w14:textId="77777777" w:rsidR="00434DD9" w:rsidRPr="00050CD3" w:rsidRDefault="00434DD9" w:rsidP="005C46EF">
            <w:pPr>
              <w:spacing w:before="30" w:after="30" w:line="240" w:lineRule="auto"/>
              <w:rPr>
                <w:rFonts w:ascii="Arial" w:hAnsi="Arial"/>
                <w:color w:val="000000" w:themeColor="text1"/>
                <w:sz w:val="14"/>
                <w:szCs w:val="14"/>
              </w:rPr>
            </w:pPr>
            <w:r w:rsidRPr="00050CD3">
              <w:rPr>
                <w:rFonts w:ascii="Arial" w:hAnsi="Arial"/>
                <w:color w:val="000000" w:themeColor="text1"/>
                <w:sz w:val="14"/>
                <w:szCs w:val="14"/>
              </w:rPr>
              <w:t>Only just enough</w:t>
            </w:r>
          </w:p>
        </w:tc>
        <w:tc>
          <w:tcPr>
            <w:tcW w:w="692" w:type="dxa"/>
            <w:tcMar>
              <w:left w:w="28" w:type="dxa"/>
              <w:right w:w="28" w:type="dxa"/>
            </w:tcMar>
            <w:vAlign w:val="center"/>
          </w:tcPr>
          <w:p w14:paraId="37165D26" w14:textId="77777777" w:rsidR="00434DD9" w:rsidRPr="008414BC" w:rsidRDefault="00434DD9" w:rsidP="005C46EF">
            <w:pPr>
              <w:spacing w:before="30" w:after="30" w:line="240" w:lineRule="auto"/>
              <w:jc w:val="center"/>
              <w:rPr>
                <w:rFonts w:ascii="Arial" w:hAnsi="Arial"/>
                <w:color w:val="000000" w:themeColor="text1"/>
                <w:sz w:val="14"/>
                <w:szCs w:val="14"/>
              </w:rPr>
            </w:pPr>
            <w:r w:rsidRPr="008414BC">
              <w:rPr>
                <w:rFonts w:ascii="Arial" w:hAnsi="Arial"/>
                <w:color w:val="000000"/>
                <w:sz w:val="14"/>
                <w:szCs w:val="14"/>
              </w:rPr>
              <w:t>33</w:t>
            </w:r>
          </w:p>
        </w:tc>
        <w:tc>
          <w:tcPr>
            <w:tcW w:w="692" w:type="dxa"/>
            <w:vAlign w:val="center"/>
          </w:tcPr>
          <w:p w14:paraId="70004761"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26</w:t>
            </w:r>
          </w:p>
        </w:tc>
        <w:tc>
          <w:tcPr>
            <w:tcW w:w="692" w:type="dxa"/>
            <w:vAlign w:val="center"/>
          </w:tcPr>
          <w:p w14:paraId="55BF4681"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62</w:t>
            </w:r>
          </w:p>
        </w:tc>
        <w:tc>
          <w:tcPr>
            <w:tcW w:w="692" w:type="dxa"/>
            <w:tcMar>
              <w:left w:w="28" w:type="dxa"/>
              <w:right w:w="28" w:type="dxa"/>
            </w:tcMar>
            <w:vAlign w:val="center"/>
          </w:tcPr>
          <w:p w14:paraId="26009CDB" w14:textId="77777777" w:rsidR="00434DD9" w:rsidRPr="008414BC" w:rsidRDefault="00434DD9" w:rsidP="005C46EF">
            <w:pPr>
              <w:spacing w:before="30" w:after="30" w:line="240" w:lineRule="auto"/>
              <w:jc w:val="center"/>
              <w:rPr>
                <w:rFonts w:ascii="Arial" w:hAnsi="Arial"/>
                <w:color w:val="000000" w:themeColor="text1"/>
                <w:sz w:val="14"/>
                <w:szCs w:val="14"/>
              </w:rPr>
            </w:pPr>
            <w:r w:rsidRPr="008414BC">
              <w:rPr>
                <w:rFonts w:ascii="Arial" w:hAnsi="Arial"/>
                <w:color w:val="000000"/>
                <w:sz w:val="14"/>
                <w:szCs w:val="14"/>
              </w:rPr>
              <w:t>45</w:t>
            </w:r>
          </w:p>
        </w:tc>
        <w:tc>
          <w:tcPr>
            <w:tcW w:w="692" w:type="dxa"/>
            <w:tcBorders>
              <w:right w:val="single" w:sz="8" w:space="0" w:color="auto"/>
            </w:tcBorders>
            <w:tcMar>
              <w:left w:w="28" w:type="dxa"/>
              <w:right w:w="28" w:type="dxa"/>
            </w:tcMar>
            <w:vAlign w:val="center"/>
          </w:tcPr>
          <w:p w14:paraId="008E36CF" w14:textId="77777777" w:rsidR="00434DD9" w:rsidRPr="008414BC" w:rsidRDefault="00434DD9" w:rsidP="005C46EF">
            <w:pPr>
              <w:spacing w:before="30" w:after="30" w:line="240" w:lineRule="auto"/>
              <w:jc w:val="center"/>
              <w:rPr>
                <w:rFonts w:ascii="Arial" w:hAnsi="Arial"/>
                <w:b/>
                <w:bCs/>
                <w:color w:val="000000" w:themeColor="text1"/>
                <w:sz w:val="14"/>
                <w:szCs w:val="14"/>
              </w:rPr>
            </w:pPr>
            <w:r w:rsidRPr="008414BC">
              <w:rPr>
                <w:rFonts w:ascii="Arial" w:hAnsi="Arial"/>
                <w:color w:val="000000"/>
                <w:sz w:val="14"/>
                <w:szCs w:val="14"/>
              </w:rPr>
              <w:t>36</w:t>
            </w:r>
          </w:p>
        </w:tc>
        <w:tc>
          <w:tcPr>
            <w:tcW w:w="692" w:type="dxa"/>
            <w:tcBorders>
              <w:left w:val="single" w:sz="8" w:space="0" w:color="auto"/>
              <w:right w:val="single" w:sz="4" w:space="0" w:color="auto"/>
            </w:tcBorders>
            <w:tcMar>
              <w:left w:w="28" w:type="dxa"/>
              <w:right w:w="28" w:type="dxa"/>
            </w:tcMar>
            <w:vAlign w:val="center"/>
          </w:tcPr>
          <w:p w14:paraId="6AD94DFB" w14:textId="77777777" w:rsidR="00434DD9" w:rsidRPr="008414BC" w:rsidRDefault="00434DD9" w:rsidP="005C46EF">
            <w:pPr>
              <w:spacing w:before="30" w:after="30" w:line="240" w:lineRule="auto"/>
              <w:jc w:val="center"/>
              <w:rPr>
                <w:rFonts w:ascii="Arial" w:hAnsi="Arial"/>
                <w:b/>
                <w:bCs/>
                <w:color w:val="000000" w:themeColor="text1"/>
                <w:sz w:val="14"/>
                <w:szCs w:val="14"/>
              </w:rPr>
            </w:pPr>
            <w:r w:rsidRPr="008414BC">
              <w:rPr>
                <w:rFonts w:ascii="Arial" w:hAnsi="Arial"/>
                <w:color w:val="000000"/>
                <w:sz w:val="14"/>
                <w:szCs w:val="14"/>
              </w:rPr>
              <w:t>29</w:t>
            </w:r>
          </w:p>
        </w:tc>
        <w:tc>
          <w:tcPr>
            <w:tcW w:w="692" w:type="dxa"/>
            <w:tcBorders>
              <w:left w:val="single" w:sz="4" w:space="0" w:color="auto"/>
              <w:right w:val="single" w:sz="4" w:space="0" w:color="auto"/>
            </w:tcBorders>
            <w:vAlign w:val="center"/>
          </w:tcPr>
          <w:p w14:paraId="2D918B86"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22</w:t>
            </w:r>
          </w:p>
        </w:tc>
        <w:tc>
          <w:tcPr>
            <w:tcW w:w="692" w:type="dxa"/>
            <w:tcBorders>
              <w:left w:val="single" w:sz="4" w:space="0" w:color="auto"/>
              <w:right w:val="single" w:sz="4" w:space="0" w:color="auto"/>
            </w:tcBorders>
            <w:vAlign w:val="center"/>
          </w:tcPr>
          <w:p w14:paraId="43A263EE"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58</w:t>
            </w:r>
          </w:p>
        </w:tc>
        <w:tc>
          <w:tcPr>
            <w:tcW w:w="692" w:type="dxa"/>
            <w:tcBorders>
              <w:top w:val="single" w:sz="4" w:space="0" w:color="auto"/>
              <w:left w:val="single" w:sz="4" w:space="0" w:color="auto"/>
              <w:bottom w:val="single" w:sz="4" w:space="0" w:color="auto"/>
              <w:right w:val="single" w:sz="4" w:space="0" w:color="auto"/>
            </w:tcBorders>
            <w:vAlign w:val="center"/>
          </w:tcPr>
          <w:p w14:paraId="47E0698B"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43</w:t>
            </w:r>
          </w:p>
        </w:tc>
        <w:tc>
          <w:tcPr>
            <w:tcW w:w="692" w:type="dxa"/>
            <w:tcBorders>
              <w:left w:val="single" w:sz="4" w:space="0" w:color="auto"/>
            </w:tcBorders>
            <w:vAlign w:val="center"/>
          </w:tcPr>
          <w:p w14:paraId="073DC94C"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35</w:t>
            </w:r>
          </w:p>
        </w:tc>
      </w:tr>
      <w:tr w:rsidR="00434DD9" w:rsidRPr="00317C3B" w14:paraId="055C0AB9" w14:textId="77777777" w:rsidTr="005C46EF">
        <w:trPr>
          <w:jc w:val="center"/>
        </w:trPr>
        <w:tc>
          <w:tcPr>
            <w:tcW w:w="1439" w:type="dxa"/>
            <w:tcMar>
              <w:left w:w="28" w:type="dxa"/>
              <w:right w:w="28" w:type="dxa"/>
            </w:tcMar>
            <w:vAlign w:val="center"/>
          </w:tcPr>
          <w:p w14:paraId="4CB48C0C" w14:textId="77777777" w:rsidR="00434DD9" w:rsidRPr="00050CD3" w:rsidRDefault="00434DD9" w:rsidP="005C46EF">
            <w:pPr>
              <w:spacing w:before="30" w:after="30" w:line="240" w:lineRule="auto"/>
              <w:rPr>
                <w:rFonts w:ascii="Arial" w:hAnsi="Arial"/>
                <w:color w:val="000000" w:themeColor="text1"/>
                <w:sz w:val="14"/>
                <w:szCs w:val="14"/>
              </w:rPr>
            </w:pPr>
            <w:r w:rsidRPr="00050CD3">
              <w:rPr>
                <w:rFonts w:ascii="Arial" w:hAnsi="Arial"/>
                <w:color w:val="000000" w:themeColor="text1"/>
                <w:sz w:val="14"/>
                <w:szCs w:val="14"/>
              </w:rPr>
              <w:t>Enough</w:t>
            </w:r>
          </w:p>
        </w:tc>
        <w:tc>
          <w:tcPr>
            <w:tcW w:w="692" w:type="dxa"/>
            <w:tcMar>
              <w:left w:w="28" w:type="dxa"/>
              <w:right w:w="28" w:type="dxa"/>
            </w:tcMar>
            <w:vAlign w:val="center"/>
          </w:tcPr>
          <w:p w14:paraId="456D911C"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37</w:t>
            </w:r>
          </w:p>
        </w:tc>
        <w:tc>
          <w:tcPr>
            <w:tcW w:w="692" w:type="dxa"/>
            <w:vAlign w:val="center"/>
          </w:tcPr>
          <w:p w14:paraId="1764B677"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44</w:t>
            </w:r>
          </w:p>
        </w:tc>
        <w:tc>
          <w:tcPr>
            <w:tcW w:w="692" w:type="dxa"/>
            <w:vAlign w:val="center"/>
          </w:tcPr>
          <w:p w14:paraId="0DB8BE2A"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16</w:t>
            </w:r>
          </w:p>
        </w:tc>
        <w:tc>
          <w:tcPr>
            <w:tcW w:w="692" w:type="dxa"/>
            <w:tcMar>
              <w:left w:w="28" w:type="dxa"/>
              <w:right w:w="28" w:type="dxa"/>
            </w:tcMar>
            <w:vAlign w:val="center"/>
          </w:tcPr>
          <w:p w14:paraId="0363F6F3"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5</w:t>
            </w:r>
          </w:p>
        </w:tc>
        <w:tc>
          <w:tcPr>
            <w:tcW w:w="692" w:type="dxa"/>
            <w:tcBorders>
              <w:right w:val="single" w:sz="8" w:space="0" w:color="auto"/>
            </w:tcBorders>
            <w:tcMar>
              <w:left w:w="28" w:type="dxa"/>
              <w:right w:w="28" w:type="dxa"/>
            </w:tcMar>
            <w:vAlign w:val="center"/>
          </w:tcPr>
          <w:p w14:paraId="2D0589C4"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w:t>
            </w:r>
          </w:p>
        </w:tc>
        <w:tc>
          <w:tcPr>
            <w:tcW w:w="692" w:type="dxa"/>
            <w:tcBorders>
              <w:left w:val="single" w:sz="8" w:space="0" w:color="auto"/>
              <w:right w:val="single" w:sz="4" w:space="0" w:color="auto"/>
            </w:tcBorders>
            <w:tcMar>
              <w:left w:w="28" w:type="dxa"/>
              <w:right w:w="28" w:type="dxa"/>
            </w:tcMar>
            <w:vAlign w:val="center"/>
          </w:tcPr>
          <w:p w14:paraId="4882F49A"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41</w:t>
            </w:r>
          </w:p>
        </w:tc>
        <w:tc>
          <w:tcPr>
            <w:tcW w:w="692" w:type="dxa"/>
            <w:tcBorders>
              <w:left w:val="single" w:sz="4" w:space="0" w:color="auto"/>
              <w:right w:val="single" w:sz="4" w:space="0" w:color="auto"/>
            </w:tcBorders>
            <w:vAlign w:val="center"/>
          </w:tcPr>
          <w:p w14:paraId="62EE8DF6"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46</w:t>
            </w:r>
          </w:p>
        </w:tc>
        <w:tc>
          <w:tcPr>
            <w:tcW w:w="692" w:type="dxa"/>
            <w:tcBorders>
              <w:left w:val="single" w:sz="4" w:space="0" w:color="auto"/>
              <w:right w:val="single" w:sz="4" w:space="0" w:color="auto"/>
            </w:tcBorders>
            <w:vAlign w:val="center"/>
          </w:tcPr>
          <w:p w14:paraId="74C90449"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20</w:t>
            </w:r>
          </w:p>
        </w:tc>
        <w:tc>
          <w:tcPr>
            <w:tcW w:w="692" w:type="dxa"/>
            <w:tcBorders>
              <w:top w:val="single" w:sz="4" w:space="0" w:color="auto"/>
              <w:left w:val="single" w:sz="4" w:space="0" w:color="auto"/>
              <w:bottom w:val="single" w:sz="4" w:space="0" w:color="auto"/>
              <w:right w:val="single" w:sz="4" w:space="0" w:color="auto"/>
            </w:tcBorders>
            <w:vAlign w:val="center"/>
          </w:tcPr>
          <w:p w14:paraId="5EB65044"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7</w:t>
            </w:r>
          </w:p>
        </w:tc>
        <w:tc>
          <w:tcPr>
            <w:tcW w:w="692" w:type="dxa"/>
            <w:tcBorders>
              <w:left w:val="single" w:sz="4" w:space="0" w:color="auto"/>
            </w:tcBorders>
            <w:vAlign w:val="center"/>
          </w:tcPr>
          <w:p w14:paraId="13322256"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3</w:t>
            </w:r>
          </w:p>
        </w:tc>
      </w:tr>
      <w:tr w:rsidR="00434DD9" w:rsidRPr="00317C3B" w14:paraId="07DFA3E6" w14:textId="77777777" w:rsidTr="005C46EF">
        <w:trPr>
          <w:jc w:val="center"/>
        </w:trPr>
        <w:tc>
          <w:tcPr>
            <w:tcW w:w="1439" w:type="dxa"/>
            <w:tcMar>
              <w:left w:w="28" w:type="dxa"/>
              <w:right w:w="28" w:type="dxa"/>
            </w:tcMar>
            <w:vAlign w:val="center"/>
          </w:tcPr>
          <w:p w14:paraId="371407A4" w14:textId="77777777" w:rsidR="00434DD9" w:rsidRPr="00050CD3" w:rsidRDefault="00434DD9" w:rsidP="005C46EF">
            <w:pPr>
              <w:spacing w:before="30" w:after="30" w:line="240" w:lineRule="auto"/>
              <w:rPr>
                <w:rFonts w:ascii="Arial" w:hAnsi="Arial"/>
                <w:color w:val="000000" w:themeColor="text1"/>
                <w:sz w:val="14"/>
                <w:szCs w:val="14"/>
              </w:rPr>
            </w:pPr>
            <w:r w:rsidRPr="00050CD3">
              <w:rPr>
                <w:rFonts w:ascii="Arial" w:hAnsi="Arial"/>
                <w:color w:val="000000" w:themeColor="text1"/>
                <w:sz w:val="14"/>
                <w:szCs w:val="14"/>
              </w:rPr>
              <w:t>More than enough</w:t>
            </w:r>
          </w:p>
        </w:tc>
        <w:tc>
          <w:tcPr>
            <w:tcW w:w="692" w:type="dxa"/>
            <w:tcMar>
              <w:left w:w="28" w:type="dxa"/>
              <w:right w:w="28" w:type="dxa"/>
            </w:tcMar>
            <w:vAlign w:val="center"/>
          </w:tcPr>
          <w:p w14:paraId="1675ED68"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16</w:t>
            </w:r>
          </w:p>
        </w:tc>
        <w:tc>
          <w:tcPr>
            <w:tcW w:w="692" w:type="dxa"/>
            <w:vAlign w:val="center"/>
          </w:tcPr>
          <w:p w14:paraId="4521658E"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25</w:t>
            </w:r>
          </w:p>
        </w:tc>
        <w:tc>
          <w:tcPr>
            <w:tcW w:w="692" w:type="dxa"/>
            <w:vAlign w:val="center"/>
          </w:tcPr>
          <w:p w14:paraId="2D41C9F6"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1</w:t>
            </w:r>
          </w:p>
        </w:tc>
        <w:tc>
          <w:tcPr>
            <w:tcW w:w="692" w:type="dxa"/>
            <w:tcMar>
              <w:left w:w="28" w:type="dxa"/>
              <w:right w:w="28" w:type="dxa"/>
            </w:tcMar>
            <w:vAlign w:val="center"/>
          </w:tcPr>
          <w:p w14:paraId="4FED9FE2"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0</w:t>
            </w:r>
          </w:p>
        </w:tc>
        <w:tc>
          <w:tcPr>
            <w:tcW w:w="692" w:type="dxa"/>
            <w:tcBorders>
              <w:right w:val="single" w:sz="8" w:space="0" w:color="auto"/>
            </w:tcBorders>
            <w:tcMar>
              <w:left w:w="28" w:type="dxa"/>
              <w:right w:w="28" w:type="dxa"/>
            </w:tcMar>
            <w:vAlign w:val="center"/>
          </w:tcPr>
          <w:p w14:paraId="6A1B7FCF"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0</w:t>
            </w:r>
          </w:p>
        </w:tc>
        <w:tc>
          <w:tcPr>
            <w:tcW w:w="692" w:type="dxa"/>
            <w:tcBorders>
              <w:left w:val="single" w:sz="8" w:space="0" w:color="auto"/>
              <w:right w:val="single" w:sz="4" w:space="0" w:color="auto"/>
            </w:tcBorders>
            <w:tcMar>
              <w:left w:w="28" w:type="dxa"/>
              <w:right w:w="28" w:type="dxa"/>
            </w:tcMar>
            <w:vAlign w:val="center"/>
          </w:tcPr>
          <w:p w14:paraId="3C0318D1"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19</w:t>
            </w:r>
          </w:p>
        </w:tc>
        <w:tc>
          <w:tcPr>
            <w:tcW w:w="692" w:type="dxa"/>
            <w:tcBorders>
              <w:left w:val="single" w:sz="4" w:space="0" w:color="auto"/>
              <w:right w:val="single" w:sz="4" w:space="0" w:color="auto"/>
            </w:tcBorders>
            <w:vAlign w:val="center"/>
          </w:tcPr>
          <w:p w14:paraId="5DDBE3FD"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26</w:t>
            </w:r>
          </w:p>
        </w:tc>
        <w:tc>
          <w:tcPr>
            <w:tcW w:w="692" w:type="dxa"/>
            <w:tcBorders>
              <w:left w:val="single" w:sz="4" w:space="0" w:color="auto"/>
              <w:right w:val="single" w:sz="4" w:space="0" w:color="auto"/>
            </w:tcBorders>
            <w:vAlign w:val="center"/>
          </w:tcPr>
          <w:p w14:paraId="57C6477C"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1</w:t>
            </w:r>
          </w:p>
        </w:tc>
        <w:tc>
          <w:tcPr>
            <w:tcW w:w="692" w:type="dxa"/>
            <w:tcBorders>
              <w:top w:val="single" w:sz="4" w:space="0" w:color="auto"/>
              <w:left w:val="single" w:sz="4" w:space="0" w:color="auto"/>
              <w:bottom w:val="single" w:sz="4" w:space="0" w:color="auto"/>
              <w:right w:val="single" w:sz="4" w:space="0" w:color="auto"/>
            </w:tcBorders>
            <w:vAlign w:val="center"/>
          </w:tcPr>
          <w:p w14:paraId="6CB1536F"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0</w:t>
            </w:r>
          </w:p>
        </w:tc>
        <w:tc>
          <w:tcPr>
            <w:tcW w:w="692" w:type="dxa"/>
            <w:tcBorders>
              <w:left w:val="single" w:sz="4" w:space="0" w:color="auto"/>
            </w:tcBorders>
            <w:vAlign w:val="center"/>
          </w:tcPr>
          <w:p w14:paraId="69DABF09"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color w:val="000000"/>
                <w:sz w:val="14"/>
                <w:szCs w:val="14"/>
              </w:rPr>
              <w:t>0</w:t>
            </w:r>
          </w:p>
        </w:tc>
      </w:tr>
      <w:tr w:rsidR="00434DD9" w:rsidRPr="00317C3B" w14:paraId="0F2223A9" w14:textId="77777777" w:rsidTr="005C46EF">
        <w:trPr>
          <w:jc w:val="center"/>
        </w:trPr>
        <w:tc>
          <w:tcPr>
            <w:tcW w:w="1439" w:type="dxa"/>
            <w:tcMar>
              <w:left w:w="28" w:type="dxa"/>
              <w:right w:w="28" w:type="dxa"/>
            </w:tcMar>
            <w:vAlign w:val="center"/>
          </w:tcPr>
          <w:p w14:paraId="299F6A0D" w14:textId="77777777" w:rsidR="00434DD9" w:rsidRPr="00050CD3" w:rsidRDefault="00434DD9" w:rsidP="005C46EF">
            <w:pPr>
              <w:spacing w:before="30" w:after="30" w:line="240" w:lineRule="auto"/>
              <w:rPr>
                <w:rFonts w:ascii="Arial" w:hAnsi="Arial"/>
                <w:color w:val="000000" w:themeColor="text1"/>
                <w:sz w:val="14"/>
                <w:szCs w:val="14"/>
              </w:rPr>
            </w:pPr>
            <w:r w:rsidRPr="00050CD3">
              <w:rPr>
                <w:rFonts w:ascii="Arial" w:hAnsi="Arial"/>
                <w:b/>
                <w:bCs/>
                <w:color w:val="000000"/>
                <w:sz w:val="14"/>
                <w:szCs w:val="14"/>
              </w:rPr>
              <w:t>All</w:t>
            </w:r>
          </w:p>
        </w:tc>
        <w:tc>
          <w:tcPr>
            <w:tcW w:w="692" w:type="dxa"/>
            <w:tcMar>
              <w:left w:w="28" w:type="dxa"/>
              <w:right w:w="28" w:type="dxa"/>
            </w:tcMar>
            <w:vAlign w:val="center"/>
          </w:tcPr>
          <w:p w14:paraId="63B430BD"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b/>
                <w:bCs/>
                <w:color w:val="000000"/>
                <w:sz w:val="14"/>
                <w:szCs w:val="14"/>
              </w:rPr>
              <w:t>100</w:t>
            </w:r>
          </w:p>
        </w:tc>
        <w:tc>
          <w:tcPr>
            <w:tcW w:w="692" w:type="dxa"/>
            <w:vAlign w:val="center"/>
          </w:tcPr>
          <w:p w14:paraId="12BEAF76" w14:textId="77777777" w:rsidR="00434DD9" w:rsidRPr="008414BC" w:rsidRDefault="00434DD9" w:rsidP="005C46EF">
            <w:pPr>
              <w:spacing w:before="30" w:after="30" w:line="240" w:lineRule="auto"/>
              <w:jc w:val="center"/>
              <w:rPr>
                <w:rFonts w:ascii="Arial" w:hAnsi="Arial"/>
                <w:b/>
                <w:bCs/>
                <w:color w:val="000000"/>
                <w:sz w:val="14"/>
                <w:szCs w:val="14"/>
              </w:rPr>
            </w:pPr>
            <w:r w:rsidRPr="008414BC">
              <w:rPr>
                <w:rFonts w:ascii="Arial" w:hAnsi="Arial"/>
                <w:b/>
                <w:bCs/>
                <w:color w:val="000000"/>
                <w:sz w:val="14"/>
                <w:szCs w:val="14"/>
              </w:rPr>
              <w:t>100</w:t>
            </w:r>
          </w:p>
        </w:tc>
        <w:tc>
          <w:tcPr>
            <w:tcW w:w="692" w:type="dxa"/>
            <w:vAlign w:val="center"/>
          </w:tcPr>
          <w:p w14:paraId="385DEB74" w14:textId="77777777" w:rsidR="00434DD9" w:rsidRPr="008414BC" w:rsidRDefault="00434DD9" w:rsidP="005C46EF">
            <w:pPr>
              <w:spacing w:before="30" w:after="30" w:line="240" w:lineRule="auto"/>
              <w:jc w:val="center"/>
              <w:rPr>
                <w:rFonts w:ascii="Arial" w:hAnsi="Arial"/>
                <w:b/>
                <w:bCs/>
                <w:color w:val="000000"/>
                <w:sz w:val="14"/>
                <w:szCs w:val="14"/>
              </w:rPr>
            </w:pPr>
            <w:r w:rsidRPr="008414BC">
              <w:rPr>
                <w:rFonts w:ascii="Arial" w:hAnsi="Arial"/>
                <w:b/>
                <w:bCs/>
                <w:color w:val="000000"/>
                <w:sz w:val="14"/>
                <w:szCs w:val="14"/>
              </w:rPr>
              <w:t>100</w:t>
            </w:r>
          </w:p>
        </w:tc>
        <w:tc>
          <w:tcPr>
            <w:tcW w:w="692" w:type="dxa"/>
            <w:tcMar>
              <w:left w:w="28" w:type="dxa"/>
              <w:right w:w="28" w:type="dxa"/>
            </w:tcMar>
            <w:vAlign w:val="center"/>
          </w:tcPr>
          <w:p w14:paraId="061E93B7"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b/>
                <w:bCs/>
                <w:color w:val="000000"/>
                <w:sz w:val="14"/>
                <w:szCs w:val="14"/>
              </w:rPr>
              <w:t>100</w:t>
            </w:r>
          </w:p>
        </w:tc>
        <w:tc>
          <w:tcPr>
            <w:tcW w:w="692" w:type="dxa"/>
            <w:tcBorders>
              <w:right w:val="single" w:sz="8" w:space="0" w:color="auto"/>
            </w:tcBorders>
            <w:tcMar>
              <w:left w:w="28" w:type="dxa"/>
              <w:right w:w="28" w:type="dxa"/>
            </w:tcMar>
            <w:vAlign w:val="center"/>
          </w:tcPr>
          <w:p w14:paraId="5E158D66"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b/>
                <w:bCs/>
                <w:color w:val="000000"/>
                <w:sz w:val="14"/>
                <w:szCs w:val="14"/>
              </w:rPr>
              <w:t>100</w:t>
            </w:r>
          </w:p>
        </w:tc>
        <w:tc>
          <w:tcPr>
            <w:tcW w:w="692" w:type="dxa"/>
            <w:tcBorders>
              <w:left w:val="single" w:sz="8" w:space="0" w:color="auto"/>
              <w:right w:val="single" w:sz="4" w:space="0" w:color="auto"/>
            </w:tcBorders>
            <w:tcMar>
              <w:left w:w="28" w:type="dxa"/>
              <w:right w:w="28" w:type="dxa"/>
            </w:tcMar>
            <w:vAlign w:val="center"/>
          </w:tcPr>
          <w:p w14:paraId="7BDE6B8D"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b/>
                <w:bCs/>
                <w:color w:val="000000"/>
                <w:sz w:val="14"/>
                <w:szCs w:val="14"/>
              </w:rPr>
              <w:t>100</w:t>
            </w:r>
          </w:p>
        </w:tc>
        <w:tc>
          <w:tcPr>
            <w:tcW w:w="692" w:type="dxa"/>
            <w:tcBorders>
              <w:left w:val="single" w:sz="4" w:space="0" w:color="auto"/>
              <w:right w:val="single" w:sz="4" w:space="0" w:color="auto"/>
            </w:tcBorders>
            <w:vAlign w:val="center"/>
          </w:tcPr>
          <w:p w14:paraId="1ED0F6D6" w14:textId="77777777" w:rsidR="00434DD9" w:rsidRPr="008414BC" w:rsidRDefault="00434DD9" w:rsidP="005C46EF">
            <w:pPr>
              <w:spacing w:before="30" w:after="30" w:line="240" w:lineRule="auto"/>
              <w:jc w:val="center"/>
              <w:rPr>
                <w:rFonts w:ascii="Arial" w:hAnsi="Arial"/>
                <w:b/>
                <w:bCs/>
                <w:color w:val="000000"/>
                <w:sz w:val="14"/>
                <w:szCs w:val="14"/>
              </w:rPr>
            </w:pPr>
            <w:r w:rsidRPr="008414BC">
              <w:rPr>
                <w:rFonts w:ascii="Arial" w:hAnsi="Arial"/>
                <w:b/>
                <w:bCs/>
                <w:color w:val="000000"/>
                <w:sz w:val="14"/>
                <w:szCs w:val="14"/>
              </w:rPr>
              <w:t>100</w:t>
            </w:r>
          </w:p>
        </w:tc>
        <w:tc>
          <w:tcPr>
            <w:tcW w:w="692" w:type="dxa"/>
            <w:tcBorders>
              <w:left w:val="single" w:sz="4" w:space="0" w:color="auto"/>
              <w:right w:val="single" w:sz="4" w:space="0" w:color="auto"/>
            </w:tcBorders>
            <w:vAlign w:val="center"/>
          </w:tcPr>
          <w:p w14:paraId="519A37E6" w14:textId="77777777" w:rsidR="00434DD9" w:rsidRPr="008414BC" w:rsidRDefault="00434DD9" w:rsidP="005C46EF">
            <w:pPr>
              <w:spacing w:before="30" w:after="30" w:line="240" w:lineRule="auto"/>
              <w:jc w:val="center"/>
              <w:rPr>
                <w:rFonts w:ascii="Arial" w:hAnsi="Arial"/>
                <w:b/>
                <w:bCs/>
                <w:color w:val="000000"/>
                <w:sz w:val="14"/>
                <w:szCs w:val="14"/>
              </w:rPr>
            </w:pPr>
            <w:r w:rsidRPr="008414BC">
              <w:rPr>
                <w:rFonts w:ascii="Arial" w:hAnsi="Arial"/>
                <w:b/>
                <w:bCs/>
                <w:color w:val="000000"/>
                <w:sz w:val="14"/>
                <w:szCs w:val="14"/>
              </w:rPr>
              <w:t>100</w:t>
            </w:r>
          </w:p>
        </w:tc>
        <w:tc>
          <w:tcPr>
            <w:tcW w:w="692" w:type="dxa"/>
            <w:tcBorders>
              <w:top w:val="single" w:sz="4" w:space="0" w:color="auto"/>
              <w:left w:val="single" w:sz="4" w:space="0" w:color="auto"/>
              <w:bottom w:val="single" w:sz="4" w:space="0" w:color="auto"/>
              <w:right w:val="single" w:sz="4" w:space="0" w:color="auto"/>
            </w:tcBorders>
            <w:vAlign w:val="center"/>
          </w:tcPr>
          <w:p w14:paraId="245F4953"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b/>
                <w:bCs/>
                <w:color w:val="000000"/>
                <w:sz w:val="14"/>
                <w:szCs w:val="14"/>
              </w:rPr>
              <w:t>100</w:t>
            </w:r>
          </w:p>
        </w:tc>
        <w:tc>
          <w:tcPr>
            <w:tcW w:w="692" w:type="dxa"/>
            <w:tcBorders>
              <w:left w:val="single" w:sz="4" w:space="0" w:color="auto"/>
            </w:tcBorders>
            <w:vAlign w:val="center"/>
          </w:tcPr>
          <w:p w14:paraId="768CB5AA" w14:textId="77777777" w:rsidR="00434DD9" w:rsidRPr="008414BC" w:rsidRDefault="00434DD9" w:rsidP="005C46EF">
            <w:pPr>
              <w:spacing w:before="30" w:after="30" w:line="240" w:lineRule="auto"/>
              <w:jc w:val="center"/>
              <w:rPr>
                <w:rFonts w:ascii="Arial" w:hAnsi="Arial"/>
                <w:color w:val="000000"/>
                <w:sz w:val="14"/>
                <w:szCs w:val="14"/>
              </w:rPr>
            </w:pPr>
            <w:r w:rsidRPr="008414BC">
              <w:rPr>
                <w:rFonts w:ascii="Arial" w:hAnsi="Arial"/>
                <w:b/>
                <w:bCs/>
                <w:color w:val="000000"/>
                <w:sz w:val="14"/>
                <w:szCs w:val="14"/>
              </w:rPr>
              <w:t>100</w:t>
            </w:r>
          </w:p>
        </w:tc>
      </w:tr>
    </w:tbl>
    <w:p w14:paraId="2BBEC943" w14:textId="77777777" w:rsidR="00434DD9" w:rsidRDefault="00434DD9" w:rsidP="00434DD9">
      <w:pPr>
        <w:spacing w:before="40" w:after="0" w:line="240" w:lineRule="auto"/>
        <w:rPr>
          <w:rFonts w:ascii="Arial" w:hAnsi="Arial"/>
          <w:sz w:val="16"/>
          <w:szCs w:val="16"/>
        </w:rPr>
      </w:pPr>
    </w:p>
    <w:p w14:paraId="02BAB555" w14:textId="77777777" w:rsidR="008F2334" w:rsidRDefault="008F2334" w:rsidP="008F2334">
      <w:pPr>
        <w:spacing w:after="0" w:line="240" w:lineRule="auto"/>
        <w:rPr>
          <w:rFonts w:ascii="Arial" w:hAnsi="Arial"/>
          <w:b/>
          <w:bCs/>
          <w:color w:val="000000"/>
          <w:sz w:val="24"/>
          <w:szCs w:val="24"/>
        </w:rPr>
      </w:pPr>
    </w:p>
    <w:p w14:paraId="3336FC4C" w14:textId="24B4F26C" w:rsidR="009B77BE" w:rsidRPr="00FE2258" w:rsidRDefault="009B77BE" w:rsidP="009B77BE">
      <w:pPr>
        <w:spacing w:after="0" w:line="240" w:lineRule="auto"/>
        <w:rPr>
          <w:rFonts w:ascii="Arial" w:hAnsi="Arial"/>
          <w:bCs/>
          <w:color w:val="000000" w:themeColor="text1"/>
          <w:szCs w:val="20"/>
        </w:rPr>
      </w:pPr>
      <w:r w:rsidRPr="00FE2258">
        <w:rPr>
          <w:rFonts w:ascii="Arial" w:hAnsi="Arial"/>
          <w:bCs/>
          <w:color w:val="000000" w:themeColor="text1"/>
          <w:szCs w:val="20"/>
        </w:rPr>
        <w:t xml:space="preserve">As well as giving a further indication of how life is experienced for those in material hardship, the analysis also gives assurance about the validity of the index, given </w:t>
      </w:r>
      <w:r w:rsidR="00740EF0" w:rsidRPr="00FE2258">
        <w:rPr>
          <w:rFonts w:ascii="Arial" w:hAnsi="Arial"/>
          <w:bCs/>
          <w:color w:val="000000" w:themeColor="text1"/>
          <w:szCs w:val="20"/>
        </w:rPr>
        <w:t xml:space="preserve">both the vertical and horizontal distributions in </w:t>
      </w:r>
      <w:r w:rsidR="007E39DD" w:rsidRPr="00FE2258">
        <w:rPr>
          <w:rFonts w:ascii="Arial" w:hAnsi="Arial"/>
          <w:bCs/>
          <w:color w:val="000000" w:themeColor="text1"/>
          <w:szCs w:val="20"/>
        </w:rPr>
        <w:t>the table.</w:t>
      </w:r>
    </w:p>
    <w:p w14:paraId="5C2CA9BA" w14:textId="77777777" w:rsidR="009B77BE" w:rsidRPr="00FE2258" w:rsidRDefault="009B77BE" w:rsidP="00A1080C">
      <w:pPr>
        <w:spacing w:before="40" w:after="0" w:line="240" w:lineRule="auto"/>
        <w:rPr>
          <w:rFonts w:ascii="Arial" w:hAnsi="Arial"/>
          <w:szCs w:val="20"/>
        </w:rPr>
      </w:pPr>
    </w:p>
    <w:p w14:paraId="3C96DCE7" w14:textId="17FD849B" w:rsidR="00A1080C" w:rsidRPr="00350A9F" w:rsidRDefault="007E39DD" w:rsidP="00A1080C">
      <w:pPr>
        <w:spacing w:before="40" w:after="0" w:line="240" w:lineRule="auto"/>
        <w:rPr>
          <w:rFonts w:ascii="Arial" w:hAnsi="Arial"/>
          <w:szCs w:val="20"/>
        </w:rPr>
      </w:pPr>
      <w:r w:rsidRPr="00FE2258">
        <w:rPr>
          <w:rFonts w:ascii="Arial" w:hAnsi="Arial"/>
          <w:szCs w:val="20"/>
        </w:rPr>
        <w:t xml:space="preserve">The HES 2023-24 data is used for the analysis in the table as most of Section D is based on the HES data. </w:t>
      </w:r>
      <w:r w:rsidR="00350A9F" w:rsidRPr="00FE2258">
        <w:rPr>
          <w:rFonts w:ascii="Arial" w:hAnsi="Arial"/>
          <w:szCs w:val="20"/>
        </w:rPr>
        <w:t>Analysis of the HILS 2024-25 data produces the same overall findings</w:t>
      </w:r>
      <w:r w:rsidR="009B77BE" w:rsidRPr="00FE2258">
        <w:rPr>
          <w:rFonts w:ascii="Arial" w:hAnsi="Arial"/>
          <w:szCs w:val="20"/>
        </w:rPr>
        <w:t xml:space="preserve"> and very similar numbers.</w:t>
      </w:r>
      <w:r w:rsidR="00A1080C" w:rsidRPr="00FE2258">
        <w:rPr>
          <w:rFonts w:ascii="Arial" w:hAnsi="Arial"/>
          <w:szCs w:val="20"/>
        </w:rPr>
        <w:br/>
      </w:r>
      <w:r w:rsidR="00A1080C" w:rsidRPr="00350A9F">
        <w:rPr>
          <w:rFonts w:ascii="Arial" w:hAnsi="Arial"/>
          <w:szCs w:val="20"/>
        </w:rPr>
        <w:tab/>
      </w:r>
    </w:p>
    <w:p w14:paraId="02A56B1B" w14:textId="77777777" w:rsidR="00A1080C" w:rsidRDefault="00A1080C" w:rsidP="00A1080C">
      <w:pPr>
        <w:spacing w:after="0" w:line="240" w:lineRule="auto"/>
        <w:rPr>
          <w:rFonts w:ascii="Arial" w:hAnsi="Arial"/>
          <w:b/>
          <w:bCs/>
          <w:color w:val="000000"/>
          <w:sz w:val="24"/>
          <w:szCs w:val="24"/>
        </w:rPr>
      </w:pPr>
    </w:p>
    <w:p w14:paraId="1F0A8E7A" w14:textId="77777777" w:rsidR="00A1080C" w:rsidRDefault="00A1080C" w:rsidP="00A1080C">
      <w:pPr>
        <w:spacing w:after="0" w:line="240" w:lineRule="auto"/>
        <w:rPr>
          <w:rFonts w:ascii="Arial" w:hAnsi="Arial"/>
          <w:b/>
          <w:bCs/>
          <w:color w:val="000000"/>
          <w:sz w:val="24"/>
          <w:szCs w:val="24"/>
        </w:rPr>
      </w:pPr>
    </w:p>
    <w:p w14:paraId="7308A37B" w14:textId="77777777" w:rsidR="00A1080C" w:rsidRDefault="00A1080C" w:rsidP="00A1080C">
      <w:pPr>
        <w:spacing w:after="0" w:line="240" w:lineRule="auto"/>
        <w:rPr>
          <w:rFonts w:ascii="Arial" w:hAnsi="Arial"/>
          <w:b/>
          <w:bCs/>
          <w:color w:val="000000"/>
          <w:sz w:val="24"/>
          <w:szCs w:val="24"/>
        </w:rPr>
      </w:pPr>
    </w:p>
    <w:p w14:paraId="2D748944" w14:textId="77777777" w:rsidR="00A1080C" w:rsidRDefault="00A1080C" w:rsidP="00A1080C">
      <w:pPr>
        <w:spacing w:after="0" w:line="240" w:lineRule="auto"/>
        <w:rPr>
          <w:rFonts w:ascii="Arial" w:hAnsi="Arial"/>
          <w:b/>
          <w:bCs/>
          <w:color w:val="000000"/>
          <w:sz w:val="24"/>
          <w:szCs w:val="24"/>
        </w:rPr>
      </w:pPr>
    </w:p>
    <w:p w14:paraId="462F3D58" w14:textId="77777777" w:rsidR="009B7BA9" w:rsidRDefault="009B7BA9" w:rsidP="009B7BA9">
      <w:pPr>
        <w:tabs>
          <w:tab w:val="right" w:pos="9026"/>
        </w:tabs>
        <w:spacing w:after="0" w:line="240" w:lineRule="auto"/>
        <w:rPr>
          <w:rFonts w:ascii="Arial" w:hAnsi="Arial"/>
          <w:color w:val="000000" w:themeColor="text1"/>
          <w:szCs w:val="20"/>
          <w:highlight w:val="yellow"/>
        </w:rPr>
      </w:pPr>
    </w:p>
    <w:p w14:paraId="1D51283F" w14:textId="77777777" w:rsidR="009B7BA9" w:rsidRPr="003A4945" w:rsidRDefault="009B7BA9" w:rsidP="009B7BA9">
      <w:pPr>
        <w:spacing w:after="0" w:line="240" w:lineRule="auto"/>
        <w:jc w:val="both"/>
        <w:rPr>
          <w:rFonts w:ascii="Arial" w:hAnsi="Arial"/>
          <w:color w:val="FF0000"/>
          <w:szCs w:val="20"/>
        </w:rPr>
      </w:pPr>
    </w:p>
    <w:p w14:paraId="03C0F1D2" w14:textId="77777777" w:rsidR="009B7BA9" w:rsidRDefault="009B7BA9" w:rsidP="009B7BA9">
      <w:pPr>
        <w:spacing w:after="0" w:line="240" w:lineRule="auto"/>
        <w:rPr>
          <w:rFonts w:ascii="Arial" w:hAnsi="Arial"/>
          <w:b/>
          <w:bCs/>
          <w:color w:val="000000" w:themeColor="text1"/>
          <w:sz w:val="24"/>
          <w:szCs w:val="24"/>
        </w:rPr>
      </w:pPr>
      <w:r>
        <w:rPr>
          <w:rFonts w:ascii="Arial" w:hAnsi="Arial"/>
          <w:b/>
          <w:bCs/>
          <w:color w:val="000000" w:themeColor="text1"/>
          <w:sz w:val="24"/>
          <w:szCs w:val="24"/>
        </w:rPr>
        <w:br w:type="page"/>
      </w:r>
    </w:p>
    <w:p w14:paraId="20C5A5E8" w14:textId="77777777" w:rsidR="007F4F8A" w:rsidRDefault="007F4F8A">
      <w:pPr>
        <w:spacing w:after="0" w:line="240" w:lineRule="auto"/>
        <w:rPr>
          <w:rFonts w:ascii="Arial" w:hAnsi="Arial"/>
          <w:b/>
          <w:bCs/>
          <w:color w:val="000000" w:themeColor="text1"/>
          <w:sz w:val="36"/>
          <w:szCs w:val="36"/>
        </w:rPr>
      </w:pPr>
      <w:r>
        <w:rPr>
          <w:rFonts w:ascii="Arial" w:hAnsi="Arial"/>
          <w:b/>
          <w:bCs/>
          <w:color w:val="000000" w:themeColor="text1"/>
          <w:sz w:val="36"/>
          <w:szCs w:val="36"/>
        </w:rPr>
        <w:lastRenderedPageBreak/>
        <w:br w:type="page"/>
      </w:r>
    </w:p>
    <w:p w14:paraId="49B6E301" w14:textId="4DCBDC0C" w:rsidR="009914A8" w:rsidRPr="00B90B71" w:rsidRDefault="009914A8" w:rsidP="009B7BA9">
      <w:pPr>
        <w:tabs>
          <w:tab w:val="right" w:pos="9026"/>
        </w:tabs>
        <w:spacing w:after="60" w:line="240" w:lineRule="auto"/>
        <w:rPr>
          <w:rFonts w:ascii="Arial" w:hAnsi="Arial"/>
          <w:b/>
          <w:bCs/>
          <w:color w:val="000000" w:themeColor="text1"/>
          <w:sz w:val="36"/>
          <w:szCs w:val="36"/>
        </w:rPr>
      </w:pPr>
      <w:r w:rsidRPr="00B90B71">
        <w:rPr>
          <w:rFonts w:ascii="Arial" w:hAnsi="Arial"/>
          <w:b/>
          <w:bCs/>
          <w:color w:val="000000" w:themeColor="text1"/>
          <w:sz w:val="36"/>
          <w:szCs w:val="36"/>
        </w:rPr>
        <w:lastRenderedPageBreak/>
        <w:t xml:space="preserve">Section </w:t>
      </w:r>
      <w:r w:rsidR="006875CA" w:rsidRPr="00B90B71">
        <w:rPr>
          <w:rFonts w:ascii="Arial" w:hAnsi="Arial"/>
          <w:b/>
          <w:bCs/>
          <w:color w:val="000000" w:themeColor="text1"/>
          <w:sz w:val="36"/>
          <w:szCs w:val="36"/>
        </w:rPr>
        <w:t>E</w:t>
      </w:r>
    </w:p>
    <w:p w14:paraId="1AB43394" w14:textId="52163A92" w:rsidR="00D72478" w:rsidRPr="00B90B71" w:rsidRDefault="00D72478" w:rsidP="00D72478">
      <w:pPr>
        <w:tabs>
          <w:tab w:val="right" w:pos="9026"/>
        </w:tabs>
        <w:spacing w:after="0" w:line="240" w:lineRule="auto"/>
        <w:rPr>
          <w:rFonts w:ascii="Arial" w:hAnsi="Arial"/>
          <w:b/>
          <w:bCs/>
          <w:i/>
          <w:iCs/>
          <w:color w:val="000000" w:themeColor="text1"/>
          <w:sz w:val="22"/>
        </w:rPr>
      </w:pPr>
      <w:r w:rsidRPr="00B90B71">
        <w:rPr>
          <w:rFonts w:ascii="Arial" w:hAnsi="Arial"/>
          <w:b/>
          <w:bCs/>
          <w:color w:val="000000" w:themeColor="text1"/>
          <w:sz w:val="28"/>
          <w:szCs w:val="28"/>
        </w:rPr>
        <w:t xml:space="preserve">The demographics of child material hardship: </w:t>
      </w:r>
      <w:r w:rsidR="004D7CCC" w:rsidRPr="00B90B71">
        <w:rPr>
          <w:rFonts w:ascii="Arial" w:hAnsi="Arial"/>
          <w:b/>
          <w:bCs/>
          <w:color w:val="000000" w:themeColor="text1"/>
          <w:sz w:val="28"/>
          <w:szCs w:val="28"/>
        </w:rPr>
        <w:t>breakdowns</w:t>
      </w:r>
      <w:r w:rsidRPr="00B90B71">
        <w:rPr>
          <w:rFonts w:ascii="Arial" w:hAnsi="Arial"/>
          <w:b/>
          <w:bCs/>
          <w:color w:val="000000" w:themeColor="text1"/>
          <w:sz w:val="28"/>
          <w:szCs w:val="28"/>
        </w:rPr>
        <w:t xml:space="preserve"> for children </w:t>
      </w:r>
      <w:r w:rsidR="00E325A3" w:rsidRPr="00B90B71">
        <w:rPr>
          <w:rFonts w:ascii="Arial" w:hAnsi="Arial"/>
          <w:b/>
          <w:bCs/>
          <w:color w:val="000000" w:themeColor="text1"/>
          <w:sz w:val="28"/>
          <w:szCs w:val="28"/>
        </w:rPr>
        <w:t>in</w:t>
      </w:r>
      <w:r w:rsidRPr="00B90B71">
        <w:rPr>
          <w:rFonts w:ascii="Arial" w:hAnsi="Arial"/>
          <w:b/>
          <w:bCs/>
          <w:color w:val="000000" w:themeColor="text1"/>
          <w:sz w:val="28"/>
          <w:szCs w:val="28"/>
        </w:rPr>
        <w:t xml:space="preserve"> different household contexts</w:t>
      </w:r>
      <w:r w:rsidR="004D7CCC" w:rsidRPr="00B90B71">
        <w:rPr>
          <w:rFonts w:ascii="Arial" w:hAnsi="Arial"/>
          <w:b/>
          <w:bCs/>
          <w:color w:val="000000" w:themeColor="text1"/>
          <w:sz w:val="28"/>
          <w:szCs w:val="28"/>
        </w:rPr>
        <w:t xml:space="preserve"> and </w:t>
      </w:r>
      <w:r w:rsidR="00E325A3" w:rsidRPr="00B90B71">
        <w:rPr>
          <w:rFonts w:ascii="Arial" w:hAnsi="Arial"/>
          <w:b/>
          <w:bCs/>
          <w:color w:val="000000" w:themeColor="text1"/>
          <w:sz w:val="28"/>
          <w:szCs w:val="28"/>
        </w:rPr>
        <w:t xml:space="preserve">for </w:t>
      </w:r>
      <w:r w:rsidR="004D7CCC" w:rsidRPr="00B90B71">
        <w:rPr>
          <w:rFonts w:ascii="Arial" w:hAnsi="Arial"/>
          <w:b/>
          <w:bCs/>
          <w:color w:val="000000" w:themeColor="text1"/>
          <w:sz w:val="28"/>
          <w:szCs w:val="28"/>
        </w:rPr>
        <w:t>individual characteristics</w:t>
      </w:r>
      <w:r w:rsidRPr="00B90B71">
        <w:rPr>
          <w:rFonts w:ascii="Arial" w:hAnsi="Arial"/>
          <w:b/>
          <w:bCs/>
          <w:color w:val="000000" w:themeColor="text1"/>
          <w:sz w:val="28"/>
          <w:szCs w:val="28"/>
        </w:rPr>
        <w:t>; comparisons with selected households without children</w:t>
      </w:r>
    </w:p>
    <w:p w14:paraId="2D78967F" w14:textId="77777777" w:rsidR="00AE6196" w:rsidRDefault="00AE6196" w:rsidP="00D72478">
      <w:pPr>
        <w:tabs>
          <w:tab w:val="right" w:pos="9026"/>
        </w:tabs>
        <w:spacing w:after="0" w:line="240" w:lineRule="auto"/>
        <w:rPr>
          <w:rFonts w:ascii="Arial" w:hAnsi="Arial"/>
          <w:b/>
          <w:bCs/>
          <w:i/>
          <w:iCs/>
          <w:color w:val="0000FF"/>
          <w:sz w:val="22"/>
        </w:rPr>
      </w:pPr>
    </w:p>
    <w:p w14:paraId="30E9827E" w14:textId="6AB42B42" w:rsidR="00CA7FA1" w:rsidRDefault="00CA7FA1" w:rsidP="00D72478">
      <w:pPr>
        <w:tabs>
          <w:tab w:val="right" w:pos="9026"/>
        </w:tabs>
        <w:spacing w:after="0" w:line="240" w:lineRule="auto"/>
        <w:rPr>
          <w:rFonts w:ascii="Arial" w:hAnsi="Arial"/>
          <w:color w:val="000000" w:themeColor="text1"/>
          <w:szCs w:val="20"/>
        </w:rPr>
      </w:pPr>
      <w:r w:rsidRPr="00CA7FA1">
        <w:rPr>
          <w:rFonts w:ascii="Arial" w:hAnsi="Arial"/>
          <w:color w:val="000000" w:themeColor="text1"/>
          <w:szCs w:val="20"/>
        </w:rPr>
        <w:t>This section</w:t>
      </w:r>
      <w:r>
        <w:rPr>
          <w:rFonts w:ascii="Arial" w:hAnsi="Arial"/>
          <w:color w:val="000000" w:themeColor="text1"/>
          <w:szCs w:val="20"/>
        </w:rPr>
        <w:t xml:space="preserve"> provides detailed breakdowns on material hardship for children for a range of household contexts and individual characteristics:</w:t>
      </w:r>
    </w:p>
    <w:p w14:paraId="35FEA994" w14:textId="3D229514" w:rsidR="00CA7FA1" w:rsidRPr="002974A5" w:rsidRDefault="00CA7FA1">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household type</w:t>
      </w:r>
    </w:p>
    <w:p w14:paraId="7CB2352B" w14:textId="66DC6FA2" w:rsidR="00CA7FA1" w:rsidRPr="002974A5" w:rsidRDefault="00CA7FA1">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number of children in the household</w:t>
      </w:r>
    </w:p>
    <w:p w14:paraId="4DC02F95" w14:textId="6425ABC6" w:rsidR="00CA7FA1" w:rsidRPr="002974A5" w:rsidRDefault="00CA7FA1">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tenure</w:t>
      </w:r>
    </w:p>
    <w:p w14:paraId="50F5F6AD" w14:textId="40E84244" w:rsidR="00CA7FA1" w:rsidRPr="002974A5" w:rsidRDefault="00CA7FA1">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work intensity</w:t>
      </w:r>
    </w:p>
    <w:p w14:paraId="2CCA5907" w14:textId="711126D2" w:rsidR="00CA7FA1" w:rsidRDefault="00CA7FA1">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main source of income – market or government</w:t>
      </w:r>
    </w:p>
    <w:p w14:paraId="7961A0F2" w14:textId="77777777" w:rsidR="009A33B5" w:rsidRPr="002974A5" w:rsidRDefault="009A33B5">
      <w:pPr>
        <w:pStyle w:val="ListParagraph"/>
        <w:numPr>
          <w:ilvl w:val="0"/>
          <w:numId w:val="71"/>
        </w:numPr>
        <w:tabs>
          <w:tab w:val="right" w:pos="9026"/>
        </w:tabs>
        <w:spacing w:after="0" w:line="240" w:lineRule="auto"/>
        <w:rPr>
          <w:rFonts w:ascii="Arial" w:hAnsi="Arial"/>
          <w:color w:val="000000" w:themeColor="text1"/>
          <w:szCs w:val="20"/>
        </w:rPr>
      </w:pPr>
      <w:r>
        <w:rPr>
          <w:rFonts w:ascii="Arial" w:hAnsi="Arial"/>
          <w:color w:val="000000" w:themeColor="text1"/>
          <w:szCs w:val="20"/>
        </w:rPr>
        <w:t>h</w:t>
      </w:r>
      <w:r w:rsidRPr="002974A5">
        <w:rPr>
          <w:rFonts w:ascii="Arial" w:hAnsi="Arial"/>
          <w:color w:val="000000" w:themeColor="text1"/>
          <w:szCs w:val="20"/>
        </w:rPr>
        <w:t>ighest educational qual</w:t>
      </w:r>
      <w:r>
        <w:rPr>
          <w:rFonts w:ascii="Arial" w:hAnsi="Arial"/>
          <w:color w:val="000000" w:themeColor="text1"/>
          <w:szCs w:val="20"/>
        </w:rPr>
        <w:t>ification</w:t>
      </w:r>
      <w:r w:rsidRPr="002974A5">
        <w:rPr>
          <w:rFonts w:ascii="Arial" w:hAnsi="Arial"/>
          <w:color w:val="000000" w:themeColor="text1"/>
          <w:szCs w:val="20"/>
        </w:rPr>
        <w:t xml:space="preserve"> in </w:t>
      </w:r>
      <w:r>
        <w:rPr>
          <w:rFonts w:ascii="Arial" w:hAnsi="Arial"/>
          <w:color w:val="000000" w:themeColor="text1"/>
          <w:szCs w:val="20"/>
        </w:rPr>
        <w:t>the household</w:t>
      </w:r>
    </w:p>
    <w:p w14:paraId="05BB1547" w14:textId="77777777" w:rsidR="003213BD" w:rsidRPr="002974A5" w:rsidRDefault="003213BD">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ethnicity</w:t>
      </w:r>
    </w:p>
    <w:p w14:paraId="752C054E" w14:textId="77777777" w:rsidR="003213BD" w:rsidRPr="002974A5" w:rsidRDefault="003213BD">
      <w:pPr>
        <w:pStyle w:val="ListParagraph"/>
        <w:numPr>
          <w:ilvl w:val="0"/>
          <w:numId w:val="71"/>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disability status</w:t>
      </w:r>
    </w:p>
    <w:p w14:paraId="32A29E72" w14:textId="7D6DBA3D" w:rsidR="00CA7FA1" w:rsidRPr="0048140E" w:rsidRDefault="00CA7FA1">
      <w:pPr>
        <w:pStyle w:val="ListParagraph"/>
        <w:numPr>
          <w:ilvl w:val="0"/>
          <w:numId w:val="71"/>
        </w:numPr>
        <w:tabs>
          <w:tab w:val="right" w:pos="9026"/>
        </w:tabs>
        <w:spacing w:after="0" w:line="240" w:lineRule="auto"/>
        <w:rPr>
          <w:rFonts w:ascii="Arial" w:hAnsi="Arial"/>
          <w:color w:val="000000" w:themeColor="text1"/>
          <w:szCs w:val="20"/>
        </w:rPr>
      </w:pPr>
      <w:r w:rsidRPr="0048140E">
        <w:rPr>
          <w:rFonts w:ascii="Arial" w:hAnsi="Arial"/>
          <w:color w:val="000000" w:themeColor="text1"/>
          <w:szCs w:val="20"/>
        </w:rPr>
        <w:t>age (younger children compared with older children, all children compared with older N</w:t>
      </w:r>
      <w:r w:rsidR="00E325A3" w:rsidRPr="0048140E">
        <w:rPr>
          <w:rFonts w:ascii="Arial" w:hAnsi="Arial"/>
          <w:color w:val="000000" w:themeColor="text1"/>
          <w:szCs w:val="20"/>
        </w:rPr>
        <w:t>ew Zealanders</w:t>
      </w:r>
      <w:r w:rsidRPr="0048140E">
        <w:rPr>
          <w:rFonts w:ascii="Arial" w:hAnsi="Arial"/>
          <w:color w:val="000000" w:themeColor="text1"/>
          <w:szCs w:val="20"/>
        </w:rPr>
        <w:t>)</w:t>
      </w:r>
    </w:p>
    <w:p w14:paraId="752BC04D" w14:textId="77777777" w:rsidR="00CA7FA1" w:rsidRDefault="00CA7FA1" w:rsidP="00D72478">
      <w:pPr>
        <w:tabs>
          <w:tab w:val="right" w:pos="9026"/>
        </w:tabs>
        <w:spacing w:after="0" w:line="240" w:lineRule="auto"/>
        <w:rPr>
          <w:rFonts w:ascii="Arial" w:hAnsi="Arial"/>
          <w:color w:val="000000" w:themeColor="text1"/>
          <w:szCs w:val="20"/>
        </w:rPr>
      </w:pPr>
    </w:p>
    <w:p w14:paraId="22AC1B2E" w14:textId="6F62E59E" w:rsidR="00CA7FA1" w:rsidRDefault="00CA7FA1" w:rsidP="00D72478">
      <w:pPr>
        <w:tabs>
          <w:tab w:val="right" w:pos="9026"/>
        </w:tabs>
        <w:spacing w:after="0" w:line="240" w:lineRule="auto"/>
        <w:rPr>
          <w:rFonts w:ascii="Arial" w:hAnsi="Arial"/>
          <w:color w:val="000000" w:themeColor="text1"/>
          <w:szCs w:val="20"/>
        </w:rPr>
      </w:pPr>
      <w:r>
        <w:rPr>
          <w:rFonts w:ascii="Arial" w:hAnsi="Arial"/>
          <w:color w:val="000000" w:themeColor="text1"/>
          <w:szCs w:val="20"/>
        </w:rPr>
        <w:t xml:space="preserve">It also </w:t>
      </w:r>
      <w:r w:rsidR="00C24200">
        <w:rPr>
          <w:rFonts w:ascii="Arial" w:hAnsi="Arial"/>
          <w:color w:val="000000" w:themeColor="text1"/>
          <w:szCs w:val="20"/>
        </w:rPr>
        <w:t>reports on:</w:t>
      </w:r>
      <w:r>
        <w:rPr>
          <w:rFonts w:ascii="Arial" w:hAnsi="Arial"/>
          <w:color w:val="000000" w:themeColor="text1"/>
          <w:szCs w:val="20"/>
        </w:rPr>
        <w:t xml:space="preserve">  </w:t>
      </w:r>
    </w:p>
    <w:p w14:paraId="48E661B2" w14:textId="77777777" w:rsidR="00CA7FA1" w:rsidRPr="002974A5" w:rsidRDefault="00CA7FA1">
      <w:pPr>
        <w:pStyle w:val="ListParagraph"/>
        <w:numPr>
          <w:ilvl w:val="0"/>
          <w:numId w:val="72"/>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foodbank usage for Auckland</w:t>
      </w:r>
    </w:p>
    <w:p w14:paraId="49E52294" w14:textId="044DC7AF" w:rsidR="00CA7FA1" w:rsidRPr="002974A5" w:rsidRDefault="00CA7FA1">
      <w:pPr>
        <w:pStyle w:val="ListParagraph"/>
        <w:numPr>
          <w:ilvl w:val="0"/>
          <w:numId w:val="72"/>
        </w:num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 xml:space="preserve">the distribution of children across levels of </w:t>
      </w:r>
      <w:r w:rsidR="003213BD">
        <w:rPr>
          <w:rFonts w:ascii="Arial" w:hAnsi="Arial"/>
          <w:color w:val="000000" w:themeColor="text1"/>
          <w:szCs w:val="20"/>
        </w:rPr>
        <w:t>socio-economic status using the NZDep index</w:t>
      </w:r>
    </w:p>
    <w:p w14:paraId="01E2E2E3" w14:textId="77777777" w:rsidR="00CA7FA1" w:rsidRDefault="00CA7FA1" w:rsidP="00D72478">
      <w:pPr>
        <w:tabs>
          <w:tab w:val="right" w:pos="9026"/>
        </w:tabs>
        <w:spacing w:after="0" w:line="240" w:lineRule="auto"/>
        <w:rPr>
          <w:rFonts w:ascii="Arial" w:hAnsi="Arial"/>
          <w:i/>
          <w:iCs/>
          <w:color w:val="000000" w:themeColor="text1"/>
          <w:szCs w:val="20"/>
        </w:rPr>
      </w:pPr>
    </w:p>
    <w:p w14:paraId="056D6F6D" w14:textId="79D434D2" w:rsidR="00CA7FA1" w:rsidRPr="002974A5" w:rsidRDefault="002974A5" w:rsidP="00D72478">
      <w:pPr>
        <w:tabs>
          <w:tab w:val="right" w:pos="9026"/>
        </w:tabs>
        <w:spacing w:after="0" w:line="240" w:lineRule="auto"/>
        <w:rPr>
          <w:rFonts w:ascii="Arial" w:hAnsi="Arial"/>
          <w:color w:val="000000" w:themeColor="text1"/>
          <w:szCs w:val="20"/>
        </w:rPr>
      </w:pPr>
      <w:r w:rsidRPr="002974A5">
        <w:rPr>
          <w:rFonts w:ascii="Arial" w:hAnsi="Arial"/>
          <w:color w:val="000000" w:themeColor="text1"/>
          <w:szCs w:val="20"/>
        </w:rPr>
        <w:t xml:space="preserve">Most of the analysis uses </w:t>
      </w:r>
      <w:r w:rsidR="00923C9A">
        <w:rPr>
          <w:rFonts w:ascii="Arial" w:hAnsi="Arial"/>
          <w:color w:val="000000" w:themeColor="text1"/>
          <w:szCs w:val="20"/>
        </w:rPr>
        <w:t xml:space="preserve">the </w:t>
      </w:r>
      <w:r w:rsidRPr="002974A5">
        <w:rPr>
          <w:rFonts w:ascii="Arial" w:hAnsi="Arial"/>
          <w:color w:val="000000" w:themeColor="text1"/>
          <w:szCs w:val="20"/>
        </w:rPr>
        <w:t>MH-18</w:t>
      </w:r>
      <w:r w:rsidR="00923C9A">
        <w:rPr>
          <w:rFonts w:ascii="Arial" w:hAnsi="Arial"/>
          <w:color w:val="000000" w:themeColor="text1"/>
          <w:szCs w:val="20"/>
        </w:rPr>
        <w:t xml:space="preserve"> index</w:t>
      </w:r>
      <w:r w:rsidRPr="002974A5">
        <w:rPr>
          <w:rFonts w:ascii="Arial" w:hAnsi="Arial"/>
          <w:color w:val="000000" w:themeColor="text1"/>
          <w:szCs w:val="20"/>
        </w:rPr>
        <w:t xml:space="preserve"> with HILS 2024-25 but</w:t>
      </w:r>
      <w:r w:rsidR="00C24200">
        <w:rPr>
          <w:rFonts w:ascii="Arial" w:hAnsi="Arial"/>
          <w:color w:val="000000" w:themeColor="text1"/>
          <w:szCs w:val="20"/>
        </w:rPr>
        <w:t xml:space="preserve"> </w:t>
      </w:r>
      <w:r w:rsidRPr="002974A5">
        <w:rPr>
          <w:rFonts w:ascii="Arial" w:hAnsi="Arial"/>
          <w:color w:val="000000" w:themeColor="text1"/>
          <w:szCs w:val="20"/>
        </w:rPr>
        <w:t>some of the breakdowns</w:t>
      </w:r>
      <w:r>
        <w:rPr>
          <w:rFonts w:ascii="Arial" w:hAnsi="Arial"/>
          <w:color w:val="000000" w:themeColor="text1"/>
          <w:szCs w:val="20"/>
        </w:rPr>
        <w:t xml:space="preserve"> noted above are </w:t>
      </w:r>
      <w:r w:rsidRPr="002974A5">
        <w:rPr>
          <w:rFonts w:ascii="Arial" w:hAnsi="Arial"/>
          <w:color w:val="000000" w:themeColor="text1"/>
          <w:szCs w:val="20"/>
        </w:rPr>
        <w:t>not available from HILS</w:t>
      </w:r>
      <w:r>
        <w:rPr>
          <w:rFonts w:ascii="Arial" w:hAnsi="Arial"/>
          <w:color w:val="000000" w:themeColor="text1"/>
          <w:szCs w:val="20"/>
        </w:rPr>
        <w:t>. In these cases</w:t>
      </w:r>
      <w:r w:rsidRPr="002974A5">
        <w:rPr>
          <w:rFonts w:ascii="Arial" w:hAnsi="Arial"/>
          <w:color w:val="000000" w:themeColor="text1"/>
          <w:szCs w:val="20"/>
        </w:rPr>
        <w:t xml:space="preserve"> the 2023-24 HES data is used with </w:t>
      </w:r>
      <w:r w:rsidR="00C24200">
        <w:rPr>
          <w:rFonts w:ascii="Arial" w:hAnsi="Arial"/>
          <w:color w:val="000000" w:themeColor="text1"/>
          <w:szCs w:val="20"/>
        </w:rPr>
        <w:t xml:space="preserve">the </w:t>
      </w:r>
      <w:r w:rsidRPr="002974A5">
        <w:rPr>
          <w:rFonts w:ascii="Arial" w:hAnsi="Arial"/>
          <w:color w:val="000000" w:themeColor="text1"/>
          <w:szCs w:val="20"/>
        </w:rPr>
        <w:t>DEP-17</w:t>
      </w:r>
      <w:r w:rsidR="00C24200">
        <w:rPr>
          <w:rFonts w:ascii="Arial" w:hAnsi="Arial"/>
          <w:color w:val="000000" w:themeColor="text1"/>
          <w:szCs w:val="20"/>
        </w:rPr>
        <w:t xml:space="preserve"> index.</w:t>
      </w:r>
    </w:p>
    <w:p w14:paraId="171201FA" w14:textId="77777777" w:rsidR="00A64E1C" w:rsidRPr="002974A5" w:rsidRDefault="00A64E1C" w:rsidP="00D72478">
      <w:pPr>
        <w:tabs>
          <w:tab w:val="right" w:pos="9026"/>
        </w:tabs>
        <w:spacing w:after="0" w:line="240" w:lineRule="auto"/>
        <w:rPr>
          <w:rFonts w:ascii="Arial" w:hAnsi="Arial"/>
          <w:color w:val="000000" w:themeColor="text1"/>
          <w:szCs w:val="20"/>
        </w:rPr>
      </w:pPr>
    </w:p>
    <w:p w14:paraId="4D050CB7" w14:textId="77777777" w:rsidR="00A94269" w:rsidRPr="00FC709B" w:rsidRDefault="00A94269" w:rsidP="00D72478">
      <w:pPr>
        <w:tabs>
          <w:tab w:val="right" w:pos="9026"/>
        </w:tabs>
        <w:spacing w:after="0" w:line="240" w:lineRule="auto"/>
        <w:rPr>
          <w:rFonts w:ascii="Arial" w:hAnsi="Arial"/>
          <w:i/>
          <w:iCs/>
          <w:color w:val="000000" w:themeColor="text1"/>
          <w:szCs w:val="20"/>
        </w:rPr>
      </w:pPr>
    </w:p>
    <w:p w14:paraId="529C2DE4" w14:textId="77777777" w:rsidR="00AE6196" w:rsidRPr="00FC709B" w:rsidRDefault="00AE6196" w:rsidP="00D72478">
      <w:pPr>
        <w:tabs>
          <w:tab w:val="right" w:pos="9026"/>
        </w:tabs>
        <w:spacing w:after="0" w:line="240" w:lineRule="auto"/>
        <w:rPr>
          <w:rFonts w:ascii="Arial" w:hAnsi="Arial"/>
          <w:b/>
          <w:bCs/>
          <w:i/>
          <w:iCs/>
          <w:color w:val="0000FF"/>
          <w:sz w:val="22"/>
        </w:rPr>
      </w:pPr>
    </w:p>
    <w:p w14:paraId="781036BC" w14:textId="77777777" w:rsidR="00D72478" w:rsidRPr="009914A8" w:rsidRDefault="00D72478" w:rsidP="009914A8">
      <w:pPr>
        <w:tabs>
          <w:tab w:val="right" w:pos="9026"/>
        </w:tabs>
        <w:spacing w:after="0" w:line="240" w:lineRule="auto"/>
        <w:rPr>
          <w:rFonts w:ascii="Arial" w:hAnsi="Arial"/>
          <w:b/>
          <w:bCs/>
          <w:color w:val="0000FF"/>
          <w:sz w:val="22"/>
        </w:rPr>
      </w:pPr>
    </w:p>
    <w:p w14:paraId="7AA3FB2A" w14:textId="77777777" w:rsidR="00BC4940" w:rsidRPr="00CC10A0" w:rsidRDefault="00BC4940" w:rsidP="00BC4940">
      <w:pPr>
        <w:spacing w:after="0" w:line="240" w:lineRule="auto"/>
        <w:rPr>
          <w:rFonts w:ascii="Arial" w:hAnsi="Arial"/>
          <w:color w:val="000000" w:themeColor="text1"/>
        </w:rPr>
      </w:pPr>
    </w:p>
    <w:p w14:paraId="7AE51EC7" w14:textId="3D95851C" w:rsidR="001B2718" w:rsidRDefault="001B2718" w:rsidP="001B2718">
      <w:pPr>
        <w:spacing w:after="0" w:line="240" w:lineRule="auto"/>
        <w:rPr>
          <w:rFonts w:ascii="Arial" w:hAnsi="Arial"/>
          <w:color w:val="000000" w:themeColor="text1"/>
          <w:szCs w:val="20"/>
        </w:rPr>
      </w:pPr>
      <w:r>
        <w:rPr>
          <w:rFonts w:ascii="Arial" w:hAnsi="Arial"/>
          <w:b/>
          <w:bCs/>
          <w:color w:val="000000" w:themeColor="text1"/>
          <w:sz w:val="36"/>
          <w:szCs w:val="36"/>
        </w:rPr>
        <w:br w:type="page"/>
      </w:r>
      <w:r w:rsidRPr="00FC46B4">
        <w:rPr>
          <w:rFonts w:ascii="Arial" w:hAnsi="Arial"/>
          <w:b/>
          <w:bCs/>
          <w:color w:val="000000" w:themeColor="text1"/>
          <w:szCs w:val="20"/>
        </w:rPr>
        <w:lastRenderedPageBreak/>
        <w:t xml:space="preserve">Table </w:t>
      </w:r>
      <w:r w:rsidR="00C70B60">
        <w:rPr>
          <w:rFonts w:ascii="Arial" w:hAnsi="Arial"/>
          <w:b/>
          <w:bCs/>
          <w:color w:val="000000" w:themeColor="text1"/>
          <w:szCs w:val="20"/>
        </w:rPr>
        <w:t>E</w:t>
      </w:r>
      <w:r>
        <w:rPr>
          <w:rFonts w:ascii="Arial" w:hAnsi="Arial"/>
          <w:b/>
          <w:bCs/>
          <w:color w:val="000000" w:themeColor="text1"/>
          <w:szCs w:val="20"/>
        </w:rPr>
        <w:t>.1</w:t>
      </w:r>
      <w:r w:rsidRPr="00FC46B4">
        <w:rPr>
          <w:rFonts w:ascii="Arial" w:hAnsi="Arial"/>
          <w:color w:val="000000" w:themeColor="text1"/>
          <w:szCs w:val="20"/>
        </w:rPr>
        <w:t xml:space="preserve"> provides a succinct summary of </w:t>
      </w:r>
      <w:r w:rsidR="003236F4">
        <w:rPr>
          <w:rFonts w:ascii="Arial" w:hAnsi="Arial"/>
          <w:color w:val="000000" w:themeColor="text1"/>
          <w:szCs w:val="20"/>
        </w:rPr>
        <w:t>material hardship (</w:t>
      </w:r>
      <w:r w:rsidRPr="00FC46B4">
        <w:rPr>
          <w:rFonts w:ascii="Arial" w:hAnsi="Arial"/>
          <w:color w:val="000000" w:themeColor="text1"/>
          <w:szCs w:val="20"/>
        </w:rPr>
        <w:t>MH</w:t>
      </w:r>
      <w:r w:rsidR="003236F4">
        <w:rPr>
          <w:rFonts w:ascii="Arial" w:hAnsi="Arial"/>
          <w:color w:val="000000" w:themeColor="text1"/>
          <w:szCs w:val="20"/>
        </w:rPr>
        <w:t>)</w:t>
      </w:r>
      <w:r w:rsidRPr="00FC46B4">
        <w:rPr>
          <w:rFonts w:ascii="Arial" w:hAnsi="Arial"/>
          <w:color w:val="000000" w:themeColor="text1"/>
          <w:szCs w:val="20"/>
        </w:rPr>
        <w:t xml:space="preserve"> rates and MH composition for children</w:t>
      </w:r>
      <w:r w:rsidR="003012A1">
        <w:rPr>
          <w:rFonts w:ascii="Arial" w:hAnsi="Arial"/>
          <w:color w:val="000000" w:themeColor="text1"/>
          <w:szCs w:val="20"/>
        </w:rPr>
        <w:t xml:space="preserve"> in selected household contexts</w:t>
      </w:r>
      <w:r w:rsidRPr="00FC46B4">
        <w:rPr>
          <w:rFonts w:ascii="Arial" w:hAnsi="Arial"/>
          <w:color w:val="000000" w:themeColor="text1"/>
          <w:szCs w:val="20"/>
        </w:rPr>
        <w:t>.</w:t>
      </w:r>
      <w:r>
        <w:rPr>
          <w:rFonts w:ascii="Arial" w:hAnsi="Arial"/>
          <w:color w:val="000000" w:themeColor="text1"/>
          <w:szCs w:val="20"/>
        </w:rPr>
        <w:t xml:space="preserve"> </w:t>
      </w:r>
    </w:p>
    <w:p w14:paraId="42DAC35C" w14:textId="3DFE6352" w:rsidR="001B2718" w:rsidRPr="00A3668D" w:rsidRDefault="001B2718">
      <w:pPr>
        <w:pStyle w:val="ListParagraph"/>
        <w:numPr>
          <w:ilvl w:val="0"/>
          <w:numId w:val="38"/>
        </w:numPr>
        <w:spacing w:before="60" w:after="0" w:line="240" w:lineRule="auto"/>
        <w:ind w:left="714" w:hanging="357"/>
        <w:contextualSpacing w:val="0"/>
        <w:rPr>
          <w:rFonts w:ascii="Arial" w:hAnsi="Arial"/>
          <w:color w:val="000000" w:themeColor="text1"/>
          <w:szCs w:val="20"/>
        </w:rPr>
      </w:pPr>
      <w:r w:rsidRPr="00A3668D">
        <w:rPr>
          <w:rFonts w:ascii="Arial" w:hAnsi="Arial"/>
          <w:color w:val="000000" w:themeColor="text1"/>
          <w:szCs w:val="20"/>
        </w:rPr>
        <w:t xml:space="preserve">The MH rates </w:t>
      </w:r>
      <w:r>
        <w:rPr>
          <w:rFonts w:ascii="Arial" w:hAnsi="Arial"/>
          <w:color w:val="000000" w:themeColor="text1"/>
          <w:szCs w:val="20"/>
        </w:rPr>
        <w:t>are</w:t>
      </w:r>
      <w:r w:rsidRPr="00A3668D">
        <w:rPr>
          <w:rFonts w:ascii="Arial" w:hAnsi="Arial"/>
          <w:color w:val="000000" w:themeColor="text1"/>
          <w:szCs w:val="20"/>
        </w:rPr>
        <w:t xml:space="preserve"> the MH numbers in the second column </w:t>
      </w:r>
      <w:r>
        <w:rPr>
          <w:rFonts w:ascii="Arial" w:hAnsi="Arial"/>
          <w:color w:val="000000" w:themeColor="text1"/>
          <w:szCs w:val="20"/>
        </w:rPr>
        <w:t>as a</w:t>
      </w:r>
      <w:r w:rsidRPr="00A3668D">
        <w:rPr>
          <w:rFonts w:ascii="Arial" w:hAnsi="Arial"/>
          <w:color w:val="000000" w:themeColor="text1"/>
          <w:szCs w:val="20"/>
        </w:rPr>
        <w:t xml:space="preserve"> percentage of the total number of children in households of that type (eg for children in two parent households, the </w:t>
      </w:r>
      <w:r w:rsidR="00134BB3">
        <w:rPr>
          <w:rFonts w:ascii="Arial" w:hAnsi="Arial"/>
          <w:color w:val="000000" w:themeColor="text1"/>
          <w:szCs w:val="20"/>
        </w:rPr>
        <w:t>6</w:t>
      </w:r>
      <w:r w:rsidR="002F0C71">
        <w:rPr>
          <w:rFonts w:ascii="Arial" w:hAnsi="Arial"/>
          <w:color w:val="000000" w:themeColor="text1"/>
          <w:szCs w:val="20"/>
        </w:rPr>
        <w:t>7</w:t>
      </w:r>
      <w:r w:rsidRPr="00A3668D">
        <w:rPr>
          <w:rFonts w:ascii="Arial" w:hAnsi="Arial"/>
          <w:color w:val="000000" w:themeColor="text1"/>
          <w:szCs w:val="20"/>
        </w:rPr>
        <w:t xml:space="preserve">,000 is </w:t>
      </w:r>
      <w:r w:rsidR="00134BB3">
        <w:rPr>
          <w:rFonts w:ascii="Arial" w:hAnsi="Arial"/>
          <w:color w:val="000000" w:themeColor="text1"/>
          <w:szCs w:val="20"/>
        </w:rPr>
        <w:t>8</w:t>
      </w:r>
      <w:r w:rsidRPr="00A3668D">
        <w:rPr>
          <w:rFonts w:ascii="Arial" w:hAnsi="Arial"/>
          <w:color w:val="000000" w:themeColor="text1"/>
          <w:szCs w:val="20"/>
        </w:rPr>
        <w:t xml:space="preserve">% of all children in these households). </w:t>
      </w:r>
    </w:p>
    <w:p w14:paraId="5D857F0E" w14:textId="1495D6FD" w:rsidR="001B2718" w:rsidRPr="00E325A3" w:rsidRDefault="001B2718">
      <w:pPr>
        <w:pStyle w:val="ListParagraph"/>
        <w:numPr>
          <w:ilvl w:val="0"/>
          <w:numId w:val="38"/>
        </w:numPr>
        <w:spacing w:before="60" w:after="0" w:line="240" w:lineRule="auto"/>
        <w:ind w:left="714" w:hanging="357"/>
        <w:contextualSpacing w:val="0"/>
        <w:rPr>
          <w:rFonts w:ascii="Arial" w:hAnsi="Arial"/>
          <w:color w:val="000000" w:themeColor="text1"/>
          <w:szCs w:val="20"/>
        </w:rPr>
      </w:pPr>
      <w:r w:rsidRPr="00E325A3">
        <w:rPr>
          <w:rFonts w:ascii="Arial" w:hAnsi="Arial"/>
          <w:color w:val="000000" w:themeColor="text1"/>
          <w:szCs w:val="20"/>
        </w:rPr>
        <w:t>The MH composition column reports the numbers in the second column as a percentage of all in MH (</w:t>
      </w:r>
      <w:r w:rsidR="003236F4" w:rsidRPr="00E325A3">
        <w:rPr>
          <w:rFonts w:ascii="Arial" w:hAnsi="Arial"/>
          <w:color w:val="000000" w:themeColor="text1"/>
          <w:szCs w:val="20"/>
        </w:rPr>
        <w:t>169</w:t>
      </w:r>
      <w:r w:rsidRPr="00E325A3">
        <w:rPr>
          <w:rFonts w:ascii="Arial" w:hAnsi="Arial"/>
          <w:color w:val="000000" w:themeColor="text1"/>
          <w:szCs w:val="20"/>
        </w:rPr>
        <w:t xml:space="preserve">,000). The right-hand composition column is about all children, not just those in MH. </w:t>
      </w:r>
      <w:r w:rsidR="003012A1" w:rsidRPr="00E325A3">
        <w:rPr>
          <w:rFonts w:ascii="Arial" w:hAnsi="Arial"/>
          <w:color w:val="000000" w:themeColor="text1"/>
          <w:szCs w:val="20"/>
        </w:rPr>
        <w:t>The ratio of the composition % for those in MH to the population composition gives the risk ratio or relative risk for the selected group</w:t>
      </w:r>
      <w:r w:rsidR="003236F4" w:rsidRPr="00E325A3">
        <w:rPr>
          <w:rFonts w:ascii="Arial" w:hAnsi="Arial"/>
          <w:color w:val="000000" w:themeColor="text1"/>
          <w:szCs w:val="20"/>
        </w:rPr>
        <w:t>.</w:t>
      </w:r>
    </w:p>
    <w:p w14:paraId="0D536811" w14:textId="326AE100" w:rsidR="003236F4" w:rsidRPr="00E325A3" w:rsidRDefault="003236F4">
      <w:pPr>
        <w:pStyle w:val="ListParagraph"/>
        <w:numPr>
          <w:ilvl w:val="0"/>
          <w:numId w:val="38"/>
        </w:numPr>
        <w:spacing w:before="60" w:after="0" w:line="240" w:lineRule="auto"/>
        <w:contextualSpacing w:val="0"/>
        <w:rPr>
          <w:rFonts w:ascii="Arial" w:hAnsi="Arial"/>
          <w:color w:val="000000" w:themeColor="text1"/>
          <w:szCs w:val="20"/>
        </w:rPr>
      </w:pPr>
      <w:r w:rsidRPr="00E325A3">
        <w:rPr>
          <w:rFonts w:ascii="Arial" w:hAnsi="Arial"/>
          <w:color w:val="000000" w:themeColor="text1"/>
          <w:szCs w:val="20"/>
        </w:rPr>
        <w:t xml:space="preserve">Around three out of five (59%) of all children in hardship come from a ‘disabled household’, that is a household with at least one disabled member. </w:t>
      </w:r>
    </w:p>
    <w:p w14:paraId="53CC07A7" w14:textId="46F1238A" w:rsidR="003236F4" w:rsidRPr="00E325A3" w:rsidRDefault="003236F4">
      <w:pPr>
        <w:pStyle w:val="ListParagraph"/>
        <w:numPr>
          <w:ilvl w:val="0"/>
          <w:numId w:val="38"/>
        </w:numPr>
        <w:spacing w:before="60" w:after="0" w:line="240" w:lineRule="auto"/>
        <w:contextualSpacing w:val="0"/>
        <w:rPr>
          <w:rFonts w:ascii="Arial" w:hAnsi="Arial"/>
          <w:color w:val="000000" w:themeColor="text1"/>
          <w:szCs w:val="20"/>
        </w:rPr>
      </w:pPr>
      <w:r w:rsidRPr="00E325A3">
        <w:rPr>
          <w:rFonts w:ascii="Arial" w:hAnsi="Arial"/>
          <w:color w:val="000000" w:themeColor="text1"/>
          <w:szCs w:val="20"/>
        </w:rPr>
        <w:t>Around half of children in hardship come from ‘beneficiary’ families and half from ‘working’ families.</w:t>
      </w:r>
    </w:p>
    <w:p w14:paraId="677C7B7B" w14:textId="77777777" w:rsidR="001B2718" w:rsidRPr="003236F4" w:rsidRDefault="001B2718" w:rsidP="00E325A3">
      <w:pPr>
        <w:pStyle w:val="ListParagraph"/>
        <w:spacing w:after="0" w:line="240" w:lineRule="auto"/>
        <w:ind w:left="714"/>
        <w:contextualSpacing w:val="0"/>
        <w:rPr>
          <w:rFonts w:ascii="Arial" w:hAnsi="Arial"/>
          <w:color w:val="000000" w:themeColor="text1"/>
          <w:szCs w:val="20"/>
        </w:rPr>
      </w:pPr>
    </w:p>
    <w:p w14:paraId="52674338" w14:textId="367E05FC" w:rsidR="001B51D1" w:rsidRPr="00B5116C" w:rsidRDefault="001B51D1" w:rsidP="001B51D1">
      <w:pPr>
        <w:pStyle w:val="ListParagraph"/>
        <w:spacing w:after="0" w:line="240" w:lineRule="auto"/>
        <w:ind w:left="0"/>
        <w:jc w:val="center"/>
        <w:rPr>
          <w:rFonts w:ascii="Arial" w:hAnsi="Arial"/>
          <w:b/>
          <w:bCs/>
          <w:color w:val="0000FF"/>
          <w:sz w:val="18"/>
          <w:szCs w:val="18"/>
        </w:rPr>
      </w:pPr>
      <w:r w:rsidRPr="003E301C">
        <w:rPr>
          <w:rFonts w:ascii="Arial" w:hAnsi="Arial"/>
          <w:b/>
          <w:bCs/>
          <w:color w:val="000000" w:themeColor="text1"/>
          <w:sz w:val="18"/>
          <w:szCs w:val="18"/>
        </w:rPr>
        <w:t xml:space="preserve">Table </w:t>
      </w:r>
      <w:r w:rsidR="00C70B60" w:rsidRPr="003E301C">
        <w:rPr>
          <w:rFonts w:ascii="Arial" w:hAnsi="Arial"/>
          <w:b/>
          <w:bCs/>
          <w:color w:val="000000" w:themeColor="text1"/>
          <w:sz w:val="18"/>
          <w:szCs w:val="18"/>
        </w:rPr>
        <w:t>E.1</w:t>
      </w:r>
    </w:p>
    <w:p w14:paraId="5BF8B6AE" w14:textId="77777777" w:rsidR="00A13AC3" w:rsidRPr="00A13AC3" w:rsidRDefault="00A13AC3" w:rsidP="00A13AC3">
      <w:pPr>
        <w:spacing w:after="0" w:line="240" w:lineRule="auto"/>
        <w:jc w:val="center"/>
        <w:rPr>
          <w:rFonts w:ascii="Arial" w:hAnsi="Arial"/>
          <w:b/>
          <w:bCs/>
          <w:color w:val="000000"/>
          <w:sz w:val="18"/>
          <w:szCs w:val="18"/>
        </w:rPr>
      </w:pPr>
      <w:r w:rsidRPr="00A13AC3">
        <w:rPr>
          <w:rFonts w:ascii="Arial" w:hAnsi="Arial"/>
          <w:b/>
          <w:bCs/>
          <w:color w:val="000000"/>
          <w:sz w:val="18"/>
          <w:szCs w:val="18"/>
        </w:rPr>
        <w:t xml:space="preserve">Material hardship for children in selected sub-groups: </w:t>
      </w:r>
    </w:p>
    <w:p w14:paraId="6F8523EC" w14:textId="77777777" w:rsidR="00A13AC3" w:rsidRPr="00A13AC3" w:rsidRDefault="00A13AC3" w:rsidP="00A13AC3">
      <w:pPr>
        <w:tabs>
          <w:tab w:val="left" w:pos="1701"/>
        </w:tabs>
        <w:spacing w:line="240" w:lineRule="auto"/>
        <w:jc w:val="center"/>
        <w:rPr>
          <w:rFonts w:ascii="Arial" w:hAnsi="Arial"/>
          <w:b/>
          <w:bCs/>
          <w:color w:val="000000"/>
          <w:sz w:val="18"/>
          <w:szCs w:val="18"/>
        </w:rPr>
      </w:pPr>
      <w:r w:rsidRPr="00A13AC3">
        <w:rPr>
          <w:rFonts w:ascii="Arial" w:hAnsi="Arial"/>
          <w:b/>
          <w:bCs/>
          <w:color w:val="000000"/>
          <w:sz w:val="18"/>
          <w:szCs w:val="18"/>
        </w:rPr>
        <w:t>MH-18 7+ rates, numbers and composition, HILS 2024-25</w:t>
      </w:r>
    </w:p>
    <w:tbl>
      <w:tblPr>
        <w:tblpPr w:leftFromText="180" w:rightFromText="180" w:vertAnchor="text" w:tblpXSpec="center" w:tblpY="1"/>
        <w:tblOverlap w:val="neve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3"/>
        <w:gridCol w:w="1118"/>
        <w:gridCol w:w="1134"/>
        <w:gridCol w:w="1134"/>
        <w:gridCol w:w="1134"/>
        <w:gridCol w:w="1134"/>
      </w:tblGrid>
      <w:tr w:rsidR="00A13AC3" w:rsidRPr="00A13AC3" w14:paraId="48A8B199" w14:textId="77777777" w:rsidTr="0020734C">
        <w:trPr>
          <w:jc w:val="center"/>
        </w:trPr>
        <w:tc>
          <w:tcPr>
            <w:tcW w:w="2563" w:type="dxa"/>
            <w:vAlign w:val="center"/>
          </w:tcPr>
          <w:p w14:paraId="61C01875" w14:textId="77777777" w:rsidR="00A13AC3" w:rsidRPr="00A13AC3" w:rsidRDefault="00A13AC3" w:rsidP="00A13AC3">
            <w:pPr>
              <w:spacing w:before="30" w:after="30" w:line="240" w:lineRule="auto"/>
              <w:rPr>
                <w:rFonts w:ascii="Arial" w:hAnsi="Arial"/>
                <w:color w:val="000000"/>
                <w:sz w:val="14"/>
                <w:szCs w:val="14"/>
              </w:rPr>
            </w:pPr>
          </w:p>
        </w:tc>
        <w:tc>
          <w:tcPr>
            <w:tcW w:w="3386" w:type="dxa"/>
            <w:gridSpan w:val="3"/>
            <w:tcBorders>
              <w:right w:val="single" w:sz="8" w:space="0" w:color="auto"/>
            </w:tcBorders>
            <w:tcMar>
              <w:left w:w="57" w:type="dxa"/>
              <w:right w:w="57" w:type="dxa"/>
            </w:tcMar>
            <w:vAlign w:val="center"/>
          </w:tcPr>
          <w:p w14:paraId="217726EF"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0-17s in HHs in material hardship</w:t>
            </w:r>
          </w:p>
        </w:tc>
        <w:tc>
          <w:tcPr>
            <w:tcW w:w="2268" w:type="dxa"/>
            <w:gridSpan w:val="2"/>
            <w:tcBorders>
              <w:left w:val="single" w:sz="8" w:space="0" w:color="auto"/>
            </w:tcBorders>
          </w:tcPr>
          <w:p w14:paraId="731D5DE9"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All 0-17s</w:t>
            </w:r>
          </w:p>
        </w:tc>
      </w:tr>
      <w:tr w:rsidR="00A13AC3" w:rsidRPr="00A13AC3" w14:paraId="41097E16" w14:textId="77777777" w:rsidTr="0020734C">
        <w:trPr>
          <w:jc w:val="center"/>
        </w:trPr>
        <w:tc>
          <w:tcPr>
            <w:tcW w:w="2563" w:type="dxa"/>
            <w:vAlign w:val="center"/>
          </w:tcPr>
          <w:p w14:paraId="0AB22176" w14:textId="77777777" w:rsidR="00A13AC3" w:rsidRPr="00A13AC3" w:rsidRDefault="00A13AC3" w:rsidP="00A13AC3">
            <w:pPr>
              <w:spacing w:before="30" w:after="30" w:line="240" w:lineRule="auto"/>
              <w:rPr>
                <w:rFonts w:ascii="Arial" w:hAnsi="Arial"/>
                <w:color w:val="000000"/>
                <w:sz w:val="14"/>
                <w:szCs w:val="14"/>
              </w:rPr>
            </w:pPr>
          </w:p>
        </w:tc>
        <w:tc>
          <w:tcPr>
            <w:tcW w:w="1118" w:type="dxa"/>
            <w:tcMar>
              <w:left w:w="28" w:type="dxa"/>
              <w:right w:w="28" w:type="dxa"/>
            </w:tcMar>
            <w:vAlign w:val="center"/>
          </w:tcPr>
          <w:p w14:paraId="6EBA6E67"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Rate (%)</w:t>
            </w:r>
          </w:p>
        </w:tc>
        <w:tc>
          <w:tcPr>
            <w:tcW w:w="1134" w:type="dxa"/>
            <w:tcMar>
              <w:left w:w="28" w:type="dxa"/>
              <w:right w:w="28" w:type="dxa"/>
            </w:tcMar>
            <w:vAlign w:val="center"/>
          </w:tcPr>
          <w:p w14:paraId="012A4AA6"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Numbers</w:t>
            </w:r>
          </w:p>
        </w:tc>
        <w:tc>
          <w:tcPr>
            <w:tcW w:w="1134" w:type="dxa"/>
            <w:tcBorders>
              <w:right w:val="single" w:sz="8" w:space="0" w:color="auto"/>
            </w:tcBorders>
            <w:tcMar>
              <w:left w:w="28" w:type="dxa"/>
              <w:right w:w="28" w:type="dxa"/>
            </w:tcMar>
            <w:vAlign w:val="center"/>
          </w:tcPr>
          <w:p w14:paraId="4E7E8511"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Composn (%)</w:t>
            </w:r>
          </w:p>
        </w:tc>
        <w:tc>
          <w:tcPr>
            <w:tcW w:w="1134" w:type="dxa"/>
            <w:tcBorders>
              <w:left w:val="single" w:sz="8" w:space="0" w:color="auto"/>
            </w:tcBorders>
            <w:tcMar>
              <w:left w:w="28" w:type="dxa"/>
              <w:right w:w="28" w:type="dxa"/>
            </w:tcMar>
            <w:vAlign w:val="center"/>
          </w:tcPr>
          <w:p w14:paraId="66C3B0F2"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Composn (%)</w:t>
            </w:r>
          </w:p>
        </w:tc>
        <w:tc>
          <w:tcPr>
            <w:tcW w:w="1134" w:type="dxa"/>
            <w:tcBorders>
              <w:left w:val="single" w:sz="8" w:space="0" w:color="auto"/>
            </w:tcBorders>
          </w:tcPr>
          <w:p w14:paraId="7C681C10"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Numbers</w:t>
            </w:r>
          </w:p>
        </w:tc>
      </w:tr>
      <w:tr w:rsidR="00A13AC3" w:rsidRPr="00A13AC3" w14:paraId="46937658" w14:textId="77777777" w:rsidTr="0020734C">
        <w:trPr>
          <w:jc w:val="center"/>
        </w:trPr>
        <w:tc>
          <w:tcPr>
            <w:tcW w:w="2563" w:type="dxa"/>
            <w:tcMar>
              <w:left w:w="28" w:type="dxa"/>
              <w:right w:w="28" w:type="dxa"/>
            </w:tcMar>
            <w:vAlign w:val="center"/>
          </w:tcPr>
          <w:p w14:paraId="2436D79A" w14:textId="77777777" w:rsidR="00A13AC3" w:rsidRPr="00A13AC3" w:rsidRDefault="00A13AC3" w:rsidP="00A13AC3">
            <w:pPr>
              <w:spacing w:before="30" w:after="30" w:line="240" w:lineRule="auto"/>
              <w:rPr>
                <w:rFonts w:ascii="Arial" w:hAnsi="Arial"/>
                <w:b/>
                <w:bCs/>
                <w:color w:val="000000"/>
                <w:sz w:val="14"/>
                <w:szCs w:val="14"/>
              </w:rPr>
            </w:pPr>
            <w:r w:rsidRPr="00A13AC3">
              <w:rPr>
                <w:rFonts w:ascii="Arial" w:hAnsi="Arial"/>
                <w:b/>
                <w:bCs/>
                <w:color w:val="000000"/>
                <w:sz w:val="14"/>
                <w:szCs w:val="14"/>
              </w:rPr>
              <w:t>ALL 0-17s</w:t>
            </w:r>
          </w:p>
        </w:tc>
        <w:tc>
          <w:tcPr>
            <w:tcW w:w="1118" w:type="dxa"/>
            <w:tcMar>
              <w:left w:w="28" w:type="dxa"/>
              <w:right w:w="28" w:type="dxa"/>
            </w:tcMar>
            <w:vAlign w:val="center"/>
          </w:tcPr>
          <w:p w14:paraId="66F9FEF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14</w:t>
            </w:r>
          </w:p>
        </w:tc>
        <w:tc>
          <w:tcPr>
            <w:tcW w:w="1134" w:type="dxa"/>
            <w:tcMar>
              <w:left w:w="28" w:type="dxa"/>
              <w:right w:w="28" w:type="dxa"/>
            </w:tcMar>
            <w:vAlign w:val="center"/>
          </w:tcPr>
          <w:p w14:paraId="1FB749A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169,000</w:t>
            </w:r>
          </w:p>
        </w:tc>
        <w:tc>
          <w:tcPr>
            <w:tcW w:w="1134" w:type="dxa"/>
            <w:tcBorders>
              <w:right w:val="single" w:sz="8" w:space="0" w:color="auto"/>
            </w:tcBorders>
            <w:tcMar>
              <w:left w:w="28" w:type="dxa"/>
              <w:right w:w="28" w:type="dxa"/>
            </w:tcMar>
            <w:vAlign w:val="center"/>
          </w:tcPr>
          <w:p w14:paraId="5590A80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100</w:t>
            </w:r>
          </w:p>
        </w:tc>
        <w:tc>
          <w:tcPr>
            <w:tcW w:w="1134" w:type="dxa"/>
            <w:tcBorders>
              <w:left w:val="single" w:sz="8" w:space="0" w:color="auto"/>
            </w:tcBorders>
            <w:tcMar>
              <w:left w:w="28" w:type="dxa"/>
              <w:right w:w="28" w:type="dxa"/>
            </w:tcMar>
            <w:vAlign w:val="center"/>
          </w:tcPr>
          <w:p w14:paraId="298A64F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100</w:t>
            </w:r>
          </w:p>
        </w:tc>
        <w:tc>
          <w:tcPr>
            <w:tcW w:w="1134" w:type="dxa"/>
            <w:tcBorders>
              <w:left w:val="single" w:sz="8" w:space="0" w:color="auto"/>
            </w:tcBorders>
            <w:vAlign w:val="center"/>
          </w:tcPr>
          <w:p w14:paraId="3D50247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1,183,000</w:t>
            </w:r>
          </w:p>
        </w:tc>
      </w:tr>
      <w:tr w:rsidR="00A13AC3" w:rsidRPr="00A13AC3" w14:paraId="698E0A9F" w14:textId="77777777" w:rsidTr="0020734C">
        <w:trPr>
          <w:jc w:val="center"/>
        </w:trPr>
        <w:tc>
          <w:tcPr>
            <w:tcW w:w="2563" w:type="dxa"/>
            <w:tcMar>
              <w:left w:w="28" w:type="dxa"/>
              <w:right w:w="28" w:type="dxa"/>
            </w:tcMar>
            <w:vAlign w:val="center"/>
          </w:tcPr>
          <w:p w14:paraId="222FDFA5" w14:textId="77777777" w:rsidR="00A13AC3" w:rsidRPr="00A13AC3" w:rsidRDefault="00A13AC3" w:rsidP="00A13AC3">
            <w:pPr>
              <w:spacing w:before="30" w:after="30" w:line="240" w:lineRule="auto"/>
              <w:ind w:left="174" w:hanging="174"/>
              <w:rPr>
                <w:rFonts w:ascii="Arial" w:hAnsi="Arial"/>
                <w:b/>
                <w:bCs/>
                <w:color w:val="000000"/>
                <w:sz w:val="14"/>
                <w:szCs w:val="14"/>
              </w:rPr>
            </w:pPr>
            <w:r w:rsidRPr="00A13AC3">
              <w:rPr>
                <w:rFonts w:ascii="Arial" w:hAnsi="Arial"/>
                <w:b/>
                <w:bCs/>
                <w:color w:val="000000"/>
                <w:sz w:val="14"/>
                <w:szCs w:val="14"/>
              </w:rPr>
              <w:t>Household type</w:t>
            </w:r>
          </w:p>
        </w:tc>
        <w:tc>
          <w:tcPr>
            <w:tcW w:w="1118" w:type="dxa"/>
            <w:tcMar>
              <w:left w:w="28" w:type="dxa"/>
              <w:right w:w="28" w:type="dxa"/>
            </w:tcMar>
            <w:vAlign w:val="center"/>
          </w:tcPr>
          <w:p w14:paraId="21A36FF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Mar>
              <w:left w:w="28" w:type="dxa"/>
              <w:right w:w="28" w:type="dxa"/>
            </w:tcMar>
            <w:vAlign w:val="center"/>
          </w:tcPr>
          <w:p w14:paraId="160B4B5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right w:val="single" w:sz="8" w:space="0" w:color="auto"/>
            </w:tcBorders>
            <w:tcMar>
              <w:left w:w="28" w:type="dxa"/>
              <w:right w:w="28" w:type="dxa"/>
            </w:tcMar>
            <w:vAlign w:val="center"/>
          </w:tcPr>
          <w:p w14:paraId="4A55548B"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 </w:t>
            </w:r>
          </w:p>
        </w:tc>
        <w:tc>
          <w:tcPr>
            <w:tcW w:w="1134" w:type="dxa"/>
            <w:tcBorders>
              <w:left w:val="single" w:sz="8" w:space="0" w:color="auto"/>
            </w:tcBorders>
            <w:tcMar>
              <w:left w:w="28" w:type="dxa"/>
              <w:right w:w="28" w:type="dxa"/>
            </w:tcMar>
            <w:vAlign w:val="center"/>
          </w:tcPr>
          <w:p w14:paraId="46992479"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b/>
                <w:bCs/>
                <w:color w:val="000000"/>
                <w:sz w:val="14"/>
                <w:szCs w:val="14"/>
              </w:rPr>
              <w:t> </w:t>
            </w:r>
          </w:p>
        </w:tc>
        <w:tc>
          <w:tcPr>
            <w:tcW w:w="1134" w:type="dxa"/>
            <w:tcBorders>
              <w:left w:val="single" w:sz="8" w:space="0" w:color="auto"/>
            </w:tcBorders>
            <w:vAlign w:val="center"/>
          </w:tcPr>
          <w:p w14:paraId="7C1916D6"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color w:val="000000"/>
                <w:sz w:val="14"/>
                <w:szCs w:val="14"/>
              </w:rPr>
              <w:t> </w:t>
            </w:r>
          </w:p>
        </w:tc>
      </w:tr>
      <w:tr w:rsidR="00A13AC3" w:rsidRPr="00A13AC3" w14:paraId="432A34B8" w14:textId="77777777" w:rsidTr="0020734C">
        <w:trPr>
          <w:jc w:val="center"/>
        </w:trPr>
        <w:tc>
          <w:tcPr>
            <w:tcW w:w="2563" w:type="dxa"/>
            <w:tcMar>
              <w:left w:w="28" w:type="dxa"/>
              <w:right w:w="28" w:type="dxa"/>
            </w:tcMar>
            <w:vAlign w:val="center"/>
          </w:tcPr>
          <w:p w14:paraId="093A71C6"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Two parent with any dep ch</w:t>
            </w:r>
          </w:p>
        </w:tc>
        <w:tc>
          <w:tcPr>
            <w:tcW w:w="1118" w:type="dxa"/>
            <w:tcMar>
              <w:left w:w="28" w:type="dxa"/>
              <w:right w:w="28" w:type="dxa"/>
            </w:tcMar>
            <w:vAlign w:val="center"/>
          </w:tcPr>
          <w:p w14:paraId="222B5DA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w:t>
            </w:r>
          </w:p>
        </w:tc>
        <w:tc>
          <w:tcPr>
            <w:tcW w:w="1134" w:type="dxa"/>
            <w:tcMar>
              <w:left w:w="28" w:type="dxa"/>
              <w:right w:w="28" w:type="dxa"/>
            </w:tcMar>
            <w:vAlign w:val="center"/>
          </w:tcPr>
          <w:p w14:paraId="74B45CE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67,000</w:t>
            </w:r>
          </w:p>
        </w:tc>
        <w:tc>
          <w:tcPr>
            <w:tcW w:w="1134" w:type="dxa"/>
            <w:tcBorders>
              <w:right w:val="single" w:sz="8" w:space="0" w:color="auto"/>
            </w:tcBorders>
            <w:tcMar>
              <w:left w:w="28" w:type="dxa"/>
              <w:right w:w="28" w:type="dxa"/>
            </w:tcMar>
            <w:vAlign w:val="center"/>
          </w:tcPr>
          <w:p w14:paraId="465DF612"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color w:val="000000"/>
                <w:sz w:val="14"/>
                <w:szCs w:val="14"/>
              </w:rPr>
              <w:t>40</w:t>
            </w:r>
          </w:p>
        </w:tc>
        <w:tc>
          <w:tcPr>
            <w:tcW w:w="1134" w:type="dxa"/>
            <w:tcBorders>
              <w:left w:val="single" w:sz="8" w:space="0" w:color="auto"/>
            </w:tcBorders>
            <w:tcMar>
              <w:left w:w="28" w:type="dxa"/>
              <w:right w:w="28" w:type="dxa"/>
            </w:tcMar>
            <w:vAlign w:val="center"/>
          </w:tcPr>
          <w:p w14:paraId="1DB5E1B0"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color w:val="000000"/>
                <w:sz w:val="14"/>
                <w:szCs w:val="14"/>
              </w:rPr>
              <w:t>68</w:t>
            </w:r>
          </w:p>
        </w:tc>
        <w:tc>
          <w:tcPr>
            <w:tcW w:w="1134" w:type="dxa"/>
            <w:tcBorders>
              <w:left w:val="single" w:sz="8" w:space="0" w:color="auto"/>
            </w:tcBorders>
            <w:vAlign w:val="center"/>
          </w:tcPr>
          <w:p w14:paraId="659FEBE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804,000</w:t>
            </w:r>
          </w:p>
        </w:tc>
      </w:tr>
      <w:tr w:rsidR="00A13AC3" w:rsidRPr="00A13AC3" w14:paraId="676DB6E4" w14:textId="77777777" w:rsidTr="0020734C">
        <w:trPr>
          <w:jc w:val="center"/>
        </w:trPr>
        <w:tc>
          <w:tcPr>
            <w:tcW w:w="2563" w:type="dxa"/>
            <w:tcMar>
              <w:left w:w="28" w:type="dxa"/>
              <w:right w:w="28" w:type="dxa"/>
            </w:tcMar>
            <w:vAlign w:val="center"/>
          </w:tcPr>
          <w:p w14:paraId="45353FF9"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Sole parent with any dep ch</w:t>
            </w:r>
          </w:p>
        </w:tc>
        <w:tc>
          <w:tcPr>
            <w:tcW w:w="1118" w:type="dxa"/>
            <w:tcMar>
              <w:left w:w="28" w:type="dxa"/>
              <w:right w:w="28" w:type="dxa"/>
            </w:tcMar>
            <w:vAlign w:val="center"/>
          </w:tcPr>
          <w:p w14:paraId="26E4181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36</w:t>
            </w:r>
          </w:p>
        </w:tc>
        <w:tc>
          <w:tcPr>
            <w:tcW w:w="1134" w:type="dxa"/>
            <w:tcMar>
              <w:left w:w="28" w:type="dxa"/>
              <w:right w:w="28" w:type="dxa"/>
            </w:tcMar>
            <w:vAlign w:val="center"/>
          </w:tcPr>
          <w:p w14:paraId="177CDBA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76,000</w:t>
            </w:r>
          </w:p>
        </w:tc>
        <w:tc>
          <w:tcPr>
            <w:tcW w:w="1134" w:type="dxa"/>
            <w:tcBorders>
              <w:right w:val="single" w:sz="8" w:space="0" w:color="auto"/>
            </w:tcBorders>
            <w:tcMar>
              <w:left w:w="28" w:type="dxa"/>
              <w:right w:w="28" w:type="dxa"/>
            </w:tcMar>
            <w:vAlign w:val="center"/>
          </w:tcPr>
          <w:p w14:paraId="2C03A9CE"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color w:val="000000"/>
                <w:sz w:val="14"/>
                <w:szCs w:val="14"/>
              </w:rPr>
              <w:t>45</w:t>
            </w:r>
          </w:p>
        </w:tc>
        <w:tc>
          <w:tcPr>
            <w:tcW w:w="1134" w:type="dxa"/>
            <w:tcBorders>
              <w:left w:val="single" w:sz="8" w:space="0" w:color="auto"/>
            </w:tcBorders>
            <w:tcMar>
              <w:left w:w="28" w:type="dxa"/>
              <w:right w:w="28" w:type="dxa"/>
            </w:tcMar>
            <w:vAlign w:val="center"/>
          </w:tcPr>
          <w:p w14:paraId="2395FB49" w14:textId="77777777" w:rsidR="00A13AC3" w:rsidRPr="00A13AC3" w:rsidRDefault="00A13AC3" w:rsidP="00A13AC3">
            <w:pPr>
              <w:spacing w:before="30" w:after="30" w:line="240" w:lineRule="auto"/>
              <w:jc w:val="center"/>
              <w:rPr>
                <w:rFonts w:ascii="Arial" w:hAnsi="Arial"/>
                <w:b/>
                <w:bCs/>
                <w:color w:val="000000"/>
                <w:sz w:val="14"/>
                <w:szCs w:val="14"/>
              </w:rPr>
            </w:pPr>
            <w:r w:rsidRPr="00A13AC3">
              <w:rPr>
                <w:rFonts w:ascii="Arial" w:hAnsi="Arial"/>
                <w:color w:val="000000"/>
                <w:sz w:val="14"/>
                <w:szCs w:val="14"/>
              </w:rPr>
              <w:t>18</w:t>
            </w:r>
          </w:p>
        </w:tc>
        <w:tc>
          <w:tcPr>
            <w:tcW w:w="1134" w:type="dxa"/>
            <w:tcBorders>
              <w:left w:val="single" w:sz="8" w:space="0" w:color="auto"/>
            </w:tcBorders>
            <w:vAlign w:val="center"/>
          </w:tcPr>
          <w:p w14:paraId="4BD5E2E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211,000</w:t>
            </w:r>
          </w:p>
        </w:tc>
      </w:tr>
      <w:tr w:rsidR="00A13AC3" w:rsidRPr="00A13AC3" w14:paraId="756D3C23" w14:textId="77777777" w:rsidTr="0020734C">
        <w:trPr>
          <w:jc w:val="center"/>
        </w:trPr>
        <w:tc>
          <w:tcPr>
            <w:tcW w:w="2563" w:type="dxa"/>
            <w:tcMar>
              <w:left w:w="28" w:type="dxa"/>
              <w:right w:w="28" w:type="dxa"/>
            </w:tcMar>
            <w:vAlign w:val="center"/>
          </w:tcPr>
          <w:p w14:paraId="770E2AE8"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Other family HHs with any dep ch</w:t>
            </w:r>
          </w:p>
        </w:tc>
        <w:tc>
          <w:tcPr>
            <w:tcW w:w="1118" w:type="dxa"/>
            <w:tcMar>
              <w:left w:w="28" w:type="dxa"/>
              <w:right w:w="28" w:type="dxa"/>
            </w:tcMar>
            <w:vAlign w:val="center"/>
          </w:tcPr>
          <w:p w14:paraId="7590FD9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16</w:t>
            </w:r>
          </w:p>
        </w:tc>
        <w:tc>
          <w:tcPr>
            <w:tcW w:w="1134" w:type="dxa"/>
            <w:tcMar>
              <w:left w:w="28" w:type="dxa"/>
              <w:right w:w="28" w:type="dxa"/>
            </w:tcMar>
            <w:vAlign w:val="center"/>
          </w:tcPr>
          <w:p w14:paraId="565C841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25,000</w:t>
            </w:r>
          </w:p>
        </w:tc>
        <w:tc>
          <w:tcPr>
            <w:tcW w:w="1134" w:type="dxa"/>
            <w:tcBorders>
              <w:right w:val="single" w:sz="8" w:space="0" w:color="auto"/>
            </w:tcBorders>
            <w:tcMar>
              <w:left w:w="28" w:type="dxa"/>
              <w:right w:w="28" w:type="dxa"/>
            </w:tcMar>
            <w:vAlign w:val="center"/>
          </w:tcPr>
          <w:p w14:paraId="3644F75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15</w:t>
            </w:r>
          </w:p>
        </w:tc>
        <w:tc>
          <w:tcPr>
            <w:tcW w:w="1134" w:type="dxa"/>
            <w:tcBorders>
              <w:left w:val="single" w:sz="8" w:space="0" w:color="auto"/>
            </w:tcBorders>
            <w:tcMar>
              <w:left w:w="28" w:type="dxa"/>
              <w:right w:w="28" w:type="dxa"/>
            </w:tcMar>
            <w:vAlign w:val="center"/>
          </w:tcPr>
          <w:p w14:paraId="0ED0D3C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13</w:t>
            </w:r>
          </w:p>
        </w:tc>
        <w:tc>
          <w:tcPr>
            <w:tcW w:w="1134" w:type="dxa"/>
            <w:tcBorders>
              <w:left w:val="single" w:sz="8" w:space="0" w:color="auto"/>
            </w:tcBorders>
            <w:vAlign w:val="center"/>
          </w:tcPr>
          <w:p w14:paraId="7C58CAE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158,000</w:t>
            </w:r>
          </w:p>
        </w:tc>
      </w:tr>
      <w:tr w:rsidR="00A13AC3" w:rsidRPr="00A13AC3" w14:paraId="507DF902" w14:textId="77777777" w:rsidTr="0020734C">
        <w:trPr>
          <w:jc w:val="center"/>
        </w:trPr>
        <w:tc>
          <w:tcPr>
            <w:tcW w:w="2563" w:type="dxa"/>
            <w:tcMar>
              <w:left w:w="28" w:type="dxa"/>
              <w:right w:w="28" w:type="dxa"/>
            </w:tcMar>
            <w:vAlign w:val="center"/>
          </w:tcPr>
          <w:p w14:paraId="7AA8EF57" w14:textId="77777777" w:rsidR="00A13AC3" w:rsidRPr="00A13AC3" w:rsidRDefault="00A13AC3" w:rsidP="00A13AC3">
            <w:pPr>
              <w:spacing w:before="30" w:after="30" w:line="240" w:lineRule="auto"/>
              <w:rPr>
                <w:rFonts w:ascii="Arial" w:hAnsi="Arial"/>
                <w:b/>
                <w:bCs/>
                <w:color w:val="000000"/>
                <w:sz w:val="14"/>
                <w:szCs w:val="14"/>
              </w:rPr>
            </w:pPr>
            <w:r w:rsidRPr="00A13AC3">
              <w:rPr>
                <w:rFonts w:ascii="Arial" w:hAnsi="Arial"/>
                <w:b/>
                <w:bCs/>
                <w:color w:val="000000"/>
                <w:sz w:val="14"/>
                <w:szCs w:val="14"/>
              </w:rPr>
              <w:t>Number of children in HH</w:t>
            </w:r>
          </w:p>
        </w:tc>
        <w:tc>
          <w:tcPr>
            <w:tcW w:w="1118" w:type="dxa"/>
            <w:tcMar>
              <w:left w:w="28" w:type="dxa"/>
              <w:right w:w="28" w:type="dxa"/>
            </w:tcMar>
            <w:vAlign w:val="center"/>
          </w:tcPr>
          <w:p w14:paraId="3DF2DAB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Mar>
              <w:left w:w="28" w:type="dxa"/>
              <w:right w:w="28" w:type="dxa"/>
            </w:tcMar>
            <w:vAlign w:val="center"/>
          </w:tcPr>
          <w:p w14:paraId="28BD469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right w:val="single" w:sz="8" w:space="0" w:color="auto"/>
            </w:tcBorders>
            <w:tcMar>
              <w:left w:w="28" w:type="dxa"/>
              <w:right w:w="28" w:type="dxa"/>
            </w:tcMar>
            <w:vAlign w:val="center"/>
          </w:tcPr>
          <w:p w14:paraId="0049095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Mar>
              <w:left w:w="28" w:type="dxa"/>
              <w:right w:w="28" w:type="dxa"/>
            </w:tcMar>
            <w:vAlign w:val="center"/>
          </w:tcPr>
          <w:p w14:paraId="0CF7E7D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Pr>
          <w:p w14:paraId="1D869E92" w14:textId="77777777" w:rsidR="00A13AC3" w:rsidRPr="00A13AC3" w:rsidRDefault="00A13AC3" w:rsidP="00A13AC3">
            <w:pPr>
              <w:spacing w:before="30" w:after="30" w:line="240" w:lineRule="auto"/>
              <w:jc w:val="center"/>
              <w:rPr>
                <w:rFonts w:ascii="Arial" w:hAnsi="Arial"/>
                <w:color w:val="000000"/>
                <w:sz w:val="14"/>
                <w:szCs w:val="14"/>
              </w:rPr>
            </w:pPr>
          </w:p>
        </w:tc>
      </w:tr>
      <w:tr w:rsidR="00A13AC3" w:rsidRPr="00A13AC3" w14:paraId="341B8B6A" w14:textId="77777777" w:rsidTr="0020734C">
        <w:trPr>
          <w:jc w:val="center"/>
        </w:trPr>
        <w:tc>
          <w:tcPr>
            <w:tcW w:w="2563" w:type="dxa"/>
            <w:tcMar>
              <w:left w:w="28" w:type="dxa"/>
              <w:right w:w="28" w:type="dxa"/>
            </w:tcMar>
            <w:vAlign w:val="center"/>
          </w:tcPr>
          <w:p w14:paraId="0BC6923E"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1</w:t>
            </w:r>
          </w:p>
        </w:tc>
        <w:tc>
          <w:tcPr>
            <w:tcW w:w="1118" w:type="dxa"/>
            <w:tcMar>
              <w:left w:w="28" w:type="dxa"/>
              <w:right w:w="28" w:type="dxa"/>
            </w:tcMar>
            <w:vAlign w:val="center"/>
          </w:tcPr>
          <w:p w14:paraId="5BE4FB7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w:t>
            </w:r>
          </w:p>
        </w:tc>
        <w:tc>
          <w:tcPr>
            <w:tcW w:w="1134" w:type="dxa"/>
            <w:tcMar>
              <w:left w:w="28" w:type="dxa"/>
              <w:right w:w="28" w:type="dxa"/>
            </w:tcMar>
            <w:vAlign w:val="center"/>
          </w:tcPr>
          <w:p w14:paraId="7A90AF4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30,000</w:t>
            </w:r>
          </w:p>
        </w:tc>
        <w:tc>
          <w:tcPr>
            <w:tcW w:w="1134" w:type="dxa"/>
            <w:tcBorders>
              <w:right w:val="single" w:sz="8" w:space="0" w:color="auto"/>
            </w:tcBorders>
            <w:tcMar>
              <w:left w:w="28" w:type="dxa"/>
              <w:right w:w="28" w:type="dxa"/>
            </w:tcMar>
            <w:vAlign w:val="center"/>
          </w:tcPr>
          <w:p w14:paraId="1BA0C12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18</w:t>
            </w:r>
          </w:p>
        </w:tc>
        <w:tc>
          <w:tcPr>
            <w:tcW w:w="1134" w:type="dxa"/>
            <w:tcBorders>
              <w:left w:val="single" w:sz="8" w:space="0" w:color="auto"/>
            </w:tcBorders>
            <w:tcMar>
              <w:left w:w="28" w:type="dxa"/>
              <w:right w:w="28" w:type="dxa"/>
            </w:tcMar>
            <w:vAlign w:val="center"/>
          </w:tcPr>
          <w:p w14:paraId="011E11E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24</w:t>
            </w:r>
          </w:p>
        </w:tc>
        <w:tc>
          <w:tcPr>
            <w:tcW w:w="1134" w:type="dxa"/>
            <w:tcBorders>
              <w:left w:val="single" w:sz="8" w:space="0" w:color="auto"/>
            </w:tcBorders>
            <w:vAlign w:val="center"/>
          </w:tcPr>
          <w:p w14:paraId="79A117D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288,000</w:t>
            </w:r>
          </w:p>
        </w:tc>
      </w:tr>
      <w:tr w:rsidR="00A13AC3" w:rsidRPr="00A13AC3" w14:paraId="1827D088" w14:textId="77777777" w:rsidTr="0020734C">
        <w:trPr>
          <w:jc w:val="center"/>
        </w:trPr>
        <w:tc>
          <w:tcPr>
            <w:tcW w:w="2563" w:type="dxa"/>
            <w:tcMar>
              <w:left w:w="28" w:type="dxa"/>
              <w:right w:w="28" w:type="dxa"/>
            </w:tcMar>
            <w:vAlign w:val="center"/>
          </w:tcPr>
          <w:p w14:paraId="1FC02279"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2</w:t>
            </w:r>
          </w:p>
        </w:tc>
        <w:tc>
          <w:tcPr>
            <w:tcW w:w="1118" w:type="dxa"/>
            <w:tcMar>
              <w:left w:w="28" w:type="dxa"/>
              <w:right w:w="28" w:type="dxa"/>
            </w:tcMar>
            <w:vAlign w:val="center"/>
          </w:tcPr>
          <w:p w14:paraId="28F741F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w:t>
            </w:r>
          </w:p>
        </w:tc>
        <w:tc>
          <w:tcPr>
            <w:tcW w:w="1134" w:type="dxa"/>
            <w:tcMar>
              <w:left w:w="28" w:type="dxa"/>
              <w:right w:w="28" w:type="dxa"/>
            </w:tcMar>
            <w:vAlign w:val="center"/>
          </w:tcPr>
          <w:p w14:paraId="30A9870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50,000</w:t>
            </w:r>
          </w:p>
        </w:tc>
        <w:tc>
          <w:tcPr>
            <w:tcW w:w="1134" w:type="dxa"/>
            <w:tcBorders>
              <w:right w:val="single" w:sz="8" w:space="0" w:color="auto"/>
            </w:tcBorders>
            <w:tcMar>
              <w:left w:w="28" w:type="dxa"/>
              <w:right w:w="28" w:type="dxa"/>
            </w:tcMar>
            <w:vAlign w:val="center"/>
          </w:tcPr>
          <w:p w14:paraId="72AEE90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29</w:t>
            </w:r>
          </w:p>
        </w:tc>
        <w:tc>
          <w:tcPr>
            <w:tcW w:w="1134" w:type="dxa"/>
            <w:tcBorders>
              <w:left w:val="single" w:sz="8" w:space="0" w:color="auto"/>
            </w:tcBorders>
            <w:tcMar>
              <w:left w:w="28" w:type="dxa"/>
              <w:right w:w="28" w:type="dxa"/>
            </w:tcMar>
            <w:vAlign w:val="center"/>
          </w:tcPr>
          <w:p w14:paraId="3B2E42D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44</w:t>
            </w:r>
          </w:p>
        </w:tc>
        <w:tc>
          <w:tcPr>
            <w:tcW w:w="1134" w:type="dxa"/>
            <w:tcBorders>
              <w:left w:val="single" w:sz="8" w:space="0" w:color="auto"/>
            </w:tcBorders>
            <w:vAlign w:val="center"/>
          </w:tcPr>
          <w:p w14:paraId="78C77D8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516,000</w:t>
            </w:r>
          </w:p>
        </w:tc>
      </w:tr>
      <w:tr w:rsidR="00A13AC3" w:rsidRPr="00A13AC3" w14:paraId="0A061DA5" w14:textId="77777777" w:rsidTr="0020734C">
        <w:trPr>
          <w:jc w:val="center"/>
        </w:trPr>
        <w:tc>
          <w:tcPr>
            <w:tcW w:w="2563" w:type="dxa"/>
            <w:tcMar>
              <w:left w:w="28" w:type="dxa"/>
              <w:right w:w="28" w:type="dxa"/>
            </w:tcMar>
            <w:vAlign w:val="center"/>
          </w:tcPr>
          <w:p w14:paraId="4A77AA47"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3</w:t>
            </w:r>
          </w:p>
        </w:tc>
        <w:tc>
          <w:tcPr>
            <w:tcW w:w="1118" w:type="dxa"/>
            <w:tcMar>
              <w:left w:w="28" w:type="dxa"/>
              <w:right w:w="28" w:type="dxa"/>
            </w:tcMar>
            <w:vAlign w:val="center"/>
          </w:tcPr>
          <w:p w14:paraId="6BCC3A7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18</w:t>
            </w:r>
          </w:p>
        </w:tc>
        <w:tc>
          <w:tcPr>
            <w:tcW w:w="1134" w:type="dxa"/>
            <w:tcMar>
              <w:left w:w="28" w:type="dxa"/>
              <w:right w:w="28" w:type="dxa"/>
            </w:tcMar>
            <w:vAlign w:val="center"/>
          </w:tcPr>
          <w:p w14:paraId="14EBA47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43,000</w:t>
            </w:r>
          </w:p>
        </w:tc>
        <w:tc>
          <w:tcPr>
            <w:tcW w:w="1134" w:type="dxa"/>
            <w:tcBorders>
              <w:right w:val="single" w:sz="8" w:space="0" w:color="auto"/>
            </w:tcBorders>
            <w:tcMar>
              <w:left w:w="28" w:type="dxa"/>
              <w:right w:w="28" w:type="dxa"/>
            </w:tcMar>
            <w:vAlign w:val="center"/>
          </w:tcPr>
          <w:p w14:paraId="2F1092B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25</w:t>
            </w:r>
          </w:p>
        </w:tc>
        <w:tc>
          <w:tcPr>
            <w:tcW w:w="1134" w:type="dxa"/>
            <w:tcBorders>
              <w:left w:val="single" w:sz="8" w:space="0" w:color="auto"/>
            </w:tcBorders>
            <w:tcMar>
              <w:left w:w="28" w:type="dxa"/>
              <w:right w:w="28" w:type="dxa"/>
            </w:tcMar>
            <w:vAlign w:val="center"/>
          </w:tcPr>
          <w:p w14:paraId="29D84BA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20</w:t>
            </w:r>
          </w:p>
        </w:tc>
        <w:tc>
          <w:tcPr>
            <w:tcW w:w="1134" w:type="dxa"/>
            <w:tcBorders>
              <w:left w:val="single" w:sz="8" w:space="0" w:color="auto"/>
            </w:tcBorders>
            <w:vAlign w:val="center"/>
          </w:tcPr>
          <w:p w14:paraId="69DACD6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231,000</w:t>
            </w:r>
          </w:p>
        </w:tc>
      </w:tr>
      <w:tr w:rsidR="00A13AC3" w:rsidRPr="00A13AC3" w14:paraId="47E972C3" w14:textId="77777777" w:rsidTr="0020734C">
        <w:trPr>
          <w:jc w:val="center"/>
        </w:trPr>
        <w:tc>
          <w:tcPr>
            <w:tcW w:w="2563" w:type="dxa"/>
            <w:tcMar>
              <w:left w:w="28" w:type="dxa"/>
              <w:right w:w="28" w:type="dxa"/>
            </w:tcMar>
            <w:vAlign w:val="center"/>
          </w:tcPr>
          <w:p w14:paraId="27ABEBC7"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4+</w:t>
            </w:r>
          </w:p>
        </w:tc>
        <w:tc>
          <w:tcPr>
            <w:tcW w:w="1118" w:type="dxa"/>
            <w:tcMar>
              <w:left w:w="28" w:type="dxa"/>
              <w:right w:w="28" w:type="dxa"/>
            </w:tcMar>
            <w:vAlign w:val="center"/>
          </w:tcPr>
          <w:p w14:paraId="09810AE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33</w:t>
            </w:r>
          </w:p>
        </w:tc>
        <w:tc>
          <w:tcPr>
            <w:tcW w:w="1134" w:type="dxa"/>
            <w:tcMar>
              <w:left w:w="28" w:type="dxa"/>
              <w:right w:w="28" w:type="dxa"/>
            </w:tcMar>
            <w:vAlign w:val="center"/>
          </w:tcPr>
          <w:p w14:paraId="368C496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46,000</w:t>
            </w:r>
          </w:p>
        </w:tc>
        <w:tc>
          <w:tcPr>
            <w:tcW w:w="1134" w:type="dxa"/>
            <w:tcBorders>
              <w:right w:val="single" w:sz="8" w:space="0" w:color="auto"/>
            </w:tcBorders>
            <w:tcMar>
              <w:left w:w="28" w:type="dxa"/>
              <w:right w:w="28" w:type="dxa"/>
            </w:tcMar>
            <w:vAlign w:val="center"/>
          </w:tcPr>
          <w:p w14:paraId="3EE926E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27</w:t>
            </w:r>
          </w:p>
        </w:tc>
        <w:tc>
          <w:tcPr>
            <w:tcW w:w="1134" w:type="dxa"/>
            <w:tcBorders>
              <w:left w:val="single" w:sz="8" w:space="0" w:color="auto"/>
            </w:tcBorders>
            <w:tcMar>
              <w:left w:w="28" w:type="dxa"/>
              <w:right w:w="28" w:type="dxa"/>
            </w:tcMar>
            <w:vAlign w:val="center"/>
          </w:tcPr>
          <w:p w14:paraId="118612A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12</w:t>
            </w:r>
          </w:p>
        </w:tc>
        <w:tc>
          <w:tcPr>
            <w:tcW w:w="1134" w:type="dxa"/>
            <w:tcBorders>
              <w:left w:val="single" w:sz="8" w:space="0" w:color="auto"/>
            </w:tcBorders>
            <w:vAlign w:val="center"/>
          </w:tcPr>
          <w:p w14:paraId="5F868D5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142,000</w:t>
            </w:r>
          </w:p>
        </w:tc>
      </w:tr>
      <w:tr w:rsidR="00A13AC3" w:rsidRPr="00A13AC3" w14:paraId="5FAA21EF" w14:textId="77777777" w:rsidTr="0020734C">
        <w:trPr>
          <w:jc w:val="center"/>
        </w:trPr>
        <w:tc>
          <w:tcPr>
            <w:tcW w:w="2563" w:type="dxa"/>
            <w:tcMar>
              <w:left w:w="28" w:type="dxa"/>
              <w:right w:w="28" w:type="dxa"/>
            </w:tcMar>
            <w:vAlign w:val="center"/>
          </w:tcPr>
          <w:p w14:paraId="61E47E1A" w14:textId="77777777" w:rsidR="00A13AC3" w:rsidRPr="00A13AC3" w:rsidRDefault="00A13AC3" w:rsidP="00A13AC3">
            <w:pPr>
              <w:spacing w:before="30" w:after="30" w:line="240" w:lineRule="auto"/>
              <w:rPr>
                <w:rFonts w:ascii="Arial" w:hAnsi="Arial"/>
                <w:b/>
                <w:bCs/>
                <w:color w:val="000000"/>
                <w:sz w:val="14"/>
                <w:szCs w:val="14"/>
              </w:rPr>
            </w:pPr>
            <w:r w:rsidRPr="00A13AC3">
              <w:rPr>
                <w:rFonts w:ascii="Arial" w:hAnsi="Arial"/>
                <w:b/>
                <w:bCs/>
                <w:color w:val="000000"/>
                <w:sz w:val="14"/>
                <w:szCs w:val="14"/>
              </w:rPr>
              <w:t>Main source of HH income</w:t>
            </w:r>
          </w:p>
        </w:tc>
        <w:tc>
          <w:tcPr>
            <w:tcW w:w="1118" w:type="dxa"/>
            <w:tcMar>
              <w:left w:w="28" w:type="dxa"/>
              <w:right w:w="28" w:type="dxa"/>
            </w:tcMar>
            <w:vAlign w:val="center"/>
          </w:tcPr>
          <w:p w14:paraId="15C68E6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Mar>
              <w:left w:w="28" w:type="dxa"/>
              <w:right w:w="28" w:type="dxa"/>
            </w:tcMar>
            <w:vAlign w:val="center"/>
          </w:tcPr>
          <w:p w14:paraId="7D52C36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right w:val="single" w:sz="8" w:space="0" w:color="auto"/>
            </w:tcBorders>
            <w:tcMar>
              <w:left w:w="28" w:type="dxa"/>
              <w:right w:w="28" w:type="dxa"/>
            </w:tcMar>
            <w:vAlign w:val="center"/>
          </w:tcPr>
          <w:p w14:paraId="6B1F8ED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Mar>
              <w:left w:w="28" w:type="dxa"/>
              <w:right w:w="28" w:type="dxa"/>
            </w:tcMar>
            <w:vAlign w:val="center"/>
          </w:tcPr>
          <w:p w14:paraId="34B816D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vAlign w:val="center"/>
          </w:tcPr>
          <w:p w14:paraId="1551014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r>
      <w:tr w:rsidR="00A13AC3" w:rsidRPr="00A13AC3" w14:paraId="6D7EEB1E" w14:textId="77777777" w:rsidTr="0020734C">
        <w:trPr>
          <w:jc w:val="center"/>
        </w:trPr>
        <w:tc>
          <w:tcPr>
            <w:tcW w:w="2563" w:type="dxa"/>
            <w:tcMar>
              <w:left w:w="28" w:type="dxa"/>
              <w:right w:w="28" w:type="dxa"/>
            </w:tcMar>
            <w:vAlign w:val="center"/>
          </w:tcPr>
          <w:p w14:paraId="1CE4A950" w14:textId="77777777" w:rsidR="00A13AC3" w:rsidRPr="00A13AC3" w:rsidRDefault="00A13AC3" w:rsidP="00A13AC3">
            <w:pPr>
              <w:spacing w:before="30" w:after="30" w:line="240" w:lineRule="auto"/>
              <w:ind w:left="113"/>
              <w:rPr>
                <w:rFonts w:ascii="Arial" w:hAnsi="Arial"/>
                <w:color w:val="000000"/>
                <w:sz w:val="14"/>
                <w:szCs w:val="14"/>
              </w:rPr>
            </w:pPr>
            <w:r w:rsidRPr="00A13AC3">
              <w:rPr>
                <w:rFonts w:ascii="Arial" w:hAnsi="Arial"/>
                <w:color w:val="000000"/>
                <w:sz w:val="14"/>
                <w:szCs w:val="14"/>
              </w:rPr>
              <w:t>Main source market</w:t>
            </w:r>
          </w:p>
        </w:tc>
        <w:tc>
          <w:tcPr>
            <w:tcW w:w="1118" w:type="dxa"/>
            <w:tcMar>
              <w:left w:w="28" w:type="dxa"/>
              <w:right w:w="28" w:type="dxa"/>
            </w:tcMar>
            <w:vAlign w:val="center"/>
          </w:tcPr>
          <w:p w14:paraId="0B40339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w:t>
            </w:r>
          </w:p>
        </w:tc>
        <w:tc>
          <w:tcPr>
            <w:tcW w:w="1134" w:type="dxa"/>
            <w:tcMar>
              <w:left w:w="28" w:type="dxa"/>
              <w:right w:w="28" w:type="dxa"/>
            </w:tcMar>
            <w:vAlign w:val="center"/>
          </w:tcPr>
          <w:p w14:paraId="3907CCF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82,000</w:t>
            </w:r>
          </w:p>
        </w:tc>
        <w:tc>
          <w:tcPr>
            <w:tcW w:w="1134" w:type="dxa"/>
            <w:tcBorders>
              <w:right w:val="single" w:sz="8" w:space="0" w:color="auto"/>
            </w:tcBorders>
            <w:tcMar>
              <w:left w:w="28" w:type="dxa"/>
              <w:right w:w="28" w:type="dxa"/>
            </w:tcMar>
            <w:vAlign w:val="center"/>
          </w:tcPr>
          <w:p w14:paraId="7B4E366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48</w:t>
            </w:r>
          </w:p>
        </w:tc>
        <w:tc>
          <w:tcPr>
            <w:tcW w:w="1134" w:type="dxa"/>
            <w:tcBorders>
              <w:left w:val="single" w:sz="8" w:space="0" w:color="auto"/>
            </w:tcBorders>
            <w:tcMar>
              <w:left w:w="28" w:type="dxa"/>
              <w:right w:w="28" w:type="dxa"/>
            </w:tcMar>
            <w:vAlign w:val="center"/>
          </w:tcPr>
          <w:p w14:paraId="0289189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84</w:t>
            </w:r>
          </w:p>
        </w:tc>
        <w:tc>
          <w:tcPr>
            <w:tcW w:w="1134" w:type="dxa"/>
            <w:tcBorders>
              <w:left w:val="single" w:sz="8" w:space="0" w:color="auto"/>
            </w:tcBorders>
            <w:vAlign w:val="center"/>
          </w:tcPr>
          <w:p w14:paraId="6081C56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996,000</w:t>
            </w:r>
          </w:p>
        </w:tc>
      </w:tr>
      <w:tr w:rsidR="00A13AC3" w:rsidRPr="00A13AC3" w14:paraId="512863C0" w14:textId="77777777" w:rsidTr="0020734C">
        <w:trPr>
          <w:jc w:val="center"/>
        </w:trPr>
        <w:tc>
          <w:tcPr>
            <w:tcW w:w="2563" w:type="dxa"/>
            <w:tcMar>
              <w:left w:w="28" w:type="dxa"/>
              <w:right w:w="28" w:type="dxa"/>
            </w:tcMar>
            <w:vAlign w:val="center"/>
          </w:tcPr>
          <w:p w14:paraId="390EC18E"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Main source government</w:t>
            </w:r>
          </w:p>
        </w:tc>
        <w:tc>
          <w:tcPr>
            <w:tcW w:w="1118" w:type="dxa"/>
            <w:tcMar>
              <w:left w:w="28" w:type="dxa"/>
              <w:right w:w="28" w:type="dxa"/>
            </w:tcMar>
            <w:vAlign w:val="center"/>
          </w:tcPr>
          <w:p w14:paraId="06242E8B"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47</w:t>
            </w:r>
          </w:p>
        </w:tc>
        <w:tc>
          <w:tcPr>
            <w:tcW w:w="1134" w:type="dxa"/>
            <w:tcMar>
              <w:left w:w="28" w:type="dxa"/>
              <w:right w:w="28" w:type="dxa"/>
            </w:tcMar>
            <w:vAlign w:val="center"/>
          </w:tcPr>
          <w:p w14:paraId="351A48B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88,000</w:t>
            </w:r>
          </w:p>
        </w:tc>
        <w:tc>
          <w:tcPr>
            <w:tcW w:w="1134" w:type="dxa"/>
            <w:tcBorders>
              <w:right w:val="single" w:sz="8" w:space="0" w:color="auto"/>
            </w:tcBorders>
            <w:tcMar>
              <w:left w:w="28" w:type="dxa"/>
              <w:right w:w="28" w:type="dxa"/>
            </w:tcMar>
            <w:vAlign w:val="center"/>
          </w:tcPr>
          <w:p w14:paraId="4C6358A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52</w:t>
            </w:r>
          </w:p>
        </w:tc>
        <w:tc>
          <w:tcPr>
            <w:tcW w:w="1134" w:type="dxa"/>
            <w:tcBorders>
              <w:left w:val="single" w:sz="8" w:space="0" w:color="auto"/>
            </w:tcBorders>
            <w:tcMar>
              <w:left w:w="28" w:type="dxa"/>
              <w:right w:w="28" w:type="dxa"/>
            </w:tcMar>
            <w:vAlign w:val="center"/>
          </w:tcPr>
          <w:p w14:paraId="1A4C30BF"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16</w:t>
            </w:r>
          </w:p>
        </w:tc>
        <w:tc>
          <w:tcPr>
            <w:tcW w:w="1134" w:type="dxa"/>
            <w:tcBorders>
              <w:left w:val="single" w:sz="8" w:space="0" w:color="auto"/>
            </w:tcBorders>
            <w:vAlign w:val="center"/>
          </w:tcPr>
          <w:p w14:paraId="77F6C67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186,000</w:t>
            </w:r>
          </w:p>
        </w:tc>
      </w:tr>
      <w:tr w:rsidR="00A13AC3" w:rsidRPr="00A13AC3" w14:paraId="1E0F6005" w14:textId="77777777" w:rsidTr="0020734C">
        <w:trPr>
          <w:jc w:val="center"/>
        </w:trPr>
        <w:tc>
          <w:tcPr>
            <w:tcW w:w="2563" w:type="dxa"/>
            <w:tcMar>
              <w:left w:w="28" w:type="dxa"/>
              <w:right w:w="28" w:type="dxa"/>
            </w:tcMar>
            <w:vAlign w:val="center"/>
          </w:tcPr>
          <w:p w14:paraId="1587904C" w14:textId="77777777" w:rsidR="00A13AC3" w:rsidRPr="00A13AC3" w:rsidRDefault="00A13AC3" w:rsidP="00A13AC3">
            <w:pPr>
              <w:spacing w:before="30" w:after="30" w:line="240" w:lineRule="auto"/>
              <w:ind w:left="174" w:hanging="174"/>
              <w:rPr>
                <w:rFonts w:ascii="Arial" w:hAnsi="Arial"/>
                <w:color w:val="000000"/>
                <w:sz w:val="14"/>
                <w:szCs w:val="14"/>
              </w:rPr>
            </w:pPr>
            <w:r w:rsidRPr="00A13AC3">
              <w:rPr>
                <w:rFonts w:ascii="Arial" w:hAnsi="Arial"/>
                <w:b/>
                <w:bCs/>
                <w:color w:val="000000"/>
                <w:sz w:val="14"/>
                <w:szCs w:val="14"/>
              </w:rPr>
              <w:t>HH work intensity (HES 23-24)</w:t>
            </w:r>
          </w:p>
        </w:tc>
        <w:tc>
          <w:tcPr>
            <w:tcW w:w="1118" w:type="dxa"/>
            <w:tcMar>
              <w:left w:w="28" w:type="dxa"/>
              <w:right w:w="28" w:type="dxa"/>
            </w:tcMar>
            <w:vAlign w:val="center"/>
          </w:tcPr>
          <w:p w14:paraId="0CB77B65" w14:textId="77777777" w:rsidR="00A13AC3" w:rsidRPr="00A13AC3" w:rsidRDefault="00A13AC3" w:rsidP="00A13AC3">
            <w:pPr>
              <w:spacing w:before="30" w:after="30" w:line="240" w:lineRule="auto"/>
              <w:jc w:val="center"/>
              <w:rPr>
                <w:rFonts w:ascii="Arial" w:hAnsi="Arial"/>
                <w:color w:val="000000"/>
                <w:sz w:val="14"/>
                <w:szCs w:val="14"/>
              </w:rPr>
            </w:pPr>
          </w:p>
        </w:tc>
        <w:tc>
          <w:tcPr>
            <w:tcW w:w="1134" w:type="dxa"/>
            <w:tcMar>
              <w:left w:w="28" w:type="dxa"/>
              <w:right w:w="28" w:type="dxa"/>
            </w:tcMar>
            <w:vAlign w:val="center"/>
          </w:tcPr>
          <w:p w14:paraId="7605859D" w14:textId="77777777" w:rsidR="00A13AC3" w:rsidRPr="00A13AC3" w:rsidRDefault="00A13AC3" w:rsidP="00A13AC3">
            <w:pPr>
              <w:spacing w:before="30" w:after="30" w:line="240" w:lineRule="auto"/>
              <w:jc w:val="center"/>
              <w:rPr>
                <w:rFonts w:ascii="Arial" w:hAnsi="Arial"/>
                <w:color w:val="000000"/>
                <w:sz w:val="14"/>
                <w:szCs w:val="14"/>
              </w:rPr>
            </w:pPr>
          </w:p>
        </w:tc>
        <w:tc>
          <w:tcPr>
            <w:tcW w:w="1134" w:type="dxa"/>
            <w:tcBorders>
              <w:right w:val="single" w:sz="8" w:space="0" w:color="auto"/>
            </w:tcBorders>
            <w:tcMar>
              <w:left w:w="28" w:type="dxa"/>
              <w:right w:w="28" w:type="dxa"/>
            </w:tcMar>
            <w:vAlign w:val="center"/>
          </w:tcPr>
          <w:p w14:paraId="4CE3D384" w14:textId="77777777" w:rsidR="00A13AC3" w:rsidRPr="00A13AC3" w:rsidRDefault="00A13AC3" w:rsidP="00A13AC3">
            <w:pPr>
              <w:spacing w:before="30" w:after="30" w:line="240" w:lineRule="auto"/>
              <w:jc w:val="center"/>
              <w:rPr>
                <w:rFonts w:ascii="Arial" w:hAnsi="Arial"/>
                <w:color w:val="000000"/>
                <w:sz w:val="14"/>
                <w:szCs w:val="14"/>
              </w:rPr>
            </w:pPr>
          </w:p>
        </w:tc>
        <w:tc>
          <w:tcPr>
            <w:tcW w:w="1134" w:type="dxa"/>
            <w:tcBorders>
              <w:left w:val="single" w:sz="8" w:space="0" w:color="auto"/>
            </w:tcBorders>
            <w:tcMar>
              <w:left w:w="28" w:type="dxa"/>
              <w:right w:w="28" w:type="dxa"/>
            </w:tcMar>
            <w:vAlign w:val="center"/>
          </w:tcPr>
          <w:p w14:paraId="5B3655FA" w14:textId="77777777" w:rsidR="00A13AC3" w:rsidRPr="00A13AC3" w:rsidRDefault="00A13AC3" w:rsidP="00A13AC3">
            <w:pPr>
              <w:spacing w:before="30" w:after="30" w:line="240" w:lineRule="auto"/>
              <w:jc w:val="center"/>
              <w:rPr>
                <w:rFonts w:ascii="Arial" w:hAnsi="Arial"/>
                <w:color w:val="000000"/>
                <w:sz w:val="14"/>
                <w:szCs w:val="14"/>
              </w:rPr>
            </w:pPr>
          </w:p>
        </w:tc>
        <w:tc>
          <w:tcPr>
            <w:tcW w:w="1134" w:type="dxa"/>
            <w:tcBorders>
              <w:left w:val="single" w:sz="8" w:space="0" w:color="auto"/>
            </w:tcBorders>
          </w:tcPr>
          <w:p w14:paraId="4E8D4EA8" w14:textId="77777777" w:rsidR="00A13AC3" w:rsidRPr="00A13AC3" w:rsidRDefault="00A13AC3" w:rsidP="00A13AC3">
            <w:pPr>
              <w:spacing w:before="30" w:after="30" w:line="240" w:lineRule="auto"/>
              <w:jc w:val="center"/>
              <w:rPr>
                <w:rFonts w:ascii="Arial" w:hAnsi="Arial"/>
                <w:color w:val="000000"/>
                <w:sz w:val="14"/>
                <w:szCs w:val="14"/>
              </w:rPr>
            </w:pPr>
          </w:p>
        </w:tc>
      </w:tr>
      <w:tr w:rsidR="00A13AC3" w:rsidRPr="00A13AC3" w14:paraId="7434655B" w14:textId="77777777" w:rsidTr="0020734C">
        <w:trPr>
          <w:jc w:val="center"/>
        </w:trPr>
        <w:tc>
          <w:tcPr>
            <w:tcW w:w="2563" w:type="dxa"/>
            <w:tcMar>
              <w:left w:w="28" w:type="dxa"/>
              <w:right w:w="28" w:type="dxa"/>
            </w:tcMar>
            <w:vAlign w:val="center"/>
          </w:tcPr>
          <w:p w14:paraId="4EE36340"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2+ earner HH – 1+ FT</w:t>
            </w:r>
          </w:p>
        </w:tc>
        <w:tc>
          <w:tcPr>
            <w:tcW w:w="1118" w:type="dxa"/>
            <w:tcMar>
              <w:left w:w="28" w:type="dxa"/>
              <w:right w:w="28" w:type="dxa"/>
            </w:tcMar>
            <w:vAlign w:val="center"/>
          </w:tcPr>
          <w:p w14:paraId="04637A6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w:t>
            </w:r>
          </w:p>
        </w:tc>
        <w:tc>
          <w:tcPr>
            <w:tcW w:w="1134" w:type="dxa"/>
            <w:tcMar>
              <w:left w:w="28" w:type="dxa"/>
              <w:right w:w="28" w:type="dxa"/>
            </w:tcMar>
            <w:vAlign w:val="center"/>
          </w:tcPr>
          <w:p w14:paraId="775A6C7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38,000</w:t>
            </w:r>
          </w:p>
        </w:tc>
        <w:tc>
          <w:tcPr>
            <w:tcW w:w="1134" w:type="dxa"/>
            <w:tcBorders>
              <w:right w:val="single" w:sz="8" w:space="0" w:color="auto"/>
            </w:tcBorders>
            <w:tcMar>
              <w:left w:w="28" w:type="dxa"/>
              <w:right w:w="28" w:type="dxa"/>
            </w:tcMar>
            <w:vAlign w:val="center"/>
          </w:tcPr>
          <w:p w14:paraId="63002F4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24</w:t>
            </w:r>
          </w:p>
        </w:tc>
        <w:tc>
          <w:tcPr>
            <w:tcW w:w="1134" w:type="dxa"/>
            <w:tcBorders>
              <w:left w:val="single" w:sz="8" w:space="0" w:color="auto"/>
            </w:tcBorders>
            <w:tcMar>
              <w:left w:w="28" w:type="dxa"/>
              <w:right w:w="28" w:type="dxa"/>
            </w:tcMar>
            <w:vAlign w:val="center"/>
          </w:tcPr>
          <w:p w14:paraId="1921AD9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51</w:t>
            </w:r>
          </w:p>
        </w:tc>
        <w:tc>
          <w:tcPr>
            <w:tcW w:w="1134" w:type="dxa"/>
            <w:tcBorders>
              <w:left w:val="single" w:sz="8" w:space="0" w:color="auto"/>
            </w:tcBorders>
            <w:vAlign w:val="center"/>
          </w:tcPr>
          <w:p w14:paraId="3C0DB06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593,000</w:t>
            </w:r>
          </w:p>
        </w:tc>
      </w:tr>
      <w:tr w:rsidR="00A13AC3" w:rsidRPr="00A13AC3" w14:paraId="619B812B" w14:textId="77777777" w:rsidTr="0020734C">
        <w:trPr>
          <w:jc w:val="center"/>
        </w:trPr>
        <w:tc>
          <w:tcPr>
            <w:tcW w:w="2563" w:type="dxa"/>
            <w:tcMar>
              <w:left w:w="28" w:type="dxa"/>
              <w:right w:w="28" w:type="dxa"/>
            </w:tcMar>
            <w:vAlign w:val="center"/>
          </w:tcPr>
          <w:p w14:paraId="19215862"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Sole earner HH – FT</w:t>
            </w:r>
          </w:p>
        </w:tc>
        <w:tc>
          <w:tcPr>
            <w:tcW w:w="1118" w:type="dxa"/>
            <w:tcMar>
              <w:left w:w="28" w:type="dxa"/>
              <w:right w:w="28" w:type="dxa"/>
            </w:tcMar>
            <w:vAlign w:val="center"/>
          </w:tcPr>
          <w:p w14:paraId="2F48790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15</w:t>
            </w:r>
          </w:p>
        </w:tc>
        <w:tc>
          <w:tcPr>
            <w:tcW w:w="1134" w:type="dxa"/>
            <w:tcMar>
              <w:left w:w="28" w:type="dxa"/>
              <w:right w:w="28" w:type="dxa"/>
            </w:tcMar>
            <w:vAlign w:val="center"/>
          </w:tcPr>
          <w:p w14:paraId="0A58AC3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40,000</w:t>
            </w:r>
          </w:p>
        </w:tc>
        <w:tc>
          <w:tcPr>
            <w:tcW w:w="1134" w:type="dxa"/>
            <w:tcBorders>
              <w:right w:val="single" w:sz="8" w:space="0" w:color="auto"/>
            </w:tcBorders>
            <w:tcMar>
              <w:left w:w="28" w:type="dxa"/>
              <w:right w:w="28" w:type="dxa"/>
            </w:tcMar>
            <w:vAlign w:val="center"/>
          </w:tcPr>
          <w:p w14:paraId="06D347D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25</w:t>
            </w:r>
          </w:p>
        </w:tc>
        <w:tc>
          <w:tcPr>
            <w:tcW w:w="1134" w:type="dxa"/>
            <w:tcBorders>
              <w:left w:val="single" w:sz="8" w:space="0" w:color="auto"/>
            </w:tcBorders>
            <w:tcMar>
              <w:left w:w="28" w:type="dxa"/>
              <w:right w:w="28" w:type="dxa"/>
            </w:tcMar>
            <w:vAlign w:val="center"/>
          </w:tcPr>
          <w:p w14:paraId="7277F41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23</w:t>
            </w:r>
          </w:p>
        </w:tc>
        <w:tc>
          <w:tcPr>
            <w:tcW w:w="1134" w:type="dxa"/>
            <w:tcBorders>
              <w:left w:val="single" w:sz="8" w:space="0" w:color="auto"/>
            </w:tcBorders>
            <w:vAlign w:val="center"/>
          </w:tcPr>
          <w:p w14:paraId="7EDC399F"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268,000</w:t>
            </w:r>
          </w:p>
        </w:tc>
      </w:tr>
      <w:tr w:rsidR="00A13AC3" w:rsidRPr="00A13AC3" w14:paraId="623002B0" w14:textId="77777777" w:rsidTr="0020734C">
        <w:trPr>
          <w:jc w:val="center"/>
        </w:trPr>
        <w:tc>
          <w:tcPr>
            <w:tcW w:w="2563" w:type="dxa"/>
            <w:tcMar>
              <w:left w:w="28" w:type="dxa"/>
              <w:right w:w="28" w:type="dxa"/>
            </w:tcMar>
            <w:vAlign w:val="center"/>
          </w:tcPr>
          <w:p w14:paraId="25B74AEE"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Part-time only</w:t>
            </w:r>
          </w:p>
        </w:tc>
        <w:tc>
          <w:tcPr>
            <w:tcW w:w="1118" w:type="dxa"/>
            <w:tcMar>
              <w:left w:w="28" w:type="dxa"/>
              <w:right w:w="28" w:type="dxa"/>
            </w:tcMar>
            <w:vAlign w:val="center"/>
          </w:tcPr>
          <w:p w14:paraId="03C24D0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22</w:t>
            </w:r>
          </w:p>
        </w:tc>
        <w:tc>
          <w:tcPr>
            <w:tcW w:w="1134" w:type="dxa"/>
            <w:tcMar>
              <w:left w:w="28" w:type="dxa"/>
              <w:right w:w="28" w:type="dxa"/>
            </w:tcMar>
            <w:vAlign w:val="center"/>
          </w:tcPr>
          <w:p w14:paraId="5012B53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14,000</w:t>
            </w:r>
          </w:p>
        </w:tc>
        <w:tc>
          <w:tcPr>
            <w:tcW w:w="1134" w:type="dxa"/>
            <w:tcBorders>
              <w:right w:val="single" w:sz="8" w:space="0" w:color="auto"/>
            </w:tcBorders>
            <w:tcMar>
              <w:left w:w="28" w:type="dxa"/>
              <w:right w:w="28" w:type="dxa"/>
            </w:tcMar>
            <w:vAlign w:val="center"/>
          </w:tcPr>
          <w:p w14:paraId="78BF532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9</w:t>
            </w:r>
          </w:p>
        </w:tc>
        <w:tc>
          <w:tcPr>
            <w:tcW w:w="1134" w:type="dxa"/>
            <w:tcBorders>
              <w:left w:val="single" w:sz="8" w:space="0" w:color="auto"/>
            </w:tcBorders>
            <w:tcMar>
              <w:left w:w="28" w:type="dxa"/>
              <w:right w:w="28" w:type="dxa"/>
            </w:tcMar>
            <w:vAlign w:val="center"/>
          </w:tcPr>
          <w:p w14:paraId="5EE6CEC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w:t>
            </w:r>
          </w:p>
        </w:tc>
        <w:tc>
          <w:tcPr>
            <w:tcW w:w="1134" w:type="dxa"/>
            <w:tcBorders>
              <w:left w:val="single" w:sz="8" w:space="0" w:color="auto"/>
            </w:tcBorders>
            <w:vAlign w:val="center"/>
          </w:tcPr>
          <w:p w14:paraId="57974B4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63,000</w:t>
            </w:r>
          </w:p>
        </w:tc>
      </w:tr>
      <w:tr w:rsidR="00A13AC3" w:rsidRPr="00A13AC3" w14:paraId="0C5137CD" w14:textId="77777777" w:rsidTr="0020734C">
        <w:trPr>
          <w:jc w:val="center"/>
        </w:trPr>
        <w:tc>
          <w:tcPr>
            <w:tcW w:w="2563" w:type="dxa"/>
            <w:tcMar>
              <w:left w:w="28" w:type="dxa"/>
              <w:right w:w="28" w:type="dxa"/>
            </w:tcMar>
            <w:vAlign w:val="center"/>
          </w:tcPr>
          <w:p w14:paraId="66E40B9A"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No earner (workless)</w:t>
            </w:r>
          </w:p>
        </w:tc>
        <w:tc>
          <w:tcPr>
            <w:tcW w:w="1118" w:type="dxa"/>
            <w:tcMar>
              <w:left w:w="28" w:type="dxa"/>
              <w:right w:w="28" w:type="dxa"/>
            </w:tcMar>
            <w:vAlign w:val="center"/>
          </w:tcPr>
          <w:p w14:paraId="559E01D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46</w:t>
            </w:r>
          </w:p>
        </w:tc>
        <w:tc>
          <w:tcPr>
            <w:tcW w:w="1134" w:type="dxa"/>
            <w:tcMar>
              <w:left w:w="28" w:type="dxa"/>
              <w:right w:w="28" w:type="dxa"/>
            </w:tcMar>
            <w:vAlign w:val="center"/>
          </w:tcPr>
          <w:p w14:paraId="29B9685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65,000</w:t>
            </w:r>
          </w:p>
        </w:tc>
        <w:tc>
          <w:tcPr>
            <w:tcW w:w="1134" w:type="dxa"/>
            <w:tcBorders>
              <w:right w:val="single" w:sz="8" w:space="0" w:color="auto"/>
            </w:tcBorders>
            <w:tcMar>
              <w:left w:w="28" w:type="dxa"/>
              <w:right w:w="28" w:type="dxa"/>
            </w:tcMar>
            <w:vAlign w:val="center"/>
          </w:tcPr>
          <w:p w14:paraId="48E516F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41</w:t>
            </w:r>
          </w:p>
        </w:tc>
        <w:tc>
          <w:tcPr>
            <w:tcW w:w="1134" w:type="dxa"/>
            <w:tcBorders>
              <w:left w:val="single" w:sz="8" w:space="0" w:color="auto"/>
            </w:tcBorders>
            <w:tcMar>
              <w:left w:w="28" w:type="dxa"/>
              <w:right w:w="28" w:type="dxa"/>
            </w:tcMar>
            <w:vAlign w:val="center"/>
          </w:tcPr>
          <w:p w14:paraId="17AEEC8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12</w:t>
            </w:r>
          </w:p>
        </w:tc>
        <w:tc>
          <w:tcPr>
            <w:tcW w:w="1134" w:type="dxa"/>
            <w:tcBorders>
              <w:left w:val="single" w:sz="8" w:space="0" w:color="auto"/>
            </w:tcBorders>
            <w:vAlign w:val="center"/>
          </w:tcPr>
          <w:p w14:paraId="2CB3E47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140,000</w:t>
            </w:r>
          </w:p>
        </w:tc>
      </w:tr>
      <w:tr w:rsidR="00A13AC3" w:rsidRPr="00A13AC3" w14:paraId="45F5284C" w14:textId="77777777" w:rsidTr="0020734C">
        <w:trPr>
          <w:jc w:val="center"/>
        </w:trPr>
        <w:tc>
          <w:tcPr>
            <w:tcW w:w="2563" w:type="dxa"/>
            <w:tcMar>
              <w:left w:w="28" w:type="dxa"/>
              <w:right w:w="28" w:type="dxa"/>
            </w:tcMar>
            <w:vAlign w:val="center"/>
          </w:tcPr>
          <w:p w14:paraId="22D66347"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Self-employed</w:t>
            </w:r>
          </w:p>
        </w:tc>
        <w:tc>
          <w:tcPr>
            <w:tcW w:w="1118" w:type="dxa"/>
            <w:tcMar>
              <w:left w:w="28" w:type="dxa"/>
              <w:right w:w="28" w:type="dxa"/>
            </w:tcMar>
            <w:vAlign w:val="center"/>
          </w:tcPr>
          <w:p w14:paraId="15AB704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w:t>
            </w:r>
          </w:p>
        </w:tc>
        <w:tc>
          <w:tcPr>
            <w:tcW w:w="1134" w:type="dxa"/>
            <w:tcMar>
              <w:left w:w="28" w:type="dxa"/>
              <w:right w:w="28" w:type="dxa"/>
            </w:tcMar>
            <w:vAlign w:val="center"/>
          </w:tcPr>
          <w:p w14:paraId="6CFF840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2,000</w:t>
            </w:r>
          </w:p>
        </w:tc>
        <w:tc>
          <w:tcPr>
            <w:tcW w:w="1134" w:type="dxa"/>
            <w:tcBorders>
              <w:right w:val="single" w:sz="8" w:space="0" w:color="auto"/>
            </w:tcBorders>
            <w:tcMar>
              <w:left w:w="28" w:type="dxa"/>
              <w:right w:w="28" w:type="dxa"/>
            </w:tcMar>
            <w:vAlign w:val="center"/>
          </w:tcPr>
          <w:p w14:paraId="2178BC6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w:t>
            </w:r>
          </w:p>
        </w:tc>
        <w:tc>
          <w:tcPr>
            <w:tcW w:w="1134" w:type="dxa"/>
            <w:tcBorders>
              <w:left w:val="single" w:sz="8" w:space="0" w:color="auto"/>
            </w:tcBorders>
            <w:tcMar>
              <w:left w:w="28" w:type="dxa"/>
              <w:right w:w="28" w:type="dxa"/>
            </w:tcMar>
            <w:vAlign w:val="center"/>
          </w:tcPr>
          <w:p w14:paraId="2FE0E71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9</w:t>
            </w:r>
          </w:p>
        </w:tc>
        <w:tc>
          <w:tcPr>
            <w:tcW w:w="1134" w:type="dxa"/>
            <w:tcBorders>
              <w:left w:val="single" w:sz="8" w:space="0" w:color="auto"/>
            </w:tcBorders>
            <w:vAlign w:val="center"/>
          </w:tcPr>
          <w:p w14:paraId="620DC96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109,000</w:t>
            </w:r>
          </w:p>
        </w:tc>
      </w:tr>
      <w:tr w:rsidR="00A13AC3" w:rsidRPr="00A13AC3" w14:paraId="6A509D20" w14:textId="77777777" w:rsidTr="0020734C">
        <w:trPr>
          <w:jc w:val="center"/>
        </w:trPr>
        <w:tc>
          <w:tcPr>
            <w:tcW w:w="2563" w:type="dxa"/>
            <w:tcMar>
              <w:left w:w="28" w:type="dxa"/>
              <w:right w:w="28" w:type="dxa"/>
            </w:tcMar>
            <w:vAlign w:val="center"/>
          </w:tcPr>
          <w:p w14:paraId="6917D34F" w14:textId="77777777" w:rsidR="00A13AC3" w:rsidRPr="00A13AC3" w:rsidRDefault="00A13AC3" w:rsidP="00A13AC3">
            <w:pPr>
              <w:spacing w:before="30" w:after="30" w:line="240" w:lineRule="auto"/>
              <w:ind w:left="174" w:hanging="174"/>
              <w:rPr>
                <w:rFonts w:ascii="Arial" w:hAnsi="Arial"/>
                <w:color w:val="000000"/>
                <w:sz w:val="14"/>
                <w:szCs w:val="14"/>
              </w:rPr>
            </w:pPr>
            <w:r w:rsidRPr="00A13AC3">
              <w:rPr>
                <w:rFonts w:ascii="Arial" w:hAnsi="Arial"/>
                <w:b/>
                <w:bCs/>
                <w:color w:val="000000"/>
                <w:sz w:val="14"/>
                <w:szCs w:val="14"/>
              </w:rPr>
              <w:t>Tenure of household</w:t>
            </w:r>
          </w:p>
        </w:tc>
        <w:tc>
          <w:tcPr>
            <w:tcW w:w="1118" w:type="dxa"/>
            <w:tcMar>
              <w:left w:w="28" w:type="dxa"/>
              <w:right w:w="28" w:type="dxa"/>
            </w:tcMar>
            <w:vAlign w:val="center"/>
          </w:tcPr>
          <w:p w14:paraId="5212668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Mar>
              <w:left w:w="28" w:type="dxa"/>
              <w:right w:w="28" w:type="dxa"/>
            </w:tcMar>
            <w:vAlign w:val="center"/>
          </w:tcPr>
          <w:p w14:paraId="26F400F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right w:val="single" w:sz="8" w:space="0" w:color="auto"/>
            </w:tcBorders>
            <w:tcMar>
              <w:left w:w="28" w:type="dxa"/>
              <w:right w:w="28" w:type="dxa"/>
            </w:tcMar>
            <w:vAlign w:val="center"/>
          </w:tcPr>
          <w:p w14:paraId="79D4E45B"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Mar>
              <w:left w:w="28" w:type="dxa"/>
              <w:right w:w="28" w:type="dxa"/>
            </w:tcMar>
            <w:vAlign w:val="center"/>
          </w:tcPr>
          <w:p w14:paraId="774969D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Pr>
          <w:p w14:paraId="566E8E29" w14:textId="77777777" w:rsidR="00A13AC3" w:rsidRPr="00A13AC3" w:rsidRDefault="00A13AC3" w:rsidP="00A13AC3">
            <w:pPr>
              <w:spacing w:before="30" w:after="30" w:line="240" w:lineRule="auto"/>
              <w:jc w:val="center"/>
              <w:rPr>
                <w:rFonts w:ascii="Arial" w:hAnsi="Arial"/>
                <w:color w:val="000000"/>
                <w:sz w:val="14"/>
                <w:szCs w:val="14"/>
              </w:rPr>
            </w:pPr>
          </w:p>
        </w:tc>
      </w:tr>
      <w:tr w:rsidR="00A13AC3" w:rsidRPr="00A13AC3" w14:paraId="414E0C4A" w14:textId="77777777" w:rsidTr="0020734C">
        <w:trPr>
          <w:jc w:val="center"/>
        </w:trPr>
        <w:tc>
          <w:tcPr>
            <w:tcW w:w="2563" w:type="dxa"/>
            <w:tcMar>
              <w:left w:w="28" w:type="dxa"/>
              <w:right w:w="28" w:type="dxa"/>
            </w:tcMar>
            <w:vAlign w:val="center"/>
          </w:tcPr>
          <w:p w14:paraId="31A8B37C"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Owned with mortgage (incl FT)</w:t>
            </w:r>
          </w:p>
        </w:tc>
        <w:tc>
          <w:tcPr>
            <w:tcW w:w="1118" w:type="dxa"/>
            <w:tcMar>
              <w:left w:w="28" w:type="dxa"/>
              <w:right w:w="28" w:type="dxa"/>
            </w:tcMar>
            <w:vAlign w:val="center"/>
          </w:tcPr>
          <w:p w14:paraId="2FFA743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w:t>
            </w:r>
          </w:p>
        </w:tc>
        <w:tc>
          <w:tcPr>
            <w:tcW w:w="1134" w:type="dxa"/>
            <w:tcMar>
              <w:left w:w="28" w:type="dxa"/>
              <w:right w:w="28" w:type="dxa"/>
            </w:tcMar>
            <w:vAlign w:val="center"/>
          </w:tcPr>
          <w:p w14:paraId="364A19F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25,000</w:t>
            </w:r>
          </w:p>
        </w:tc>
        <w:tc>
          <w:tcPr>
            <w:tcW w:w="1134" w:type="dxa"/>
            <w:tcBorders>
              <w:right w:val="single" w:sz="8" w:space="0" w:color="auto"/>
            </w:tcBorders>
            <w:tcMar>
              <w:left w:w="28" w:type="dxa"/>
              <w:right w:w="28" w:type="dxa"/>
            </w:tcMar>
            <w:vAlign w:val="center"/>
          </w:tcPr>
          <w:p w14:paraId="53D3998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15</w:t>
            </w:r>
          </w:p>
        </w:tc>
        <w:tc>
          <w:tcPr>
            <w:tcW w:w="1134" w:type="dxa"/>
            <w:tcBorders>
              <w:left w:val="single" w:sz="8" w:space="0" w:color="auto"/>
            </w:tcBorders>
            <w:tcMar>
              <w:left w:w="28" w:type="dxa"/>
              <w:right w:w="28" w:type="dxa"/>
            </w:tcMar>
            <w:vAlign w:val="center"/>
          </w:tcPr>
          <w:p w14:paraId="77B4FC9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43</w:t>
            </w:r>
          </w:p>
        </w:tc>
        <w:tc>
          <w:tcPr>
            <w:tcW w:w="1134" w:type="dxa"/>
            <w:tcBorders>
              <w:left w:val="single" w:sz="8" w:space="0" w:color="auto"/>
            </w:tcBorders>
            <w:vAlign w:val="center"/>
          </w:tcPr>
          <w:p w14:paraId="754A5FE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514,000</w:t>
            </w:r>
          </w:p>
        </w:tc>
      </w:tr>
      <w:tr w:rsidR="00A13AC3" w:rsidRPr="00A13AC3" w14:paraId="50206D7B" w14:textId="77777777" w:rsidTr="0020734C">
        <w:trPr>
          <w:jc w:val="center"/>
        </w:trPr>
        <w:tc>
          <w:tcPr>
            <w:tcW w:w="2563" w:type="dxa"/>
            <w:tcMar>
              <w:left w:w="28" w:type="dxa"/>
              <w:right w:w="28" w:type="dxa"/>
            </w:tcMar>
            <w:vAlign w:val="center"/>
          </w:tcPr>
          <w:p w14:paraId="6A3A57F5"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Owned no mortgage (incl FT)</w:t>
            </w:r>
          </w:p>
        </w:tc>
        <w:tc>
          <w:tcPr>
            <w:tcW w:w="1118" w:type="dxa"/>
            <w:tcMar>
              <w:left w:w="28" w:type="dxa"/>
              <w:right w:w="28" w:type="dxa"/>
            </w:tcMar>
            <w:vAlign w:val="center"/>
          </w:tcPr>
          <w:p w14:paraId="5B4D537B"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w:t>
            </w:r>
          </w:p>
        </w:tc>
        <w:tc>
          <w:tcPr>
            <w:tcW w:w="1134" w:type="dxa"/>
            <w:tcMar>
              <w:left w:w="28" w:type="dxa"/>
              <w:right w:w="28" w:type="dxa"/>
            </w:tcMar>
            <w:vAlign w:val="center"/>
          </w:tcPr>
          <w:p w14:paraId="40886AB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6,000</w:t>
            </w:r>
          </w:p>
        </w:tc>
        <w:tc>
          <w:tcPr>
            <w:tcW w:w="1134" w:type="dxa"/>
            <w:tcBorders>
              <w:right w:val="single" w:sz="8" w:space="0" w:color="auto"/>
            </w:tcBorders>
            <w:tcMar>
              <w:left w:w="28" w:type="dxa"/>
              <w:right w:w="28" w:type="dxa"/>
            </w:tcMar>
            <w:vAlign w:val="center"/>
          </w:tcPr>
          <w:p w14:paraId="4C7341A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w:t>
            </w:r>
          </w:p>
        </w:tc>
        <w:tc>
          <w:tcPr>
            <w:tcW w:w="1134" w:type="dxa"/>
            <w:tcBorders>
              <w:left w:val="single" w:sz="8" w:space="0" w:color="auto"/>
            </w:tcBorders>
            <w:tcMar>
              <w:left w:w="28" w:type="dxa"/>
              <w:right w:w="28" w:type="dxa"/>
            </w:tcMar>
            <w:vAlign w:val="center"/>
          </w:tcPr>
          <w:p w14:paraId="7CA9921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13</w:t>
            </w:r>
          </w:p>
        </w:tc>
        <w:tc>
          <w:tcPr>
            <w:tcW w:w="1134" w:type="dxa"/>
            <w:tcBorders>
              <w:left w:val="single" w:sz="8" w:space="0" w:color="auto"/>
            </w:tcBorders>
            <w:vAlign w:val="center"/>
          </w:tcPr>
          <w:p w14:paraId="10560C3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156,000</w:t>
            </w:r>
          </w:p>
        </w:tc>
      </w:tr>
      <w:tr w:rsidR="00A13AC3" w:rsidRPr="00A13AC3" w14:paraId="24492F6A" w14:textId="77777777" w:rsidTr="0020734C">
        <w:trPr>
          <w:jc w:val="center"/>
        </w:trPr>
        <w:tc>
          <w:tcPr>
            <w:tcW w:w="2563" w:type="dxa"/>
            <w:tcMar>
              <w:left w:w="28" w:type="dxa"/>
              <w:right w:w="28" w:type="dxa"/>
            </w:tcMar>
            <w:vAlign w:val="center"/>
          </w:tcPr>
          <w:p w14:paraId="0714E20D"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Private rental (no AS)</w:t>
            </w:r>
          </w:p>
        </w:tc>
        <w:tc>
          <w:tcPr>
            <w:tcW w:w="1118" w:type="dxa"/>
            <w:tcMar>
              <w:left w:w="28" w:type="dxa"/>
              <w:right w:w="28" w:type="dxa"/>
            </w:tcMar>
            <w:vAlign w:val="center"/>
          </w:tcPr>
          <w:p w14:paraId="4730C27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w:t>
            </w:r>
          </w:p>
        </w:tc>
        <w:tc>
          <w:tcPr>
            <w:tcW w:w="1134" w:type="dxa"/>
            <w:tcMar>
              <w:left w:w="28" w:type="dxa"/>
              <w:right w:w="28" w:type="dxa"/>
            </w:tcMar>
            <w:vAlign w:val="center"/>
          </w:tcPr>
          <w:p w14:paraId="34A0725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21,000</w:t>
            </w:r>
          </w:p>
        </w:tc>
        <w:tc>
          <w:tcPr>
            <w:tcW w:w="1134" w:type="dxa"/>
            <w:tcBorders>
              <w:right w:val="single" w:sz="8" w:space="0" w:color="auto"/>
            </w:tcBorders>
            <w:tcMar>
              <w:left w:w="28" w:type="dxa"/>
              <w:right w:w="28" w:type="dxa"/>
            </w:tcMar>
            <w:vAlign w:val="center"/>
          </w:tcPr>
          <w:p w14:paraId="0A4E84A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12</w:t>
            </w:r>
          </w:p>
        </w:tc>
        <w:tc>
          <w:tcPr>
            <w:tcW w:w="1134" w:type="dxa"/>
            <w:tcBorders>
              <w:left w:val="single" w:sz="8" w:space="0" w:color="auto"/>
            </w:tcBorders>
            <w:tcMar>
              <w:left w:w="28" w:type="dxa"/>
              <w:right w:w="28" w:type="dxa"/>
            </w:tcMar>
            <w:vAlign w:val="center"/>
          </w:tcPr>
          <w:p w14:paraId="01433AAF"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18</w:t>
            </w:r>
          </w:p>
        </w:tc>
        <w:tc>
          <w:tcPr>
            <w:tcW w:w="1134" w:type="dxa"/>
            <w:tcBorders>
              <w:left w:val="single" w:sz="8" w:space="0" w:color="auto"/>
            </w:tcBorders>
            <w:vAlign w:val="center"/>
          </w:tcPr>
          <w:p w14:paraId="0B2EFA6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213,000</w:t>
            </w:r>
          </w:p>
        </w:tc>
      </w:tr>
      <w:tr w:rsidR="00A13AC3" w:rsidRPr="00A13AC3" w14:paraId="0468DC19" w14:textId="77777777" w:rsidTr="0020734C">
        <w:trPr>
          <w:jc w:val="center"/>
        </w:trPr>
        <w:tc>
          <w:tcPr>
            <w:tcW w:w="2563" w:type="dxa"/>
            <w:tcMar>
              <w:left w:w="28" w:type="dxa"/>
              <w:right w:w="28" w:type="dxa"/>
            </w:tcMar>
            <w:vAlign w:val="center"/>
          </w:tcPr>
          <w:p w14:paraId="26ACCD5D"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Private rental (with AS)</w:t>
            </w:r>
          </w:p>
        </w:tc>
        <w:tc>
          <w:tcPr>
            <w:tcW w:w="1118" w:type="dxa"/>
            <w:tcMar>
              <w:left w:w="28" w:type="dxa"/>
              <w:right w:w="28" w:type="dxa"/>
            </w:tcMar>
            <w:vAlign w:val="center"/>
          </w:tcPr>
          <w:p w14:paraId="4E4F2E6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40</w:t>
            </w:r>
          </w:p>
        </w:tc>
        <w:tc>
          <w:tcPr>
            <w:tcW w:w="1134" w:type="dxa"/>
            <w:tcMar>
              <w:left w:w="28" w:type="dxa"/>
              <w:right w:w="28" w:type="dxa"/>
            </w:tcMar>
            <w:vAlign w:val="center"/>
          </w:tcPr>
          <w:p w14:paraId="4EB518A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78,000</w:t>
            </w:r>
          </w:p>
        </w:tc>
        <w:tc>
          <w:tcPr>
            <w:tcW w:w="1134" w:type="dxa"/>
            <w:tcBorders>
              <w:right w:val="single" w:sz="8" w:space="0" w:color="auto"/>
            </w:tcBorders>
            <w:tcMar>
              <w:left w:w="28" w:type="dxa"/>
              <w:right w:w="28" w:type="dxa"/>
            </w:tcMar>
            <w:vAlign w:val="center"/>
          </w:tcPr>
          <w:p w14:paraId="147F8301"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46</w:t>
            </w:r>
          </w:p>
        </w:tc>
        <w:tc>
          <w:tcPr>
            <w:tcW w:w="1134" w:type="dxa"/>
            <w:tcBorders>
              <w:left w:val="single" w:sz="8" w:space="0" w:color="auto"/>
            </w:tcBorders>
            <w:tcMar>
              <w:left w:w="28" w:type="dxa"/>
              <w:right w:w="28" w:type="dxa"/>
            </w:tcMar>
            <w:vAlign w:val="center"/>
          </w:tcPr>
          <w:p w14:paraId="7AD18A0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16</w:t>
            </w:r>
          </w:p>
        </w:tc>
        <w:tc>
          <w:tcPr>
            <w:tcW w:w="1134" w:type="dxa"/>
            <w:tcBorders>
              <w:left w:val="single" w:sz="8" w:space="0" w:color="auto"/>
            </w:tcBorders>
            <w:vAlign w:val="center"/>
          </w:tcPr>
          <w:p w14:paraId="53A88E5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195,000</w:t>
            </w:r>
          </w:p>
        </w:tc>
      </w:tr>
      <w:tr w:rsidR="00A13AC3" w:rsidRPr="00A13AC3" w14:paraId="017ACF52" w14:textId="77777777" w:rsidTr="0020734C">
        <w:trPr>
          <w:jc w:val="center"/>
        </w:trPr>
        <w:tc>
          <w:tcPr>
            <w:tcW w:w="2563" w:type="dxa"/>
            <w:tcMar>
              <w:left w:w="28" w:type="dxa"/>
              <w:right w:w="28" w:type="dxa"/>
            </w:tcMar>
            <w:vAlign w:val="center"/>
          </w:tcPr>
          <w:p w14:paraId="45D06BAC"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Social rental (HNZ &amp; LA)</w:t>
            </w:r>
          </w:p>
        </w:tc>
        <w:tc>
          <w:tcPr>
            <w:tcW w:w="1118" w:type="dxa"/>
            <w:tcMar>
              <w:left w:w="28" w:type="dxa"/>
              <w:right w:w="28" w:type="dxa"/>
            </w:tcMar>
            <w:vAlign w:val="center"/>
          </w:tcPr>
          <w:p w14:paraId="67BF6EF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49</w:t>
            </w:r>
          </w:p>
        </w:tc>
        <w:tc>
          <w:tcPr>
            <w:tcW w:w="1134" w:type="dxa"/>
            <w:tcMar>
              <w:left w:w="28" w:type="dxa"/>
              <w:right w:w="28" w:type="dxa"/>
            </w:tcMar>
            <w:vAlign w:val="center"/>
          </w:tcPr>
          <w:p w14:paraId="3611C10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36,000</w:t>
            </w:r>
          </w:p>
        </w:tc>
        <w:tc>
          <w:tcPr>
            <w:tcW w:w="1134" w:type="dxa"/>
            <w:tcBorders>
              <w:right w:val="single" w:sz="8" w:space="0" w:color="auto"/>
            </w:tcBorders>
            <w:tcMar>
              <w:left w:w="28" w:type="dxa"/>
              <w:right w:w="28" w:type="dxa"/>
            </w:tcMar>
            <w:vAlign w:val="center"/>
          </w:tcPr>
          <w:p w14:paraId="62269FE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21</w:t>
            </w:r>
          </w:p>
        </w:tc>
        <w:tc>
          <w:tcPr>
            <w:tcW w:w="1134" w:type="dxa"/>
            <w:tcBorders>
              <w:left w:val="single" w:sz="8" w:space="0" w:color="auto"/>
            </w:tcBorders>
            <w:tcMar>
              <w:left w:w="28" w:type="dxa"/>
              <w:right w:w="28" w:type="dxa"/>
            </w:tcMar>
            <w:vAlign w:val="center"/>
          </w:tcPr>
          <w:p w14:paraId="7ED0440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w:t>
            </w:r>
          </w:p>
        </w:tc>
        <w:tc>
          <w:tcPr>
            <w:tcW w:w="1134" w:type="dxa"/>
            <w:tcBorders>
              <w:left w:val="single" w:sz="8" w:space="0" w:color="auto"/>
            </w:tcBorders>
            <w:vAlign w:val="center"/>
          </w:tcPr>
          <w:p w14:paraId="16CE400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73,000</w:t>
            </w:r>
          </w:p>
        </w:tc>
      </w:tr>
      <w:tr w:rsidR="00A13AC3" w:rsidRPr="00A13AC3" w14:paraId="212E7047" w14:textId="77777777" w:rsidTr="0020734C">
        <w:trPr>
          <w:jc w:val="center"/>
        </w:trPr>
        <w:tc>
          <w:tcPr>
            <w:tcW w:w="2563" w:type="dxa"/>
            <w:tcMar>
              <w:left w:w="28" w:type="dxa"/>
              <w:right w:w="28" w:type="dxa"/>
            </w:tcMar>
            <w:vAlign w:val="center"/>
          </w:tcPr>
          <w:p w14:paraId="5F70258C" w14:textId="77777777" w:rsidR="00A13AC3" w:rsidRPr="00A13AC3" w:rsidRDefault="00A13AC3" w:rsidP="00A13AC3">
            <w:pPr>
              <w:spacing w:before="30" w:after="30" w:line="240" w:lineRule="auto"/>
              <w:ind w:left="174" w:hanging="174"/>
              <w:rPr>
                <w:rFonts w:ascii="Arial" w:hAnsi="Arial"/>
                <w:color w:val="000000"/>
                <w:sz w:val="14"/>
                <w:szCs w:val="14"/>
              </w:rPr>
            </w:pPr>
            <w:r w:rsidRPr="00A13AC3">
              <w:rPr>
                <w:rFonts w:ascii="Arial" w:hAnsi="Arial"/>
                <w:b/>
                <w:bCs/>
                <w:color w:val="000000"/>
                <w:sz w:val="14"/>
                <w:szCs w:val="14"/>
              </w:rPr>
              <w:t>Ethnicity</w:t>
            </w:r>
          </w:p>
        </w:tc>
        <w:tc>
          <w:tcPr>
            <w:tcW w:w="1118" w:type="dxa"/>
            <w:tcMar>
              <w:left w:w="28" w:type="dxa"/>
              <w:right w:w="28" w:type="dxa"/>
            </w:tcMar>
            <w:vAlign w:val="center"/>
          </w:tcPr>
          <w:p w14:paraId="6C5D64D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Mar>
              <w:left w:w="28" w:type="dxa"/>
              <w:right w:w="28" w:type="dxa"/>
            </w:tcMar>
            <w:vAlign w:val="center"/>
          </w:tcPr>
          <w:p w14:paraId="55F38B5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right w:val="single" w:sz="8" w:space="0" w:color="auto"/>
            </w:tcBorders>
            <w:tcMar>
              <w:left w:w="28" w:type="dxa"/>
              <w:right w:w="28" w:type="dxa"/>
            </w:tcMar>
            <w:vAlign w:val="center"/>
          </w:tcPr>
          <w:p w14:paraId="7B364C3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Mar>
              <w:left w:w="28" w:type="dxa"/>
              <w:right w:w="28" w:type="dxa"/>
            </w:tcMar>
            <w:vAlign w:val="center"/>
          </w:tcPr>
          <w:p w14:paraId="6D16ED9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vAlign w:val="center"/>
          </w:tcPr>
          <w:p w14:paraId="23A58D6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r>
      <w:tr w:rsidR="00A13AC3" w:rsidRPr="00A13AC3" w14:paraId="41411D46" w14:textId="77777777" w:rsidTr="0020734C">
        <w:trPr>
          <w:jc w:val="center"/>
        </w:trPr>
        <w:tc>
          <w:tcPr>
            <w:tcW w:w="2563" w:type="dxa"/>
            <w:tcMar>
              <w:left w:w="28" w:type="dxa"/>
              <w:right w:w="28" w:type="dxa"/>
            </w:tcMar>
            <w:vAlign w:val="center"/>
          </w:tcPr>
          <w:p w14:paraId="0D960EB1"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Māori</w:t>
            </w:r>
          </w:p>
        </w:tc>
        <w:tc>
          <w:tcPr>
            <w:tcW w:w="1118" w:type="dxa"/>
            <w:tcMar>
              <w:left w:w="28" w:type="dxa"/>
              <w:right w:w="28" w:type="dxa"/>
            </w:tcMar>
            <w:vAlign w:val="center"/>
          </w:tcPr>
          <w:p w14:paraId="50BE46EF"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25</w:t>
            </w:r>
          </w:p>
        </w:tc>
        <w:tc>
          <w:tcPr>
            <w:tcW w:w="1134" w:type="dxa"/>
            <w:tcMar>
              <w:left w:w="28" w:type="dxa"/>
              <w:right w:w="28" w:type="dxa"/>
            </w:tcMar>
            <w:vAlign w:val="center"/>
          </w:tcPr>
          <w:p w14:paraId="2EB4263A"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77,000</w:t>
            </w:r>
          </w:p>
        </w:tc>
        <w:tc>
          <w:tcPr>
            <w:tcW w:w="1134" w:type="dxa"/>
            <w:tcBorders>
              <w:right w:val="single" w:sz="8" w:space="0" w:color="auto"/>
            </w:tcBorders>
            <w:tcMar>
              <w:left w:w="28" w:type="dxa"/>
              <w:right w:w="28" w:type="dxa"/>
            </w:tcMar>
            <w:vAlign w:val="center"/>
          </w:tcPr>
          <w:p w14:paraId="502B4C0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32</w:t>
            </w:r>
          </w:p>
        </w:tc>
        <w:tc>
          <w:tcPr>
            <w:tcW w:w="1134" w:type="dxa"/>
            <w:tcBorders>
              <w:left w:val="single" w:sz="8" w:space="0" w:color="auto"/>
            </w:tcBorders>
            <w:tcMar>
              <w:left w:w="28" w:type="dxa"/>
              <w:right w:w="28" w:type="dxa"/>
            </w:tcMar>
            <w:vAlign w:val="center"/>
          </w:tcPr>
          <w:p w14:paraId="28104A9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20</w:t>
            </w:r>
          </w:p>
        </w:tc>
        <w:tc>
          <w:tcPr>
            <w:tcW w:w="1134" w:type="dxa"/>
            <w:tcBorders>
              <w:left w:val="single" w:sz="8" w:space="0" w:color="auto"/>
            </w:tcBorders>
            <w:vAlign w:val="center"/>
          </w:tcPr>
          <w:p w14:paraId="14093BA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306,000</w:t>
            </w:r>
          </w:p>
        </w:tc>
      </w:tr>
      <w:tr w:rsidR="00A13AC3" w:rsidRPr="00A13AC3" w14:paraId="73E9CF15" w14:textId="77777777" w:rsidTr="0020734C">
        <w:trPr>
          <w:jc w:val="center"/>
        </w:trPr>
        <w:tc>
          <w:tcPr>
            <w:tcW w:w="2563" w:type="dxa"/>
            <w:tcMar>
              <w:left w:w="28" w:type="dxa"/>
              <w:right w:w="28" w:type="dxa"/>
            </w:tcMar>
            <w:vAlign w:val="center"/>
          </w:tcPr>
          <w:p w14:paraId="7A0CF073"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Pacific</w:t>
            </w:r>
          </w:p>
        </w:tc>
        <w:tc>
          <w:tcPr>
            <w:tcW w:w="1118" w:type="dxa"/>
            <w:tcMar>
              <w:left w:w="28" w:type="dxa"/>
              <w:right w:w="28" w:type="dxa"/>
            </w:tcMar>
            <w:vAlign w:val="center"/>
          </w:tcPr>
          <w:p w14:paraId="5D716CC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31</w:t>
            </w:r>
          </w:p>
        </w:tc>
        <w:tc>
          <w:tcPr>
            <w:tcW w:w="1134" w:type="dxa"/>
            <w:tcMar>
              <w:left w:w="28" w:type="dxa"/>
              <w:right w:w="28" w:type="dxa"/>
            </w:tcMar>
            <w:vAlign w:val="center"/>
          </w:tcPr>
          <w:p w14:paraId="6367EC9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54,000</w:t>
            </w:r>
          </w:p>
        </w:tc>
        <w:tc>
          <w:tcPr>
            <w:tcW w:w="1134" w:type="dxa"/>
            <w:tcBorders>
              <w:right w:val="single" w:sz="8" w:space="0" w:color="auto"/>
            </w:tcBorders>
            <w:tcMar>
              <w:left w:w="28" w:type="dxa"/>
              <w:right w:w="28" w:type="dxa"/>
            </w:tcMar>
            <w:vAlign w:val="center"/>
          </w:tcPr>
          <w:p w14:paraId="24EBF07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23</w:t>
            </w:r>
          </w:p>
        </w:tc>
        <w:tc>
          <w:tcPr>
            <w:tcW w:w="1134" w:type="dxa"/>
            <w:tcBorders>
              <w:left w:val="single" w:sz="8" w:space="0" w:color="auto"/>
            </w:tcBorders>
            <w:tcMar>
              <w:left w:w="28" w:type="dxa"/>
              <w:right w:w="28" w:type="dxa"/>
            </w:tcMar>
            <w:vAlign w:val="center"/>
          </w:tcPr>
          <w:p w14:paraId="0A75B58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12</w:t>
            </w:r>
          </w:p>
        </w:tc>
        <w:tc>
          <w:tcPr>
            <w:tcW w:w="1134" w:type="dxa"/>
            <w:tcBorders>
              <w:left w:val="single" w:sz="8" w:space="0" w:color="auto"/>
            </w:tcBorders>
            <w:vAlign w:val="center"/>
          </w:tcPr>
          <w:p w14:paraId="60C1551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176,000</w:t>
            </w:r>
          </w:p>
        </w:tc>
      </w:tr>
      <w:tr w:rsidR="00A13AC3" w:rsidRPr="00A13AC3" w14:paraId="6A2A1A0D" w14:textId="77777777" w:rsidTr="0020734C">
        <w:trPr>
          <w:jc w:val="center"/>
        </w:trPr>
        <w:tc>
          <w:tcPr>
            <w:tcW w:w="2563" w:type="dxa"/>
            <w:tcMar>
              <w:left w:w="28" w:type="dxa"/>
              <w:right w:w="28" w:type="dxa"/>
            </w:tcMar>
            <w:vAlign w:val="center"/>
          </w:tcPr>
          <w:p w14:paraId="6BBA4B44"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Asian</w:t>
            </w:r>
          </w:p>
        </w:tc>
        <w:tc>
          <w:tcPr>
            <w:tcW w:w="1118" w:type="dxa"/>
            <w:tcMar>
              <w:left w:w="28" w:type="dxa"/>
              <w:right w:w="28" w:type="dxa"/>
            </w:tcMar>
            <w:vAlign w:val="center"/>
          </w:tcPr>
          <w:p w14:paraId="64E66C9B"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w:t>
            </w:r>
          </w:p>
        </w:tc>
        <w:tc>
          <w:tcPr>
            <w:tcW w:w="1134" w:type="dxa"/>
            <w:tcMar>
              <w:left w:w="28" w:type="dxa"/>
              <w:right w:w="28" w:type="dxa"/>
            </w:tcMar>
            <w:vAlign w:val="center"/>
          </w:tcPr>
          <w:p w14:paraId="76E16EB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15,000</w:t>
            </w:r>
          </w:p>
        </w:tc>
        <w:tc>
          <w:tcPr>
            <w:tcW w:w="1134" w:type="dxa"/>
            <w:tcBorders>
              <w:right w:val="single" w:sz="8" w:space="0" w:color="auto"/>
            </w:tcBorders>
            <w:tcMar>
              <w:left w:w="28" w:type="dxa"/>
              <w:right w:w="28" w:type="dxa"/>
            </w:tcMar>
            <w:vAlign w:val="center"/>
          </w:tcPr>
          <w:p w14:paraId="41615EB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6</w:t>
            </w:r>
          </w:p>
        </w:tc>
        <w:tc>
          <w:tcPr>
            <w:tcW w:w="1134" w:type="dxa"/>
            <w:tcBorders>
              <w:left w:val="single" w:sz="8" w:space="0" w:color="auto"/>
            </w:tcBorders>
            <w:tcMar>
              <w:left w:w="28" w:type="dxa"/>
              <w:right w:w="28" w:type="dxa"/>
            </w:tcMar>
            <w:vAlign w:val="center"/>
          </w:tcPr>
          <w:p w14:paraId="4F7B4C4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16</w:t>
            </w:r>
          </w:p>
        </w:tc>
        <w:tc>
          <w:tcPr>
            <w:tcW w:w="1134" w:type="dxa"/>
            <w:tcBorders>
              <w:left w:val="single" w:sz="8" w:space="0" w:color="auto"/>
            </w:tcBorders>
            <w:vAlign w:val="center"/>
          </w:tcPr>
          <w:p w14:paraId="48290ED0"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251,000</w:t>
            </w:r>
          </w:p>
        </w:tc>
      </w:tr>
      <w:tr w:rsidR="00A13AC3" w:rsidRPr="00A13AC3" w14:paraId="71729EB3" w14:textId="77777777" w:rsidTr="0020734C">
        <w:trPr>
          <w:jc w:val="center"/>
        </w:trPr>
        <w:tc>
          <w:tcPr>
            <w:tcW w:w="2563" w:type="dxa"/>
            <w:tcMar>
              <w:left w:w="28" w:type="dxa"/>
              <w:right w:w="28" w:type="dxa"/>
            </w:tcMar>
            <w:vAlign w:val="center"/>
          </w:tcPr>
          <w:p w14:paraId="6C36526A"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European</w:t>
            </w:r>
          </w:p>
        </w:tc>
        <w:tc>
          <w:tcPr>
            <w:tcW w:w="1118" w:type="dxa"/>
            <w:tcMar>
              <w:left w:w="28" w:type="dxa"/>
              <w:right w:w="28" w:type="dxa"/>
            </w:tcMar>
            <w:vAlign w:val="center"/>
          </w:tcPr>
          <w:p w14:paraId="7B04A9B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12</w:t>
            </w:r>
          </w:p>
        </w:tc>
        <w:tc>
          <w:tcPr>
            <w:tcW w:w="1134" w:type="dxa"/>
            <w:tcMar>
              <w:left w:w="28" w:type="dxa"/>
              <w:right w:w="28" w:type="dxa"/>
            </w:tcMar>
            <w:vAlign w:val="center"/>
          </w:tcPr>
          <w:p w14:paraId="7CEF990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86,000</w:t>
            </w:r>
          </w:p>
        </w:tc>
        <w:tc>
          <w:tcPr>
            <w:tcW w:w="1134" w:type="dxa"/>
            <w:tcBorders>
              <w:right w:val="single" w:sz="8" w:space="0" w:color="auto"/>
            </w:tcBorders>
            <w:tcMar>
              <w:left w:w="28" w:type="dxa"/>
              <w:right w:w="28" w:type="dxa"/>
            </w:tcMar>
            <w:vAlign w:val="center"/>
          </w:tcPr>
          <w:p w14:paraId="0ECEDA1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36</w:t>
            </w:r>
          </w:p>
        </w:tc>
        <w:tc>
          <w:tcPr>
            <w:tcW w:w="1134" w:type="dxa"/>
            <w:tcBorders>
              <w:left w:val="single" w:sz="8" w:space="0" w:color="auto"/>
            </w:tcBorders>
            <w:tcMar>
              <w:left w:w="28" w:type="dxa"/>
              <w:right w:w="28" w:type="dxa"/>
            </w:tcMar>
            <w:vAlign w:val="center"/>
          </w:tcPr>
          <w:p w14:paraId="30918CE2"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49</w:t>
            </w:r>
          </w:p>
        </w:tc>
        <w:tc>
          <w:tcPr>
            <w:tcW w:w="1134" w:type="dxa"/>
            <w:tcBorders>
              <w:left w:val="single" w:sz="8" w:space="0" w:color="auto"/>
            </w:tcBorders>
            <w:vAlign w:val="center"/>
          </w:tcPr>
          <w:p w14:paraId="5AD67C7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746,000</w:t>
            </w:r>
          </w:p>
        </w:tc>
      </w:tr>
      <w:tr w:rsidR="00A13AC3" w:rsidRPr="00A13AC3" w14:paraId="769DD0AC" w14:textId="77777777" w:rsidTr="0020734C">
        <w:trPr>
          <w:jc w:val="center"/>
        </w:trPr>
        <w:tc>
          <w:tcPr>
            <w:tcW w:w="2563" w:type="dxa"/>
            <w:tcMar>
              <w:left w:w="28" w:type="dxa"/>
              <w:right w:w="28" w:type="dxa"/>
            </w:tcMar>
            <w:vAlign w:val="center"/>
          </w:tcPr>
          <w:p w14:paraId="553F2A51"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Other</w:t>
            </w:r>
          </w:p>
        </w:tc>
        <w:tc>
          <w:tcPr>
            <w:tcW w:w="1118" w:type="dxa"/>
            <w:tcMar>
              <w:left w:w="28" w:type="dxa"/>
              <w:right w:w="28" w:type="dxa"/>
            </w:tcMar>
            <w:vAlign w:val="center"/>
          </w:tcPr>
          <w:p w14:paraId="734757D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18</w:t>
            </w:r>
          </w:p>
        </w:tc>
        <w:tc>
          <w:tcPr>
            <w:tcW w:w="1134" w:type="dxa"/>
            <w:tcMar>
              <w:left w:w="28" w:type="dxa"/>
              <w:right w:w="28" w:type="dxa"/>
            </w:tcMar>
            <w:vAlign w:val="center"/>
          </w:tcPr>
          <w:p w14:paraId="1301BAF6"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7,000</w:t>
            </w:r>
          </w:p>
        </w:tc>
        <w:tc>
          <w:tcPr>
            <w:tcW w:w="1134" w:type="dxa"/>
            <w:tcBorders>
              <w:right w:val="single" w:sz="8" w:space="0" w:color="auto"/>
            </w:tcBorders>
            <w:tcMar>
              <w:left w:w="28" w:type="dxa"/>
              <w:right w:w="28" w:type="dxa"/>
            </w:tcMar>
            <w:vAlign w:val="center"/>
          </w:tcPr>
          <w:p w14:paraId="446E198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w:t>
            </w:r>
          </w:p>
        </w:tc>
        <w:tc>
          <w:tcPr>
            <w:tcW w:w="1134" w:type="dxa"/>
            <w:tcBorders>
              <w:left w:val="single" w:sz="8" w:space="0" w:color="auto"/>
            </w:tcBorders>
            <w:tcMar>
              <w:left w:w="28" w:type="dxa"/>
              <w:right w:w="28" w:type="dxa"/>
            </w:tcMar>
            <w:vAlign w:val="center"/>
          </w:tcPr>
          <w:p w14:paraId="4ED71A2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w:t>
            </w:r>
          </w:p>
        </w:tc>
        <w:tc>
          <w:tcPr>
            <w:tcW w:w="1134" w:type="dxa"/>
            <w:tcBorders>
              <w:left w:val="single" w:sz="8" w:space="0" w:color="auto"/>
            </w:tcBorders>
            <w:vAlign w:val="center"/>
          </w:tcPr>
          <w:p w14:paraId="2D14160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41,000</w:t>
            </w:r>
          </w:p>
        </w:tc>
      </w:tr>
      <w:tr w:rsidR="00A13AC3" w:rsidRPr="00A13AC3" w14:paraId="4AF02D77" w14:textId="77777777" w:rsidTr="0020734C">
        <w:trPr>
          <w:jc w:val="center"/>
        </w:trPr>
        <w:tc>
          <w:tcPr>
            <w:tcW w:w="2563" w:type="dxa"/>
            <w:tcMar>
              <w:left w:w="28" w:type="dxa"/>
              <w:right w:w="28" w:type="dxa"/>
            </w:tcMar>
            <w:vAlign w:val="center"/>
          </w:tcPr>
          <w:p w14:paraId="1F5B574A" w14:textId="77777777" w:rsidR="00A13AC3" w:rsidRPr="00A13AC3" w:rsidRDefault="00A13AC3" w:rsidP="00A13AC3">
            <w:pPr>
              <w:spacing w:before="30" w:after="30" w:line="240" w:lineRule="auto"/>
              <w:ind w:left="174" w:hanging="174"/>
              <w:rPr>
                <w:rFonts w:ascii="Arial" w:hAnsi="Arial"/>
                <w:color w:val="000000"/>
                <w:sz w:val="14"/>
                <w:szCs w:val="14"/>
              </w:rPr>
            </w:pPr>
            <w:r w:rsidRPr="00A13AC3">
              <w:rPr>
                <w:rFonts w:ascii="Arial" w:hAnsi="Arial"/>
                <w:b/>
                <w:bCs/>
                <w:color w:val="000000"/>
                <w:sz w:val="14"/>
                <w:szCs w:val="14"/>
              </w:rPr>
              <w:t>Disability</w:t>
            </w:r>
          </w:p>
        </w:tc>
        <w:tc>
          <w:tcPr>
            <w:tcW w:w="1118" w:type="dxa"/>
            <w:tcMar>
              <w:left w:w="28" w:type="dxa"/>
              <w:right w:w="28" w:type="dxa"/>
            </w:tcMar>
            <w:vAlign w:val="center"/>
          </w:tcPr>
          <w:p w14:paraId="0E306EA7"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Mar>
              <w:left w:w="28" w:type="dxa"/>
              <w:right w:w="28" w:type="dxa"/>
            </w:tcMar>
            <w:vAlign w:val="center"/>
          </w:tcPr>
          <w:p w14:paraId="7311BC0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right w:val="single" w:sz="8" w:space="0" w:color="auto"/>
            </w:tcBorders>
            <w:tcMar>
              <w:left w:w="28" w:type="dxa"/>
              <w:right w:w="28" w:type="dxa"/>
            </w:tcMar>
            <w:vAlign w:val="center"/>
          </w:tcPr>
          <w:p w14:paraId="0A68588E"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tcMar>
              <w:left w:w="28" w:type="dxa"/>
              <w:right w:w="28" w:type="dxa"/>
            </w:tcMar>
            <w:vAlign w:val="center"/>
          </w:tcPr>
          <w:p w14:paraId="6019EF9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c>
          <w:tcPr>
            <w:tcW w:w="1134" w:type="dxa"/>
            <w:tcBorders>
              <w:left w:val="single" w:sz="8" w:space="0" w:color="auto"/>
            </w:tcBorders>
            <w:vAlign w:val="center"/>
          </w:tcPr>
          <w:p w14:paraId="5E0A446F"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 </w:t>
            </w:r>
          </w:p>
        </w:tc>
      </w:tr>
      <w:tr w:rsidR="00A13AC3" w:rsidRPr="00A13AC3" w14:paraId="65ED9CFD" w14:textId="77777777" w:rsidTr="0020734C">
        <w:trPr>
          <w:jc w:val="center"/>
        </w:trPr>
        <w:tc>
          <w:tcPr>
            <w:tcW w:w="2563" w:type="dxa"/>
            <w:tcMar>
              <w:left w:w="28" w:type="dxa"/>
              <w:right w:w="28" w:type="dxa"/>
            </w:tcMar>
            <w:vAlign w:val="center"/>
          </w:tcPr>
          <w:p w14:paraId="7B0D1195"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Disabled children</w:t>
            </w:r>
          </w:p>
        </w:tc>
        <w:tc>
          <w:tcPr>
            <w:tcW w:w="1118" w:type="dxa"/>
            <w:tcMar>
              <w:left w:w="28" w:type="dxa"/>
              <w:right w:w="28" w:type="dxa"/>
            </w:tcMar>
            <w:vAlign w:val="center"/>
          </w:tcPr>
          <w:p w14:paraId="3F687BC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27</w:t>
            </w:r>
          </w:p>
        </w:tc>
        <w:tc>
          <w:tcPr>
            <w:tcW w:w="1134" w:type="dxa"/>
            <w:tcMar>
              <w:left w:w="28" w:type="dxa"/>
              <w:right w:w="28" w:type="dxa"/>
            </w:tcMar>
            <w:vAlign w:val="center"/>
          </w:tcPr>
          <w:p w14:paraId="2661B53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32,000</w:t>
            </w:r>
          </w:p>
        </w:tc>
        <w:tc>
          <w:tcPr>
            <w:tcW w:w="1134" w:type="dxa"/>
            <w:tcBorders>
              <w:right w:val="single" w:sz="8" w:space="0" w:color="auto"/>
            </w:tcBorders>
            <w:tcMar>
              <w:left w:w="28" w:type="dxa"/>
              <w:right w:w="28" w:type="dxa"/>
            </w:tcMar>
            <w:vAlign w:val="center"/>
          </w:tcPr>
          <w:p w14:paraId="0D711D94"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19</w:t>
            </w:r>
          </w:p>
        </w:tc>
        <w:tc>
          <w:tcPr>
            <w:tcW w:w="1134" w:type="dxa"/>
            <w:tcBorders>
              <w:left w:val="single" w:sz="8" w:space="0" w:color="auto"/>
            </w:tcBorders>
            <w:tcMar>
              <w:left w:w="28" w:type="dxa"/>
              <w:right w:w="28" w:type="dxa"/>
            </w:tcMar>
            <w:vAlign w:val="center"/>
          </w:tcPr>
          <w:p w14:paraId="47886525"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w:t>
            </w:r>
          </w:p>
        </w:tc>
        <w:tc>
          <w:tcPr>
            <w:tcW w:w="1134" w:type="dxa"/>
            <w:tcBorders>
              <w:left w:val="single" w:sz="8" w:space="0" w:color="auto"/>
            </w:tcBorders>
            <w:vAlign w:val="center"/>
          </w:tcPr>
          <w:p w14:paraId="569D26FD"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118,000</w:t>
            </w:r>
          </w:p>
        </w:tc>
      </w:tr>
      <w:tr w:rsidR="00A13AC3" w:rsidRPr="00A13AC3" w14:paraId="0FDD1E84" w14:textId="77777777" w:rsidTr="0020734C">
        <w:trPr>
          <w:jc w:val="center"/>
        </w:trPr>
        <w:tc>
          <w:tcPr>
            <w:tcW w:w="2563" w:type="dxa"/>
            <w:tcMar>
              <w:left w:w="28" w:type="dxa"/>
              <w:right w:w="28" w:type="dxa"/>
            </w:tcMar>
            <w:vAlign w:val="center"/>
          </w:tcPr>
          <w:p w14:paraId="67AC7105" w14:textId="77777777" w:rsidR="00A13AC3" w:rsidRPr="00A13AC3" w:rsidRDefault="00A13AC3" w:rsidP="00A13AC3">
            <w:pPr>
              <w:spacing w:before="30" w:after="30" w:line="240" w:lineRule="auto"/>
              <w:ind w:left="287" w:hanging="174"/>
              <w:rPr>
                <w:rFonts w:ascii="Arial" w:hAnsi="Arial"/>
                <w:color w:val="000000"/>
                <w:sz w:val="14"/>
                <w:szCs w:val="14"/>
              </w:rPr>
            </w:pPr>
            <w:r w:rsidRPr="00A13AC3">
              <w:rPr>
                <w:rFonts w:ascii="Arial" w:hAnsi="Arial"/>
                <w:color w:val="000000"/>
                <w:sz w:val="14"/>
                <w:szCs w:val="14"/>
              </w:rPr>
              <w:t>Children in a ‘disabled household’</w:t>
            </w:r>
          </w:p>
        </w:tc>
        <w:tc>
          <w:tcPr>
            <w:tcW w:w="1118" w:type="dxa"/>
            <w:tcMar>
              <w:left w:w="28" w:type="dxa"/>
              <w:right w:w="28" w:type="dxa"/>
            </w:tcMar>
            <w:vAlign w:val="center"/>
          </w:tcPr>
          <w:p w14:paraId="5D78C839"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27</w:t>
            </w:r>
          </w:p>
        </w:tc>
        <w:tc>
          <w:tcPr>
            <w:tcW w:w="1134" w:type="dxa"/>
            <w:tcMar>
              <w:left w:w="28" w:type="dxa"/>
              <w:right w:w="28" w:type="dxa"/>
            </w:tcMar>
            <w:vAlign w:val="center"/>
          </w:tcPr>
          <w:p w14:paraId="7DA612C3"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100,000</w:t>
            </w:r>
          </w:p>
        </w:tc>
        <w:tc>
          <w:tcPr>
            <w:tcW w:w="1134" w:type="dxa"/>
            <w:tcBorders>
              <w:right w:val="single" w:sz="8" w:space="0" w:color="auto"/>
            </w:tcBorders>
            <w:tcMar>
              <w:left w:w="28" w:type="dxa"/>
              <w:right w:w="28" w:type="dxa"/>
            </w:tcMar>
            <w:vAlign w:val="center"/>
          </w:tcPr>
          <w:p w14:paraId="672ABDCC"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59</w:t>
            </w:r>
          </w:p>
        </w:tc>
        <w:tc>
          <w:tcPr>
            <w:tcW w:w="1134" w:type="dxa"/>
            <w:tcBorders>
              <w:left w:val="single" w:sz="8" w:space="0" w:color="auto"/>
            </w:tcBorders>
            <w:tcMar>
              <w:left w:w="28" w:type="dxa"/>
              <w:right w:w="28" w:type="dxa"/>
            </w:tcMar>
            <w:vAlign w:val="center"/>
          </w:tcPr>
          <w:p w14:paraId="6DC017CB"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31</w:t>
            </w:r>
          </w:p>
        </w:tc>
        <w:tc>
          <w:tcPr>
            <w:tcW w:w="1134" w:type="dxa"/>
            <w:tcBorders>
              <w:left w:val="single" w:sz="8" w:space="0" w:color="auto"/>
            </w:tcBorders>
            <w:vAlign w:val="center"/>
          </w:tcPr>
          <w:p w14:paraId="7D5DBB08" w14:textId="77777777" w:rsidR="00A13AC3" w:rsidRPr="00A13AC3" w:rsidRDefault="00A13AC3" w:rsidP="00A13AC3">
            <w:pPr>
              <w:spacing w:before="30" w:after="30" w:line="240" w:lineRule="auto"/>
              <w:jc w:val="center"/>
              <w:rPr>
                <w:rFonts w:ascii="Arial" w:hAnsi="Arial"/>
                <w:color w:val="000000"/>
                <w:sz w:val="14"/>
                <w:szCs w:val="14"/>
              </w:rPr>
            </w:pPr>
            <w:r w:rsidRPr="00A13AC3">
              <w:rPr>
                <w:rFonts w:ascii="Arial" w:hAnsi="Arial"/>
                <w:color w:val="000000"/>
                <w:sz w:val="14"/>
                <w:szCs w:val="14"/>
              </w:rPr>
              <w:t>365,000</w:t>
            </w:r>
          </w:p>
        </w:tc>
      </w:tr>
    </w:tbl>
    <w:p w14:paraId="4B88F927" w14:textId="77777777" w:rsidR="00A13AC3" w:rsidRPr="00A13AC3" w:rsidRDefault="00A13AC3" w:rsidP="00696D85">
      <w:pPr>
        <w:spacing w:before="40" w:after="20" w:line="240" w:lineRule="auto"/>
        <w:ind w:left="850" w:hanging="425"/>
        <w:rPr>
          <w:rFonts w:ascii="Arial" w:hAnsi="Arial"/>
          <w:color w:val="000000"/>
          <w:sz w:val="16"/>
          <w:szCs w:val="16"/>
        </w:rPr>
      </w:pPr>
      <w:r w:rsidRPr="00A13AC3">
        <w:rPr>
          <w:rFonts w:ascii="Arial" w:hAnsi="Arial"/>
          <w:color w:val="000000"/>
          <w:sz w:val="16"/>
          <w:szCs w:val="16"/>
        </w:rPr>
        <w:t>Notes for table</w:t>
      </w:r>
    </w:p>
    <w:p w14:paraId="60CB2F06" w14:textId="77777777" w:rsidR="00A13AC3" w:rsidRPr="00A13AC3" w:rsidRDefault="00A13AC3">
      <w:pPr>
        <w:numPr>
          <w:ilvl w:val="0"/>
          <w:numId w:val="61"/>
        </w:numPr>
        <w:spacing w:after="20" w:line="240" w:lineRule="auto"/>
        <w:ind w:left="851" w:hanging="284"/>
        <w:rPr>
          <w:rFonts w:ascii="Arial" w:hAnsi="Arial"/>
          <w:color w:val="000000"/>
          <w:kern w:val="2"/>
          <w:sz w:val="16"/>
          <w:szCs w:val="16"/>
          <w14:ligatures w14:val="standardContextual"/>
        </w:rPr>
      </w:pPr>
      <w:r w:rsidRPr="00A13AC3">
        <w:rPr>
          <w:rFonts w:ascii="Arial" w:hAnsi="Arial"/>
          <w:color w:val="000000"/>
          <w:kern w:val="2"/>
          <w:sz w:val="16"/>
          <w:szCs w:val="16"/>
          <w14:ligatures w14:val="standardContextual"/>
        </w:rPr>
        <w:t>Index used is MH-18 (7+).</w:t>
      </w:r>
    </w:p>
    <w:p w14:paraId="6DD7DB8F" w14:textId="77777777" w:rsidR="00A13AC3" w:rsidRPr="00A13AC3" w:rsidRDefault="00A13AC3">
      <w:pPr>
        <w:numPr>
          <w:ilvl w:val="0"/>
          <w:numId w:val="61"/>
        </w:numPr>
        <w:spacing w:after="20" w:line="240" w:lineRule="auto"/>
        <w:ind w:left="851" w:hanging="284"/>
        <w:rPr>
          <w:rFonts w:ascii="Arial" w:hAnsi="Arial"/>
          <w:color w:val="000000"/>
          <w:kern w:val="2"/>
          <w:sz w:val="16"/>
          <w:szCs w:val="16"/>
          <w14:ligatures w14:val="standardContextual"/>
        </w:rPr>
      </w:pPr>
      <w:r w:rsidRPr="00A13AC3">
        <w:rPr>
          <w:rFonts w:ascii="Arial" w:hAnsi="Arial"/>
          <w:color w:val="000000"/>
          <w:kern w:val="2"/>
          <w:sz w:val="16"/>
          <w:szCs w:val="16"/>
          <w14:ligatures w14:val="standardContextual"/>
        </w:rPr>
        <w:t>Ethnicity uses total ethnicity approach - composition is out of all person-ethnicities.</w:t>
      </w:r>
    </w:p>
    <w:p w14:paraId="0D0EE9C0" w14:textId="5D2A91FC" w:rsidR="00A13AC3" w:rsidRDefault="00A13AC3">
      <w:pPr>
        <w:numPr>
          <w:ilvl w:val="0"/>
          <w:numId w:val="61"/>
        </w:numPr>
        <w:spacing w:after="20" w:line="240" w:lineRule="auto"/>
        <w:ind w:left="851" w:hanging="284"/>
        <w:rPr>
          <w:rFonts w:ascii="Arial" w:hAnsi="Arial"/>
          <w:color w:val="000000"/>
          <w:kern w:val="2"/>
          <w:sz w:val="16"/>
          <w:szCs w:val="16"/>
          <w14:ligatures w14:val="standardContextual"/>
        </w:rPr>
      </w:pPr>
      <w:r w:rsidRPr="00A13AC3">
        <w:rPr>
          <w:rFonts w:ascii="Arial" w:hAnsi="Arial"/>
          <w:color w:val="000000"/>
          <w:kern w:val="2"/>
          <w:sz w:val="16"/>
          <w:szCs w:val="16"/>
          <w14:ligatures w14:val="standardContextual"/>
        </w:rPr>
        <w:t>The household type breakdown shows only the three household types for dependent children. There are a small number of under-18s who appear in other household types: these are included in the total and in other breakdowns but their household</w:t>
      </w:r>
      <w:r w:rsidR="00696D85">
        <w:rPr>
          <w:rFonts w:ascii="Arial" w:hAnsi="Arial"/>
          <w:color w:val="000000"/>
          <w:kern w:val="2"/>
          <w:sz w:val="16"/>
          <w:szCs w:val="16"/>
          <w14:ligatures w14:val="standardContextual"/>
        </w:rPr>
        <w:t>s</w:t>
      </w:r>
      <w:r w:rsidRPr="00A13AC3">
        <w:rPr>
          <w:rFonts w:ascii="Arial" w:hAnsi="Arial"/>
          <w:color w:val="000000"/>
          <w:kern w:val="2"/>
          <w:sz w:val="16"/>
          <w:szCs w:val="16"/>
          <w14:ligatures w14:val="standardContextual"/>
        </w:rPr>
        <w:t xml:space="preserve"> types are not included in the table.</w:t>
      </w:r>
    </w:p>
    <w:p w14:paraId="2248EF07" w14:textId="6B396943" w:rsidR="00F340AE" w:rsidRPr="00077427" w:rsidRDefault="00F340AE" w:rsidP="00F340AE">
      <w:pPr>
        <w:spacing w:after="0" w:line="240" w:lineRule="auto"/>
        <w:rPr>
          <w:rFonts w:ascii="Arial" w:hAnsi="Arial"/>
          <w:b/>
          <w:color w:val="000000" w:themeColor="text1"/>
          <w:sz w:val="28"/>
          <w:szCs w:val="28"/>
        </w:rPr>
      </w:pPr>
      <w:r w:rsidRPr="00077427">
        <w:rPr>
          <w:rFonts w:ascii="Arial" w:hAnsi="Arial"/>
          <w:b/>
          <w:color w:val="000000" w:themeColor="text1"/>
          <w:sz w:val="24"/>
          <w:szCs w:val="24"/>
        </w:rPr>
        <w:lastRenderedPageBreak/>
        <w:t xml:space="preserve">Children in households at different depths of material hardship, </w:t>
      </w:r>
      <w:r w:rsidR="00750BCC" w:rsidRPr="00077427">
        <w:rPr>
          <w:rFonts w:ascii="Arial" w:hAnsi="Arial"/>
          <w:b/>
          <w:color w:val="000000" w:themeColor="text1"/>
          <w:sz w:val="24"/>
          <w:szCs w:val="24"/>
        </w:rPr>
        <w:t>by</w:t>
      </w:r>
      <w:r w:rsidRPr="00077427">
        <w:rPr>
          <w:rFonts w:ascii="Arial" w:hAnsi="Arial"/>
          <w:b/>
          <w:color w:val="000000" w:themeColor="text1"/>
          <w:sz w:val="24"/>
          <w:szCs w:val="24"/>
        </w:rPr>
        <w:t xml:space="preserve"> selected household contexts, disability status and ethnicity: hardship rates and composition within the categories</w:t>
      </w:r>
    </w:p>
    <w:p w14:paraId="63069557" w14:textId="77777777" w:rsidR="00F340AE" w:rsidRPr="00077427" w:rsidRDefault="00F340AE" w:rsidP="00F340AE">
      <w:pPr>
        <w:spacing w:after="0" w:line="240" w:lineRule="auto"/>
        <w:rPr>
          <w:rFonts w:ascii="Arial" w:hAnsi="Arial"/>
          <w:b/>
          <w:bCs/>
          <w:color w:val="000000" w:themeColor="text1"/>
        </w:rPr>
      </w:pPr>
    </w:p>
    <w:p w14:paraId="0E9C147C" w14:textId="77777777" w:rsidR="00F340AE" w:rsidRPr="00077427" w:rsidRDefault="00F340AE" w:rsidP="00F340AE">
      <w:pPr>
        <w:spacing w:after="0" w:line="240" w:lineRule="auto"/>
        <w:rPr>
          <w:rFonts w:ascii="Arial" w:hAnsi="Arial"/>
          <w:b/>
          <w:bCs/>
          <w:color w:val="000000" w:themeColor="text1"/>
        </w:rPr>
      </w:pPr>
      <w:r w:rsidRPr="00077427">
        <w:rPr>
          <w:rFonts w:ascii="Arial" w:hAnsi="Arial"/>
          <w:b/>
          <w:bCs/>
          <w:color w:val="000000" w:themeColor="text1"/>
        </w:rPr>
        <w:t xml:space="preserve">Interpreting the tables that follow </w:t>
      </w:r>
    </w:p>
    <w:p w14:paraId="14CA7F6A" w14:textId="77777777" w:rsidR="00F340AE" w:rsidRPr="00077427" w:rsidRDefault="00F340AE" w:rsidP="00F340AE">
      <w:pPr>
        <w:spacing w:after="0" w:line="240" w:lineRule="auto"/>
        <w:rPr>
          <w:rFonts w:ascii="Arial" w:hAnsi="Arial"/>
          <w:b/>
          <w:bCs/>
          <w:color w:val="000000" w:themeColor="text1"/>
        </w:rPr>
      </w:pPr>
    </w:p>
    <w:p w14:paraId="3786B8FC" w14:textId="2EACBDAF" w:rsidR="00F340AE" w:rsidRPr="00077427" w:rsidRDefault="00F340AE" w:rsidP="00F340AE">
      <w:pPr>
        <w:spacing w:after="0" w:line="240" w:lineRule="auto"/>
        <w:rPr>
          <w:rFonts w:ascii="Arial" w:hAnsi="Arial"/>
          <w:color w:val="000000" w:themeColor="text1"/>
        </w:rPr>
      </w:pPr>
      <w:r w:rsidRPr="00077427">
        <w:rPr>
          <w:rFonts w:ascii="Arial" w:hAnsi="Arial"/>
          <w:b/>
          <w:bCs/>
          <w:color w:val="000000" w:themeColor="text1"/>
        </w:rPr>
        <w:t xml:space="preserve">Table </w:t>
      </w:r>
      <w:r w:rsidR="00C70B60" w:rsidRPr="00077427">
        <w:rPr>
          <w:rFonts w:ascii="Arial" w:hAnsi="Arial"/>
          <w:b/>
          <w:bCs/>
          <w:color w:val="000000" w:themeColor="text1"/>
        </w:rPr>
        <w:t>E</w:t>
      </w:r>
      <w:r w:rsidRPr="00077427">
        <w:rPr>
          <w:rFonts w:ascii="Arial" w:hAnsi="Arial"/>
          <w:b/>
          <w:bCs/>
          <w:color w:val="000000" w:themeColor="text1"/>
        </w:rPr>
        <w:t>.</w:t>
      </w:r>
      <w:r w:rsidR="00721209" w:rsidRPr="00077427">
        <w:rPr>
          <w:rFonts w:ascii="Arial" w:hAnsi="Arial"/>
          <w:b/>
          <w:bCs/>
          <w:color w:val="000000" w:themeColor="text1"/>
        </w:rPr>
        <w:t>2</w:t>
      </w:r>
      <w:r w:rsidRPr="00077427">
        <w:rPr>
          <w:rFonts w:ascii="Arial" w:hAnsi="Arial"/>
          <w:color w:val="000000" w:themeColor="text1"/>
        </w:rPr>
        <w:t xml:space="preserve"> below is an extract from the first of the full</w:t>
      </w:r>
      <w:r w:rsidR="00721209" w:rsidRPr="00077427">
        <w:rPr>
          <w:rFonts w:ascii="Arial" w:hAnsi="Arial"/>
          <w:color w:val="000000" w:themeColor="text1"/>
        </w:rPr>
        <w:t>er</w:t>
      </w:r>
      <w:r w:rsidRPr="00077427">
        <w:rPr>
          <w:rFonts w:ascii="Arial" w:hAnsi="Arial"/>
          <w:color w:val="000000" w:themeColor="text1"/>
        </w:rPr>
        <w:t xml:space="preserve"> tables that follow</w:t>
      </w:r>
      <w:r w:rsidR="00721209" w:rsidRPr="00077427">
        <w:rPr>
          <w:rFonts w:ascii="Arial" w:hAnsi="Arial"/>
          <w:color w:val="000000" w:themeColor="text1"/>
        </w:rPr>
        <w:t xml:space="preserve"> (Table </w:t>
      </w:r>
      <w:r w:rsidR="00923C9A" w:rsidRPr="00077427">
        <w:rPr>
          <w:rFonts w:ascii="Arial" w:hAnsi="Arial"/>
          <w:color w:val="000000" w:themeColor="text1"/>
        </w:rPr>
        <w:t>E</w:t>
      </w:r>
      <w:r w:rsidR="00721209" w:rsidRPr="00077427">
        <w:rPr>
          <w:rFonts w:ascii="Arial" w:hAnsi="Arial"/>
          <w:color w:val="000000" w:themeColor="text1"/>
        </w:rPr>
        <w:t>.3</w:t>
      </w:r>
      <w:r w:rsidR="00923C9A" w:rsidRPr="00077427">
        <w:rPr>
          <w:rFonts w:ascii="Arial" w:hAnsi="Arial"/>
          <w:color w:val="000000" w:themeColor="text1"/>
        </w:rPr>
        <w:t>a</w:t>
      </w:r>
      <w:r w:rsidR="00E476C4">
        <w:rPr>
          <w:rFonts w:ascii="Arial" w:hAnsi="Arial"/>
          <w:color w:val="000000" w:themeColor="text1"/>
        </w:rPr>
        <w:t>,</w:t>
      </w:r>
      <w:r w:rsidR="0015241F" w:rsidRPr="00077427">
        <w:rPr>
          <w:rFonts w:ascii="Arial" w:hAnsi="Arial"/>
          <w:color w:val="000000" w:themeColor="text1"/>
        </w:rPr>
        <w:t xml:space="preserve"> E.3b</w:t>
      </w:r>
      <w:r w:rsidR="00E476C4">
        <w:rPr>
          <w:rFonts w:ascii="Arial" w:hAnsi="Arial"/>
          <w:color w:val="000000" w:themeColor="text1"/>
        </w:rPr>
        <w:t xml:space="preserve"> and E.3c</w:t>
      </w:r>
      <w:r w:rsidR="00721209" w:rsidRPr="00077427">
        <w:rPr>
          <w:rFonts w:ascii="Arial" w:hAnsi="Arial"/>
          <w:color w:val="000000" w:themeColor="text1"/>
        </w:rPr>
        <w:t>)</w:t>
      </w:r>
      <w:r w:rsidRPr="00077427">
        <w:rPr>
          <w:rFonts w:ascii="Arial" w:hAnsi="Arial"/>
          <w:color w:val="000000" w:themeColor="text1"/>
        </w:rPr>
        <w:t>, and is used to support a walk-through of the numbers to assist with interpretation for those not too familiar with ‘rates and composition’ tables.</w:t>
      </w:r>
    </w:p>
    <w:p w14:paraId="46736D38" w14:textId="6A9B3AE5" w:rsidR="00F340AE" w:rsidRPr="00077427" w:rsidRDefault="00F340AE">
      <w:pPr>
        <w:pStyle w:val="ListParagraph"/>
        <w:numPr>
          <w:ilvl w:val="0"/>
          <w:numId w:val="52"/>
        </w:numPr>
        <w:spacing w:before="120" w:after="0" w:line="240" w:lineRule="auto"/>
        <w:ind w:left="567" w:hanging="215"/>
        <w:contextualSpacing w:val="0"/>
        <w:rPr>
          <w:rFonts w:ascii="Arial" w:hAnsi="Arial"/>
          <w:color w:val="000000" w:themeColor="text1"/>
        </w:rPr>
      </w:pPr>
      <w:r w:rsidRPr="00077427">
        <w:rPr>
          <w:rFonts w:ascii="Arial" w:hAnsi="Arial"/>
          <w:color w:val="000000" w:themeColor="text1"/>
        </w:rPr>
        <w:t xml:space="preserve">The </w:t>
      </w:r>
      <w:r w:rsidR="00923C9A" w:rsidRPr="00077427">
        <w:rPr>
          <w:rFonts w:ascii="Arial" w:hAnsi="Arial"/>
          <w:color w:val="000000" w:themeColor="text1"/>
        </w:rPr>
        <w:t>7</w:t>
      </w:r>
      <w:r w:rsidRPr="00077427">
        <w:rPr>
          <w:rFonts w:ascii="Arial" w:hAnsi="Arial"/>
          <w:color w:val="000000" w:themeColor="text1"/>
        </w:rPr>
        <w:t xml:space="preserve">+ material hardship columns are shaded as they give the standard material hardship information using the </w:t>
      </w:r>
      <w:r w:rsidR="00923C9A" w:rsidRPr="00077427">
        <w:rPr>
          <w:rFonts w:ascii="Arial" w:hAnsi="Arial"/>
          <w:color w:val="000000" w:themeColor="text1"/>
        </w:rPr>
        <w:t>MH-18</w:t>
      </w:r>
      <w:r w:rsidRPr="00077427">
        <w:rPr>
          <w:rFonts w:ascii="Arial" w:hAnsi="Arial"/>
          <w:color w:val="000000" w:themeColor="text1"/>
        </w:rPr>
        <w:t xml:space="preserve"> index; </w:t>
      </w:r>
      <w:r w:rsidR="00923C9A" w:rsidRPr="00077427">
        <w:rPr>
          <w:rFonts w:ascii="Arial" w:hAnsi="Arial"/>
          <w:color w:val="000000" w:themeColor="text1"/>
        </w:rPr>
        <w:t>10</w:t>
      </w:r>
      <w:r w:rsidRPr="00077427">
        <w:rPr>
          <w:rFonts w:ascii="Arial" w:hAnsi="Arial"/>
          <w:color w:val="000000" w:themeColor="text1"/>
        </w:rPr>
        <w:t>+ is the level used for severe material hardship.</w:t>
      </w:r>
    </w:p>
    <w:p w14:paraId="5531D6BB" w14:textId="05517AED" w:rsidR="00F340AE" w:rsidRPr="00077427" w:rsidRDefault="00F340AE">
      <w:pPr>
        <w:pStyle w:val="ListParagraph"/>
        <w:numPr>
          <w:ilvl w:val="0"/>
          <w:numId w:val="52"/>
        </w:numPr>
        <w:spacing w:before="120" w:after="0" w:line="240" w:lineRule="auto"/>
        <w:ind w:left="567" w:hanging="215"/>
        <w:contextualSpacing w:val="0"/>
        <w:rPr>
          <w:rFonts w:ascii="Arial" w:hAnsi="Arial"/>
          <w:color w:val="000000" w:themeColor="text1"/>
        </w:rPr>
      </w:pPr>
      <w:r w:rsidRPr="00077427">
        <w:rPr>
          <w:rFonts w:ascii="Arial" w:hAnsi="Arial"/>
          <w:color w:val="000000" w:themeColor="text1"/>
        </w:rPr>
        <w:t xml:space="preserve">The brown shaded </w:t>
      </w:r>
      <w:r w:rsidR="0015241F" w:rsidRPr="00077427">
        <w:rPr>
          <w:rFonts w:ascii="Arial" w:hAnsi="Arial"/>
          <w:color w:val="000000" w:themeColor="text1"/>
        </w:rPr>
        <w:t>4</w:t>
      </w:r>
      <w:r w:rsidRPr="00077427">
        <w:rPr>
          <w:rFonts w:ascii="Arial" w:hAnsi="Arial"/>
          <w:color w:val="000000" w:themeColor="text1"/>
        </w:rPr>
        <w:t xml:space="preserve">% figure is the hardship rate for children in two-parent HHs which have a hardship score of </w:t>
      </w:r>
      <w:r w:rsidR="0015241F" w:rsidRPr="00077427">
        <w:rPr>
          <w:rFonts w:ascii="Arial" w:hAnsi="Arial"/>
          <w:color w:val="000000" w:themeColor="text1"/>
        </w:rPr>
        <w:t>9</w:t>
      </w:r>
      <w:r w:rsidRPr="00077427">
        <w:rPr>
          <w:rFonts w:ascii="Arial" w:hAnsi="Arial"/>
          <w:color w:val="000000" w:themeColor="text1"/>
        </w:rPr>
        <w:t>+/1</w:t>
      </w:r>
      <w:r w:rsidR="0015241F" w:rsidRPr="00077427">
        <w:rPr>
          <w:rFonts w:ascii="Arial" w:hAnsi="Arial"/>
          <w:color w:val="000000" w:themeColor="text1"/>
        </w:rPr>
        <w:t>8</w:t>
      </w:r>
      <w:r w:rsidRPr="00077427">
        <w:rPr>
          <w:rFonts w:ascii="Arial" w:hAnsi="Arial"/>
          <w:color w:val="000000" w:themeColor="text1"/>
        </w:rPr>
        <w:t xml:space="preserve"> (much lower than the 2</w:t>
      </w:r>
      <w:r w:rsidR="002F0C71">
        <w:rPr>
          <w:rFonts w:ascii="Arial" w:hAnsi="Arial"/>
          <w:color w:val="000000" w:themeColor="text1"/>
        </w:rPr>
        <w:t>3</w:t>
      </w:r>
      <w:r w:rsidRPr="00077427">
        <w:rPr>
          <w:rFonts w:ascii="Arial" w:hAnsi="Arial"/>
          <w:color w:val="000000" w:themeColor="text1"/>
        </w:rPr>
        <w:t>% rate for children in sole parent households at the same depth).</w:t>
      </w:r>
    </w:p>
    <w:p w14:paraId="7407B885" w14:textId="308C13CE" w:rsidR="00F340AE" w:rsidRPr="005E4AEE" w:rsidRDefault="00F340AE">
      <w:pPr>
        <w:pStyle w:val="ListParagraph"/>
        <w:numPr>
          <w:ilvl w:val="0"/>
          <w:numId w:val="52"/>
        </w:numPr>
        <w:spacing w:before="120" w:after="0" w:line="240" w:lineRule="auto"/>
        <w:ind w:left="567" w:hanging="215"/>
        <w:contextualSpacing w:val="0"/>
        <w:rPr>
          <w:rFonts w:ascii="Arial" w:hAnsi="Arial"/>
          <w:color w:val="000000" w:themeColor="text1"/>
        </w:rPr>
      </w:pPr>
      <w:r w:rsidRPr="00077427">
        <w:rPr>
          <w:rFonts w:ascii="Arial" w:hAnsi="Arial"/>
          <w:color w:val="000000" w:themeColor="text1"/>
        </w:rPr>
        <w:t xml:space="preserve">The green shaded </w:t>
      </w:r>
      <w:r w:rsidR="00077427" w:rsidRPr="00077427">
        <w:rPr>
          <w:rFonts w:ascii="Arial" w:hAnsi="Arial"/>
          <w:color w:val="000000" w:themeColor="text1"/>
        </w:rPr>
        <w:t>52</w:t>
      </w:r>
      <w:r w:rsidRPr="00077427">
        <w:rPr>
          <w:rFonts w:ascii="Arial" w:hAnsi="Arial"/>
          <w:color w:val="000000" w:themeColor="text1"/>
        </w:rPr>
        <w:t xml:space="preserve">% figure says that of all the children in households in severe material </w:t>
      </w:r>
      <w:r w:rsidRPr="005E4AEE">
        <w:rPr>
          <w:rFonts w:ascii="Arial" w:hAnsi="Arial"/>
          <w:color w:val="000000" w:themeColor="text1"/>
        </w:rPr>
        <w:t>hardship (</w:t>
      </w:r>
      <w:r w:rsidR="0015241F" w:rsidRPr="005E4AEE">
        <w:rPr>
          <w:rFonts w:ascii="Arial" w:hAnsi="Arial"/>
          <w:color w:val="000000" w:themeColor="text1"/>
        </w:rPr>
        <w:t>10</w:t>
      </w:r>
      <w:r w:rsidRPr="005E4AEE">
        <w:rPr>
          <w:rFonts w:ascii="Arial" w:hAnsi="Arial"/>
          <w:color w:val="000000" w:themeColor="text1"/>
        </w:rPr>
        <w:t xml:space="preserve">+/17), </w:t>
      </w:r>
      <w:r w:rsidR="00077427" w:rsidRPr="005E4AEE">
        <w:rPr>
          <w:rFonts w:ascii="Arial" w:hAnsi="Arial"/>
          <w:color w:val="000000" w:themeColor="text1"/>
        </w:rPr>
        <w:t>around half</w:t>
      </w:r>
      <w:r w:rsidRPr="005E4AEE">
        <w:rPr>
          <w:rFonts w:ascii="Arial" w:hAnsi="Arial"/>
          <w:color w:val="000000" w:themeColor="text1"/>
        </w:rPr>
        <w:t xml:space="preserve"> are from sole parent households.</w:t>
      </w:r>
    </w:p>
    <w:p w14:paraId="6C364660" w14:textId="3314EDE5" w:rsidR="00F340AE" w:rsidRPr="005E4AEE" w:rsidRDefault="00F340AE">
      <w:pPr>
        <w:pStyle w:val="ListParagraph"/>
        <w:numPr>
          <w:ilvl w:val="0"/>
          <w:numId w:val="52"/>
        </w:numPr>
        <w:spacing w:before="120" w:after="0" w:line="240" w:lineRule="auto"/>
        <w:ind w:left="567" w:hanging="215"/>
        <w:contextualSpacing w:val="0"/>
        <w:rPr>
          <w:rFonts w:ascii="Arial" w:hAnsi="Arial"/>
          <w:color w:val="000000" w:themeColor="text1"/>
        </w:rPr>
      </w:pPr>
      <w:r w:rsidRPr="005E4AEE">
        <w:rPr>
          <w:rFonts w:ascii="Arial" w:hAnsi="Arial"/>
          <w:color w:val="000000" w:themeColor="text1"/>
        </w:rPr>
        <w:t>The ‘ALL’ columns show the number and % of children in each household type overall. The composition % divided by the ‘ALL’ % gives ‘the risk ratio’.</w:t>
      </w:r>
      <w:r w:rsidRPr="005E4AEE">
        <w:rPr>
          <w:rStyle w:val="FootnoteReference"/>
          <w:rFonts w:ascii="Arial" w:hAnsi="Arial"/>
          <w:color w:val="000000" w:themeColor="text1"/>
        </w:rPr>
        <w:footnoteReference w:id="49"/>
      </w:r>
      <w:r w:rsidRPr="005E4AEE">
        <w:rPr>
          <w:rFonts w:ascii="Arial" w:hAnsi="Arial"/>
          <w:color w:val="000000" w:themeColor="text1"/>
        </w:rPr>
        <w:t xml:space="preserve"> For children in sole parent households at the </w:t>
      </w:r>
      <w:r w:rsidR="003E301C" w:rsidRPr="005E4AEE">
        <w:rPr>
          <w:rFonts w:ascii="Arial" w:hAnsi="Arial"/>
          <w:color w:val="000000" w:themeColor="text1"/>
        </w:rPr>
        <w:t>10</w:t>
      </w:r>
      <w:r w:rsidRPr="005E4AEE">
        <w:rPr>
          <w:rFonts w:ascii="Arial" w:hAnsi="Arial"/>
          <w:color w:val="000000" w:themeColor="text1"/>
        </w:rPr>
        <w:t>+ level, the risk ratio is 2.</w:t>
      </w:r>
      <w:r w:rsidR="003E301C" w:rsidRPr="005E4AEE">
        <w:rPr>
          <w:rFonts w:ascii="Arial" w:hAnsi="Arial"/>
          <w:color w:val="000000" w:themeColor="text1"/>
        </w:rPr>
        <w:t>9</w:t>
      </w:r>
      <w:r w:rsidRPr="005E4AEE">
        <w:rPr>
          <w:rFonts w:ascii="Arial" w:hAnsi="Arial"/>
          <w:color w:val="000000" w:themeColor="text1"/>
        </w:rPr>
        <w:t xml:space="preserve"> (</w:t>
      </w:r>
      <w:r w:rsidR="003E301C" w:rsidRPr="005E4AEE">
        <w:rPr>
          <w:rFonts w:ascii="Arial" w:hAnsi="Arial"/>
          <w:color w:val="000000" w:themeColor="text1"/>
        </w:rPr>
        <w:t>52/18</w:t>
      </w:r>
      <w:r w:rsidRPr="005E4AEE">
        <w:rPr>
          <w:rFonts w:ascii="Arial" w:hAnsi="Arial"/>
          <w:color w:val="000000" w:themeColor="text1"/>
        </w:rPr>
        <w:t>), whereas for children in two parent households the risk ratio is 0.</w:t>
      </w:r>
      <w:r w:rsidR="003E301C" w:rsidRPr="005E4AEE">
        <w:rPr>
          <w:rFonts w:ascii="Arial" w:hAnsi="Arial"/>
          <w:color w:val="000000" w:themeColor="text1"/>
        </w:rPr>
        <w:t>47</w:t>
      </w:r>
      <w:r w:rsidRPr="005E4AEE">
        <w:rPr>
          <w:rFonts w:ascii="Arial" w:hAnsi="Arial"/>
          <w:color w:val="000000" w:themeColor="text1"/>
        </w:rPr>
        <w:t xml:space="preserve"> (</w:t>
      </w:r>
      <w:r w:rsidR="003E301C" w:rsidRPr="005E4AEE">
        <w:rPr>
          <w:rFonts w:ascii="Arial" w:hAnsi="Arial"/>
          <w:color w:val="000000" w:themeColor="text1"/>
        </w:rPr>
        <w:t>32</w:t>
      </w:r>
      <w:r w:rsidR="00CA38D6" w:rsidRPr="005E4AEE">
        <w:rPr>
          <w:rFonts w:ascii="Arial" w:hAnsi="Arial"/>
          <w:color w:val="000000" w:themeColor="text1"/>
        </w:rPr>
        <w:t>/</w:t>
      </w:r>
      <w:r w:rsidR="003E301C" w:rsidRPr="005E4AEE">
        <w:rPr>
          <w:rFonts w:ascii="Arial" w:hAnsi="Arial"/>
          <w:color w:val="000000" w:themeColor="text1"/>
        </w:rPr>
        <w:t>68</w:t>
      </w:r>
      <w:r w:rsidRPr="005E4AEE">
        <w:rPr>
          <w:rFonts w:ascii="Arial" w:hAnsi="Arial"/>
          <w:color w:val="000000" w:themeColor="text1"/>
        </w:rPr>
        <w:t>). Whether by comparing rates directly or by comparing risk ratios, the same conclusion is reached: children in sole-parent households are five to six times more likely to be in severe material hardship than those in two-parent households.</w:t>
      </w:r>
      <w:r w:rsidRPr="005E4AEE">
        <w:rPr>
          <w:rStyle w:val="FootnoteReference"/>
          <w:rFonts w:ascii="Arial" w:hAnsi="Arial"/>
          <w:color w:val="000000" w:themeColor="text1"/>
        </w:rPr>
        <w:footnoteReference w:id="50"/>
      </w:r>
      <w:r w:rsidRPr="005E4AEE">
        <w:rPr>
          <w:rFonts w:ascii="Arial" w:hAnsi="Arial"/>
          <w:color w:val="000000" w:themeColor="text1"/>
        </w:rPr>
        <w:t xml:space="preserve"> </w:t>
      </w:r>
    </w:p>
    <w:p w14:paraId="20B24E33" w14:textId="77777777" w:rsidR="00C7320E" w:rsidRPr="005E4AEE" w:rsidRDefault="00C7320E" w:rsidP="00C7320E">
      <w:pPr>
        <w:pStyle w:val="ListParagraph"/>
        <w:spacing w:after="0" w:line="240" w:lineRule="auto"/>
        <w:ind w:left="0" w:right="-44"/>
        <w:jc w:val="center"/>
        <w:rPr>
          <w:rFonts w:ascii="Arial" w:eastAsia="Times New Roman" w:hAnsi="Arial"/>
          <w:b/>
          <w:color w:val="000000" w:themeColor="text1"/>
          <w:sz w:val="18"/>
          <w:szCs w:val="18"/>
        </w:rPr>
      </w:pPr>
    </w:p>
    <w:p w14:paraId="6423BB8D" w14:textId="0BD1B043" w:rsidR="00C7320E" w:rsidRPr="00C7320E" w:rsidRDefault="00C7320E" w:rsidP="00C7320E">
      <w:pPr>
        <w:pStyle w:val="ListParagraph"/>
        <w:spacing w:after="0" w:line="240" w:lineRule="auto"/>
        <w:ind w:left="0" w:right="-44"/>
        <w:jc w:val="center"/>
        <w:rPr>
          <w:rFonts w:ascii="Arial" w:eastAsia="Times New Roman" w:hAnsi="Arial"/>
          <w:bCs/>
          <w:color w:val="FF0000"/>
          <w:sz w:val="18"/>
          <w:szCs w:val="18"/>
        </w:rPr>
      </w:pPr>
      <w:r w:rsidRPr="005E4AEE">
        <w:rPr>
          <w:rFonts w:ascii="Arial" w:eastAsia="Times New Roman" w:hAnsi="Arial"/>
          <w:b/>
          <w:color w:val="000000" w:themeColor="text1"/>
          <w:sz w:val="18"/>
          <w:szCs w:val="18"/>
        </w:rPr>
        <w:t>Table E.</w:t>
      </w:r>
      <w:r w:rsidRPr="00C7320E">
        <w:rPr>
          <w:rFonts w:ascii="Arial" w:eastAsia="Times New Roman" w:hAnsi="Arial"/>
          <w:b/>
          <w:color w:val="000000"/>
          <w:sz w:val="18"/>
          <w:szCs w:val="18"/>
        </w:rPr>
        <w:t>2</w:t>
      </w:r>
    </w:p>
    <w:p w14:paraId="49DF0B08" w14:textId="30AEC45B" w:rsidR="00C7320E" w:rsidRPr="00C7320E" w:rsidRDefault="00C7320E" w:rsidP="00C7320E">
      <w:pPr>
        <w:pStyle w:val="ListParagraph"/>
        <w:spacing w:after="0" w:line="240" w:lineRule="auto"/>
        <w:ind w:left="0" w:right="-44"/>
        <w:jc w:val="center"/>
        <w:rPr>
          <w:rFonts w:ascii="Arial" w:eastAsia="Times New Roman" w:hAnsi="Arial" w:cs="Times New Roman"/>
          <w:b/>
          <w:bCs/>
          <w:color w:val="000000"/>
          <w:sz w:val="18"/>
          <w:szCs w:val="18"/>
          <w:lang w:eastAsia="en-NZ"/>
        </w:rPr>
      </w:pPr>
      <w:r w:rsidRPr="00C7320E">
        <w:rPr>
          <w:rFonts w:ascii="Arial" w:eastAsia="Times New Roman" w:hAnsi="Arial" w:cs="Times New Roman"/>
          <w:b/>
          <w:bCs/>
          <w:color w:val="000000"/>
          <w:sz w:val="18"/>
          <w:szCs w:val="18"/>
          <w:lang w:eastAsia="en-NZ"/>
        </w:rPr>
        <w:t>Material hardship rates and composition for selected population groups (</w:t>
      </w:r>
      <w:r w:rsidR="00E325A3">
        <w:rPr>
          <w:rFonts w:ascii="Arial" w:eastAsia="Times New Roman" w:hAnsi="Arial" w:cs="Times New Roman"/>
          <w:b/>
          <w:bCs/>
          <w:color w:val="000000"/>
          <w:sz w:val="18"/>
          <w:szCs w:val="18"/>
          <w:lang w:eastAsia="en-NZ"/>
        </w:rPr>
        <w:t>MH-18</w:t>
      </w:r>
      <w:r w:rsidRPr="00C7320E">
        <w:rPr>
          <w:rFonts w:ascii="Arial" w:eastAsia="Times New Roman" w:hAnsi="Arial" w:cs="Times New Roman"/>
          <w:b/>
          <w:bCs/>
          <w:color w:val="000000"/>
          <w:sz w:val="18"/>
          <w:szCs w:val="18"/>
          <w:lang w:eastAsia="en-NZ"/>
        </w:rPr>
        <w:t xml:space="preserve"> index, 5 thresholds),</w:t>
      </w:r>
    </w:p>
    <w:p w14:paraId="0CB70096" w14:textId="77777777" w:rsidR="00C7320E" w:rsidRPr="00C7320E" w:rsidRDefault="00C7320E" w:rsidP="00C7320E">
      <w:pPr>
        <w:pStyle w:val="ListParagraph"/>
        <w:spacing w:after="0" w:line="240" w:lineRule="auto"/>
        <w:ind w:left="0"/>
        <w:jc w:val="center"/>
        <w:rPr>
          <w:rFonts w:ascii="Arial" w:eastAsia="Times New Roman" w:hAnsi="Arial" w:cs="Times New Roman"/>
          <w:b/>
          <w:bCs/>
          <w:color w:val="000000"/>
          <w:sz w:val="18"/>
          <w:szCs w:val="18"/>
          <w:lang w:eastAsia="en-NZ"/>
        </w:rPr>
      </w:pPr>
      <w:r w:rsidRPr="00C7320E">
        <w:rPr>
          <w:rFonts w:ascii="Arial" w:eastAsia="Times New Roman" w:hAnsi="Arial" w:cs="Times New Roman"/>
          <w:b/>
          <w:bCs/>
          <w:color w:val="000000"/>
          <w:sz w:val="18"/>
          <w:szCs w:val="18"/>
          <w:lang w:eastAsia="en-NZ"/>
        </w:rPr>
        <w:t>Children (aged 0-17 years), HILS 2024-25</w:t>
      </w:r>
    </w:p>
    <w:p w14:paraId="639E2354" w14:textId="77777777" w:rsidR="00C7320E" w:rsidRPr="00C7320E" w:rsidRDefault="00C7320E" w:rsidP="00C7320E">
      <w:pPr>
        <w:pStyle w:val="ListParagraph"/>
        <w:spacing w:after="0" w:line="240" w:lineRule="auto"/>
        <w:ind w:left="1500"/>
        <w:rPr>
          <w:rFonts w:ascii="Arial" w:hAnsi="Arial"/>
          <w:b/>
          <w:sz w:val="16"/>
          <w:szCs w:val="16"/>
        </w:rPr>
      </w:pPr>
      <w:r w:rsidRPr="00C7320E">
        <w:rPr>
          <w:rFonts w:ascii="Arial" w:eastAsia="Times New Roman" w:hAnsi="Arial" w:cs="Times New Roman"/>
          <w:b/>
          <w:bCs/>
          <w:color w:val="000000"/>
          <w:sz w:val="18"/>
          <w:szCs w:val="18"/>
          <w:lang w:eastAsia="en-NZ"/>
        </w:rPr>
        <w:t xml:space="preserve">  </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472"/>
        <w:gridCol w:w="471"/>
        <w:gridCol w:w="471"/>
        <w:gridCol w:w="472"/>
        <w:gridCol w:w="472"/>
        <w:gridCol w:w="475"/>
        <w:gridCol w:w="475"/>
        <w:gridCol w:w="475"/>
        <w:gridCol w:w="475"/>
        <w:gridCol w:w="475"/>
        <w:gridCol w:w="606"/>
        <w:gridCol w:w="606"/>
      </w:tblGrid>
      <w:tr w:rsidR="00C7320E" w:rsidRPr="00C2206C" w14:paraId="66BF27C4" w14:textId="77777777" w:rsidTr="008129DD">
        <w:trPr>
          <w:trHeight w:val="300"/>
          <w:jc w:val="center"/>
        </w:trPr>
        <w:tc>
          <w:tcPr>
            <w:tcW w:w="2946" w:type="dxa"/>
            <w:vAlign w:val="center"/>
            <w:hideMark/>
          </w:tcPr>
          <w:p w14:paraId="44BE2721" w14:textId="77777777" w:rsidR="00C7320E" w:rsidRPr="00C2206C" w:rsidRDefault="00C7320E" w:rsidP="008129DD">
            <w:pPr>
              <w:spacing w:after="0" w:line="240" w:lineRule="auto"/>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 H</w:t>
            </w:r>
            <w:r>
              <w:rPr>
                <w:rFonts w:ascii="Arial" w:eastAsia="Times New Roman" w:hAnsi="Arial" w:cs="Times New Roman"/>
                <w:b/>
                <w:bCs/>
                <w:color w:val="000000"/>
                <w:sz w:val="16"/>
                <w:szCs w:val="18"/>
                <w:lang w:eastAsia="en-NZ"/>
              </w:rPr>
              <w:t>IL</w:t>
            </w:r>
            <w:r w:rsidRPr="00C2206C">
              <w:rPr>
                <w:rFonts w:ascii="Arial" w:eastAsia="Times New Roman" w:hAnsi="Arial" w:cs="Times New Roman"/>
                <w:b/>
                <w:bCs/>
                <w:color w:val="000000"/>
                <w:sz w:val="16"/>
                <w:szCs w:val="18"/>
                <w:lang w:eastAsia="en-NZ"/>
              </w:rPr>
              <w:t>S 20</w:t>
            </w:r>
            <w:r>
              <w:rPr>
                <w:rFonts w:ascii="Arial" w:eastAsia="Times New Roman" w:hAnsi="Arial" w:cs="Times New Roman"/>
                <w:b/>
                <w:bCs/>
                <w:color w:val="000000"/>
                <w:sz w:val="16"/>
                <w:szCs w:val="18"/>
                <w:lang w:eastAsia="en-NZ"/>
              </w:rPr>
              <w:t>24-25</w:t>
            </w:r>
          </w:p>
        </w:tc>
        <w:tc>
          <w:tcPr>
            <w:tcW w:w="2358" w:type="dxa"/>
            <w:gridSpan w:val="5"/>
            <w:tcBorders>
              <w:right w:val="single" w:sz="8" w:space="0" w:color="auto"/>
            </w:tcBorders>
            <w:vAlign w:val="center"/>
            <w:hideMark/>
          </w:tcPr>
          <w:p w14:paraId="4DF0001E" w14:textId="77777777" w:rsidR="00C7320E" w:rsidRPr="00C2206C" w:rsidRDefault="00C7320E" w:rsidP="008129DD">
            <w:pPr>
              <w:spacing w:after="0" w:line="240" w:lineRule="auto"/>
              <w:jc w:val="center"/>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Material hardship rates</w:t>
            </w:r>
          </w:p>
        </w:tc>
        <w:tc>
          <w:tcPr>
            <w:tcW w:w="3587" w:type="dxa"/>
            <w:gridSpan w:val="7"/>
            <w:tcBorders>
              <w:left w:val="single" w:sz="8" w:space="0" w:color="auto"/>
            </w:tcBorders>
            <w:vAlign w:val="center"/>
            <w:hideMark/>
          </w:tcPr>
          <w:p w14:paraId="0B4164A8" w14:textId="77777777" w:rsidR="00C7320E" w:rsidRPr="00C2206C" w:rsidRDefault="00C7320E" w:rsidP="008129DD">
            <w:pPr>
              <w:spacing w:after="0" w:line="240" w:lineRule="auto"/>
              <w:jc w:val="center"/>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Composition</w:t>
            </w:r>
          </w:p>
        </w:tc>
      </w:tr>
      <w:tr w:rsidR="00C7320E" w:rsidRPr="00C2206C" w14:paraId="32EB2EAF" w14:textId="77777777" w:rsidTr="008129DD">
        <w:trPr>
          <w:trHeight w:val="300"/>
          <w:jc w:val="center"/>
        </w:trPr>
        <w:tc>
          <w:tcPr>
            <w:tcW w:w="2946" w:type="dxa"/>
            <w:vAlign w:val="center"/>
            <w:hideMark/>
          </w:tcPr>
          <w:p w14:paraId="4E6586E2" w14:textId="77777777" w:rsidR="00C7320E" w:rsidRPr="00C2206C" w:rsidRDefault="00C7320E" w:rsidP="008129DD">
            <w:pPr>
              <w:spacing w:after="0" w:line="240" w:lineRule="auto"/>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6"/>
                <w:lang w:eastAsia="en-NZ"/>
              </w:rPr>
              <w:t> </w:t>
            </w:r>
          </w:p>
        </w:tc>
        <w:tc>
          <w:tcPr>
            <w:tcW w:w="2358" w:type="dxa"/>
            <w:gridSpan w:val="5"/>
            <w:tcBorders>
              <w:right w:val="single" w:sz="8" w:space="0" w:color="auto"/>
            </w:tcBorders>
            <w:vAlign w:val="center"/>
            <w:hideMark/>
          </w:tcPr>
          <w:p w14:paraId="27F46F88" w14:textId="77777777" w:rsidR="00C7320E" w:rsidRPr="00C2206C" w:rsidRDefault="00C7320E" w:rsidP="008129DD">
            <w:pPr>
              <w:spacing w:after="0" w:line="240" w:lineRule="auto"/>
              <w:jc w:val="center"/>
              <w:rPr>
                <w:rFonts w:ascii="Arial" w:eastAsia="Times New Roman" w:hAnsi="Arial" w:cs="Times New Roman"/>
                <w:color w:val="000000"/>
                <w:sz w:val="16"/>
                <w:szCs w:val="16"/>
                <w:lang w:eastAsia="en-NZ"/>
              </w:rPr>
            </w:pPr>
            <w:r w:rsidRPr="00C2206C">
              <w:rPr>
                <w:rFonts w:ascii="Arial" w:eastAsia="Times New Roman" w:hAnsi="Arial" w:cs="Times New Roman"/>
                <w:color w:val="000000"/>
                <w:sz w:val="16"/>
                <w:szCs w:val="16"/>
                <w:lang w:eastAsia="en-NZ"/>
              </w:rPr>
              <w:t>what % of this group is in hardship, using the different thresholds?</w:t>
            </w:r>
          </w:p>
        </w:tc>
        <w:tc>
          <w:tcPr>
            <w:tcW w:w="2375" w:type="dxa"/>
            <w:gridSpan w:val="5"/>
            <w:tcBorders>
              <w:left w:val="single" w:sz="8" w:space="0" w:color="auto"/>
            </w:tcBorders>
            <w:vAlign w:val="center"/>
            <w:hideMark/>
          </w:tcPr>
          <w:p w14:paraId="67678FAB" w14:textId="77777777" w:rsidR="00C7320E" w:rsidRPr="00C2206C" w:rsidRDefault="00C7320E" w:rsidP="008129DD">
            <w:pPr>
              <w:spacing w:after="0" w:line="240" w:lineRule="auto"/>
              <w:jc w:val="center"/>
              <w:rPr>
                <w:rFonts w:ascii="Arial" w:eastAsia="Times New Roman" w:hAnsi="Arial" w:cs="Times New Roman"/>
                <w:color w:val="000000"/>
                <w:sz w:val="16"/>
                <w:szCs w:val="16"/>
                <w:lang w:eastAsia="en-NZ"/>
              </w:rPr>
            </w:pPr>
            <w:r w:rsidRPr="00C2206C">
              <w:rPr>
                <w:rFonts w:ascii="Arial" w:eastAsia="Times New Roman" w:hAnsi="Arial" w:cs="Times New Roman"/>
                <w:color w:val="000000"/>
                <w:sz w:val="16"/>
                <w:szCs w:val="16"/>
                <w:lang w:eastAsia="en-NZ"/>
              </w:rPr>
              <w:t>what % of all those in hardship (using a given threshold) are in this group / cell?</w:t>
            </w:r>
          </w:p>
        </w:tc>
        <w:tc>
          <w:tcPr>
            <w:tcW w:w="606" w:type="dxa"/>
            <w:vAlign w:val="center"/>
            <w:hideMark/>
          </w:tcPr>
          <w:p w14:paraId="0AFF761B"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4"/>
                <w:lang w:eastAsia="en-NZ"/>
              </w:rPr>
              <w:t>000’s</w:t>
            </w:r>
          </w:p>
        </w:tc>
        <w:tc>
          <w:tcPr>
            <w:tcW w:w="606" w:type="dxa"/>
            <w:vAlign w:val="center"/>
          </w:tcPr>
          <w:p w14:paraId="05629B44" w14:textId="77777777" w:rsidR="00C7320E" w:rsidRPr="007E75BE" w:rsidRDefault="00C7320E" w:rsidP="008129DD">
            <w:pPr>
              <w:spacing w:after="0" w:line="240" w:lineRule="auto"/>
              <w:jc w:val="center"/>
              <w:rPr>
                <w:rFonts w:ascii="Arial" w:eastAsia="Times New Roman" w:hAnsi="Arial" w:cs="Times New Roman"/>
                <w:b/>
                <w:bCs/>
                <w:sz w:val="14"/>
                <w:szCs w:val="14"/>
                <w:lang w:eastAsia="en-NZ"/>
              </w:rPr>
            </w:pPr>
            <w:r w:rsidRPr="007E75BE">
              <w:rPr>
                <w:rFonts w:ascii="Arial" w:eastAsia="Times New Roman" w:hAnsi="Arial" w:cs="Times New Roman"/>
                <w:b/>
                <w:bCs/>
                <w:sz w:val="14"/>
                <w:szCs w:val="14"/>
                <w:lang w:eastAsia="en-NZ"/>
              </w:rPr>
              <w:t>%</w:t>
            </w:r>
          </w:p>
        </w:tc>
      </w:tr>
      <w:tr w:rsidR="00C7320E" w:rsidRPr="00C2206C" w14:paraId="755CCAA7" w14:textId="77777777" w:rsidTr="008129DD">
        <w:trPr>
          <w:trHeight w:val="396"/>
          <w:jc w:val="center"/>
        </w:trPr>
        <w:tc>
          <w:tcPr>
            <w:tcW w:w="2946" w:type="dxa"/>
            <w:vAlign w:val="center"/>
            <w:hideMark/>
          </w:tcPr>
          <w:p w14:paraId="036AC525" w14:textId="77777777" w:rsidR="00C7320E" w:rsidRPr="00C2206C" w:rsidRDefault="00C7320E" w:rsidP="008129DD">
            <w:pPr>
              <w:spacing w:after="0" w:line="240" w:lineRule="auto"/>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6"/>
                <w:lang w:eastAsia="en-NZ"/>
              </w:rPr>
              <w:t>Material hardship threshold as # of items lacked out of 17</w:t>
            </w:r>
          </w:p>
        </w:tc>
        <w:tc>
          <w:tcPr>
            <w:tcW w:w="472" w:type="dxa"/>
            <w:vAlign w:val="center"/>
            <w:hideMark/>
          </w:tcPr>
          <w:p w14:paraId="3219E08D"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6+</w:t>
            </w:r>
          </w:p>
        </w:tc>
        <w:tc>
          <w:tcPr>
            <w:tcW w:w="471" w:type="dxa"/>
            <w:shd w:val="clear" w:color="auto" w:fill="D9D9D9"/>
            <w:vAlign w:val="center"/>
            <w:hideMark/>
          </w:tcPr>
          <w:p w14:paraId="25C85F56"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7+</w:t>
            </w:r>
          </w:p>
        </w:tc>
        <w:tc>
          <w:tcPr>
            <w:tcW w:w="471" w:type="dxa"/>
            <w:vAlign w:val="center"/>
            <w:hideMark/>
          </w:tcPr>
          <w:p w14:paraId="12FE1F1E"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8+</w:t>
            </w:r>
          </w:p>
        </w:tc>
        <w:tc>
          <w:tcPr>
            <w:tcW w:w="472" w:type="dxa"/>
            <w:vAlign w:val="center"/>
            <w:hideMark/>
          </w:tcPr>
          <w:p w14:paraId="39FC7034"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9+</w:t>
            </w:r>
          </w:p>
        </w:tc>
        <w:tc>
          <w:tcPr>
            <w:tcW w:w="472" w:type="dxa"/>
            <w:tcBorders>
              <w:right w:val="single" w:sz="8" w:space="0" w:color="auto"/>
            </w:tcBorders>
            <w:vAlign w:val="center"/>
            <w:hideMark/>
          </w:tcPr>
          <w:p w14:paraId="24695E79"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10+</w:t>
            </w:r>
          </w:p>
        </w:tc>
        <w:tc>
          <w:tcPr>
            <w:tcW w:w="475" w:type="dxa"/>
            <w:tcBorders>
              <w:left w:val="single" w:sz="8" w:space="0" w:color="auto"/>
            </w:tcBorders>
            <w:vAlign w:val="center"/>
            <w:hideMark/>
          </w:tcPr>
          <w:p w14:paraId="795A0ACA"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6+</w:t>
            </w:r>
          </w:p>
        </w:tc>
        <w:tc>
          <w:tcPr>
            <w:tcW w:w="475" w:type="dxa"/>
            <w:shd w:val="clear" w:color="auto" w:fill="D9D9D9"/>
            <w:vAlign w:val="center"/>
            <w:hideMark/>
          </w:tcPr>
          <w:p w14:paraId="0E5CE87D"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7+</w:t>
            </w:r>
          </w:p>
        </w:tc>
        <w:tc>
          <w:tcPr>
            <w:tcW w:w="475" w:type="dxa"/>
            <w:vAlign w:val="center"/>
            <w:hideMark/>
          </w:tcPr>
          <w:p w14:paraId="1D4FB5B1"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8+</w:t>
            </w:r>
          </w:p>
        </w:tc>
        <w:tc>
          <w:tcPr>
            <w:tcW w:w="475" w:type="dxa"/>
            <w:vAlign w:val="center"/>
            <w:hideMark/>
          </w:tcPr>
          <w:p w14:paraId="15F9F635"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9+</w:t>
            </w:r>
          </w:p>
        </w:tc>
        <w:tc>
          <w:tcPr>
            <w:tcW w:w="475" w:type="dxa"/>
            <w:vAlign w:val="center"/>
            <w:hideMark/>
          </w:tcPr>
          <w:p w14:paraId="31671DDB"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10+</w:t>
            </w:r>
          </w:p>
        </w:tc>
        <w:tc>
          <w:tcPr>
            <w:tcW w:w="606" w:type="dxa"/>
            <w:vAlign w:val="center"/>
            <w:hideMark/>
          </w:tcPr>
          <w:p w14:paraId="5BF122CA" w14:textId="77777777" w:rsidR="00C7320E" w:rsidRPr="00C2206C" w:rsidRDefault="00C7320E" w:rsidP="008129DD">
            <w:pPr>
              <w:spacing w:after="0" w:line="240" w:lineRule="auto"/>
              <w:jc w:val="center"/>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4"/>
                <w:lang w:eastAsia="en-NZ"/>
              </w:rPr>
              <w:t>ALL</w:t>
            </w:r>
          </w:p>
        </w:tc>
        <w:tc>
          <w:tcPr>
            <w:tcW w:w="606" w:type="dxa"/>
            <w:vAlign w:val="center"/>
          </w:tcPr>
          <w:p w14:paraId="4CD07D1E" w14:textId="77777777" w:rsidR="00C7320E" w:rsidRPr="007E75BE" w:rsidRDefault="00C7320E" w:rsidP="008129DD">
            <w:pPr>
              <w:spacing w:after="0" w:line="240" w:lineRule="auto"/>
              <w:jc w:val="center"/>
              <w:rPr>
                <w:rFonts w:ascii="Arial" w:eastAsia="Times New Roman" w:hAnsi="Arial" w:cs="Times New Roman"/>
                <w:b/>
                <w:bCs/>
                <w:sz w:val="14"/>
                <w:szCs w:val="14"/>
                <w:lang w:eastAsia="en-NZ"/>
              </w:rPr>
            </w:pPr>
            <w:r w:rsidRPr="007E75BE">
              <w:rPr>
                <w:rFonts w:ascii="Arial" w:eastAsia="Times New Roman" w:hAnsi="Arial" w:cs="Times New Roman"/>
                <w:b/>
                <w:bCs/>
                <w:sz w:val="14"/>
                <w:szCs w:val="14"/>
                <w:lang w:eastAsia="en-NZ"/>
              </w:rPr>
              <w:t>ALL</w:t>
            </w:r>
          </w:p>
        </w:tc>
      </w:tr>
      <w:tr w:rsidR="00C7320E" w:rsidRPr="00C2206C" w14:paraId="35469C78" w14:textId="77777777" w:rsidTr="008129DD">
        <w:trPr>
          <w:trHeight w:val="227"/>
          <w:jc w:val="center"/>
        </w:trPr>
        <w:tc>
          <w:tcPr>
            <w:tcW w:w="2946" w:type="dxa"/>
            <w:vAlign w:val="center"/>
            <w:hideMark/>
          </w:tcPr>
          <w:p w14:paraId="03D751F2" w14:textId="77777777" w:rsidR="00C7320E" w:rsidRPr="00C2206C" w:rsidRDefault="00C7320E" w:rsidP="008129DD">
            <w:pPr>
              <w:spacing w:after="0" w:line="240" w:lineRule="auto"/>
              <w:rPr>
                <w:rFonts w:ascii="Arial" w:eastAsia="Times New Roman" w:hAnsi="Arial" w:cs="Times New Roman"/>
                <w:b/>
                <w:bCs/>
                <w:color w:val="000000"/>
                <w:sz w:val="14"/>
                <w:szCs w:val="14"/>
                <w:lang w:eastAsia="en-NZ"/>
              </w:rPr>
            </w:pPr>
          </w:p>
        </w:tc>
        <w:tc>
          <w:tcPr>
            <w:tcW w:w="472" w:type="dxa"/>
            <w:vAlign w:val="center"/>
            <w:hideMark/>
          </w:tcPr>
          <w:p w14:paraId="766F6C54"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1" w:type="dxa"/>
            <w:shd w:val="clear" w:color="auto" w:fill="D9D9D9"/>
            <w:vAlign w:val="center"/>
            <w:hideMark/>
          </w:tcPr>
          <w:p w14:paraId="2B9BD44B"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1" w:type="dxa"/>
            <w:vAlign w:val="center"/>
            <w:hideMark/>
          </w:tcPr>
          <w:p w14:paraId="142C0BCE"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vAlign w:val="center"/>
            <w:hideMark/>
          </w:tcPr>
          <w:p w14:paraId="78CD870B"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tcBorders>
              <w:right w:val="single" w:sz="8" w:space="0" w:color="auto"/>
            </w:tcBorders>
            <w:vAlign w:val="center"/>
            <w:hideMark/>
          </w:tcPr>
          <w:p w14:paraId="7FC2AD73"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tcBorders>
              <w:left w:val="single" w:sz="8" w:space="0" w:color="auto"/>
            </w:tcBorders>
            <w:vAlign w:val="center"/>
            <w:hideMark/>
          </w:tcPr>
          <w:p w14:paraId="6A8509BD"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shd w:val="clear" w:color="auto" w:fill="D9D9D9"/>
            <w:vAlign w:val="center"/>
            <w:hideMark/>
          </w:tcPr>
          <w:p w14:paraId="0CD38655"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29D52939"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719B27FA"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68598B78"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606" w:type="dxa"/>
            <w:vAlign w:val="center"/>
            <w:hideMark/>
          </w:tcPr>
          <w:p w14:paraId="4E4858EE"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606" w:type="dxa"/>
            <w:vAlign w:val="center"/>
          </w:tcPr>
          <w:p w14:paraId="4888703C" w14:textId="77777777" w:rsidR="00C7320E" w:rsidRPr="00C2206C" w:rsidRDefault="00C7320E" w:rsidP="008129DD">
            <w:pPr>
              <w:spacing w:after="0" w:line="240" w:lineRule="auto"/>
              <w:rPr>
                <w:rFonts w:ascii="Arial" w:eastAsia="Times New Roman" w:hAnsi="Arial" w:cs="Times New Roman"/>
                <w:color w:val="000000"/>
                <w:sz w:val="14"/>
                <w:szCs w:val="14"/>
                <w:lang w:eastAsia="en-NZ"/>
              </w:rPr>
            </w:pPr>
          </w:p>
        </w:tc>
      </w:tr>
      <w:tr w:rsidR="00C7320E" w:rsidRPr="00C2206C" w14:paraId="6900625B" w14:textId="77777777" w:rsidTr="008129DD">
        <w:trPr>
          <w:trHeight w:hRule="exact" w:val="227"/>
          <w:jc w:val="center"/>
        </w:trPr>
        <w:tc>
          <w:tcPr>
            <w:tcW w:w="2946" w:type="dxa"/>
            <w:vAlign w:val="center"/>
            <w:hideMark/>
          </w:tcPr>
          <w:p w14:paraId="70ED65EE" w14:textId="77777777" w:rsidR="00C7320E" w:rsidRPr="00C2206C" w:rsidRDefault="00C7320E" w:rsidP="008129DD">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All children (0-17 yrs)</w:t>
            </w:r>
          </w:p>
        </w:tc>
        <w:tc>
          <w:tcPr>
            <w:tcW w:w="472" w:type="dxa"/>
            <w:vAlign w:val="center"/>
            <w:hideMark/>
          </w:tcPr>
          <w:p w14:paraId="5E6C6075"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1" w:type="dxa"/>
            <w:shd w:val="clear" w:color="auto" w:fill="D9D9D9"/>
            <w:vAlign w:val="center"/>
            <w:hideMark/>
          </w:tcPr>
          <w:p w14:paraId="7EBD5239"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1" w:type="dxa"/>
            <w:vAlign w:val="center"/>
            <w:hideMark/>
          </w:tcPr>
          <w:p w14:paraId="40086039"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w:t>
            </w:r>
          </w:p>
        </w:tc>
        <w:tc>
          <w:tcPr>
            <w:tcW w:w="472" w:type="dxa"/>
            <w:vAlign w:val="center"/>
            <w:hideMark/>
          </w:tcPr>
          <w:p w14:paraId="1C604CF1"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2" w:type="dxa"/>
            <w:tcBorders>
              <w:right w:val="single" w:sz="8" w:space="0" w:color="auto"/>
            </w:tcBorders>
            <w:vAlign w:val="center"/>
            <w:hideMark/>
          </w:tcPr>
          <w:p w14:paraId="3574720C"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5" w:type="dxa"/>
            <w:tcBorders>
              <w:left w:val="single" w:sz="8" w:space="0" w:color="auto"/>
            </w:tcBorders>
            <w:vAlign w:val="center"/>
            <w:hideMark/>
          </w:tcPr>
          <w:p w14:paraId="4F480E8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shd w:val="clear" w:color="auto" w:fill="D9D9D9"/>
            <w:vAlign w:val="center"/>
            <w:hideMark/>
          </w:tcPr>
          <w:p w14:paraId="1A63090C"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645ED252"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24B78023"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2EBB8B38"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606" w:type="dxa"/>
            <w:vAlign w:val="center"/>
            <w:hideMark/>
          </w:tcPr>
          <w:p w14:paraId="6BD8A847"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1,185</w:t>
            </w:r>
          </w:p>
        </w:tc>
        <w:tc>
          <w:tcPr>
            <w:tcW w:w="606" w:type="dxa"/>
            <w:vAlign w:val="center"/>
          </w:tcPr>
          <w:p w14:paraId="71BC89D3" w14:textId="77777777" w:rsidR="00C7320E" w:rsidRPr="003A53A4"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r>
      <w:tr w:rsidR="00C7320E" w:rsidRPr="00C2206C" w14:paraId="0075F5D6" w14:textId="77777777" w:rsidTr="008129DD">
        <w:trPr>
          <w:trHeight w:hRule="exact" w:val="227"/>
          <w:jc w:val="center"/>
        </w:trPr>
        <w:tc>
          <w:tcPr>
            <w:tcW w:w="2946" w:type="dxa"/>
            <w:vAlign w:val="center"/>
            <w:hideMark/>
          </w:tcPr>
          <w:p w14:paraId="4ECA1CE4" w14:textId="77777777" w:rsidR="00C7320E" w:rsidRPr="00C2206C" w:rsidRDefault="00C7320E" w:rsidP="008129DD">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Household type</w:t>
            </w:r>
          </w:p>
        </w:tc>
        <w:tc>
          <w:tcPr>
            <w:tcW w:w="472" w:type="dxa"/>
            <w:vAlign w:val="center"/>
            <w:hideMark/>
          </w:tcPr>
          <w:p w14:paraId="3AC33CE2"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6F036CB6"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716E6E50"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348AD7FE"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4D8CF886"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342710EF"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59C17C03"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6EBF5B19"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3E16D062"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0C4514A6"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5135DE00" w14:textId="77777777" w:rsidR="00C7320E" w:rsidRPr="00C2206C"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1A927A99" w14:textId="77777777" w:rsidR="00C7320E" w:rsidRPr="003A53A4" w:rsidRDefault="00C7320E" w:rsidP="008129DD">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C7320E" w:rsidRPr="00C2206C" w14:paraId="72C327D5" w14:textId="77777777" w:rsidTr="00923C9A">
        <w:trPr>
          <w:trHeight w:hRule="exact" w:val="227"/>
          <w:jc w:val="center"/>
        </w:trPr>
        <w:tc>
          <w:tcPr>
            <w:tcW w:w="2946" w:type="dxa"/>
            <w:vAlign w:val="center"/>
            <w:hideMark/>
          </w:tcPr>
          <w:p w14:paraId="4864B356" w14:textId="77777777" w:rsidR="00C7320E" w:rsidRPr="00C2206C" w:rsidRDefault="00C7320E" w:rsidP="008129DD">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2P HH with any dependent children</w:t>
            </w:r>
          </w:p>
        </w:tc>
        <w:tc>
          <w:tcPr>
            <w:tcW w:w="472" w:type="dxa"/>
            <w:vAlign w:val="center"/>
            <w:hideMark/>
          </w:tcPr>
          <w:p w14:paraId="5A40C49B"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w:t>
            </w:r>
          </w:p>
        </w:tc>
        <w:tc>
          <w:tcPr>
            <w:tcW w:w="471" w:type="dxa"/>
            <w:shd w:val="clear" w:color="auto" w:fill="D9D9D9"/>
            <w:vAlign w:val="center"/>
            <w:hideMark/>
          </w:tcPr>
          <w:p w14:paraId="01C355D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1" w:type="dxa"/>
            <w:vAlign w:val="center"/>
            <w:hideMark/>
          </w:tcPr>
          <w:p w14:paraId="3DC1B3CF"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2" w:type="dxa"/>
            <w:shd w:val="clear" w:color="auto" w:fill="F7CAAC" w:themeFill="accent2" w:themeFillTint="66"/>
            <w:vAlign w:val="center"/>
            <w:hideMark/>
          </w:tcPr>
          <w:p w14:paraId="4B1BF2B4"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2" w:type="dxa"/>
            <w:tcBorders>
              <w:right w:val="single" w:sz="8" w:space="0" w:color="auto"/>
            </w:tcBorders>
            <w:vAlign w:val="center"/>
            <w:hideMark/>
          </w:tcPr>
          <w:p w14:paraId="0A3AC075"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tcBorders>
              <w:left w:val="single" w:sz="8" w:space="0" w:color="auto"/>
            </w:tcBorders>
            <w:vAlign w:val="center"/>
            <w:hideMark/>
          </w:tcPr>
          <w:p w14:paraId="0AF5EC8C"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42</w:t>
            </w:r>
          </w:p>
        </w:tc>
        <w:tc>
          <w:tcPr>
            <w:tcW w:w="475" w:type="dxa"/>
            <w:shd w:val="clear" w:color="auto" w:fill="D9D9D9"/>
            <w:vAlign w:val="center"/>
            <w:hideMark/>
          </w:tcPr>
          <w:p w14:paraId="17807880"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40</w:t>
            </w:r>
          </w:p>
        </w:tc>
        <w:tc>
          <w:tcPr>
            <w:tcW w:w="475" w:type="dxa"/>
            <w:vAlign w:val="center"/>
            <w:hideMark/>
          </w:tcPr>
          <w:p w14:paraId="369B7E79"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36</w:t>
            </w:r>
          </w:p>
        </w:tc>
        <w:tc>
          <w:tcPr>
            <w:tcW w:w="475" w:type="dxa"/>
            <w:vAlign w:val="center"/>
            <w:hideMark/>
          </w:tcPr>
          <w:p w14:paraId="064FB5B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475" w:type="dxa"/>
            <w:vAlign w:val="center"/>
            <w:hideMark/>
          </w:tcPr>
          <w:p w14:paraId="3AFBB59A"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606" w:type="dxa"/>
            <w:vAlign w:val="center"/>
            <w:hideMark/>
          </w:tcPr>
          <w:p w14:paraId="6572B9A6"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805</w:t>
            </w:r>
          </w:p>
        </w:tc>
        <w:tc>
          <w:tcPr>
            <w:tcW w:w="606" w:type="dxa"/>
            <w:vAlign w:val="center"/>
          </w:tcPr>
          <w:p w14:paraId="7D48F3F0" w14:textId="77777777" w:rsidR="00C7320E" w:rsidRPr="003A53A4"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68</w:t>
            </w:r>
          </w:p>
        </w:tc>
      </w:tr>
      <w:tr w:rsidR="00C7320E" w:rsidRPr="00C2206C" w14:paraId="60E541D0" w14:textId="77777777" w:rsidTr="0015241F">
        <w:trPr>
          <w:trHeight w:hRule="exact" w:val="227"/>
          <w:jc w:val="center"/>
        </w:trPr>
        <w:tc>
          <w:tcPr>
            <w:tcW w:w="2946" w:type="dxa"/>
            <w:vAlign w:val="center"/>
            <w:hideMark/>
          </w:tcPr>
          <w:p w14:paraId="43DC1B14" w14:textId="77777777" w:rsidR="00C7320E" w:rsidRPr="00C2206C" w:rsidRDefault="00C7320E" w:rsidP="008129DD">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 xml:space="preserve">SP HH with any dependent children </w:t>
            </w:r>
          </w:p>
        </w:tc>
        <w:tc>
          <w:tcPr>
            <w:tcW w:w="472" w:type="dxa"/>
            <w:vAlign w:val="center"/>
            <w:hideMark/>
          </w:tcPr>
          <w:p w14:paraId="6E079C1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43</w:t>
            </w:r>
          </w:p>
        </w:tc>
        <w:tc>
          <w:tcPr>
            <w:tcW w:w="471" w:type="dxa"/>
            <w:shd w:val="clear" w:color="auto" w:fill="D9D9D9"/>
            <w:vAlign w:val="center"/>
            <w:hideMark/>
          </w:tcPr>
          <w:p w14:paraId="34FCFA2C"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36</w:t>
            </w:r>
          </w:p>
        </w:tc>
        <w:tc>
          <w:tcPr>
            <w:tcW w:w="471" w:type="dxa"/>
            <w:vAlign w:val="center"/>
            <w:hideMark/>
          </w:tcPr>
          <w:p w14:paraId="68164AB7"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31</w:t>
            </w:r>
          </w:p>
        </w:tc>
        <w:tc>
          <w:tcPr>
            <w:tcW w:w="472" w:type="dxa"/>
            <w:vAlign w:val="center"/>
            <w:hideMark/>
          </w:tcPr>
          <w:p w14:paraId="3A3D3B6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c>
          <w:tcPr>
            <w:tcW w:w="472" w:type="dxa"/>
            <w:tcBorders>
              <w:right w:val="single" w:sz="8" w:space="0" w:color="auto"/>
            </w:tcBorders>
            <w:vAlign w:val="center"/>
            <w:hideMark/>
          </w:tcPr>
          <w:p w14:paraId="5A1DA27B"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tcBorders>
              <w:left w:val="single" w:sz="8" w:space="0" w:color="auto"/>
            </w:tcBorders>
            <w:vAlign w:val="center"/>
            <w:hideMark/>
          </w:tcPr>
          <w:p w14:paraId="3DEF3960"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42</w:t>
            </w:r>
          </w:p>
        </w:tc>
        <w:tc>
          <w:tcPr>
            <w:tcW w:w="475" w:type="dxa"/>
            <w:shd w:val="clear" w:color="auto" w:fill="D9D9D9"/>
            <w:vAlign w:val="center"/>
            <w:hideMark/>
          </w:tcPr>
          <w:p w14:paraId="1D78F8E9"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45</w:t>
            </w:r>
          </w:p>
        </w:tc>
        <w:tc>
          <w:tcPr>
            <w:tcW w:w="475" w:type="dxa"/>
            <w:vAlign w:val="center"/>
            <w:hideMark/>
          </w:tcPr>
          <w:p w14:paraId="44F1BEB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48</w:t>
            </w:r>
          </w:p>
        </w:tc>
        <w:tc>
          <w:tcPr>
            <w:tcW w:w="475" w:type="dxa"/>
            <w:vAlign w:val="center"/>
            <w:hideMark/>
          </w:tcPr>
          <w:p w14:paraId="092F2611"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50</w:t>
            </w:r>
          </w:p>
        </w:tc>
        <w:tc>
          <w:tcPr>
            <w:tcW w:w="475" w:type="dxa"/>
            <w:shd w:val="clear" w:color="auto" w:fill="C5E0B3" w:themeFill="accent6" w:themeFillTint="66"/>
            <w:vAlign w:val="center"/>
            <w:hideMark/>
          </w:tcPr>
          <w:p w14:paraId="70D3FFA3"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52</w:t>
            </w:r>
          </w:p>
        </w:tc>
        <w:tc>
          <w:tcPr>
            <w:tcW w:w="606" w:type="dxa"/>
            <w:vAlign w:val="center"/>
            <w:hideMark/>
          </w:tcPr>
          <w:p w14:paraId="10030987"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210</w:t>
            </w:r>
          </w:p>
        </w:tc>
        <w:tc>
          <w:tcPr>
            <w:tcW w:w="606" w:type="dxa"/>
            <w:vAlign w:val="center"/>
          </w:tcPr>
          <w:p w14:paraId="5F913684" w14:textId="77777777" w:rsidR="00C7320E" w:rsidRPr="003A53A4"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r>
      <w:tr w:rsidR="00C7320E" w:rsidRPr="00C2206C" w14:paraId="0776F7F4" w14:textId="77777777" w:rsidTr="008129DD">
        <w:trPr>
          <w:trHeight w:hRule="exact" w:val="227"/>
          <w:jc w:val="center"/>
        </w:trPr>
        <w:tc>
          <w:tcPr>
            <w:tcW w:w="2946" w:type="dxa"/>
            <w:vAlign w:val="center"/>
            <w:hideMark/>
          </w:tcPr>
          <w:p w14:paraId="561ABCED" w14:textId="77777777" w:rsidR="00C7320E" w:rsidRPr="00C2206C" w:rsidRDefault="00C7320E" w:rsidP="008129DD">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Other fam HHs with any dep ch</w:t>
            </w:r>
          </w:p>
        </w:tc>
        <w:tc>
          <w:tcPr>
            <w:tcW w:w="472" w:type="dxa"/>
            <w:vAlign w:val="center"/>
            <w:hideMark/>
          </w:tcPr>
          <w:p w14:paraId="5ACEAD4F"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20</w:t>
            </w:r>
          </w:p>
        </w:tc>
        <w:tc>
          <w:tcPr>
            <w:tcW w:w="471" w:type="dxa"/>
            <w:shd w:val="clear" w:color="auto" w:fill="D9D9D9"/>
            <w:vAlign w:val="center"/>
            <w:hideMark/>
          </w:tcPr>
          <w:p w14:paraId="45DB880A"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w:t>
            </w:r>
          </w:p>
        </w:tc>
        <w:tc>
          <w:tcPr>
            <w:tcW w:w="471" w:type="dxa"/>
            <w:vAlign w:val="center"/>
            <w:hideMark/>
          </w:tcPr>
          <w:p w14:paraId="11FEC765"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c>
          <w:tcPr>
            <w:tcW w:w="472" w:type="dxa"/>
            <w:vAlign w:val="center"/>
            <w:hideMark/>
          </w:tcPr>
          <w:p w14:paraId="76342669"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2" w:type="dxa"/>
            <w:tcBorders>
              <w:right w:val="single" w:sz="8" w:space="0" w:color="auto"/>
            </w:tcBorders>
            <w:vAlign w:val="center"/>
            <w:hideMark/>
          </w:tcPr>
          <w:p w14:paraId="49B2773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5" w:type="dxa"/>
            <w:tcBorders>
              <w:left w:val="single" w:sz="8" w:space="0" w:color="auto"/>
            </w:tcBorders>
            <w:vAlign w:val="center"/>
            <w:hideMark/>
          </w:tcPr>
          <w:p w14:paraId="5E954AFB"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shd w:val="clear" w:color="auto" w:fill="D9D9D9"/>
            <w:vAlign w:val="center"/>
            <w:hideMark/>
          </w:tcPr>
          <w:p w14:paraId="206A67A3"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vAlign w:val="center"/>
            <w:hideMark/>
          </w:tcPr>
          <w:p w14:paraId="2D1693A2"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vAlign w:val="center"/>
            <w:hideMark/>
          </w:tcPr>
          <w:p w14:paraId="562A8943"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vAlign w:val="center"/>
            <w:hideMark/>
          </w:tcPr>
          <w:p w14:paraId="38E0C042"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w:t>
            </w:r>
          </w:p>
        </w:tc>
        <w:tc>
          <w:tcPr>
            <w:tcW w:w="606" w:type="dxa"/>
            <w:vAlign w:val="center"/>
            <w:hideMark/>
          </w:tcPr>
          <w:p w14:paraId="213C738D" w14:textId="77777777" w:rsidR="00C7320E" w:rsidRPr="00C2206C"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160</w:t>
            </w:r>
          </w:p>
        </w:tc>
        <w:tc>
          <w:tcPr>
            <w:tcW w:w="606" w:type="dxa"/>
            <w:vAlign w:val="center"/>
          </w:tcPr>
          <w:p w14:paraId="2729BE51" w14:textId="77777777" w:rsidR="00C7320E" w:rsidRPr="003A53A4" w:rsidRDefault="00C7320E" w:rsidP="008129DD">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r>
    </w:tbl>
    <w:p w14:paraId="524C9382" w14:textId="77777777" w:rsidR="00077427" w:rsidRPr="00431DF1" w:rsidRDefault="00C7320E" w:rsidP="004039A4">
      <w:pPr>
        <w:spacing w:before="60" w:after="0" w:line="240" w:lineRule="auto"/>
        <w:rPr>
          <w:rFonts w:ascii="Arial Mäori" w:hAnsi="Arial Mäori"/>
          <w:sz w:val="16"/>
          <w:szCs w:val="16"/>
        </w:rPr>
      </w:pPr>
      <w:r w:rsidRPr="00431DF1">
        <w:rPr>
          <w:rFonts w:ascii="Arial Mäori" w:hAnsi="Arial Mäori"/>
          <w:sz w:val="16"/>
          <w:szCs w:val="16"/>
        </w:rPr>
        <w:t>Note</w:t>
      </w:r>
      <w:r w:rsidR="00077427" w:rsidRPr="00431DF1">
        <w:rPr>
          <w:rFonts w:ascii="Arial Mäori" w:hAnsi="Arial Mäori"/>
          <w:sz w:val="16"/>
          <w:szCs w:val="16"/>
        </w:rPr>
        <w:t xml:space="preserve"> for table</w:t>
      </w:r>
      <w:r w:rsidRPr="00431DF1">
        <w:rPr>
          <w:rFonts w:ascii="Arial Mäori" w:hAnsi="Arial Mäori"/>
          <w:sz w:val="16"/>
          <w:szCs w:val="16"/>
        </w:rPr>
        <w:t xml:space="preserve">: </w:t>
      </w:r>
    </w:p>
    <w:p w14:paraId="7A130CE6" w14:textId="6DCD5CE0" w:rsidR="00C7320E" w:rsidRPr="00431DF1" w:rsidRDefault="002F0C71">
      <w:pPr>
        <w:pStyle w:val="ListParagraph"/>
        <w:numPr>
          <w:ilvl w:val="0"/>
          <w:numId w:val="77"/>
        </w:numPr>
        <w:spacing w:before="20" w:after="0" w:line="240" w:lineRule="auto"/>
        <w:ind w:left="431" w:hanging="221"/>
        <w:contextualSpacing w:val="0"/>
        <w:rPr>
          <w:rFonts w:ascii="Arial Mäori" w:hAnsi="Arial Mäori"/>
          <w:sz w:val="16"/>
          <w:szCs w:val="16"/>
        </w:rPr>
      </w:pPr>
      <w:r w:rsidRPr="00431DF1">
        <w:rPr>
          <w:rFonts w:ascii="Arial Mäori" w:hAnsi="Arial Mäori"/>
          <w:sz w:val="16"/>
          <w:szCs w:val="16"/>
        </w:rPr>
        <w:t>A small number of children live in household types other than the three types shown in the table. Numbers are too small to report hardship rates for them as a separate “Other” household type.</w:t>
      </w:r>
    </w:p>
    <w:p w14:paraId="7FA7D1AC" w14:textId="5E6B9FDC" w:rsidR="00C7320E" w:rsidRPr="00C7320E" w:rsidRDefault="00C7320E" w:rsidP="00077427">
      <w:pPr>
        <w:pStyle w:val="ListParagraph"/>
        <w:spacing w:before="40" w:after="0" w:line="240" w:lineRule="auto"/>
        <w:ind w:left="1500" w:right="-44"/>
        <w:contextualSpacing w:val="0"/>
        <w:rPr>
          <w:rFonts w:ascii="Arial" w:eastAsia="Times New Roman" w:hAnsi="Arial"/>
          <w:b/>
          <w:color w:val="000000"/>
          <w:sz w:val="18"/>
          <w:szCs w:val="18"/>
        </w:rPr>
      </w:pPr>
    </w:p>
    <w:p w14:paraId="4359881E" w14:textId="77777777" w:rsidR="00F340AE" w:rsidRPr="004A1C12" w:rsidRDefault="00F340AE" w:rsidP="00F340AE">
      <w:pPr>
        <w:spacing w:after="0" w:line="240" w:lineRule="auto"/>
        <w:rPr>
          <w:rFonts w:ascii="Arial" w:hAnsi="Arial"/>
          <w:color w:val="0000FF"/>
        </w:rPr>
      </w:pPr>
    </w:p>
    <w:p w14:paraId="5CC7CAED" w14:textId="77777777" w:rsidR="00F340AE" w:rsidRPr="004A1C12" w:rsidRDefault="00F340AE" w:rsidP="00F340AE">
      <w:pPr>
        <w:spacing w:after="0" w:line="240" w:lineRule="auto"/>
        <w:rPr>
          <w:rFonts w:ascii="Arial" w:hAnsi="Arial"/>
          <w:color w:val="0000FF"/>
        </w:rPr>
      </w:pPr>
    </w:p>
    <w:p w14:paraId="7E925751" w14:textId="77777777" w:rsidR="00AF42F9" w:rsidRDefault="00AF42F9">
      <w:pPr>
        <w:spacing w:after="0" w:line="240" w:lineRule="auto"/>
        <w:rPr>
          <w:rFonts w:ascii="Arial" w:eastAsia="Times New Roman" w:hAnsi="Arial"/>
          <w:b/>
          <w:color w:val="0000FF"/>
          <w:sz w:val="18"/>
          <w:szCs w:val="18"/>
        </w:rPr>
      </w:pPr>
      <w:r>
        <w:rPr>
          <w:rFonts w:ascii="Arial" w:eastAsia="Times New Roman" w:hAnsi="Arial"/>
          <w:b/>
          <w:color w:val="0000FF"/>
          <w:sz w:val="18"/>
          <w:szCs w:val="18"/>
        </w:rPr>
        <w:br w:type="page"/>
      </w:r>
    </w:p>
    <w:p w14:paraId="2FDA5BE1" w14:textId="4098AD3A" w:rsidR="00E476C4" w:rsidRPr="00E476C4" w:rsidRDefault="00E476C4" w:rsidP="003D672F">
      <w:pPr>
        <w:spacing w:after="0" w:line="240" w:lineRule="auto"/>
        <w:rPr>
          <w:rFonts w:ascii="Arial" w:hAnsi="Arial"/>
          <w:bCs/>
          <w:color w:val="000000" w:themeColor="text1"/>
          <w:szCs w:val="20"/>
        </w:rPr>
      </w:pPr>
      <w:r w:rsidRPr="00E476C4">
        <w:rPr>
          <w:rFonts w:ascii="Arial" w:hAnsi="Arial"/>
          <w:b/>
          <w:color w:val="000000" w:themeColor="text1"/>
          <w:szCs w:val="20"/>
        </w:rPr>
        <w:lastRenderedPageBreak/>
        <w:t>Tables E.3a, E.3b and E.3c</w:t>
      </w:r>
      <w:r w:rsidRPr="00E476C4">
        <w:rPr>
          <w:rFonts w:ascii="Arial" w:hAnsi="Arial"/>
          <w:bCs/>
          <w:color w:val="000000" w:themeColor="text1"/>
          <w:szCs w:val="20"/>
        </w:rPr>
        <w:t xml:space="preserve"> show the material hard</w:t>
      </w:r>
      <w:r>
        <w:rPr>
          <w:rFonts w:ascii="Arial" w:hAnsi="Arial"/>
          <w:bCs/>
          <w:color w:val="000000" w:themeColor="text1"/>
          <w:szCs w:val="20"/>
        </w:rPr>
        <w:t>s</w:t>
      </w:r>
      <w:r w:rsidRPr="00E476C4">
        <w:rPr>
          <w:rFonts w:ascii="Arial" w:hAnsi="Arial"/>
          <w:bCs/>
          <w:color w:val="000000" w:themeColor="text1"/>
          <w:szCs w:val="20"/>
        </w:rPr>
        <w:t>hip rates and composition for children in households at different depths of material hardship, by selected household contexts, disability status and ethnicity</w:t>
      </w:r>
    </w:p>
    <w:p w14:paraId="0B8B2C08" w14:textId="77777777" w:rsidR="003D672F" w:rsidRDefault="003D672F" w:rsidP="003D672F">
      <w:pPr>
        <w:spacing w:after="0" w:line="240" w:lineRule="auto"/>
        <w:rPr>
          <w:rFonts w:ascii="Arial" w:eastAsia="Times New Roman" w:hAnsi="Arial"/>
          <w:bCs/>
          <w:color w:val="000000" w:themeColor="text1"/>
          <w:szCs w:val="20"/>
        </w:rPr>
      </w:pPr>
    </w:p>
    <w:p w14:paraId="2DBE5CB7" w14:textId="0F16AD37" w:rsidR="004152C4" w:rsidRDefault="006552D0" w:rsidP="003D672F">
      <w:pPr>
        <w:spacing w:line="240" w:lineRule="auto"/>
        <w:rPr>
          <w:rFonts w:ascii="Arial Mäori" w:hAnsi="Arial Mäori"/>
          <w:bCs/>
          <w:color w:val="000000" w:themeColor="text1"/>
          <w:szCs w:val="20"/>
        </w:rPr>
      </w:pPr>
      <w:r w:rsidRPr="006552D0">
        <w:rPr>
          <w:rFonts w:ascii="Arial" w:eastAsia="Times New Roman" w:hAnsi="Arial"/>
          <w:bCs/>
          <w:color w:val="000000" w:themeColor="text1"/>
          <w:szCs w:val="20"/>
        </w:rPr>
        <w:t>The HILS 2024-25 dataset supports most but not all of the sub-group analysis that the HES datasets</w:t>
      </w:r>
      <w:r>
        <w:rPr>
          <w:rFonts w:ascii="Arial" w:eastAsia="Times New Roman" w:hAnsi="Arial"/>
          <w:bCs/>
          <w:color w:val="000000" w:themeColor="text1"/>
          <w:szCs w:val="20"/>
        </w:rPr>
        <w:t xml:space="preserve"> support. </w:t>
      </w:r>
      <w:r w:rsidRPr="006552D0">
        <w:rPr>
          <w:rFonts w:ascii="Arial" w:eastAsia="Times New Roman" w:hAnsi="Arial"/>
          <w:b/>
          <w:color w:val="000000" w:themeColor="text1"/>
          <w:szCs w:val="20"/>
        </w:rPr>
        <w:t>Table</w:t>
      </w:r>
      <w:r w:rsidR="00DF304A">
        <w:rPr>
          <w:rFonts w:ascii="Arial" w:eastAsia="Times New Roman" w:hAnsi="Arial"/>
          <w:b/>
          <w:color w:val="000000" w:themeColor="text1"/>
          <w:szCs w:val="20"/>
        </w:rPr>
        <w:t>s</w:t>
      </w:r>
      <w:r w:rsidRPr="006552D0">
        <w:rPr>
          <w:rFonts w:ascii="Arial" w:eastAsia="Times New Roman" w:hAnsi="Arial"/>
          <w:b/>
          <w:color w:val="000000" w:themeColor="text1"/>
          <w:szCs w:val="20"/>
        </w:rPr>
        <w:t xml:space="preserve"> E.3a</w:t>
      </w:r>
      <w:r w:rsidR="00DF304A">
        <w:rPr>
          <w:rFonts w:ascii="Arial" w:eastAsia="Times New Roman" w:hAnsi="Arial"/>
          <w:b/>
          <w:color w:val="000000" w:themeColor="text1"/>
          <w:szCs w:val="20"/>
        </w:rPr>
        <w:t xml:space="preserve"> </w:t>
      </w:r>
      <w:r w:rsidR="00DF304A">
        <w:rPr>
          <w:rFonts w:ascii="Arial" w:eastAsia="Times New Roman" w:hAnsi="Arial"/>
          <w:bCs/>
          <w:color w:val="000000" w:themeColor="text1"/>
          <w:szCs w:val="20"/>
        </w:rPr>
        <w:t xml:space="preserve">and </w:t>
      </w:r>
      <w:r w:rsidR="00DF304A" w:rsidRPr="00DF304A">
        <w:rPr>
          <w:rFonts w:ascii="Arial" w:eastAsia="Times New Roman" w:hAnsi="Arial"/>
          <w:b/>
          <w:color w:val="000000" w:themeColor="text1"/>
          <w:szCs w:val="20"/>
        </w:rPr>
        <w:t>E.3</w:t>
      </w:r>
      <w:r w:rsidR="00DF304A">
        <w:rPr>
          <w:rFonts w:ascii="Arial" w:eastAsia="Times New Roman" w:hAnsi="Arial"/>
          <w:b/>
          <w:color w:val="000000" w:themeColor="text1"/>
          <w:szCs w:val="20"/>
        </w:rPr>
        <w:t>b</w:t>
      </w:r>
      <w:r w:rsidR="00DF304A">
        <w:rPr>
          <w:rFonts w:ascii="Arial" w:eastAsia="Times New Roman" w:hAnsi="Arial"/>
          <w:bCs/>
          <w:color w:val="000000" w:themeColor="text1"/>
          <w:szCs w:val="20"/>
        </w:rPr>
        <w:t xml:space="preserve"> </w:t>
      </w:r>
      <w:r>
        <w:rPr>
          <w:rFonts w:ascii="Arial" w:eastAsia="Times New Roman" w:hAnsi="Arial"/>
          <w:bCs/>
          <w:color w:val="000000" w:themeColor="text1"/>
          <w:szCs w:val="20"/>
        </w:rPr>
        <w:t xml:space="preserve">report the analysis for HILS 2024-25 using the MH-18 measure. </w:t>
      </w:r>
      <w:r w:rsidRPr="006552D0">
        <w:rPr>
          <w:rFonts w:ascii="Arial" w:eastAsia="Times New Roman" w:hAnsi="Arial"/>
          <w:b/>
          <w:color w:val="000000" w:themeColor="text1"/>
          <w:szCs w:val="20"/>
        </w:rPr>
        <w:t>Table E.3</w:t>
      </w:r>
      <w:r w:rsidR="00DF304A">
        <w:rPr>
          <w:rFonts w:ascii="Arial" w:eastAsia="Times New Roman" w:hAnsi="Arial"/>
          <w:b/>
          <w:color w:val="000000" w:themeColor="text1"/>
          <w:szCs w:val="20"/>
        </w:rPr>
        <w:t>c</w:t>
      </w:r>
      <w:r>
        <w:rPr>
          <w:rFonts w:ascii="Arial" w:eastAsia="Times New Roman" w:hAnsi="Arial"/>
          <w:bCs/>
          <w:color w:val="000000" w:themeColor="text1"/>
          <w:szCs w:val="20"/>
        </w:rPr>
        <w:t xml:space="preserve"> </w:t>
      </w:r>
      <w:r w:rsidRPr="006552D0">
        <w:rPr>
          <w:rFonts w:ascii="Arial" w:eastAsia="Times New Roman" w:hAnsi="Arial"/>
          <w:bCs/>
          <w:color w:val="000000" w:themeColor="text1"/>
          <w:szCs w:val="20"/>
        </w:rPr>
        <w:t xml:space="preserve">uses the HES 2023-24 dataset to report by </w:t>
      </w:r>
      <w:r w:rsidRPr="006552D0">
        <w:rPr>
          <w:rFonts w:ascii="Arial Mäori" w:hAnsi="Arial Mäori"/>
          <w:szCs w:val="20"/>
        </w:rPr>
        <w:t>work intensity, labour market status and highest educational qualification in the household</w:t>
      </w:r>
      <w:r>
        <w:rPr>
          <w:rFonts w:ascii="Arial Mäori" w:hAnsi="Arial Mäori"/>
          <w:szCs w:val="20"/>
        </w:rPr>
        <w:t xml:space="preserve"> – </w:t>
      </w:r>
      <w:r w:rsidR="00DF304A">
        <w:rPr>
          <w:rFonts w:ascii="Arial Mäori" w:hAnsi="Arial Mäori"/>
          <w:szCs w:val="20"/>
        </w:rPr>
        <w:t>these breakdowns</w:t>
      </w:r>
      <w:r>
        <w:rPr>
          <w:rFonts w:ascii="Arial Mäori" w:hAnsi="Arial Mäori"/>
          <w:szCs w:val="20"/>
        </w:rPr>
        <w:t xml:space="preserve"> are not available from the HILS 2024-25 dataset.</w:t>
      </w:r>
    </w:p>
    <w:p w14:paraId="2E103801" w14:textId="77777777" w:rsidR="00E476C4" w:rsidRDefault="00E476C4" w:rsidP="006552D0">
      <w:pPr>
        <w:spacing w:after="0" w:line="240" w:lineRule="auto"/>
        <w:ind w:right="-44"/>
        <w:rPr>
          <w:rFonts w:ascii="Arial Mäori" w:hAnsi="Arial Mäori"/>
          <w:bCs/>
          <w:color w:val="000000" w:themeColor="text1"/>
          <w:szCs w:val="20"/>
        </w:rPr>
      </w:pPr>
    </w:p>
    <w:p w14:paraId="4782E457" w14:textId="77777777" w:rsidR="00E476C4" w:rsidRPr="006552D0" w:rsidRDefault="00E476C4" w:rsidP="006552D0">
      <w:pPr>
        <w:spacing w:after="0" w:line="240" w:lineRule="auto"/>
        <w:ind w:right="-44"/>
        <w:rPr>
          <w:rFonts w:ascii="Arial Mäori" w:hAnsi="Arial Mäori"/>
          <w:bCs/>
          <w:color w:val="000000" w:themeColor="text1"/>
          <w:szCs w:val="20"/>
        </w:rPr>
      </w:pPr>
    </w:p>
    <w:p w14:paraId="59DD2407" w14:textId="037AA7D0" w:rsidR="005B4109" w:rsidRPr="005B4109" w:rsidRDefault="005B4109" w:rsidP="005B4109">
      <w:pPr>
        <w:spacing w:after="0" w:line="240" w:lineRule="auto"/>
        <w:ind w:right="-44"/>
        <w:jc w:val="center"/>
        <w:rPr>
          <w:rFonts w:ascii="Arial" w:eastAsia="Times New Roman" w:hAnsi="Arial"/>
          <w:bCs/>
          <w:color w:val="FF0000"/>
          <w:sz w:val="18"/>
          <w:szCs w:val="18"/>
        </w:rPr>
      </w:pPr>
      <w:r w:rsidRPr="00C2206C">
        <w:rPr>
          <w:rFonts w:ascii="Arial" w:eastAsia="Times New Roman" w:hAnsi="Arial"/>
          <w:b/>
          <w:color w:val="000000"/>
          <w:sz w:val="18"/>
          <w:szCs w:val="18"/>
        </w:rPr>
        <w:t xml:space="preserve">Table </w:t>
      </w:r>
      <w:r>
        <w:rPr>
          <w:rFonts w:ascii="Arial" w:eastAsia="Times New Roman" w:hAnsi="Arial"/>
          <w:b/>
          <w:color w:val="000000"/>
          <w:sz w:val="18"/>
          <w:szCs w:val="18"/>
        </w:rPr>
        <w:t>E.3</w:t>
      </w:r>
      <w:r w:rsidR="00DF304A">
        <w:rPr>
          <w:rFonts w:ascii="Arial" w:eastAsia="Times New Roman" w:hAnsi="Arial"/>
          <w:b/>
          <w:color w:val="000000"/>
          <w:sz w:val="18"/>
          <w:szCs w:val="18"/>
        </w:rPr>
        <w:t>a</w:t>
      </w:r>
    </w:p>
    <w:p w14:paraId="66EA7A56" w14:textId="093BAB2D" w:rsidR="003D672F" w:rsidRPr="00C2206C" w:rsidRDefault="000B31C0" w:rsidP="003D672F">
      <w:pPr>
        <w:spacing w:after="0" w:line="240" w:lineRule="auto"/>
        <w:ind w:right="-44"/>
        <w:jc w:val="center"/>
        <w:rPr>
          <w:rFonts w:ascii="Arial" w:eastAsia="Times New Roman" w:hAnsi="Arial" w:cs="Times New Roman"/>
          <w:b/>
          <w:bCs/>
          <w:color w:val="000000"/>
          <w:sz w:val="18"/>
          <w:szCs w:val="18"/>
          <w:lang w:eastAsia="en-NZ"/>
        </w:rPr>
      </w:pPr>
      <w:r>
        <w:rPr>
          <w:rFonts w:ascii="Arial" w:eastAsia="Times New Roman" w:hAnsi="Arial" w:cs="Times New Roman"/>
          <w:b/>
          <w:bCs/>
          <w:color w:val="000000"/>
          <w:sz w:val="18"/>
          <w:szCs w:val="18"/>
          <w:lang w:eastAsia="en-NZ"/>
        </w:rPr>
        <w:t>MH</w:t>
      </w:r>
      <w:r w:rsidR="003D672F" w:rsidRPr="00C2206C">
        <w:rPr>
          <w:rFonts w:ascii="Arial" w:eastAsia="Times New Roman" w:hAnsi="Arial" w:cs="Times New Roman"/>
          <w:b/>
          <w:bCs/>
          <w:color w:val="000000"/>
          <w:sz w:val="18"/>
          <w:szCs w:val="18"/>
          <w:lang w:eastAsia="en-NZ"/>
        </w:rPr>
        <w:t xml:space="preserve"> rates and composition for selected population groups (</w:t>
      </w:r>
      <w:r w:rsidR="003D672F">
        <w:rPr>
          <w:rFonts w:ascii="Arial" w:eastAsia="Times New Roman" w:hAnsi="Arial" w:cs="Times New Roman"/>
          <w:b/>
          <w:bCs/>
          <w:color w:val="000000"/>
          <w:sz w:val="18"/>
          <w:szCs w:val="18"/>
          <w:lang w:eastAsia="en-NZ"/>
        </w:rPr>
        <w:t>MH-18</w:t>
      </w:r>
      <w:r w:rsidR="003D672F" w:rsidRPr="00C2206C">
        <w:rPr>
          <w:rFonts w:ascii="Arial" w:eastAsia="Times New Roman" w:hAnsi="Arial" w:cs="Times New Roman"/>
          <w:b/>
          <w:bCs/>
          <w:color w:val="000000"/>
          <w:sz w:val="18"/>
          <w:szCs w:val="18"/>
          <w:lang w:eastAsia="en-NZ"/>
        </w:rPr>
        <w:t xml:space="preserve"> index, 5 thresholds),</w:t>
      </w:r>
    </w:p>
    <w:p w14:paraId="4C6412E7" w14:textId="414AA86E" w:rsidR="003D672F" w:rsidRDefault="003D672F" w:rsidP="003D672F">
      <w:pPr>
        <w:spacing w:after="0" w:line="240" w:lineRule="auto"/>
        <w:jc w:val="center"/>
        <w:rPr>
          <w:rFonts w:ascii="Arial" w:eastAsia="Times New Roman" w:hAnsi="Arial" w:cs="Times New Roman"/>
          <w:b/>
          <w:bCs/>
          <w:color w:val="000000"/>
          <w:sz w:val="18"/>
          <w:szCs w:val="18"/>
          <w:lang w:eastAsia="en-NZ"/>
        </w:rPr>
      </w:pPr>
      <w:r w:rsidRPr="00C2206C">
        <w:rPr>
          <w:rFonts w:ascii="Arial" w:eastAsia="Times New Roman" w:hAnsi="Arial" w:cs="Times New Roman"/>
          <w:b/>
          <w:bCs/>
          <w:color w:val="000000"/>
          <w:sz w:val="18"/>
          <w:szCs w:val="18"/>
          <w:lang w:eastAsia="en-NZ"/>
        </w:rPr>
        <w:t>Children (aged 0-17 years), H</w:t>
      </w:r>
      <w:r>
        <w:rPr>
          <w:rFonts w:ascii="Arial" w:eastAsia="Times New Roman" w:hAnsi="Arial" w:cs="Times New Roman"/>
          <w:b/>
          <w:bCs/>
          <w:color w:val="000000"/>
          <w:sz w:val="18"/>
          <w:szCs w:val="18"/>
          <w:lang w:eastAsia="en-NZ"/>
        </w:rPr>
        <w:t>IL</w:t>
      </w:r>
      <w:r w:rsidRPr="00C2206C">
        <w:rPr>
          <w:rFonts w:ascii="Arial" w:eastAsia="Times New Roman" w:hAnsi="Arial" w:cs="Times New Roman"/>
          <w:b/>
          <w:bCs/>
          <w:color w:val="000000"/>
          <w:sz w:val="18"/>
          <w:szCs w:val="18"/>
          <w:lang w:eastAsia="en-NZ"/>
        </w:rPr>
        <w:t>S 20</w:t>
      </w:r>
      <w:r>
        <w:rPr>
          <w:rFonts w:ascii="Arial" w:eastAsia="Times New Roman" w:hAnsi="Arial" w:cs="Times New Roman"/>
          <w:b/>
          <w:bCs/>
          <w:color w:val="000000"/>
          <w:sz w:val="18"/>
          <w:szCs w:val="18"/>
          <w:lang w:eastAsia="en-NZ"/>
        </w:rPr>
        <w:t>24-25</w:t>
      </w:r>
    </w:p>
    <w:p w14:paraId="363603B5" w14:textId="77777777" w:rsidR="003D672F" w:rsidRDefault="003D672F" w:rsidP="003D672F">
      <w:pPr>
        <w:spacing w:after="0" w:line="240" w:lineRule="auto"/>
        <w:jc w:val="center"/>
        <w:rPr>
          <w:rFonts w:ascii="Arial" w:hAnsi="Arial"/>
          <w:b/>
          <w:sz w:val="16"/>
          <w:szCs w:val="16"/>
        </w:rPr>
      </w:pPr>
      <w:r w:rsidRPr="00C2206C">
        <w:rPr>
          <w:rFonts w:ascii="Arial" w:eastAsia="Times New Roman" w:hAnsi="Arial" w:cs="Times New Roman"/>
          <w:b/>
          <w:bCs/>
          <w:color w:val="000000"/>
          <w:sz w:val="18"/>
          <w:szCs w:val="18"/>
          <w:lang w:eastAsia="en-NZ"/>
        </w:rPr>
        <w:t xml:space="preserve">  </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472"/>
        <w:gridCol w:w="471"/>
        <w:gridCol w:w="471"/>
        <w:gridCol w:w="472"/>
        <w:gridCol w:w="472"/>
        <w:gridCol w:w="475"/>
        <w:gridCol w:w="475"/>
        <w:gridCol w:w="475"/>
        <w:gridCol w:w="475"/>
        <w:gridCol w:w="475"/>
        <w:gridCol w:w="606"/>
        <w:gridCol w:w="606"/>
      </w:tblGrid>
      <w:tr w:rsidR="003D672F" w:rsidRPr="00C2206C" w14:paraId="12B6ABAD" w14:textId="77777777" w:rsidTr="00913AEA">
        <w:trPr>
          <w:trHeight w:val="300"/>
          <w:jc w:val="center"/>
        </w:trPr>
        <w:tc>
          <w:tcPr>
            <w:tcW w:w="3093" w:type="dxa"/>
            <w:vAlign w:val="center"/>
            <w:hideMark/>
          </w:tcPr>
          <w:p w14:paraId="5138FDC9" w14:textId="77777777" w:rsidR="003D672F" w:rsidRPr="00C2206C" w:rsidRDefault="003D672F" w:rsidP="00913AEA">
            <w:pPr>
              <w:spacing w:after="0" w:line="240" w:lineRule="auto"/>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 H</w:t>
            </w:r>
            <w:r>
              <w:rPr>
                <w:rFonts w:ascii="Arial" w:eastAsia="Times New Roman" w:hAnsi="Arial" w:cs="Times New Roman"/>
                <w:b/>
                <w:bCs/>
                <w:color w:val="000000"/>
                <w:sz w:val="16"/>
                <w:szCs w:val="18"/>
                <w:lang w:eastAsia="en-NZ"/>
              </w:rPr>
              <w:t>IL</w:t>
            </w:r>
            <w:r w:rsidRPr="00C2206C">
              <w:rPr>
                <w:rFonts w:ascii="Arial" w:eastAsia="Times New Roman" w:hAnsi="Arial" w:cs="Times New Roman"/>
                <w:b/>
                <w:bCs/>
                <w:color w:val="000000"/>
                <w:sz w:val="16"/>
                <w:szCs w:val="18"/>
                <w:lang w:eastAsia="en-NZ"/>
              </w:rPr>
              <w:t>S 20</w:t>
            </w:r>
            <w:r>
              <w:rPr>
                <w:rFonts w:ascii="Arial" w:eastAsia="Times New Roman" w:hAnsi="Arial" w:cs="Times New Roman"/>
                <w:b/>
                <w:bCs/>
                <w:color w:val="000000"/>
                <w:sz w:val="16"/>
                <w:szCs w:val="18"/>
                <w:lang w:eastAsia="en-NZ"/>
              </w:rPr>
              <w:t>24-25</w:t>
            </w:r>
          </w:p>
        </w:tc>
        <w:tc>
          <w:tcPr>
            <w:tcW w:w="2358" w:type="dxa"/>
            <w:gridSpan w:val="5"/>
            <w:tcBorders>
              <w:right w:val="single" w:sz="8" w:space="0" w:color="auto"/>
            </w:tcBorders>
            <w:vAlign w:val="center"/>
            <w:hideMark/>
          </w:tcPr>
          <w:p w14:paraId="126CE95B" w14:textId="77777777" w:rsidR="003D672F" w:rsidRPr="00C2206C" w:rsidRDefault="003D672F" w:rsidP="00913AEA">
            <w:pPr>
              <w:spacing w:after="0" w:line="240" w:lineRule="auto"/>
              <w:jc w:val="center"/>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Material hardship rates</w:t>
            </w:r>
          </w:p>
        </w:tc>
        <w:tc>
          <w:tcPr>
            <w:tcW w:w="3587" w:type="dxa"/>
            <w:gridSpan w:val="7"/>
            <w:tcBorders>
              <w:left w:val="single" w:sz="8" w:space="0" w:color="auto"/>
            </w:tcBorders>
            <w:vAlign w:val="center"/>
            <w:hideMark/>
          </w:tcPr>
          <w:p w14:paraId="7740F9A8" w14:textId="77777777" w:rsidR="003D672F" w:rsidRPr="00C2206C" w:rsidRDefault="003D672F" w:rsidP="00913AEA">
            <w:pPr>
              <w:spacing w:after="0" w:line="240" w:lineRule="auto"/>
              <w:jc w:val="center"/>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Composition</w:t>
            </w:r>
          </w:p>
        </w:tc>
      </w:tr>
      <w:tr w:rsidR="003D672F" w:rsidRPr="00C2206C" w14:paraId="59483637" w14:textId="77777777" w:rsidTr="00913AEA">
        <w:trPr>
          <w:trHeight w:val="300"/>
          <w:jc w:val="center"/>
        </w:trPr>
        <w:tc>
          <w:tcPr>
            <w:tcW w:w="3093" w:type="dxa"/>
            <w:vAlign w:val="center"/>
            <w:hideMark/>
          </w:tcPr>
          <w:p w14:paraId="04E4D941"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6"/>
                <w:lang w:eastAsia="en-NZ"/>
              </w:rPr>
              <w:t> </w:t>
            </w:r>
          </w:p>
        </w:tc>
        <w:tc>
          <w:tcPr>
            <w:tcW w:w="2358" w:type="dxa"/>
            <w:gridSpan w:val="5"/>
            <w:tcBorders>
              <w:right w:val="single" w:sz="8" w:space="0" w:color="auto"/>
            </w:tcBorders>
            <w:vAlign w:val="center"/>
            <w:hideMark/>
          </w:tcPr>
          <w:p w14:paraId="5A6F3813" w14:textId="77777777" w:rsidR="003D672F" w:rsidRPr="00C2206C" w:rsidRDefault="003D672F" w:rsidP="00913AEA">
            <w:pPr>
              <w:spacing w:after="0" w:line="240" w:lineRule="auto"/>
              <w:jc w:val="center"/>
              <w:rPr>
                <w:rFonts w:ascii="Arial" w:eastAsia="Times New Roman" w:hAnsi="Arial" w:cs="Times New Roman"/>
                <w:color w:val="000000"/>
                <w:sz w:val="16"/>
                <w:szCs w:val="16"/>
                <w:lang w:eastAsia="en-NZ"/>
              </w:rPr>
            </w:pPr>
            <w:r w:rsidRPr="00C2206C">
              <w:rPr>
                <w:rFonts w:ascii="Arial" w:eastAsia="Times New Roman" w:hAnsi="Arial" w:cs="Times New Roman"/>
                <w:color w:val="000000"/>
                <w:sz w:val="16"/>
                <w:szCs w:val="16"/>
                <w:lang w:eastAsia="en-NZ"/>
              </w:rPr>
              <w:t>what % of this group is in hardship, using the different thresholds?</w:t>
            </w:r>
          </w:p>
        </w:tc>
        <w:tc>
          <w:tcPr>
            <w:tcW w:w="2375" w:type="dxa"/>
            <w:gridSpan w:val="5"/>
            <w:tcBorders>
              <w:left w:val="single" w:sz="8" w:space="0" w:color="auto"/>
            </w:tcBorders>
            <w:vAlign w:val="center"/>
            <w:hideMark/>
          </w:tcPr>
          <w:p w14:paraId="77C72A35" w14:textId="77777777" w:rsidR="003D672F" w:rsidRPr="00C2206C" w:rsidRDefault="003D672F" w:rsidP="00913AEA">
            <w:pPr>
              <w:spacing w:after="0" w:line="240" w:lineRule="auto"/>
              <w:jc w:val="center"/>
              <w:rPr>
                <w:rFonts w:ascii="Arial" w:eastAsia="Times New Roman" w:hAnsi="Arial" w:cs="Times New Roman"/>
                <w:color w:val="000000"/>
                <w:sz w:val="16"/>
                <w:szCs w:val="16"/>
                <w:lang w:eastAsia="en-NZ"/>
              </w:rPr>
            </w:pPr>
            <w:r w:rsidRPr="00C2206C">
              <w:rPr>
                <w:rFonts w:ascii="Arial" w:eastAsia="Times New Roman" w:hAnsi="Arial" w:cs="Times New Roman"/>
                <w:color w:val="000000"/>
                <w:sz w:val="16"/>
                <w:szCs w:val="16"/>
                <w:lang w:eastAsia="en-NZ"/>
              </w:rPr>
              <w:t>what % of all those in hardship (using a given threshold) are in this group / cell?</w:t>
            </w:r>
          </w:p>
        </w:tc>
        <w:tc>
          <w:tcPr>
            <w:tcW w:w="606" w:type="dxa"/>
            <w:vAlign w:val="center"/>
            <w:hideMark/>
          </w:tcPr>
          <w:p w14:paraId="2EAB3661"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4"/>
                <w:lang w:eastAsia="en-NZ"/>
              </w:rPr>
              <w:t>000’s</w:t>
            </w:r>
          </w:p>
        </w:tc>
        <w:tc>
          <w:tcPr>
            <w:tcW w:w="606" w:type="dxa"/>
            <w:vAlign w:val="center"/>
          </w:tcPr>
          <w:p w14:paraId="7951FC47" w14:textId="77777777" w:rsidR="003D672F" w:rsidRPr="007E75BE" w:rsidRDefault="003D672F" w:rsidP="00913AEA">
            <w:pPr>
              <w:spacing w:after="0" w:line="240" w:lineRule="auto"/>
              <w:jc w:val="center"/>
              <w:rPr>
                <w:rFonts w:ascii="Arial" w:eastAsia="Times New Roman" w:hAnsi="Arial" w:cs="Times New Roman"/>
                <w:b/>
                <w:bCs/>
                <w:sz w:val="14"/>
                <w:szCs w:val="14"/>
                <w:lang w:eastAsia="en-NZ"/>
              </w:rPr>
            </w:pPr>
            <w:r w:rsidRPr="007E75BE">
              <w:rPr>
                <w:rFonts w:ascii="Arial" w:eastAsia="Times New Roman" w:hAnsi="Arial" w:cs="Times New Roman"/>
                <w:b/>
                <w:bCs/>
                <w:sz w:val="14"/>
                <w:szCs w:val="14"/>
                <w:lang w:eastAsia="en-NZ"/>
              </w:rPr>
              <w:t>%</w:t>
            </w:r>
          </w:p>
        </w:tc>
      </w:tr>
      <w:tr w:rsidR="003D672F" w:rsidRPr="00C2206C" w14:paraId="2C03AE0E" w14:textId="77777777" w:rsidTr="00913AEA">
        <w:trPr>
          <w:trHeight w:val="396"/>
          <w:jc w:val="center"/>
        </w:trPr>
        <w:tc>
          <w:tcPr>
            <w:tcW w:w="3093" w:type="dxa"/>
            <w:vAlign w:val="center"/>
            <w:hideMark/>
          </w:tcPr>
          <w:p w14:paraId="4254B0B9"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6"/>
                <w:lang w:eastAsia="en-NZ"/>
              </w:rPr>
              <w:t>Material hardship threshold as # of items lacked out of 1</w:t>
            </w:r>
            <w:r>
              <w:rPr>
                <w:rFonts w:ascii="Arial" w:eastAsia="Times New Roman" w:hAnsi="Arial" w:cs="Times New Roman"/>
                <w:b/>
                <w:bCs/>
                <w:color w:val="000000"/>
                <w:sz w:val="14"/>
                <w:szCs w:val="16"/>
                <w:lang w:eastAsia="en-NZ"/>
              </w:rPr>
              <w:t>8</w:t>
            </w:r>
          </w:p>
        </w:tc>
        <w:tc>
          <w:tcPr>
            <w:tcW w:w="472" w:type="dxa"/>
            <w:vAlign w:val="center"/>
            <w:hideMark/>
          </w:tcPr>
          <w:p w14:paraId="460C93C1"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6+</w:t>
            </w:r>
          </w:p>
        </w:tc>
        <w:tc>
          <w:tcPr>
            <w:tcW w:w="471" w:type="dxa"/>
            <w:shd w:val="clear" w:color="auto" w:fill="D9D9D9"/>
            <w:vAlign w:val="center"/>
            <w:hideMark/>
          </w:tcPr>
          <w:p w14:paraId="6B8D3830"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7+</w:t>
            </w:r>
          </w:p>
        </w:tc>
        <w:tc>
          <w:tcPr>
            <w:tcW w:w="471" w:type="dxa"/>
            <w:vAlign w:val="center"/>
            <w:hideMark/>
          </w:tcPr>
          <w:p w14:paraId="23B18AEA"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8+</w:t>
            </w:r>
          </w:p>
        </w:tc>
        <w:tc>
          <w:tcPr>
            <w:tcW w:w="472" w:type="dxa"/>
            <w:vAlign w:val="center"/>
            <w:hideMark/>
          </w:tcPr>
          <w:p w14:paraId="6D2B080D"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9+</w:t>
            </w:r>
          </w:p>
        </w:tc>
        <w:tc>
          <w:tcPr>
            <w:tcW w:w="472" w:type="dxa"/>
            <w:tcBorders>
              <w:right w:val="single" w:sz="8" w:space="0" w:color="auto"/>
            </w:tcBorders>
            <w:vAlign w:val="center"/>
            <w:hideMark/>
          </w:tcPr>
          <w:p w14:paraId="26E0BAC8"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10+</w:t>
            </w:r>
          </w:p>
        </w:tc>
        <w:tc>
          <w:tcPr>
            <w:tcW w:w="475" w:type="dxa"/>
            <w:tcBorders>
              <w:left w:val="single" w:sz="8" w:space="0" w:color="auto"/>
            </w:tcBorders>
            <w:vAlign w:val="center"/>
            <w:hideMark/>
          </w:tcPr>
          <w:p w14:paraId="166A5F67"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6+</w:t>
            </w:r>
          </w:p>
        </w:tc>
        <w:tc>
          <w:tcPr>
            <w:tcW w:w="475" w:type="dxa"/>
            <w:shd w:val="clear" w:color="auto" w:fill="D9D9D9"/>
            <w:vAlign w:val="center"/>
            <w:hideMark/>
          </w:tcPr>
          <w:p w14:paraId="09DAB69B"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7+</w:t>
            </w:r>
          </w:p>
        </w:tc>
        <w:tc>
          <w:tcPr>
            <w:tcW w:w="475" w:type="dxa"/>
            <w:vAlign w:val="center"/>
            <w:hideMark/>
          </w:tcPr>
          <w:p w14:paraId="269C1707"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8+</w:t>
            </w:r>
          </w:p>
        </w:tc>
        <w:tc>
          <w:tcPr>
            <w:tcW w:w="475" w:type="dxa"/>
            <w:vAlign w:val="center"/>
            <w:hideMark/>
          </w:tcPr>
          <w:p w14:paraId="4D2C1C4B"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9+</w:t>
            </w:r>
          </w:p>
        </w:tc>
        <w:tc>
          <w:tcPr>
            <w:tcW w:w="475" w:type="dxa"/>
            <w:vAlign w:val="center"/>
            <w:hideMark/>
          </w:tcPr>
          <w:p w14:paraId="30463E4A"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Pr>
                <w:rFonts w:ascii="Arial" w:hAnsi="Arial"/>
                <w:b/>
                <w:bCs/>
                <w:color w:val="000000"/>
                <w:sz w:val="14"/>
                <w:szCs w:val="14"/>
              </w:rPr>
              <w:t>10+</w:t>
            </w:r>
          </w:p>
        </w:tc>
        <w:tc>
          <w:tcPr>
            <w:tcW w:w="606" w:type="dxa"/>
            <w:vAlign w:val="center"/>
            <w:hideMark/>
          </w:tcPr>
          <w:p w14:paraId="11D07CF2" w14:textId="77777777" w:rsidR="003D672F" w:rsidRPr="00C2206C" w:rsidRDefault="003D672F" w:rsidP="00913AEA">
            <w:pPr>
              <w:spacing w:after="0" w:line="240" w:lineRule="auto"/>
              <w:jc w:val="center"/>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4"/>
                <w:lang w:eastAsia="en-NZ"/>
              </w:rPr>
              <w:t>ALL</w:t>
            </w:r>
          </w:p>
        </w:tc>
        <w:tc>
          <w:tcPr>
            <w:tcW w:w="606" w:type="dxa"/>
            <w:vAlign w:val="center"/>
          </w:tcPr>
          <w:p w14:paraId="0655FE26" w14:textId="77777777" w:rsidR="003D672F" w:rsidRPr="007E75BE" w:rsidRDefault="003D672F" w:rsidP="00913AEA">
            <w:pPr>
              <w:spacing w:after="0" w:line="240" w:lineRule="auto"/>
              <w:jc w:val="center"/>
              <w:rPr>
                <w:rFonts w:ascii="Arial" w:eastAsia="Times New Roman" w:hAnsi="Arial" w:cs="Times New Roman"/>
                <w:b/>
                <w:bCs/>
                <w:sz w:val="14"/>
                <w:szCs w:val="14"/>
                <w:lang w:eastAsia="en-NZ"/>
              </w:rPr>
            </w:pPr>
            <w:r w:rsidRPr="007E75BE">
              <w:rPr>
                <w:rFonts w:ascii="Arial" w:eastAsia="Times New Roman" w:hAnsi="Arial" w:cs="Times New Roman"/>
                <w:b/>
                <w:bCs/>
                <w:sz w:val="14"/>
                <w:szCs w:val="14"/>
                <w:lang w:eastAsia="en-NZ"/>
              </w:rPr>
              <w:t>ALL</w:t>
            </w:r>
          </w:p>
        </w:tc>
      </w:tr>
      <w:tr w:rsidR="003D672F" w:rsidRPr="00C2206C" w14:paraId="6D1E0BC4" w14:textId="77777777" w:rsidTr="00913AEA">
        <w:trPr>
          <w:trHeight w:val="227"/>
          <w:jc w:val="center"/>
        </w:trPr>
        <w:tc>
          <w:tcPr>
            <w:tcW w:w="3093" w:type="dxa"/>
            <w:vAlign w:val="center"/>
            <w:hideMark/>
          </w:tcPr>
          <w:p w14:paraId="2439160C"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p>
        </w:tc>
        <w:tc>
          <w:tcPr>
            <w:tcW w:w="472" w:type="dxa"/>
            <w:vAlign w:val="center"/>
            <w:hideMark/>
          </w:tcPr>
          <w:p w14:paraId="3D0F7E5C"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1" w:type="dxa"/>
            <w:shd w:val="clear" w:color="auto" w:fill="D9D9D9"/>
            <w:vAlign w:val="center"/>
            <w:hideMark/>
          </w:tcPr>
          <w:p w14:paraId="166F6B83"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1" w:type="dxa"/>
            <w:vAlign w:val="center"/>
            <w:hideMark/>
          </w:tcPr>
          <w:p w14:paraId="4B7C3D22"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vAlign w:val="center"/>
            <w:hideMark/>
          </w:tcPr>
          <w:p w14:paraId="78421232"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tcBorders>
              <w:right w:val="single" w:sz="8" w:space="0" w:color="auto"/>
            </w:tcBorders>
            <w:vAlign w:val="center"/>
            <w:hideMark/>
          </w:tcPr>
          <w:p w14:paraId="19C107FF"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tcBorders>
              <w:left w:val="single" w:sz="8" w:space="0" w:color="auto"/>
            </w:tcBorders>
            <w:vAlign w:val="center"/>
            <w:hideMark/>
          </w:tcPr>
          <w:p w14:paraId="1D5C709F"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shd w:val="clear" w:color="auto" w:fill="D9D9D9"/>
            <w:vAlign w:val="center"/>
            <w:hideMark/>
          </w:tcPr>
          <w:p w14:paraId="7E5932F7"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3F051834"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417E6113"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285EFC1B"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606" w:type="dxa"/>
            <w:vAlign w:val="center"/>
            <w:hideMark/>
          </w:tcPr>
          <w:p w14:paraId="5EFA685B"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606" w:type="dxa"/>
            <w:vAlign w:val="center"/>
          </w:tcPr>
          <w:p w14:paraId="47824F03" w14:textId="77777777" w:rsidR="003D672F" w:rsidRPr="00C2206C" w:rsidRDefault="003D672F" w:rsidP="00913AEA">
            <w:pPr>
              <w:spacing w:after="0" w:line="240" w:lineRule="auto"/>
              <w:rPr>
                <w:rFonts w:ascii="Arial" w:eastAsia="Times New Roman" w:hAnsi="Arial" w:cs="Times New Roman"/>
                <w:color w:val="000000"/>
                <w:sz w:val="14"/>
                <w:szCs w:val="14"/>
                <w:lang w:eastAsia="en-NZ"/>
              </w:rPr>
            </w:pPr>
          </w:p>
        </w:tc>
      </w:tr>
      <w:tr w:rsidR="003D672F" w:rsidRPr="00C2206C" w14:paraId="31257AB7" w14:textId="77777777" w:rsidTr="00913AEA">
        <w:trPr>
          <w:trHeight w:hRule="exact" w:val="227"/>
          <w:jc w:val="center"/>
        </w:trPr>
        <w:tc>
          <w:tcPr>
            <w:tcW w:w="3093" w:type="dxa"/>
            <w:vAlign w:val="center"/>
            <w:hideMark/>
          </w:tcPr>
          <w:p w14:paraId="34B64AB3"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All children (0-17 yrs)</w:t>
            </w:r>
          </w:p>
        </w:tc>
        <w:tc>
          <w:tcPr>
            <w:tcW w:w="472" w:type="dxa"/>
            <w:vAlign w:val="center"/>
            <w:hideMark/>
          </w:tcPr>
          <w:p w14:paraId="505C8F77"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1" w:type="dxa"/>
            <w:shd w:val="clear" w:color="auto" w:fill="D9D9D9"/>
            <w:vAlign w:val="center"/>
            <w:hideMark/>
          </w:tcPr>
          <w:p w14:paraId="09F8AB4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1" w:type="dxa"/>
            <w:vAlign w:val="center"/>
            <w:hideMark/>
          </w:tcPr>
          <w:p w14:paraId="23CFEE4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w:t>
            </w:r>
          </w:p>
        </w:tc>
        <w:tc>
          <w:tcPr>
            <w:tcW w:w="472" w:type="dxa"/>
            <w:vAlign w:val="center"/>
            <w:hideMark/>
          </w:tcPr>
          <w:p w14:paraId="7AF5F78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2" w:type="dxa"/>
            <w:tcBorders>
              <w:right w:val="single" w:sz="8" w:space="0" w:color="auto"/>
            </w:tcBorders>
            <w:vAlign w:val="center"/>
            <w:hideMark/>
          </w:tcPr>
          <w:p w14:paraId="4926FEE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5" w:type="dxa"/>
            <w:tcBorders>
              <w:left w:val="single" w:sz="8" w:space="0" w:color="auto"/>
            </w:tcBorders>
            <w:vAlign w:val="center"/>
            <w:hideMark/>
          </w:tcPr>
          <w:p w14:paraId="780D57D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shd w:val="clear" w:color="auto" w:fill="D9D9D9"/>
            <w:vAlign w:val="center"/>
            <w:hideMark/>
          </w:tcPr>
          <w:p w14:paraId="32F03D0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4562390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64332C5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1A39F60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606" w:type="dxa"/>
            <w:vAlign w:val="center"/>
            <w:hideMark/>
          </w:tcPr>
          <w:p w14:paraId="3CA0494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1,185</w:t>
            </w:r>
          </w:p>
        </w:tc>
        <w:tc>
          <w:tcPr>
            <w:tcW w:w="606" w:type="dxa"/>
            <w:vAlign w:val="center"/>
          </w:tcPr>
          <w:p w14:paraId="6C270CDD"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r>
      <w:tr w:rsidR="003D672F" w:rsidRPr="00C2206C" w14:paraId="0E120629" w14:textId="77777777" w:rsidTr="00913AEA">
        <w:trPr>
          <w:trHeight w:hRule="exact" w:val="227"/>
          <w:jc w:val="center"/>
        </w:trPr>
        <w:tc>
          <w:tcPr>
            <w:tcW w:w="3093" w:type="dxa"/>
            <w:vAlign w:val="center"/>
            <w:hideMark/>
          </w:tcPr>
          <w:p w14:paraId="05E17ED9"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Household type</w:t>
            </w:r>
          </w:p>
        </w:tc>
        <w:tc>
          <w:tcPr>
            <w:tcW w:w="472" w:type="dxa"/>
            <w:vAlign w:val="center"/>
            <w:hideMark/>
          </w:tcPr>
          <w:p w14:paraId="36CBFF6F"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4B130C6E"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34D0C04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476C9E2F"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2CFD54BB"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0DA853BE"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0DA15048"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00918CBD"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6AD0D31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683E6461"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3C9DD8F2"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0E98917C" w14:textId="77777777" w:rsidR="003D672F" w:rsidRPr="003A53A4"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3D672F" w:rsidRPr="00C2206C" w14:paraId="6DFA7958" w14:textId="77777777" w:rsidTr="00913AEA">
        <w:trPr>
          <w:trHeight w:hRule="exact" w:val="227"/>
          <w:jc w:val="center"/>
        </w:trPr>
        <w:tc>
          <w:tcPr>
            <w:tcW w:w="3093" w:type="dxa"/>
            <w:vAlign w:val="center"/>
            <w:hideMark/>
          </w:tcPr>
          <w:p w14:paraId="64830AA4"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2P HH with any dependent children</w:t>
            </w:r>
          </w:p>
        </w:tc>
        <w:tc>
          <w:tcPr>
            <w:tcW w:w="472" w:type="dxa"/>
            <w:vAlign w:val="center"/>
            <w:hideMark/>
          </w:tcPr>
          <w:p w14:paraId="123C14D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w:t>
            </w:r>
          </w:p>
        </w:tc>
        <w:tc>
          <w:tcPr>
            <w:tcW w:w="471" w:type="dxa"/>
            <w:shd w:val="clear" w:color="auto" w:fill="D9D9D9"/>
            <w:vAlign w:val="center"/>
            <w:hideMark/>
          </w:tcPr>
          <w:p w14:paraId="25F7443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1" w:type="dxa"/>
            <w:vAlign w:val="center"/>
            <w:hideMark/>
          </w:tcPr>
          <w:p w14:paraId="1A016F0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2" w:type="dxa"/>
            <w:vAlign w:val="center"/>
            <w:hideMark/>
          </w:tcPr>
          <w:p w14:paraId="440CAF4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2" w:type="dxa"/>
            <w:tcBorders>
              <w:right w:val="single" w:sz="8" w:space="0" w:color="auto"/>
            </w:tcBorders>
            <w:vAlign w:val="center"/>
            <w:hideMark/>
          </w:tcPr>
          <w:p w14:paraId="35AD849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tcBorders>
              <w:left w:val="single" w:sz="8" w:space="0" w:color="auto"/>
            </w:tcBorders>
            <w:vAlign w:val="center"/>
            <w:hideMark/>
          </w:tcPr>
          <w:p w14:paraId="5CC5A05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42</w:t>
            </w:r>
          </w:p>
        </w:tc>
        <w:tc>
          <w:tcPr>
            <w:tcW w:w="475" w:type="dxa"/>
            <w:shd w:val="clear" w:color="auto" w:fill="D9D9D9"/>
            <w:vAlign w:val="center"/>
            <w:hideMark/>
          </w:tcPr>
          <w:p w14:paraId="24A484D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40</w:t>
            </w:r>
          </w:p>
        </w:tc>
        <w:tc>
          <w:tcPr>
            <w:tcW w:w="475" w:type="dxa"/>
            <w:vAlign w:val="center"/>
            <w:hideMark/>
          </w:tcPr>
          <w:p w14:paraId="568818A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36</w:t>
            </w:r>
          </w:p>
        </w:tc>
        <w:tc>
          <w:tcPr>
            <w:tcW w:w="475" w:type="dxa"/>
            <w:vAlign w:val="center"/>
            <w:hideMark/>
          </w:tcPr>
          <w:p w14:paraId="3E26602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475" w:type="dxa"/>
            <w:vAlign w:val="center"/>
            <w:hideMark/>
          </w:tcPr>
          <w:p w14:paraId="6143E62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606" w:type="dxa"/>
            <w:vAlign w:val="center"/>
            <w:hideMark/>
          </w:tcPr>
          <w:p w14:paraId="04E1372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805</w:t>
            </w:r>
          </w:p>
        </w:tc>
        <w:tc>
          <w:tcPr>
            <w:tcW w:w="606" w:type="dxa"/>
            <w:vAlign w:val="center"/>
          </w:tcPr>
          <w:p w14:paraId="4F0E2DA9"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68</w:t>
            </w:r>
          </w:p>
        </w:tc>
      </w:tr>
      <w:tr w:rsidR="003D672F" w:rsidRPr="00C2206C" w14:paraId="524D8276" w14:textId="77777777" w:rsidTr="00913AEA">
        <w:trPr>
          <w:trHeight w:hRule="exact" w:val="227"/>
          <w:jc w:val="center"/>
        </w:trPr>
        <w:tc>
          <w:tcPr>
            <w:tcW w:w="3093" w:type="dxa"/>
            <w:vAlign w:val="center"/>
            <w:hideMark/>
          </w:tcPr>
          <w:p w14:paraId="3D0E13B7"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 xml:space="preserve">SP HH with any dependent children </w:t>
            </w:r>
          </w:p>
        </w:tc>
        <w:tc>
          <w:tcPr>
            <w:tcW w:w="472" w:type="dxa"/>
            <w:vAlign w:val="center"/>
            <w:hideMark/>
          </w:tcPr>
          <w:p w14:paraId="601718F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43</w:t>
            </w:r>
          </w:p>
        </w:tc>
        <w:tc>
          <w:tcPr>
            <w:tcW w:w="471" w:type="dxa"/>
            <w:shd w:val="clear" w:color="auto" w:fill="D9D9D9"/>
            <w:vAlign w:val="center"/>
            <w:hideMark/>
          </w:tcPr>
          <w:p w14:paraId="712497A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36</w:t>
            </w:r>
          </w:p>
        </w:tc>
        <w:tc>
          <w:tcPr>
            <w:tcW w:w="471" w:type="dxa"/>
            <w:vAlign w:val="center"/>
            <w:hideMark/>
          </w:tcPr>
          <w:p w14:paraId="23DA2A0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31</w:t>
            </w:r>
          </w:p>
        </w:tc>
        <w:tc>
          <w:tcPr>
            <w:tcW w:w="472" w:type="dxa"/>
            <w:vAlign w:val="center"/>
            <w:hideMark/>
          </w:tcPr>
          <w:p w14:paraId="0389F72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c>
          <w:tcPr>
            <w:tcW w:w="472" w:type="dxa"/>
            <w:tcBorders>
              <w:right w:val="single" w:sz="8" w:space="0" w:color="auto"/>
            </w:tcBorders>
            <w:vAlign w:val="center"/>
            <w:hideMark/>
          </w:tcPr>
          <w:p w14:paraId="5EDA582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tcBorders>
              <w:left w:val="single" w:sz="8" w:space="0" w:color="auto"/>
            </w:tcBorders>
            <w:vAlign w:val="center"/>
            <w:hideMark/>
          </w:tcPr>
          <w:p w14:paraId="7974754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42</w:t>
            </w:r>
          </w:p>
        </w:tc>
        <w:tc>
          <w:tcPr>
            <w:tcW w:w="475" w:type="dxa"/>
            <w:shd w:val="clear" w:color="auto" w:fill="D9D9D9"/>
            <w:vAlign w:val="center"/>
            <w:hideMark/>
          </w:tcPr>
          <w:p w14:paraId="03C33B7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45</w:t>
            </w:r>
          </w:p>
        </w:tc>
        <w:tc>
          <w:tcPr>
            <w:tcW w:w="475" w:type="dxa"/>
            <w:vAlign w:val="center"/>
            <w:hideMark/>
          </w:tcPr>
          <w:p w14:paraId="73CC4F9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48</w:t>
            </w:r>
          </w:p>
        </w:tc>
        <w:tc>
          <w:tcPr>
            <w:tcW w:w="475" w:type="dxa"/>
            <w:vAlign w:val="center"/>
            <w:hideMark/>
          </w:tcPr>
          <w:p w14:paraId="00154EA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50</w:t>
            </w:r>
          </w:p>
        </w:tc>
        <w:tc>
          <w:tcPr>
            <w:tcW w:w="475" w:type="dxa"/>
            <w:vAlign w:val="center"/>
            <w:hideMark/>
          </w:tcPr>
          <w:p w14:paraId="4C76787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52</w:t>
            </w:r>
          </w:p>
        </w:tc>
        <w:tc>
          <w:tcPr>
            <w:tcW w:w="606" w:type="dxa"/>
            <w:vAlign w:val="center"/>
            <w:hideMark/>
          </w:tcPr>
          <w:p w14:paraId="77F932D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210</w:t>
            </w:r>
          </w:p>
        </w:tc>
        <w:tc>
          <w:tcPr>
            <w:tcW w:w="606" w:type="dxa"/>
            <w:vAlign w:val="center"/>
          </w:tcPr>
          <w:p w14:paraId="2E2165DC"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r>
      <w:tr w:rsidR="003D672F" w:rsidRPr="00C2206C" w14:paraId="74F576C2" w14:textId="77777777" w:rsidTr="00913AEA">
        <w:trPr>
          <w:trHeight w:hRule="exact" w:val="227"/>
          <w:jc w:val="center"/>
        </w:trPr>
        <w:tc>
          <w:tcPr>
            <w:tcW w:w="3093" w:type="dxa"/>
            <w:vAlign w:val="center"/>
            <w:hideMark/>
          </w:tcPr>
          <w:p w14:paraId="0292C508"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Other fam HHs with any dep ch</w:t>
            </w:r>
          </w:p>
        </w:tc>
        <w:tc>
          <w:tcPr>
            <w:tcW w:w="472" w:type="dxa"/>
            <w:vAlign w:val="center"/>
            <w:hideMark/>
          </w:tcPr>
          <w:p w14:paraId="539D876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20</w:t>
            </w:r>
          </w:p>
        </w:tc>
        <w:tc>
          <w:tcPr>
            <w:tcW w:w="471" w:type="dxa"/>
            <w:shd w:val="clear" w:color="auto" w:fill="D9D9D9"/>
            <w:vAlign w:val="center"/>
            <w:hideMark/>
          </w:tcPr>
          <w:p w14:paraId="5D60E09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w:t>
            </w:r>
          </w:p>
        </w:tc>
        <w:tc>
          <w:tcPr>
            <w:tcW w:w="471" w:type="dxa"/>
            <w:vAlign w:val="center"/>
            <w:hideMark/>
          </w:tcPr>
          <w:p w14:paraId="68953E6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c>
          <w:tcPr>
            <w:tcW w:w="472" w:type="dxa"/>
            <w:vAlign w:val="center"/>
            <w:hideMark/>
          </w:tcPr>
          <w:p w14:paraId="4088A43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2" w:type="dxa"/>
            <w:tcBorders>
              <w:right w:val="single" w:sz="8" w:space="0" w:color="auto"/>
            </w:tcBorders>
            <w:vAlign w:val="center"/>
            <w:hideMark/>
          </w:tcPr>
          <w:p w14:paraId="5510391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5" w:type="dxa"/>
            <w:tcBorders>
              <w:left w:val="single" w:sz="8" w:space="0" w:color="auto"/>
            </w:tcBorders>
            <w:vAlign w:val="center"/>
            <w:hideMark/>
          </w:tcPr>
          <w:p w14:paraId="6A6B8EF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shd w:val="clear" w:color="auto" w:fill="D9D9D9"/>
            <w:vAlign w:val="center"/>
            <w:hideMark/>
          </w:tcPr>
          <w:p w14:paraId="3B583827"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vAlign w:val="center"/>
            <w:hideMark/>
          </w:tcPr>
          <w:p w14:paraId="426F004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vAlign w:val="center"/>
            <w:hideMark/>
          </w:tcPr>
          <w:p w14:paraId="376A113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vAlign w:val="center"/>
            <w:hideMark/>
          </w:tcPr>
          <w:p w14:paraId="7B231CA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w:t>
            </w:r>
          </w:p>
        </w:tc>
        <w:tc>
          <w:tcPr>
            <w:tcW w:w="606" w:type="dxa"/>
            <w:vAlign w:val="center"/>
            <w:hideMark/>
          </w:tcPr>
          <w:p w14:paraId="0D0F434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160</w:t>
            </w:r>
          </w:p>
        </w:tc>
        <w:tc>
          <w:tcPr>
            <w:tcW w:w="606" w:type="dxa"/>
            <w:vAlign w:val="center"/>
          </w:tcPr>
          <w:p w14:paraId="1D94EA83"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r>
      <w:tr w:rsidR="003D672F" w:rsidRPr="00C2206C" w14:paraId="6E6CED1F" w14:textId="77777777" w:rsidTr="00913AEA">
        <w:trPr>
          <w:trHeight w:hRule="exact" w:val="227"/>
          <w:jc w:val="center"/>
        </w:trPr>
        <w:tc>
          <w:tcPr>
            <w:tcW w:w="3093" w:type="dxa"/>
            <w:vAlign w:val="center"/>
            <w:hideMark/>
          </w:tcPr>
          <w:p w14:paraId="07D9E226"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Number of dep children in household</w:t>
            </w:r>
          </w:p>
        </w:tc>
        <w:tc>
          <w:tcPr>
            <w:tcW w:w="472" w:type="dxa"/>
            <w:vAlign w:val="center"/>
            <w:hideMark/>
          </w:tcPr>
          <w:p w14:paraId="4CC56E0C"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4D1B9C9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3752818E"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7340E95E"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1C45B19D"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38BB8E41"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0E4D32A0"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429BE3E4"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71826B68"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335F5CDC"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6C7A22EF"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249B21D0" w14:textId="77777777" w:rsidR="003D672F" w:rsidRPr="003A53A4"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3D672F" w:rsidRPr="00C2206C" w14:paraId="08FFF7E6" w14:textId="77777777" w:rsidTr="00913AEA">
        <w:trPr>
          <w:trHeight w:hRule="exact" w:val="227"/>
          <w:jc w:val="center"/>
        </w:trPr>
        <w:tc>
          <w:tcPr>
            <w:tcW w:w="3093" w:type="dxa"/>
            <w:vAlign w:val="center"/>
            <w:hideMark/>
          </w:tcPr>
          <w:p w14:paraId="63D19FD1"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1</w:t>
            </w:r>
          </w:p>
        </w:tc>
        <w:tc>
          <w:tcPr>
            <w:tcW w:w="472" w:type="dxa"/>
            <w:vAlign w:val="center"/>
            <w:hideMark/>
          </w:tcPr>
          <w:p w14:paraId="7BED01F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1" w:type="dxa"/>
            <w:shd w:val="clear" w:color="auto" w:fill="D9D9D9"/>
            <w:vAlign w:val="center"/>
            <w:hideMark/>
          </w:tcPr>
          <w:p w14:paraId="4E7085C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1" w:type="dxa"/>
            <w:vAlign w:val="center"/>
            <w:hideMark/>
          </w:tcPr>
          <w:p w14:paraId="4DC89CE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2" w:type="dxa"/>
            <w:vAlign w:val="center"/>
            <w:hideMark/>
          </w:tcPr>
          <w:p w14:paraId="2438F91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2" w:type="dxa"/>
            <w:tcBorders>
              <w:right w:val="single" w:sz="8" w:space="0" w:color="auto"/>
            </w:tcBorders>
            <w:vAlign w:val="center"/>
            <w:hideMark/>
          </w:tcPr>
          <w:p w14:paraId="38B84AF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w:t>
            </w:r>
          </w:p>
        </w:tc>
        <w:tc>
          <w:tcPr>
            <w:tcW w:w="475" w:type="dxa"/>
            <w:tcBorders>
              <w:left w:val="single" w:sz="8" w:space="0" w:color="auto"/>
            </w:tcBorders>
            <w:vAlign w:val="center"/>
            <w:hideMark/>
          </w:tcPr>
          <w:p w14:paraId="112078E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w:t>
            </w:r>
          </w:p>
        </w:tc>
        <w:tc>
          <w:tcPr>
            <w:tcW w:w="475" w:type="dxa"/>
            <w:shd w:val="clear" w:color="auto" w:fill="D9D9D9"/>
            <w:vAlign w:val="center"/>
            <w:hideMark/>
          </w:tcPr>
          <w:p w14:paraId="25CB6FA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5" w:type="dxa"/>
            <w:vAlign w:val="center"/>
            <w:hideMark/>
          </w:tcPr>
          <w:p w14:paraId="0887B19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vAlign w:val="center"/>
            <w:hideMark/>
          </w:tcPr>
          <w:p w14:paraId="58B59A3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5" w:type="dxa"/>
            <w:vAlign w:val="center"/>
            <w:hideMark/>
          </w:tcPr>
          <w:p w14:paraId="49EB1DE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w:t>
            </w:r>
          </w:p>
        </w:tc>
        <w:tc>
          <w:tcPr>
            <w:tcW w:w="606" w:type="dxa"/>
            <w:vAlign w:val="center"/>
            <w:hideMark/>
          </w:tcPr>
          <w:p w14:paraId="5BE8126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290</w:t>
            </w:r>
          </w:p>
        </w:tc>
        <w:tc>
          <w:tcPr>
            <w:tcW w:w="606" w:type="dxa"/>
            <w:vAlign w:val="center"/>
          </w:tcPr>
          <w:p w14:paraId="71168BD9"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24</w:t>
            </w:r>
          </w:p>
        </w:tc>
      </w:tr>
      <w:tr w:rsidR="003D672F" w:rsidRPr="00C2206C" w14:paraId="51149236" w14:textId="77777777" w:rsidTr="00913AEA">
        <w:trPr>
          <w:trHeight w:hRule="exact" w:val="227"/>
          <w:jc w:val="center"/>
        </w:trPr>
        <w:tc>
          <w:tcPr>
            <w:tcW w:w="3093" w:type="dxa"/>
            <w:vAlign w:val="center"/>
            <w:hideMark/>
          </w:tcPr>
          <w:p w14:paraId="5ED5F3F7"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2</w:t>
            </w:r>
          </w:p>
        </w:tc>
        <w:tc>
          <w:tcPr>
            <w:tcW w:w="472" w:type="dxa"/>
            <w:vAlign w:val="center"/>
            <w:hideMark/>
          </w:tcPr>
          <w:p w14:paraId="50FD3A8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c>
          <w:tcPr>
            <w:tcW w:w="471" w:type="dxa"/>
            <w:shd w:val="clear" w:color="auto" w:fill="D9D9D9"/>
            <w:vAlign w:val="center"/>
            <w:hideMark/>
          </w:tcPr>
          <w:p w14:paraId="1DBB00D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1" w:type="dxa"/>
            <w:vAlign w:val="center"/>
            <w:hideMark/>
          </w:tcPr>
          <w:p w14:paraId="2A1B3F7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2" w:type="dxa"/>
            <w:vAlign w:val="center"/>
            <w:hideMark/>
          </w:tcPr>
          <w:p w14:paraId="725ECDD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w:t>
            </w:r>
          </w:p>
        </w:tc>
        <w:tc>
          <w:tcPr>
            <w:tcW w:w="472" w:type="dxa"/>
            <w:tcBorders>
              <w:right w:val="single" w:sz="8" w:space="0" w:color="auto"/>
            </w:tcBorders>
            <w:vAlign w:val="center"/>
            <w:hideMark/>
          </w:tcPr>
          <w:p w14:paraId="3A0C670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5" w:type="dxa"/>
            <w:tcBorders>
              <w:left w:val="single" w:sz="8" w:space="0" w:color="auto"/>
            </w:tcBorders>
            <w:vAlign w:val="center"/>
            <w:hideMark/>
          </w:tcPr>
          <w:p w14:paraId="08D89BC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30</w:t>
            </w:r>
          </w:p>
        </w:tc>
        <w:tc>
          <w:tcPr>
            <w:tcW w:w="475" w:type="dxa"/>
            <w:shd w:val="clear" w:color="auto" w:fill="D9D9D9"/>
            <w:vAlign w:val="center"/>
            <w:hideMark/>
          </w:tcPr>
          <w:p w14:paraId="78DC27C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29</w:t>
            </w:r>
          </w:p>
        </w:tc>
        <w:tc>
          <w:tcPr>
            <w:tcW w:w="475" w:type="dxa"/>
            <w:vAlign w:val="center"/>
            <w:hideMark/>
          </w:tcPr>
          <w:p w14:paraId="30EE25D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28</w:t>
            </w:r>
          </w:p>
        </w:tc>
        <w:tc>
          <w:tcPr>
            <w:tcW w:w="475" w:type="dxa"/>
            <w:vAlign w:val="center"/>
            <w:hideMark/>
          </w:tcPr>
          <w:p w14:paraId="3B2EF71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26</w:t>
            </w:r>
          </w:p>
        </w:tc>
        <w:tc>
          <w:tcPr>
            <w:tcW w:w="475" w:type="dxa"/>
            <w:vAlign w:val="center"/>
            <w:hideMark/>
          </w:tcPr>
          <w:p w14:paraId="13C9C72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26</w:t>
            </w:r>
          </w:p>
        </w:tc>
        <w:tc>
          <w:tcPr>
            <w:tcW w:w="606" w:type="dxa"/>
            <w:vAlign w:val="center"/>
            <w:hideMark/>
          </w:tcPr>
          <w:p w14:paraId="3EE9296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515</w:t>
            </w:r>
          </w:p>
        </w:tc>
        <w:tc>
          <w:tcPr>
            <w:tcW w:w="606" w:type="dxa"/>
            <w:vAlign w:val="center"/>
          </w:tcPr>
          <w:p w14:paraId="11E6749E"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44</w:t>
            </w:r>
          </w:p>
        </w:tc>
      </w:tr>
      <w:tr w:rsidR="003D672F" w:rsidRPr="00C2206C" w14:paraId="13B80D67" w14:textId="77777777" w:rsidTr="00913AEA">
        <w:trPr>
          <w:trHeight w:hRule="exact" w:val="227"/>
          <w:jc w:val="center"/>
        </w:trPr>
        <w:tc>
          <w:tcPr>
            <w:tcW w:w="3093" w:type="dxa"/>
            <w:vAlign w:val="center"/>
            <w:hideMark/>
          </w:tcPr>
          <w:p w14:paraId="1D3A0007"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3</w:t>
            </w:r>
          </w:p>
        </w:tc>
        <w:tc>
          <w:tcPr>
            <w:tcW w:w="472" w:type="dxa"/>
            <w:vAlign w:val="center"/>
            <w:hideMark/>
          </w:tcPr>
          <w:p w14:paraId="551FE14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c>
          <w:tcPr>
            <w:tcW w:w="471" w:type="dxa"/>
            <w:shd w:val="clear" w:color="auto" w:fill="D9D9D9"/>
            <w:vAlign w:val="center"/>
            <w:hideMark/>
          </w:tcPr>
          <w:p w14:paraId="4312981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1" w:type="dxa"/>
            <w:vAlign w:val="center"/>
            <w:hideMark/>
          </w:tcPr>
          <w:p w14:paraId="3B60A94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2" w:type="dxa"/>
            <w:vAlign w:val="center"/>
            <w:hideMark/>
          </w:tcPr>
          <w:p w14:paraId="0649FDB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2" w:type="dxa"/>
            <w:tcBorders>
              <w:right w:val="single" w:sz="8" w:space="0" w:color="auto"/>
            </w:tcBorders>
            <w:vAlign w:val="center"/>
            <w:hideMark/>
          </w:tcPr>
          <w:p w14:paraId="5F979D9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5" w:type="dxa"/>
            <w:tcBorders>
              <w:left w:val="single" w:sz="8" w:space="0" w:color="auto"/>
            </w:tcBorders>
            <w:vAlign w:val="center"/>
            <w:hideMark/>
          </w:tcPr>
          <w:p w14:paraId="5686701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25</w:t>
            </w:r>
          </w:p>
        </w:tc>
        <w:tc>
          <w:tcPr>
            <w:tcW w:w="475" w:type="dxa"/>
            <w:shd w:val="clear" w:color="auto" w:fill="D9D9D9"/>
            <w:vAlign w:val="center"/>
            <w:hideMark/>
          </w:tcPr>
          <w:p w14:paraId="7E871D4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25</w:t>
            </w:r>
          </w:p>
        </w:tc>
        <w:tc>
          <w:tcPr>
            <w:tcW w:w="475" w:type="dxa"/>
            <w:vAlign w:val="center"/>
            <w:hideMark/>
          </w:tcPr>
          <w:p w14:paraId="207C62A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24</w:t>
            </w:r>
          </w:p>
        </w:tc>
        <w:tc>
          <w:tcPr>
            <w:tcW w:w="475" w:type="dxa"/>
            <w:vAlign w:val="center"/>
            <w:hideMark/>
          </w:tcPr>
          <w:p w14:paraId="5EE24DC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c>
          <w:tcPr>
            <w:tcW w:w="475" w:type="dxa"/>
            <w:vAlign w:val="center"/>
            <w:hideMark/>
          </w:tcPr>
          <w:p w14:paraId="2ACFB23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25</w:t>
            </w:r>
          </w:p>
        </w:tc>
        <w:tc>
          <w:tcPr>
            <w:tcW w:w="606" w:type="dxa"/>
            <w:vAlign w:val="center"/>
            <w:hideMark/>
          </w:tcPr>
          <w:p w14:paraId="7CF42A9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230</w:t>
            </w:r>
          </w:p>
        </w:tc>
        <w:tc>
          <w:tcPr>
            <w:tcW w:w="606" w:type="dxa"/>
            <w:vAlign w:val="center"/>
          </w:tcPr>
          <w:p w14:paraId="3E13ABF1"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20</w:t>
            </w:r>
          </w:p>
        </w:tc>
      </w:tr>
      <w:tr w:rsidR="003D672F" w:rsidRPr="00C2206C" w14:paraId="0961E314" w14:textId="77777777" w:rsidTr="00913AEA">
        <w:trPr>
          <w:trHeight w:hRule="exact" w:val="227"/>
          <w:jc w:val="center"/>
        </w:trPr>
        <w:tc>
          <w:tcPr>
            <w:tcW w:w="3093" w:type="dxa"/>
            <w:vAlign w:val="center"/>
            <w:hideMark/>
          </w:tcPr>
          <w:p w14:paraId="16E6DB86"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4+</w:t>
            </w:r>
          </w:p>
        </w:tc>
        <w:tc>
          <w:tcPr>
            <w:tcW w:w="472" w:type="dxa"/>
            <w:vAlign w:val="center"/>
            <w:hideMark/>
          </w:tcPr>
          <w:p w14:paraId="3180528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39</w:t>
            </w:r>
          </w:p>
        </w:tc>
        <w:tc>
          <w:tcPr>
            <w:tcW w:w="471" w:type="dxa"/>
            <w:shd w:val="clear" w:color="auto" w:fill="D9D9D9"/>
            <w:vAlign w:val="center"/>
            <w:hideMark/>
          </w:tcPr>
          <w:p w14:paraId="22EA333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33</w:t>
            </w:r>
          </w:p>
        </w:tc>
        <w:tc>
          <w:tcPr>
            <w:tcW w:w="471" w:type="dxa"/>
            <w:vAlign w:val="center"/>
            <w:hideMark/>
          </w:tcPr>
          <w:p w14:paraId="0DBBDE1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29</w:t>
            </w:r>
          </w:p>
        </w:tc>
        <w:tc>
          <w:tcPr>
            <w:tcW w:w="472" w:type="dxa"/>
            <w:vAlign w:val="center"/>
            <w:hideMark/>
          </w:tcPr>
          <w:p w14:paraId="7B42C2C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22</w:t>
            </w:r>
          </w:p>
        </w:tc>
        <w:tc>
          <w:tcPr>
            <w:tcW w:w="472" w:type="dxa"/>
            <w:tcBorders>
              <w:right w:val="single" w:sz="8" w:space="0" w:color="auto"/>
            </w:tcBorders>
            <w:vAlign w:val="center"/>
            <w:hideMark/>
          </w:tcPr>
          <w:p w14:paraId="4B38657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tcBorders>
              <w:left w:val="single" w:sz="8" w:space="0" w:color="auto"/>
            </w:tcBorders>
            <w:vAlign w:val="center"/>
            <w:hideMark/>
          </w:tcPr>
          <w:p w14:paraId="4D99D0E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26</w:t>
            </w:r>
          </w:p>
        </w:tc>
        <w:tc>
          <w:tcPr>
            <w:tcW w:w="475" w:type="dxa"/>
            <w:shd w:val="clear" w:color="auto" w:fill="D9D9D9"/>
            <w:vAlign w:val="center"/>
            <w:hideMark/>
          </w:tcPr>
          <w:p w14:paraId="20F0617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27</w:t>
            </w:r>
          </w:p>
        </w:tc>
        <w:tc>
          <w:tcPr>
            <w:tcW w:w="475" w:type="dxa"/>
            <w:vAlign w:val="center"/>
            <w:hideMark/>
          </w:tcPr>
          <w:p w14:paraId="40D7345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31</w:t>
            </w:r>
          </w:p>
        </w:tc>
        <w:tc>
          <w:tcPr>
            <w:tcW w:w="475" w:type="dxa"/>
            <w:vAlign w:val="center"/>
            <w:hideMark/>
          </w:tcPr>
          <w:p w14:paraId="1AFFFD5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475" w:type="dxa"/>
            <w:vAlign w:val="center"/>
            <w:hideMark/>
          </w:tcPr>
          <w:p w14:paraId="69A5F51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29</w:t>
            </w:r>
          </w:p>
        </w:tc>
        <w:tc>
          <w:tcPr>
            <w:tcW w:w="606" w:type="dxa"/>
            <w:vAlign w:val="center"/>
            <w:hideMark/>
          </w:tcPr>
          <w:p w14:paraId="1EB8B6C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140</w:t>
            </w:r>
          </w:p>
        </w:tc>
        <w:tc>
          <w:tcPr>
            <w:tcW w:w="606" w:type="dxa"/>
            <w:vAlign w:val="center"/>
          </w:tcPr>
          <w:p w14:paraId="2F48729E"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12</w:t>
            </w:r>
          </w:p>
        </w:tc>
      </w:tr>
      <w:tr w:rsidR="003D672F" w:rsidRPr="00C2206C" w14:paraId="2D6E200D" w14:textId="77777777" w:rsidTr="00913AEA">
        <w:trPr>
          <w:trHeight w:hRule="exact" w:val="344"/>
          <w:jc w:val="center"/>
        </w:trPr>
        <w:tc>
          <w:tcPr>
            <w:tcW w:w="3093" w:type="dxa"/>
            <w:vAlign w:val="center"/>
            <w:hideMark/>
          </w:tcPr>
          <w:p w14:paraId="0B513B47"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Source of HH income in the 12 months prior to interview</w:t>
            </w:r>
          </w:p>
        </w:tc>
        <w:tc>
          <w:tcPr>
            <w:tcW w:w="472" w:type="dxa"/>
            <w:vAlign w:val="center"/>
            <w:hideMark/>
          </w:tcPr>
          <w:p w14:paraId="465BD16F"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4B7E6378"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4ABACBC2"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7B27B128"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3CC44A0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51581FF1"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3CCE4C00"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5146619C"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141B6DB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7B4C1F3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3255EA0E"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2500DEC0" w14:textId="77777777" w:rsidR="003D672F" w:rsidRPr="003A53A4"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3D672F" w:rsidRPr="00C2206C" w14:paraId="4D3FFD69" w14:textId="77777777" w:rsidTr="00913AEA">
        <w:trPr>
          <w:trHeight w:hRule="exact" w:val="227"/>
          <w:jc w:val="center"/>
        </w:trPr>
        <w:tc>
          <w:tcPr>
            <w:tcW w:w="3093" w:type="dxa"/>
            <w:vAlign w:val="center"/>
            <w:hideMark/>
          </w:tcPr>
          <w:p w14:paraId="74D06451"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Main source market</w:t>
            </w:r>
          </w:p>
        </w:tc>
        <w:tc>
          <w:tcPr>
            <w:tcW w:w="472" w:type="dxa"/>
            <w:vAlign w:val="center"/>
            <w:hideMark/>
          </w:tcPr>
          <w:p w14:paraId="79A5703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12</w:t>
            </w:r>
          </w:p>
        </w:tc>
        <w:tc>
          <w:tcPr>
            <w:tcW w:w="471" w:type="dxa"/>
            <w:shd w:val="clear" w:color="auto" w:fill="D9D9D9"/>
            <w:vAlign w:val="center"/>
            <w:hideMark/>
          </w:tcPr>
          <w:p w14:paraId="5ACE99F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1" w:type="dxa"/>
            <w:vAlign w:val="center"/>
            <w:hideMark/>
          </w:tcPr>
          <w:p w14:paraId="42F5642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2" w:type="dxa"/>
            <w:vAlign w:val="center"/>
            <w:hideMark/>
          </w:tcPr>
          <w:p w14:paraId="5B11358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2" w:type="dxa"/>
            <w:tcBorders>
              <w:right w:val="single" w:sz="8" w:space="0" w:color="auto"/>
            </w:tcBorders>
            <w:vAlign w:val="center"/>
            <w:hideMark/>
          </w:tcPr>
          <w:p w14:paraId="3E3FE08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w:t>
            </w:r>
          </w:p>
        </w:tc>
        <w:tc>
          <w:tcPr>
            <w:tcW w:w="475" w:type="dxa"/>
            <w:tcBorders>
              <w:left w:val="single" w:sz="8" w:space="0" w:color="auto"/>
            </w:tcBorders>
            <w:vAlign w:val="center"/>
            <w:hideMark/>
          </w:tcPr>
          <w:p w14:paraId="3394618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53</w:t>
            </w:r>
          </w:p>
        </w:tc>
        <w:tc>
          <w:tcPr>
            <w:tcW w:w="475" w:type="dxa"/>
            <w:shd w:val="clear" w:color="auto" w:fill="D9D9D9"/>
            <w:vAlign w:val="center"/>
            <w:hideMark/>
          </w:tcPr>
          <w:p w14:paraId="5E6E0F0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48</w:t>
            </w:r>
          </w:p>
        </w:tc>
        <w:tc>
          <w:tcPr>
            <w:tcW w:w="475" w:type="dxa"/>
            <w:vAlign w:val="center"/>
            <w:hideMark/>
          </w:tcPr>
          <w:p w14:paraId="3F44102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43</w:t>
            </w:r>
          </w:p>
        </w:tc>
        <w:tc>
          <w:tcPr>
            <w:tcW w:w="475" w:type="dxa"/>
            <w:vAlign w:val="center"/>
            <w:hideMark/>
          </w:tcPr>
          <w:p w14:paraId="312BBAD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39</w:t>
            </w:r>
          </w:p>
        </w:tc>
        <w:tc>
          <w:tcPr>
            <w:tcW w:w="475" w:type="dxa"/>
            <w:vAlign w:val="center"/>
            <w:hideMark/>
          </w:tcPr>
          <w:p w14:paraId="75ABF02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33</w:t>
            </w:r>
          </w:p>
        </w:tc>
        <w:tc>
          <w:tcPr>
            <w:tcW w:w="606" w:type="dxa"/>
            <w:vAlign w:val="center"/>
            <w:hideMark/>
          </w:tcPr>
          <w:p w14:paraId="6028A90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995</w:t>
            </w:r>
          </w:p>
        </w:tc>
        <w:tc>
          <w:tcPr>
            <w:tcW w:w="606" w:type="dxa"/>
            <w:vAlign w:val="center"/>
          </w:tcPr>
          <w:p w14:paraId="12EA9AC4" w14:textId="77777777" w:rsidR="003D672F" w:rsidRDefault="003D672F" w:rsidP="00913AEA">
            <w:pPr>
              <w:spacing w:after="0" w:line="240" w:lineRule="auto"/>
              <w:jc w:val="center"/>
              <w:rPr>
                <w:rFonts w:ascii="Arial" w:hAnsi="Arial"/>
                <w:color w:val="000000"/>
                <w:sz w:val="14"/>
                <w:szCs w:val="14"/>
              </w:rPr>
            </w:pPr>
            <w:r>
              <w:rPr>
                <w:rFonts w:ascii="Arial" w:hAnsi="Arial"/>
                <w:color w:val="000000"/>
                <w:sz w:val="14"/>
                <w:szCs w:val="14"/>
              </w:rPr>
              <w:t>84</w:t>
            </w:r>
          </w:p>
        </w:tc>
      </w:tr>
      <w:tr w:rsidR="003D672F" w:rsidRPr="00C2206C" w14:paraId="62AB7038" w14:textId="77777777" w:rsidTr="00913AEA">
        <w:trPr>
          <w:trHeight w:hRule="exact" w:val="227"/>
          <w:jc w:val="center"/>
        </w:trPr>
        <w:tc>
          <w:tcPr>
            <w:tcW w:w="3093" w:type="dxa"/>
            <w:vAlign w:val="center"/>
            <w:hideMark/>
          </w:tcPr>
          <w:p w14:paraId="2AE9856E"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Main source government</w:t>
            </w:r>
          </w:p>
        </w:tc>
        <w:tc>
          <w:tcPr>
            <w:tcW w:w="472" w:type="dxa"/>
            <w:vAlign w:val="center"/>
            <w:hideMark/>
          </w:tcPr>
          <w:p w14:paraId="5BB0901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54</w:t>
            </w:r>
          </w:p>
        </w:tc>
        <w:tc>
          <w:tcPr>
            <w:tcW w:w="471" w:type="dxa"/>
            <w:shd w:val="clear" w:color="auto" w:fill="D9D9D9"/>
            <w:vAlign w:val="center"/>
            <w:hideMark/>
          </w:tcPr>
          <w:p w14:paraId="1F94DF5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47</w:t>
            </w:r>
          </w:p>
        </w:tc>
        <w:tc>
          <w:tcPr>
            <w:tcW w:w="471" w:type="dxa"/>
            <w:vAlign w:val="center"/>
            <w:hideMark/>
          </w:tcPr>
          <w:p w14:paraId="2D4887F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41</w:t>
            </w:r>
          </w:p>
        </w:tc>
        <w:tc>
          <w:tcPr>
            <w:tcW w:w="472" w:type="dxa"/>
            <w:vAlign w:val="center"/>
            <w:hideMark/>
          </w:tcPr>
          <w:p w14:paraId="5294B82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472" w:type="dxa"/>
            <w:tcBorders>
              <w:right w:val="single" w:sz="8" w:space="0" w:color="auto"/>
            </w:tcBorders>
            <w:vAlign w:val="center"/>
            <w:hideMark/>
          </w:tcPr>
          <w:p w14:paraId="2E6A0E4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25</w:t>
            </w:r>
          </w:p>
        </w:tc>
        <w:tc>
          <w:tcPr>
            <w:tcW w:w="475" w:type="dxa"/>
            <w:tcBorders>
              <w:left w:val="single" w:sz="8" w:space="0" w:color="auto"/>
            </w:tcBorders>
            <w:vAlign w:val="center"/>
            <w:hideMark/>
          </w:tcPr>
          <w:p w14:paraId="35B1BC2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47</w:t>
            </w:r>
          </w:p>
        </w:tc>
        <w:tc>
          <w:tcPr>
            <w:tcW w:w="475" w:type="dxa"/>
            <w:shd w:val="clear" w:color="auto" w:fill="D9D9D9"/>
            <w:vAlign w:val="center"/>
            <w:hideMark/>
          </w:tcPr>
          <w:p w14:paraId="7E8B737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52</w:t>
            </w:r>
          </w:p>
        </w:tc>
        <w:tc>
          <w:tcPr>
            <w:tcW w:w="475" w:type="dxa"/>
            <w:vAlign w:val="center"/>
            <w:hideMark/>
          </w:tcPr>
          <w:p w14:paraId="46D9738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57</w:t>
            </w:r>
          </w:p>
        </w:tc>
        <w:tc>
          <w:tcPr>
            <w:tcW w:w="475" w:type="dxa"/>
            <w:vAlign w:val="center"/>
            <w:hideMark/>
          </w:tcPr>
          <w:p w14:paraId="1F31A6A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61</w:t>
            </w:r>
          </w:p>
        </w:tc>
        <w:tc>
          <w:tcPr>
            <w:tcW w:w="475" w:type="dxa"/>
            <w:vAlign w:val="center"/>
            <w:hideMark/>
          </w:tcPr>
          <w:p w14:paraId="4ED45A9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67</w:t>
            </w:r>
          </w:p>
        </w:tc>
        <w:tc>
          <w:tcPr>
            <w:tcW w:w="606" w:type="dxa"/>
            <w:vAlign w:val="center"/>
            <w:hideMark/>
          </w:tcPr>
          <w:p w14:paraId="43A45CF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185</w:t>
            </w:r>
          </w:p>
        </w:tc>
        <w:tc>
          <w:tcPr>
            <w:tcW w:w="606" w:type="dxa"/>
            <w:vAlign w:val="center"/>
          </w:tcPr>
          <w:p w14:paraId="138EA70E" w14:textId="77777777" w:rsidR="003D672F" w:rsidRDefault="003D672F" w:rsidP="00913AEA">
            <w:pPr>
              <w:spacing w:after="0" w:line="240" w:lineRule="auto"/>
              <w:jc w:val="center"/>
              <w:rPr>
                <w:rFonts w:ascii="Arial" w:hAnsi="Arial"/>
                <w:color w:val="000000"/>
                <w:sz w:val="14"/>
                <w:szCs w:val="14"/>
              </w:rPr>
            </w:pPr>
            <w:r>
              <w:rPr>
                <w:rFonts w:ascii="Arial" w:hAnsi="Arial"/>
                <w:color w:val="000000"/>
                <w:sz w:val="14"/>
                <w:szCs w:val="14"/>
              </w:rPr>
              <w:t>16</w:t>
            </w:r>
          </w:p>
        </w:tc>
      </w:tr>
      <w:tr w:rsidR="003D672F" w:rsidRPr="00C2206C" w14:paraId="7DE88B25" w14:textId="77777777" w:rsidTr="00913AEA">
        <w:trPr>
          <w:trHeight w:hRule="exact" w:val="227"/>
          <w:jc w:val="center"/>
        </w:trPr>
        <w:tc>
          <w:tcPr>
            <w:tcW w:w="3093" w:type="dxa"/>
            <w:vAlign w:val="center"/>
            <w:hideMark/>
          </w:tcPr>
          <w:p w14:paraId="65FCEDA8"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Tenure of household</w:t>
            </w:r>
          </w:p>
        </w:tc>
        <w:tc>
          <w:tcPr>
            <w:tcW w:w="472" w:type="dxa"/>
            <w:vAlign w:val="center"/>
            <w:hideMark/>
          </w:tcPr>
          <w:p w14:paraId="333633A7"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41685D8B"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5BD96919"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3EA1C87D"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5F95262B"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77E639C0"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56427DCC"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4FE0EF79"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034FD22C"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283E93F7"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03BF2422"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56D9D5B6" w14:textId="77777777" w:rsidR="003D672F" w:rsidRPr="003A53A4"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3D672F" w:rsidRPr="00C2206C" w14:paraId="4E1C8A50" w14:textId="77777777" w:rsidTr="00913AEA">
        <w:trPr>
          <w:trHeight w:hRule="exact" w:val="227"/>
          <w:jc w:val="center"/>
        </w:trPr>
        <w:tc>
          <w:tcPr>
            <w:tcW w:w="3093" w:type="dxa"/>
            <w:vAlign w:val="center"/>
            <w:hideMark/>
          </w:tcPr>
          <w:p w14:paraId="5D2EF716"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Owned with mortgage (incl FT)</w:t>
            </w:r>
          </w:p>
        </w:tc>
        <w:tc>
          <w:tcPr>
            <w:tcW w:w="472" w:type="dxa"/>
            <w:vAlign w:val="center"/>
            <w:hideMark/>
          </w:tcPr>
          <w:p w14:paraId="6DC9EF8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1" w:type="dxa"/>
            <w:shd w:val="clear" w:color="auto" w:fill="D9D9D9"/>
            <w:vAlign w:val="center"/>
            <w:hideMark/>
          </w:tcPr>
          <w:p w14:paraId="76F683B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w:t>
            </w:r>
          </w:p>
        </w:tc>
        <w:tc>
          <w:tcPr>
            <w:tcW w:w="471" w:type="dxa"/>
            <w:vAlign w:val="center"/>
            <w:hideMark/>
          </w:tcPr>
          <w:p w14:paraId="6A2767D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2" w:type="dxa"/>
            <w:vAlign w:val="center"/>
            <w:hideMark/>
          </w:tcPr>
          <w:p w14:paraId="04C72F5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w:t>
            </w:r>
          </w:p>
        </w:tc>
        <w:tc>
          <w:tcPr>
            <w:tcW w:w="472" w:type="dxa"/>
            <w:tcBorders>
              <w:right w:val="single" w:sz="8" w:space="0" w:color="auto"/>
            </w:tcBorders>
            <w:vAlign w:val="center"/>
            <w:hideMark/>
          </w:tcPr>
          <w:p w14:paraId="686F279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w:t>
            </w:r>
          </w:p>
        </w:tc>
        <w:tc>
          <w:tcPr>
            <w:tcW w:w="475" w:type="dxa"/>
            <w:tcBorders>
              <w:left w:val="single" w:sz="8" w:space="0" w:color="auto"/>
            </w:tcBorders>
            <w:vAlign w:val="center"/>
            <w:hideMark/>
          </w:tcPr>
          <w:p w14:paraId="0B4DCA2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shd w:val="clear" w:color="auto" w:fill="D9D9D9"/>
            <w:vAlign w:val="center"/>
            <w:hideMark/>
          </w:tcPr>
          <w:p w14:paraId="42512A4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w:t>
            </w:r>
          </w:p>
        </w:tc>
        <w:tc>
          <w:tcPr>
            <w:tcW w:w="475" w:type="dxa"/>
            <w:vAlign w:val="center"/>
            <w:hideMark/>
          </w:tcPr>
          <w:p w14:paraId="3ECF1BF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12</w:t>
            </w:r>
          </w:p>
        </w:tc>
        <w:tc>
          <w:tcPr>
            <w:tcW w:w="475" w:type="dxa"/>
            <w:vAlign w:val="center"/>
            <w:hideMark/>
          </w:tcPr>
          <w:p w14:paraId="2A7195F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5" w:type="dxa"/>
            <w:vAlign w:val="center"/>
            <w:hideMark/>
          </w:tcPr>
          <w:p w14:paraId="62933BD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606" w:type="dxa"/>
            <w:vAlign w:val="center"/>
            <w:hideMark/>
          </w:tcPr>
          <w:p w14:paraId="456C4EE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515</w:t>
            </w:r>
          </w:p>
        </w:tc>
        <w:tc>
          <w:tcPr>
            <w:tcW w:w="606" w:type="dxa"/>
            <w:vAlign w:val="center"/>
          </w:tcPr>
          <w:p w14:paraId="671C9211"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43</w:t>
            </w:r>
          </w:p>
        </w:tc>
      </w:tr>
      <w:tr w:rsidR="003D672F" w:rsidRPr="00C2206C" w14:paraId="79296C8D" w14:textId="77777777" w:rsidTr="00913AEA">
        <w:trPr>
          <w:trHeight w:hRule="exact" w:val="227"/>
          <w:jc w:val="center"/>
        </w:trPr>
        <w:tc>
          <w:tcPr>
            <w:tcW w:w="3093" w:type="dxa"/>
            <w:vAlign w:val="center"/>
            <w:hideMark/>
          </w:tcPr>
          <w:p w14:paraId="37F30DBB"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Owned no mortgage (incl FT)</w:t>
            </w:r>
          </w:p>
        </w:tc>
        <w:tc>
          <w:tcPr>
            <w:tcW w:w="472" w:type="dxa"/>
            <w:vAlign w:val="center"/>
            <w:hideMark/>
          </w:tcPr>
          <w:p w14:paraId="0262A3A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w:t>
            </w:r>
          </w:p>
        </w:tc>
        <w:tc>
          <w:tcPr>
            <w:tcW w:w="471" w:type="dxa"/>
            <w:shd w:val="clear" w:color="auto" w:fill="D9D9D9"/>
            <w:vAlign w:val="center"/>
            <w:hideMark/>
          </w:tcPr>
          <w:p w14:paraId="1D2C82D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1" w:type="dxa"/>
            <w:vAlign w:val="center"/>
            <w:hideMark/>
          </w:tcPr>
          <w:p w14:paraId="4FA4A87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2" w:type="dxa"/>
            <w:vAlign w:val="center"/>
            <w:hideMark/>
          </w:tcPr>
          <w:p w14:paraId="7AE06BD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w:t>
            </w:r>
          </w:p>
        </w:tc>
        <w:tc>
          <w:tcPr>
            <w:tcW w:w="472" w:type="dxa"/>
            <w:tcBorders>
              <w:right w:val="single" w:sz="8" w:space="0" w:color="auto"/>
            </w:tcBorders>
            <w:vAlign w:val="center"/>
            <w:hideMark/>
          </w:tcPr>
          <w:p w14:paraId="0E972727"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w:t>
            </w:r>
          </w:p>
        </w:tc>
        <w:tc>
          <w:tcPr>
            <w:tcW w:w="475" w:type="dxa"/>
            <w:tcBorders>
              <w:left w:val="single" w:sz="8" w:space="0" w:color="auto"/>
            </w:tcBorders>
            <w:vAlign w:val="center"/>
            <w:hideMark/>
          </w:tcPr>
          <w:p w14:paraId="57C5AE4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shd w:val="clear" w:color="auto" w:fill="D9D9D9"/>
            <w:vAlign w:val="center"/>
            <w:hideMark/>
          </w:tcPr>
          <w:p w14:paraId="55BAB81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vAlign w:val="center"/>
            <w:hideMark/>
          </w:tcPr>
          <w:p w14:paraId="773571A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vAlign w:val="center"/>
            <w:hideMark/>
          </w:tcPr>
          <w:p w14:paraId="58569E1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vAlign w:val="center"/>
            <w:hideMark/>
          </w:tcPr>
          <w:p w14:paraId="0DFC951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606" w:type="dxa"/>
            <w:vAlign w:val="center"/>
            <w:hideMark/>
          </w:tcPr>
          <w:p w14:paraId="2DEFF23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155</w:t>
            </w:r>
          </w:p>
        </w:tc>
        <w:tc>
          <w:tcPr>
            <w:tcW w:w="606" w:type="dxa"/>
            <w:vAlign w:val="center"/>
          </w:tcPr>
          <w:p w14:paraId="692CDD0F"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r>
      <w:tr w:rsidR="003D672F" w:rsidRPr="00C2206C" w14:paraId="26DC2EF2" w14:textId="77777777" w:rsidTr="00913AEA">
        <w:trPr>
          <w:trHeight w:hRule="exact" w:val="227"/>
          <w:jc w:val="center"/>
        </w:trPr>
        <w:tc>
          <w:tcPr>
            <w:tcW w:w="3093" w:type="dxa"/>
            <w:vAlign w:val="center"/>
            <w:hideMark/>
          </w:tcPr>
          <w:p w14:paraId="453650D6"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Private rental</w:t>
            </w:r>
          </w:p>
        </w:tc>
        <w:tc>
          <w:tcPr>
            <w:tcW w:w="472" w:type="dxa"/>
            <w:vAlign w:val="center"/>
            <w:hideMark/>
          </w:tcPr>
          <w:p w14:paraId="4FC8061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30</w:t>
            </w:r>
          </w:p>
        </w:tc>
        <w:tc>
          <w:tcPr>
            <w:tcW w:w="471" w:type="dxa"/>
            <w:shd w:val="clear" w:color="auto" w:fill="D9D9D9"/>
            <w:vAlign w:val="center"/>
            <w:hideMark/>
          </w:tcPr>
          <w:p w14:paraId="479DC2B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24</w:t>
            </w:r>
          </w:p>
        </w:tc>
        <w:tc>
          <w:tcPr>
            <w:tcW w:w="471" w:type="dxa"/>
            <w:vAlign w:val="center"/>
            <w:hideMark/>
          </w:tcPr>
          <w:p w14:paraId="0A42FE8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w:t>
            </w:r>
          </w:p>
        </w:tc>
        <w:tc>
          <w:tcPr>
            <w:tcW w:w="472" w:type="dxa"/>
            <w:vAlign w:val="center"/>
            <w:hideMark/>
          </w:tcPr>
          <w:p w14:paraId="472C69E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2" w:type="dxa"/>
            <w:tcBorders>
              <w:right w:val="single" w:sz="8" w:space="0" w:color="auto"/>
            </w:tcBorders>
            <w:vAlign w:val="center"/>
            <w:hideMark/>
          </w:tcPr>
          <w:p w14:paraId="0DE76E0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5" w:type="dxa"/>
            <w:tcBorders>
              <w:left w:val="single" w:sz="8" w:space="0" w:color="auto"/>
            </w:tcBorders>
            <w:vAlign w:val="center"/>
            <w:hideMark/>
          </w:tcPr>
          <w:p w14:paraId="0273E0D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57</w:t>
            </w:r>
          </w:p>
        </w:tc>
        <w:tc>
          <w:tcPr>
            <w:tcW w:w="475" w:type="dxa"/>
            <w:shd w:val="clear" w:color="auto" w:fill="D9D9D9"/>
            <w:vAlign w:val="center"/>
            <w:hideMark/>
          </w:tcPr>
          <w:p w14:paraId="3285BF6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58</w:t>
            </w:r>
          </w:p>
        </w:tc>
        <w:tc>
          <w:tcPr>
            <w:tcW w:w="475" w:type="dxa"/>
            <w:vAlign w:val="center"/>
            <w:hideMark/>
          </w:tcPr>
          <w:p w14:paraId="500D5CD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59</w:t>
            </w:r>
          </w:p>
        </w:tc>
        <w:tc>
          <w:tcPr>
            <w:tcW w:w="475" w:type="dxa"/>
            <w:vAlign w:val="center"/>
            <w:hideMark/>
          </w:tcPr>
          <w:p w14:paraId="2BB077D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58</w:t>
            </w:r>
          </w:p>
        </w:tc>
        <w:tc>
          <w:tcPr>
            <w:tcW w:w="475" w:type="dxa"/>
            <w:vAlign w:val="center"/>
            <w:hideMark/>
          </w:tcPr>
          <w:p w14:paraId="2BF1EF4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58</w:t>
            </w:r>
          </w:p>
        </w:tc>
        <w:tc>
          <w:tcPr>
            <w:tcW w:w="606" w:type="dxa"/>
            <w:vAlign w:val="center"/>
            <w:hideMark/>
          </w:tcPr>
          <w:p w14:paraId="7B75933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410</w:t>
            </w:r>
          </w:p>
        </w:tc>
        <w:tc>
          <w:tcPr>
            <w:tcW w:w="606" w:type="dxa"/>
            <w:vAlign w:val="center"/>
          </w:tcPr>
          <w:p w14:paraId="689E958D"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34</w:t>
            </w:r>
          </w:p>
        </w:tc>
      </w:tr>
      <w:tr w:rsidR="003D672F" w:rsidRPr="00C2206C" w14:paraId="7E60A024" w14:textId="77777777" w:rsidTr="00913AEA">
        <w:trPr>
          <w:trHeight w:hRule="exact" w:val="227"/>
          <w:jc w:val="center"/>
        </w:trPr>
        <w:tc>
          <w:tcPr>
            <w:tcW w:w="3093" w:type="dxa"/>
            <w:vAlign w:val="center"/>
            <w:hideMark/>
          </w:tcPr>
          <w:p w14:paraId="6801C2E4"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Social rental</w:t>
            </w:r>
          </w:p>
        </w:tc>
        <w:tc>
          <w:tcPr>
            <w:tcW w:w="472" w:type="dxa"/>
            <w:vAlign w:val="center"/>
            <w:hideMark/>
          </w:tcPr>
          <w:p w14:paraId="269EA1E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59</w:t>
            </w:r>
          </w:p>
        </w:tc>
        <w:tc>
          <w:tcPr>
            <w:tcW w:w="471" w:type="dxa"/>
            <w:shd w:val="clear" w:color="auto" w:fill="D9D9D9"/>
            <w:vAlign w:val="center"/>
            <w:hideMark/>
          </w:tcPr>
          <w:p w14:paraId="2EB53B0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49</w:t>
            </w:r>
          </w:p>
        </w:tc>
        <w:tc>
          <w:tcPr>
            <w:tcW w:w="471" w:type="dxa"/>
            <w:vAlign w:val="center"/>
            <w:hideMark/>
          </w:tcPr>
          <w:p w14:paraId="79A5A8B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44</w:t>
            </w:r>
          </w:p>
        </w:tc>
        <w:tc>
          <w:tcPr>
            <w:tcW w:w="472" w:type="dxa"/>
            <w:vAlign w:val="center"/>
            <w:hideMark/>
          </w:tcPr>
          <w:p w14:paraId="63478C3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34</w:t>
            </w:r>
          </w:p>
        </w:tc>
        <w:tc>
          <w:tcPr>
            <w:tcW w:w="472" w:type="dxa"/>
            <w:tcBorders>
              <w:right w:val="single" w:sz="8" w:space="0" w:color="auto"/>
            </w:tcBorders>
            <w:vAlign w:val="center"/>
            <w:hideMark/>
          </w:tcPr>
          <w:p w14:paraId="4ADBECE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26</w:t>
            </w:r>
          </w:p>
        </w:tc>
        <w:tc>
          <w:tcPr>
            <w:tcW w:w="475" w:type="dxa"/>
            <w:tcBorders>
              <w:left w:val="single" w:sz="8" w:space="0" w:color="auto"/>
            </w:tcBorders>
            <w:vAlign w:val="center"/>
            <w:hideMark/>
          </w:tcPr>
          <w:p w14:paraId="721B631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20</w:t>
            </w:r>
          </w:p>
        </w:tc>
        <w:tc>
          <w:tcPr>
            <w:tcW w:w="475" w:type="dxa"/>
            <w:shd w:val="clear" w:color="auto" w:fill="D9D9D9"/>
            <w:vAlign w:val="center"/>
            <w:hideMark/>
          </w:tcPr>
          <w:p w14:paraId="1FB4F35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21</w:t>
            </w:r>
          </w:p>
        </w:tc>
        <w:tc>
          <w:tcPr>
            <w:tcW w:w="475" w:type="dxa"/>
            <w:vAlign w:val="center"/>
            <w:hideMark/>
          </w:tcPr>
          <w:p w14:paraId="7BE770C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24</w:t>
            </w:r>
          </w:p>
        </w:tc>
        <w:tc>
          <w:tcPr>
            <w:tcW w:w="475" w:type="dxa"/>
            <w:vAlign w:val="center"/>
            <w:hideMark/>
          </w:tcPr>
          <w:p w14:paraId="78DE298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25</w:t>
            </w:r>
          </w:p>
        </w:tc>
        <w:tc>
          <w:tcPr>
            <w:tcW w:w="475" w:type="dxa"/>
            <w:vAlign w:val="center"/>
            <w:hideMark/>
          </w:tcPr>
          <w:p w14:paraId="7DED0D51"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26</w:t>
            </w:r>
          </w:p>
        </w:tc>
        <w:tc>
          <w:tcPr>
            <w:tcW w:w="606" w:type="dxa"/>
            <w:vAlign w:val="center"/>
            <w:hideMark/>
          </w:tcPr>
          <w:p w14:paraId="0A24C97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75</w:t>
            </w:r>
          </w:p>
        </w:tc>
        <w:tc>
          <w:tcPr>
            <w:tcW w:w="606" w:type="dxa"/>
            <w:vAlign w:val="center"/>
          </w:tcPr>
          <w:p w14:paraId="4050FF58"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r>
      <w:tr w:rsidR="003D672F" w:rsidRPr="00C2206C" w14:paraId="69AAD83F" w14:textId="77777777" w:rsidTr="00913AEA">
        <w:trPr>
          <w:trHeight w:hRule="exact" w:val="227"/>
          <w:jc w:val="center"/>
        </w:trPr>
        <w:tc>
          <w:tcPr>
            <w:tcW w:w="3093" w:type="dxa"/>
            <w:vAlign w:val="center"/>
            <w:hideMark/>
          </w:tcPr>
          <w:p w14:paraId="5BEC88BA"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Private rental by AS receipt</w:t>
            </w:r>
          </w:p>
        </w:tc>
        <w:tc>
          <w:tcPr>
            <w:tcW w:w="472" w:type="dxa"/>
            <w:vAlign w:val="center"/>
            <w:hideMark/>
          </w:tcPr>
          <w:p w14:paraId="1C4626F5"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4A51413F"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2A40E93A"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174019A9"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112515BB"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56BF564A"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055E26EF"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08084E55"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41B1CC80"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5CFF1820"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414D645C"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510FE401" w14:textId="77777777" w:rsidR="003D672F" w:rsidRPr="003A53A4"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3D672F" w:rsidRPr="00C2206C" w14:paraId="7992842B" w14:textId="77777777" w:rsidTr="00913AEA">
        <w:trPr>
          <w:trHeight w:hRule="exact" w:val="227"/>
          <w:jc w:val="center"/>
        </w:trPr>
        <w:tc>
          <w:tcPr>
            <w:tcW w:w="3093" w:type="dxa"/>
            <w:vAlign w:val="center"/>
            <w:hideMark/>
          </w:tcPr>
          <w:p w14:paraId="5A36D994"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Private rental (no AS)</w:t>
            </w:r>
          </w:p>
        </w:tc>
        <w:tc>
          <w:tcPr>
            <w:tcW w:w="472" w:type="dxa"/>
            <w:vAlign w:val="center"/>
            <w:hideMark/>
          </w:tcPr>
          <w:p w14:paraId="0545E3C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c>
          <w:tcPr>
            <w:tcW w:w="471" w:type="dxa"/>
            <w:shd w:val="clear" w:color="auto" w:fill="D9D9D9"/>
            <w:vAlign w:val="center"/>
            <w:hideMark/>
          </w:tcPr>
          <w:p w14:paraId="6540EB9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1" w:type="dxa"/>
            <w:vAlign w:val="center"/>
            <w:hideMark/>
          </w:tcPr>
          <w:p w14:paraId="0699E71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2" w:type="dxa"/>
            <w:vAlign w:val="center"/>
            <w:hideMark/>
          </w:tcPr>
          <w:p w14:paraId="5942B61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2" w:type="dxa"/>
            <w:tcBorders>
              <w:right w:val="single" w:sz="8" w:space="0" w:color="auto"/>
            </w:tcBorders>
            <w:vAlign w:val="center"/>
            <w:hideMark/>
          </w:tcPr>
          <w:p w14:paraId="6F5089A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475" w:type="dxa"/>
            <w:tcBorders>
              <w:left w:val="single" w:sz="8" w:space="0" w:color="auto"/>
            </w:tcBorders>
            <w:vAlign w:val="center"/>
            <w:hideMark/>
          </w:tcPr>
          <w:p w14:paraId="7FBE1B8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c>
          <w:tcPr>
            <w:tcW w:w="475" w:type="dxa"/>
            <w:shd w:val="clear" w:color="auto" w:fill="D9D9D9"/>
            <w:vAlign w:val="center"/>
            <w:hideMark/>
          </w:tcPr>
          <w:p w14:paraId="3B32925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12</w:t>
            </w:r>
          </w:p>
        </w:tc>
        <w:tc>
          <w:tcPr>
            <w:tcW w:w="475" w:type="dxa"/>
            <w:vAlign w:val="center"/>
            <w:hideMark/>
          </w:tcPr>
          <w:p w14:paraId="1E25B38F"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w:t>
            </w:r>
          </w:p>
        </w:tc>
        <w:tc>
          <w:tcPr>
            <w:tcW w:w="475" w:type="dxa"/>
            <w:vAlign w:val="center"/>
            <w:hideMark/>
          </w:tcPr>
          <w:p w14:paraId="27662A2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475" w:type="dxa"/>
            <w:vAlign w:val="center"/>
            <w:hideMark/>
          </w:tcPr>
          <w:p w14:paraId="156BCC4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w:t>
            </w:r>
          </w:p>
        </w:tc>
        <w:tc>
          <w:tcPr>
            <w:tcW w:w="606" w:type="dxa"/>
            <w:vAlign w:val="center"/>
            <w:hideMark/>
          </w:tcPr>
          <w:p w14:paraId="638946F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215</w:t>
            </w:r>
          </w:p>
        </w:tc>
        <w:tc>
          <w:tcPr>
            <w:tcW w:w="606" w:type="dxa"/>
            <w:vAlign w:val="center"/>
          </w:tcPr>
          <w:p w14:paraId="24736265"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r>
      <w:tr w:rsidR="003D672F" w:rsidRPr="00C2206C" w14:paraId="76E9DCB0" w14:textId="77777777" w:rsidTr="00913AEA">
        <w:trPr>
          <w:trHeight w:hRule="exact" w:val="227"/>
          <w:jc w:val="center"/>
        </w:trPr>
        <w:tc>
          <w:tcPr>
            <w:tcW w:w="3093" w:type="dxa"/>
            <w:vAlign w:val="center"/>
            <w:hideMark/>
          </w:tcPr>
          <w:p w14:paraId="04E570C4" w14:textId="77777777" w:rsidR="003D672F" w:rsidRPr="00C2206C" w:rsidRDefault="003D672F" w:rsidP="00913AEA">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Private rental (with AS)</w:t>
            </w:r>
          </w:p>
        </w:tc>
        <w:tc>
          <w:tcPr>
            <w:tcW w:w="472" w:type="dxa"/>
            <w:vAlign w:val="center"/>
            <w:hideMark/>
          </w:tcPr>
          <w:p w14:paraId="7123CE8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49</w:t>
            </w:r>
          </w:p>
        </w:tc>
        <w:tc>
          <w:tcPr>
            <w:tcW w:w="471" w:type="dxa"/>
            <w:shd w:val="clear" w:color="auto" w:fill="D9D9D9"/>
            <w:vAlign w:val="center"/>
            <w:hideMark/>
          </w:tcPr>
          <w:p w14:paraId="05B68A74"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40</w:t>
            </w:r>
          </w:p>
        </w:tc>
        <w:tc>
          <w:tcPr>
            <w:tcW w:w="471" w:type="dxa"/>
            <w:vAlign w:val="center"/>
            <w:hideMark/>
          </w:tcPr>
          <w:p w14:paraId="46EA3837"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33</w:t>
            </w:r>
          </w:p>
        </w:tc>
        <w:tc>
          <w:tcPr>
            <w:tcW w:w="472" w:type="dxa"/>
            <w:vAlign w:val="center"/>
            <w:hideMark/>
          </w:tcPr>
          <w:p w14:paraId="227B790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24</w:t>
            </w:r>
          </w:p>
        </w:tc>
        <w:tc>
          <w:tcPr>
            <w:tcW w:w="472" w:type="dxa"/>
            <w:tcBorders>
              <w:right w:val="single" w:sz="8" w:space="0" w:color="auto"/>
            </w:tcBorders>
            <w:vAlign w:val="center"/>
            <w:hideMark/>
          </w:tcPr>
          <w:p w14:paraId="75DF2D0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5" w:type="dxa"/>
            <w:tcBorders>
              <w:left w:val="single" w:sz="8" w:space="0" w:color="auto"/>
            </w:tcBorders>
            <w:vAlign w:val="center"/>
            <w:hideMark/>
          </w:tcPr>
          <w:p w14:paraId="0DD0435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44</w:t>
            </w:r>
          </w:p>
        </w:tc>
        <w:tc>
          <w:tcPr>
            <w:tcW w:w="475" w:type="dxa"/>
            <w:shd w:val="clear" w:color="auto" w:fill="D9D9D9"/>
            <w:vAlign w:val="center"/>
            <w:hideMark/>
          </w:tcPr>
          <w:p w14:paraId="09B303A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46</w:t>
            </w:r>
          </w:p>
        </w:tc>
        <w:tc>
          <w:tcPr>
            <w:tcW w:w="475" w:type="dxa"/>
            <w:vAlign w:val="center"/>
            <w:hideMark/>
          </w:tcPr>
          <w:p w14:paraId="339F9188"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48</w:t>
            </w:r>
          </w:p>
        </w:tc>
        <w:tc>
          <w:tcPr>
            <w:tcW w:w="475" w:type="dxa"/>
            <w:vAlign w:val="center"/>
            <w:hideMark/>
          </w:tcPr>
          <w:p w14:paraId="0B9ED7E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49</w:t>
            </w:r>
          </w:p>
        </w:tc>
        <w:tc>
          <w:tcPr>
            <w:tcW w:w="475" w:type="dxa"/>
            <w:vAlign w:val="center"/>
            <w:hideMark/>
          </w:tcPr>
          <w:p w14:paraId="67CDE6C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49</w:t>
            </w:r>
          </w:p>
        </w:tc>
        <w:tc>
          <w:tcPr>
            <w:tcW w:w="606" w:type="dxa"/>
            <w:vAlign w:val="center"/>
            <w:hideMark/>
          </w:tcPr>
          <w:p w14:paraId="611A3D2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195</w:t>
            </w:r>
          </w:p>
        </w:tc>
        <w:tc>
          <w:tcPr>
            <w:tcW w:w="606" w:type="dxa"/>
            <w:vAlign w:val="center"/>
          </w:tcPr>
          <w:p w14:paraId="46A9B0A1" w14:textId="77777777" w:rsidR="003D672F" w:rsidRPr="003A53A4"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w:t>
            </w:r>
          </w:p>
        </w:tc>
      </w:tr>
      <w:tr w:rsidR="003D672F" w:rsidRPr="00C2206C" w14:paraId="4E5FC9C8" w14:textId="77777777" w:rsidTr="00913AEA">
        <w:trPr>
          <w:trHeight w:hRule="exact" w:val="227"/>
          <w:jc w:val="center"/>
        </w:trPr>
        <w:tc>
          <w:tcPr>
            <w:tcW w:w="3093" w:type="dxa"/>
            <w:vAlign w:val="center"/>
            <w:hideMark/>
          </w:tcPr>
          <w:p w14:paraId="04C441BB" w14:textId="77777777" w:rsidR="003D672F" w:rsidRPr="00C2206C" w:rsidRDefault="003D672F" w:rsidP="00913AEA">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Disability</w:t>
            </w:r>
          </w:p>
        </w:tc>
        <w:tc>
          <w:tcPr>
            <w:tcW w:w="472" w:type="dxa"/>
            <w:vAlign w:val="center"/>
            <w:hideMark/>
          </w:tcPr>
          <w:p w14:paraId="781A44B9"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shd w:val="clear" w:color="auto" w:fill="D9D9D9"/>
            <w:vAlign w:val="center"/>
            <w:hideMark/>
          </w:tcPr>
          <w:p w14:paraId="22CB6A57"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vAlign w:val="center"/>
            <w:hideMark/>
          </w:tcPr>
          <w:p w14:paraId="70BB4C44"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vAlign w:val="center"/>
            <w:hideMark/>
          </w:tcPr>
          <w:p w14:paraId="5C69C38A"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right w:val="single" w:sz="8" w:space="0" w:color="auto"/>
            </w:tcBorders>
            <w:vAlign w:val="center"/>
            <w:hideMark/>
          </w:tcPr>
          <w:p w14:paraId="607F6244"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11E9C271"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4FD52691"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3F35676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7ECC0B37"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74D73D68"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005BA583" w14:textId="77777777" w:rsidR="003D672F" w:rsidRPr="00C2206C" w:rsidRDefault="003D672F" w:rsidP="00913AEA">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56E94743" w14:textId="77777777" w:rsidR="003D672F" w:rsidRDefault="003D672F" w:rsidP="00913AEA">
            <w:pPr>
              <w:spacing w:after="0" w:line="240" w:lineRule="auto"/>
              <w:rPr>
                <w:rFonts w:ascii="Arial" w:hAnsi="Arial"/>
                <w:color w:val="000000"/>
                <w:sz w:val="14"/>
                <w:szCs w:val="14"/>
              </w:rPr>
            </w:pPr>
            <w:r>
              <w:rPr>
                <w:rFonts w:ascii="Arial" w:hAnsi="Arial"/>
                <w:color w:val="000000"/>
                <w:sz w:val="14"/>
                <w:szCs w:val="14"/>
              </w:rPr>
              <w:t> </w:t>
            </w:r>
          </w:p>
        </w:tc>
      </w:tr>
      <w:tr w:rsidR="003D672F" w:rsidRPr="00C2206C" w14:paraId="72D49C30" w14:textId="77777777" w:rsidTr="00913AEA">
        <w:trPr>
          <w:trHeight w:hRule="exact" w:val="227"/>
          <w:jc w:val="center"/>
        </w:trPr>
        <w:tc>
          <w:tcPr>
            <w:tcW w:w="3093" w:type="dxa"/>
            <w:vAlign w:val="center"/>
            <w:hideMark/>
          </w:tcPr>
          <w:p w14:paraId="4BCCC9DC" w14:textId="77777777" w:rsidR="003D672F" w:rsidRPr="00C2206C" w:rsidRDefault="003D672F" w:rsidP="00913AEA">
            <w:pPr>
              <w:spacing w:after="0" w:line="240" w:lineRule="auto"/>
              <w:ind w:firstLineChars="100" w:firstLine="140"/>
              <w:rPr>
                <w:rFonts w:ascii="Arial Mäori" w:eastAsia="Times New Roman" w:hAnsi="Arial Mäori" w:cs="Calibri"/>
                <w:color w:val="000000"/>
                <w:sz w:val="14"/>
                <w:szCs w:val="14"/>
                <w:lang w:eastAsia="en-NZ"/>
              </w:rPr>
            </w:pPr>
            <w:r>
              <w:rPr>
                <w:rFonts w:ascii="Arial Mäori" w:hAnsi="Arial Mäori" w:cs="Calibri"/>
                <w:color w:val="000000"/>
                <w:sz w:val="14"/>
                <w:szCs w:val="14"/>
              </w:rPr>
              <w:t>Disabled children</w:t>
            </w:r>
          </w:p>
        </w:tc>
        <w:tc>
          <w:tcPr>
            <w:tcW w:w="472" w:type="dxa"/>
            <w:vAlign w:val="center"/>
            <w:hideMark/>
          </w:tcPr>
          <w:p w14:paraId="0A68CC5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31</w:t>
            </w:r>
          </w:p>
        </w:tc>
        <w:tc>
          <w:tcPr>
            <w:tcW w:w="471" w:type="dxa"/>
            <w:shd w:val="clear" w:color="auto" w:fill="D9D9D9"/>
            <w:vAlign w:val="center"/>
            <w:hideMark/>
          </w:tcPr>
          <w:p w14:paraId="71743A7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27</w:t>
            </w:r>
          </w:p>
        </w:tc>
        <w:tc>
          <w:tcPr>
            <w:tcW w:w="471" w:type="dxa"/>
            <w:vAlign w:val="center"/>
            <w:hideMark/>
          </w:tcPr>
          <w:p w14:paraId="12F4A42E"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22</w:t>
            </w:r>
          </w:p>
        </w:tc>
        <w:tc>
          <w:tcPr>
            <w:tcW w:w="472" w:type="dxa"/>
            <w:vAlign w:val="center"/>
            <w:hideMark/>
          </w:tcPr>
          <w:p w14:paraId="4E4B3960"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2" w:type="dxa"/>
            <w:tcBorders>
              <w:right w:val="single" w:sz="8" w:space="0" w:color="auto"/>
            </w:tcBorders>
            <w:vAlign w:val="center"/>
            <w:hideMark/>
          </w:tcPr>
          <w:p w14:paraId="36E4E859"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5" w:type="dxa"/>
            <w:tcBorders>
              <w:left w:val="single" w:sz="8" w:space="0" w:color="auto"/>
            </w:tcBorders>
            <w:vAlign w:val="center"/>
            <w:hideMark/>
          </w:tcPr>
          <w:p w14:paraId="06B27B5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5" w:type="dxa"/>
            <w:shd w:val="clear" w:color="auto" w:fill="D9D9D9"/>
            <w:vAlign w:val="center"/>
            <w:hideMark/>
          </w:tcPr>
          <w:p w14:paraId="0831BC3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w:t>
            </w:r>
          </w:p>
        </w:tc>
        <w:tc>
          <w:tcPr>
            <w:tcW w:w="475" w:type="dxa"/>
            <w:vAlign w:val="center"/>
            <w:hideMark/>
          </w:tcPr>
          <w:p w14:paraId="770EC2D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20</w:t>
            </w:r>
          </w:p>
        </w:tc>
        <w:tc>
          <w:tcPr>
            <w:tcW w:w="475" w:type="dxa"/>
            <w:vAlign w:val="center"/>
            <w:hideMark/>
          </w:tcPr>
          <w:p w14:paraId="0C551CFB"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22</w:t>
            </w:r>
          </w:p>
        </w:tc>
        <w:tc>
          <w:tcPr>
            <w:tcW w:w="475" w:type="dxa"/>
            <w:vAlign w:val="center"/>
            <w:hideMark/>
          </w:tcPr>
          <w:p w14:paraId="38457445"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c>
          <w:tcPr>
            <w:tcW w:w="606" w:type="dxa"/>
            <w:vAlign w:val="center"/>
            <w:hideMark/>
          </w:tcPr>
          <w:p w14:paraId="5B8A3F8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120</w:t>
            </w:r>
          </w:p>
        </w:tc>
        <w:tc>
          <w:tcPr>
            <w:tcW w:w="606" w:type="dxa"/>
            <w:vAlign w:val="center"/>
          </w:tcPr>
          <w:p w14:paraId="61B4DECF" w14:textId="77777777" w:rsidR="003D672F" w:rsidRDefault="003D672F" w:rsidP="00913AEA">
            <w:pPr>
              <w:spacing w:after="0" w:line="240" w:lineRule="auto"/>
              <w:jc w:val="center"/>
              <w:rPr>
                <w:rFonts w:ascii="Arial" w:hAnsi="Arial"/>
                <w:color w:val="000000"/>
                <w:sz w:val="14"/>
                <w:szCs w:val="14"/>
              </w:rPr>
            </w:pPr>
            <w:r>
              <w:rPr>
                <w:rFonts w:ascii="Arial" w:hAnsi="Arial"/>
                <w:color w:val="000000"/>
                <w:sz w:val="14"/>
                <w:szCs w:val="14"/>
              </w:rPr>
              <w:t>10</w:t>
            </w:r>
          </w:p>
        </w:tc>
      </w:tr>
      <w:tr w:rsidR="003D672F" w:rsidRPr="00C2206C" w14:paraId="717FEE63" w14:textId="77777777" w:rsidTr="00913AEA">
        <w:trPr>
          <w:trHeight w:hRule="exact" w:val="227"/>
          <w:jc w:val="center"/>
        </w:trPr>
        <w:tc>
          <w:tcPr>
            <w:tcW w:w="3093" w:type="dxa"/>
            <w:vAlign w:val="center"/>
            <w:hideMark/>
          </w:tcPr>
          <w:p w14:paraId="6178DA57" w14:textId="77777777" w:rsidR="003D672F" w:rsidRPr="00C2206C" w:rsidRDefault="003D672F" w:rsidP="00913AEA">
            <w:pPr>
              <w:spacing w:after="0" w:line="240" w:lineRule="auto"/>
              <w:ind w:firstLineChars="100" w:firstLine="140"/>
              <w:rPr>
                <w:rFonts w:ascii="Arial Mäori" w:eastAsia="Times New Roman" w:hAnsi="Arial Mäori" w:cs="Calibri"/>
                <w:color w:val="000000"/>
                <w:sz w:val="14"/>
                <w:szCs w:val="14"/>
                <w:lang w:eastAsia="en-NZ"/>
              </w:rPr>
            </w:pPr>
            <w:r>
              <w:rPr>
                <w:rFonts w:ascii="Arial Mäori" w:hAnsi="Arial Mäori" w:cs="Calibri"/>
                <w:color w:val="000000"/>
                <w:sz w:val="14"/>
                <w:szCs w:val="14"/>
              </w:rPr>
              <w:t>Children in a ‘disabled household’</w:t>
            </w:r>
          </w:p>
        </w:tc>
        <w:tc>
          <w:tcPr>
            <w:tcW w:w="472" w:type="dxa"/>
            <w:vAlign w:val="center"/>
            <w:hideMark/>
          </w:tcPr>
          <w:p w14:paraId="745D3403"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32</w:t>
            </w:r>
          </w:p>
        </w:tc>
        <w:tc>
          <w:tcPr>
            <w:tcW w:w="471" w:type="dxa"/>
            <w:shd w:val="clear" w:color="auto" w:fill="D9D9D9"/>
            <w:vAlign w:val="center"/>
            <w:hideMark/>
          </w:tcPr>
          <w:p w14:paraId="36A1535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27</w:t>
            </w:r>
          </w:p>
        </w:tc>
        <w:tc>
          <w:tcPr>
            <w:tcW w:w="471" w:type="dxa"/>
            <w:vAlign w:val="center"/>
            <w:hideMark/>
          </w:tcPr>
          <w:p w14:paraId="660650EC"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c>
          <w:tcPr>
            <w:tcW w:w="472" w:type="dxa"/>
            <w:vAlign w:val="center"/>
            <w:hideMark/>
          </w:tcPr>
          <w:p w14:paraId="1B5B494D"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17</w:t>
            </w:r>
          </w:p>
        </w:tc>
        <w:tc>
          <w:tcPr>
            <w:tcW w:w="472" w:type="dxa"/>
            <w:tcBorders>
              <w:right w:val="single" w:sz="8" w:space="0" w:color="auto"/>
            </w:tcBorders>
            <w:vAlign w:val="center"/>
            <w:hideMark/>
          </w:tcPr>
          <w:p w14:paraId="1817C11A"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13</w:t>
            </w:r>
          </w:p>
        </w:tc>
        <w:tc>
          <w:tcPr>
            <w:tcW w:w="475" w:type="dxa"/>
            <w:tcBorders>
              <w:left w:val="single" w:sz="8" w:space="0" w:color="auto"/>
            </w:tcBorders>
            <w:vAlign w:val="center"/>
            <w:hideMark/>
          </w:tcPr>
          <w:p w14:paraId="6257C9C6"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54</w:t>
            </w:r>
          </w:p>
        </w:tc>
        <w:tc>
          <w:tcPr>
            <w:tcW w:w="475" w:type="dxa"/>
            <w:shd w:val="clear" w:color="auto" w:fill="D9D9D9"/>
            <w:vAlign w:val="center"/>
            <w:hideMark/>
          </w:tcPr>
          <w:p w14:paraId="5CE4AE2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59</w:t>
            </w:r>
          </w:p>
        </w:tc>
        <w:tc>
          <w:tcPr>
            <w:tcW w:w="475" w:type="dxa"/>
            <w:vAlign w:val="center"/>
            <w:hideMark/>
          </w:tcPr>
          <w:p w14:paraId="4BF93C3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61</w:t>
            </w:r>
          </w:p>
        </w:tc>
        <w:tc>
          <w:tcPr>
            <w:tcW w:w="475" w:type="dxa"/>
            <w:vAlign w:val="center"/>
            <w:hideMark/>
          </w:tcPr>
          <w:p w14:paraId="33872EF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65</w:t>
            </w:r>
          </w:p>
        </w:tc>
        <w:tc>
          <w:tcPr>
            <w:tcW w:w="475" w:type="dxa"/>
            <w:vAlign w:val="center"/>
            <w:hideMark/>
          </w:tcPr>
          <w:p w14:paraId="6420B927"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67</w:t>
            </w:r>
          </w:p>
        </w:tc>
        <w:tc>
          <w:tcPr>
            <w:tcW w:w="606" w:type="dxa"/>
            <w:vAlign w:val="center"/>
            <w:hideMark/>
          </w:tcPr>
          <w:p w14:paraId="566BF2B2" w14:textId="77777777" w:rsidR="003D672F" w:rsidRPr="00C2206C" w:rsidRDefault="003D672F" w:rsidP="00913AEA">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365</w:t>
            </w:r>
          </w:p>
        </w:tc>
        <w:tc>
          <w:tcPr>
            <w:tcW w:w="606" w:type="dxa"/>
            <w:vAlign w:val="center"/>
          </w:tcPr>
          <w:p w14:paraId="064A753A" w14:textId="77777777" w:rsidR="003D672F" w:rsidRDefault="003D672F" w:rsidP="00913AEA">
            <w:pPr>
              <w:spacing w:after="0" w:line="240" w:lineRule="auto"/>
              <w:jc w:val="center"/>
              <w:rPr>
                <w:rFonts w:ascii="Arial" w:hAnsi="Arial"/>
                <w:color w:val="000000"/>
                <w:sz w:val="14"/>
                <w:szCs w:val="14"/>
              </w:rPr>
            </w:pPr>
            <w:r>
              <w:rPr>
                <w:rFonts w:ascii="Arial" w:hAnsi="Arial"/>
                <w:color w:val="000000"/>
                <w:sz w:val="14"/>
                <w:szCs w:val="14"/>
              </w:rPr>
              <w:t>31</w:t>
            </w:r>
          </w:p>
        </w:tc>
      </w:tr>
    </w:tbl>
    <w:p w14:paraId="53E92E45" w14:textId="77777777" w:rsidR="003D672F" w:rsidRPr="003251AF" w:rsidRDefault="003D672F" w:rsidP="003D672F">
      <w:pPr>
        <w:spacing w:before="60" w:after="0" w:line="240" w:lineRule="auto"/>
        <w:rPr>
          <w:rFonts w:ascii="Arial Mäori" w:hAnsi="Arial Mäori"/>
          <w:sz w:val="16"/>
          <w:szCs w:val="16"/>
        </w:rPr>
      </w:pPr>
      <w:r w:rsidRPr="003251AF">
        <w:rPr>
          <w:rFonts w:ascii="Arial Mäori" w:hAnsi="Arial Mäori"/>
          <w:sz w:val="16"/>
          <w:szCs w:val="16"/>
        </w:rPr>
        <w:t xml:space="preserve">Notes for table: </w:t>
      </w:r>
    </w:p>
    <w:p w14:paraId="33A0F2E5" w14:textId="77777777" w:rsidR="003D672F" w:rsidRPr="003251AF" w:rsidRDefault="003D672F">
      <w:pPr>
        <w:pStyle w:val="ListParagraph"/>
        <w:numPr>
          <w:ilvl w:val="0"/>
          <w:numId w:val="73"/>
        </w:numPr>
        <w:spacing w:after="0" w:line="240" w:lineRule="auto"/>
        <w:ind w:left="720"/>
        <w:rPr>
          <w:rFonts w:ascii="Arial Mäori" w:hAnsi="Arial Mäori"/>
          <w:sz w:val="16"/>
          <w:szCs w:val="16"/>
        </w:rPr>
      </w:pPr>
      <w:r w:rsidRPr="003251AF">
        <w:rPr>
          <w:rFonts w:ascii="Arial Mäori" w:hAnsi="Arial Mäori"/>
          <w:sz w:val="16"/>
          <w:szCs w:val="16"/>
        </w:rPr>
        <w:t>A small number of children live in household types or tenures other than those shown in the table. In both cases, numbers are too small to report hardship rates for them as a separate “Other” household type or tenure group.</w:t>
      </w:r>
    </w:p>
    <w:p w14:paraId="38B308E8" w14:textId="77777777" w:rsidR="003D672F" w:rsidRDefault="003D672F">
      <w:pPr>
        <w:spacing w:after="0" w:line="240" w:lineRule="auto"/>
        <w:rPr>
          <w:rFonts w:ascii="Arial" w:eastAsia="Times New Roman" w:hAnsi="Arial"/>
          <w:b/>
          <w:color w:val="000000"/>
          <w:sz w:val="18"/>
          <w:szCs w:val="18"/>
          <w:highlight w:val="yellow"/>
        </w:rPr>
      </w:pPr>
      <w:r>
        <w:rPr>
          <w:rFonts w:ascii="Arial" w:eastAsia="Times New Roman" w:hAnsi="Arial"/>
          <w:b/>
          <w:color w:val="000000"/>
          <w:sz w:val="18"/>
          <w:szCs w:val="18"/>
          <w:highlight w:val="yellow"/>
        </w:rPr>
        <w:br w:type="page"/>
      </w:r>
    </w:p>
    <w:p w14:paraId="33BAF037" w14:textId="4BB14773" w:rsidR="00B25121" w:rsidRPr="005B4109" w:rsidRDefault="00B25121" w:rsidP="00B25121">
      <w:pPr>
        <w:spacing w:after="0" w:line="240" w:lineRule="auto"/>
        <w:ind w:right="-44"/>
        <w:jc w:val="center"/>
        <w:rPr>
          <w:rFonts w:ascii="Arial" w:eastAsia="Times New Roman" w:hAnsi="Arial"/>
          <w:bCs/>
          <w:color w:val="FF0000"/>
          <w:sz w:val="18"/>
          <w:szCs w:val="18"/>
        </w:rPr>
      </w:pPr>
      <w:r w:rsidRPr="00C2206C">
        <w:rPr>
          <w:rFonts w:ascii="Arial" w:eastAsia="Times New Roman" w:hAnsi="Arial"/>
          <w:b/>
          <w:color w:val="000000"/>
          <w:sz w:val="18"/>
          <w:szCs w:val="18"/>
        </w:rPr>
        <w:lastRenderedPageBreak/>
        <w:t xml:space="preserve">Table </w:t>
      </w:r>
      <w:r>
        <w:rPr>
          <w:rFonts w:ascii="Arial" w:eastAsia="Times New Roman" w:hAnsi="Arial"/>
          <w:b/>
          <w:color w:val="000000"/>
          <w:sz w:val="18"/>
          <w:szCs w:val="18"/>
        </w:rPr>
        <w:t>E</w:t>
      </w:r>
      <w:r w:rsidRPr="00C2206C">
        <w:rPr>
          <w:rFonts w:ascii="Arial" w:eastAsia="Times New Roman" w:hAnsi="Arial"/>
          <w:b/>
          <w:color w:val="000000"/>
          <w:sz w:val="18"/>
          <w:szCs w:val="18"/>
        </w:rPr>
        <w:t>.</w:t>
      </w:r>
      <w:r>
        <w:rPr>
          <w:rFonts w:ascii="Arial" w:eastAsia="Times New Roman" w:hAnsi="Arial"/>
          <w:b/>
          <w:color w:val="000000"/>
          <w:sz w:val="18"/>
          <w:szCs w:val="18"/>
        </w:rPr>
        <w:t>3b</w:t>
      </w:r>
    </w:p>
    <w:p w14:paraId="259E438D" w14:textId="77777777" w:rsidR="00B25121" w:rsidRPr="00C2206C" w:rsidRDefault="00B25121" w:rsidP="00B25121">
      <w:pPr>
        <w:spacing w:after="0" w:line="240" w:lineRule="auto"/>
        <w:ind w:right="-44"/>
        <w:jc w:val="center"/>
        <w:rPr>
          <w:rFonts w:ascii="Arial" w:eastAsia="Times New Roman" w:hAnsi="Arial" w:cs="Times New Roman"/>
          <w:b/>
          <w:bCs/>
          <w:color w:val="000000"/>
          <w:sz w:val="18"/>
          <w:szCs w:val="18"/>
          <w:lang w:eastAsia="en-NZ"/>
        </w:rPr>
      </w:pPr>
      <w:r>
        <w:rPr>
          <w:rFonts w:ascii="Arial" w:eastAsia="Times New Roman" w:hAnsi="Arial" w:cs="Times New Roman"/>
          <w:b/>
          <w:bCs/>
          <w:color w:val="000000"/>
          <w:sz w:val="18"/>
          <w:szCs w:val="18"/>
          <w:lang w:eastAsia="en-NZ"/>
        </w:rPr>
        <w:t>MH</w:t>
      </w:r>
      <w:r w:rsidRPr="00C2206C">
        <w:rPr>
          <w:rFonts w:ascii="Arial" w:eastAsia="Times New Roman" w:hAnsi="Arial" w:cs="Times New Roman"/>
          <w:b/>
          <w:bCs/>
          <w:color w:val="000000"/>
          <w:sz w:val="18"/>
          <w:szCs w:val="18"/>
          <w:lang w:eastAsia="en-NZ"/>
        </w:rPr>
        <w:t xml:space="preserve"> rates and composition </w:t>
      </w:r>
      <w:r>
        <w:rPr>
          <w:rFonts w:ascii="Arial" w:eastAsia="Times New Roman" w:hAnsi="Arial" w:cs="Times New Roman"/>
          <w:b/>
          <w:bCs/>
          <w:color w:val="000000"/>
          <w:sz w:val="18"/>
          <w:szCs w:val="18"/>
          <w:lang w:eastAsia="en-NZ"/>
        </w:rPr>
        <w:t>by ethnic group</w:t>
      </w:r>
      <w:r w:rsidRPr="00C2206C">
        <w:rPr>
          <w:rFonts w:ascii="Arial" w:eastAsia="Times New Roman" w:hAnsi="Arial" w:cs="Times New Roman"/>
          <w:b/>
          <w:bCs/>
          <w:color w:val="000000"/>
          <w:sz w:val="18"/>
          <w:szCs w:val="18"/>
          <w:lang w:eastAsia="en-NZ"/>
        </w:rPr>
        <w:t xml:space="preserve"> (</w:t>
      </w:r>
      <w:r>
        <w:rPr>
          <w:rFonts w:ascii="Arial" w:eastAsia="Times New Roman" w:hAnsi="Arial" w:cs="Times New Roman"/>
          <w:b/>
          <w:bCs/>
          <w:color w:val="000000"/>
          <w:sz w:val="18"/>
          <w:szCs w:val="18"/>
          <w:lang w:eastAsia="en-NZ"/>
        </w:rPr>
        <w:t>MH-18</w:t>
      </w:r>
      <w:r w:rsidRPr="00C2206C">
        <w:rPr>
          <w:rFonts w:ascii="Arial" w:eastAsia="Times New Roman" w:hAnsi="Arial" w:cs="Times New Roman"/>
          <w:b/>
          <w:bCs/>
          <w:color w:val="000000"/>
          <w:sz w:val="18"/>
          <w:szCs w:val="18"/>
          <w:lang w:eastAsia="en-NZ"/>
        </w:rPr>
        <w:t xml:space="preserve"> index, 5 thresholds),</w:t>
      </w:r>
    </w:p>
    <w:p w14:paraId="43923C55" w14:textId="77777777" w:rsidR="00B25121" w:rsidRDefault="00B25121" w:rsidP="00B25121">
      <w:pPr>
        <w:spacing w:after="0" w:line="240" w:lineRule="auto"/>
        <w:jc w:val="center"/>
        <w:rPr>
          <w:rFonts w:ascii="Arial" w:eastAsia="Times New Roman" w:hAnsi="Arial" w:cs="Times New Roman"/>
          <w:b/>
          <w:bCs/>
          <w:color w:val="000000"/>
          <w:sz w:val="18"/>
          <w:szCs w:val="18"/>
          <w:lang w:eastAsia="en-NZ"/>
        </w:rPr>
      </w:pPr>
      <w:r w:rsidRPr="00C2206C">
        <w:rPr>
          <w:rFonts w:ascii="Arial" w:eastAsia="Times New Roman" w:hAnsi="Arial" w:cs="Times New Roman"/>
          <w:b/>
          <w:bCs/>
          <w:color w:val="000000"/>
          <w:sz w:val="18"/>
          <w:szCs w:val="18"/>
          <w:lang w:eastAsia="en-NZ"/>
        </w:rPr>
        <w:t>Children (aged 0-17 years), H</w:t>
      </w:r>
      <w:r>
        <w:rPr>
          <w:rFonts w:ascii="Arial" w:eastAsia="Times New Roman" w:hAnsi="Arial" w:cs="Times New Roman"/>
          <w:b/>
          <w:bCs/>
          <w:color w:val="000000"/>
          <w:sz w:val="18"/>
          <w:szCs w:val="18"/>
          <w:lang w:eastAsia="en-NZ"/>
        </w:rPr>
        <w:t>IL</w:t>
      </w:r>
      <w:r w:rsidRPr="00C2206C">
        <w:rPr>
          <w:rFonts w:ascii="Arial" w:eastAsia="Times New Roman" w:hAnsi="Arial" w:cs="Times New Roman"/>
          <w:b/>
          <w:bCs/>
          <w:color w:val="000000"/>
          <w:sz w:val="18"/>
          <w:szCs w:val="18"/>
          <w:lang w:eastAsia="en-NZ"/>
        </w:rPr>
        <w:t>S 20</w:t>
      </w:r>
      <w:r>
        <w:rPr>
          <w:rFonts w:ascii="Arial" w:eastAsia="Times New Roman" w:hAnsi="Arial" w:cs="Times New Roman"/>
          <w:b/>
          <w:bCs/>
          <w:color w:val="000000"/>
          <w:sz w:val="18"/>
          <w:szCs w:val="18"/>
          <w:lang w:eastAsia="en-NZ"/>
        </w:rPr>
        <w:t>24-25</w:t>
      </w:r>
    </w:p>
    <w:p w14:paraId="5C2166FD" w14:textId="77777777" w:rsidR="00B25121" w:rsidRDefault="00B25121" w:rsidP="00B25121">
      <w:pPr>
        <w:spacing w:after="0" w:line="240" w:lineRule="auto"/>
        <w:jc w:val="center"/>
        <w:rPr>
          <w:rFonts w:ascii="Arial" w:hAnsi="Arial"/>
          <w:b/>
          <w:sz w:val="16"/>
          <w:szCs w:val="16"/>
        </w:rPr>
      </w:pPr>
      <w:r w:rsidRPr="00C2206C">
        <w:rPr>
          <w:rFonts w:ascii="Arial" w:eastAsia="Times New Roman" w:hAnsi="Arial" w:cs="Times New Roman"/>
          <w:b/>
          <w:bCs/>
          <w:color w:val="000000"/>
          <w:sz w:val="18"/>
          <w:szCs w:val="18"/>
          <w:lang w:eastAsia="en-NZ"/>
        </w:rPr>
        <w:t xml:space="preserve">  </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71"/>
        <w:gridCol w:w="470"/>
        <w:gridCol w:w="470"/>
        <w:gridCol w:w="489"/>
        <w:gridCol w:w="471"/>
        <w:gridCol w:w="475"/>
        <w:gridCol w:w="475"/>
        <w:gridCol w:w="475"/>
        <w:gridCol w:w="475"/>
        <w:gridCol w:w="475"/>
        <w:gridCol w:w="606"/>
        <w:gridCol w:w="605"/>
      </w:tblGrid>
      <w:tr w:rsidR="00B25121" w:rsidRPr="0023544D" w14:paraId="331DE2F3" w14:textId="77777777" w:rsidTr="00AB176F">
        <w:trPr>
          <w:trHeight w:val="300"/>
          <w:jc w:val="center"/>
        </w:trPr>
        <w:tc>
          <w:tcPr>
            <w:tcW w:w="2934" w:type="dxa"/>
            <w:vAlign w:val="center"/>
            <w:hideMark/>
          </w:tcPr>
          <w:p w14:paraId="0878D726" w14:textId="77777777" w:rsidR="00B25121" w:rsidRPr="002D0727" w:rsidRDefault="00B25121" w:rsidP="00AB176F">
            <w:pPr>
              <w:spacing w:after="0" w:line="240" w:lineRule="auto"/>
              <w:rPr>
                <w:rFonts w:ascii="Arial" w:eastAsia="Times New Roman" w:hAnsi="Arial" w:cs="Times New Roman"/>
                <w:b/>
                <w:bCs/>
                <w:sz w:val="16"/>
                <w:szCs w:val="18"/>
                <w:lang w:eastAsia="en-NZ"/>
              </w:rPr>
            </w:pPr>
            <w:r w:rsidRPr="002D0727">
              <w:rPr>
                <w:rFonts w:ascii="Arial" w:eastAsia="Times New Roman" w:hAnsi="Arial" w:cs="Times New Roman"/>
                <w:b/>
                <w:bCs/>
                <w:sz w:val="16"/>
                <w:szCs w:val="18"/>
                <w:lang w:eastAsia="en-NZ"/>
              </w:rPr>
              <w:t> </w:t>
            </w:r>
            <w:r w:rsidRPr="00C2206C">
              <w:rPr>
                <w:rFonts w:ascii="Arial" w:eastAsia="Times New Roman" w:hAnsi="Arial" w:cs="Times New Roman"/>
                <w:b/>
                <w:bCs/>
                <w:color w:val="000000"/>
                <w:sz w:val="16"/>
                <w:szCs w:val="18"/>
                <w:lang w:eastAsia="en-NZ"/>
              </w:rPr>
              <w:t> H</w:t>
            </w:r>
            <w:r>
              <w:rPr>
                <w:rFonts w:ascii="Arial" w:eastAsia="Times New Roman" w:hAnsi="Arial" w:cs="Times New Roman"/>
                <w:b/>
                <w:bCs/>
                <w:color w:val="000000"/>
                <w:sz w:val="16"/>
                <w:szCs w:val="18"/>
                <w:lang w:eastAsia="en-NZ"/>
              </w:rPr>
              <w:t>IL</w:t>
            </w:r>
            <w:r w:rsidRPr="00C2206C">
              <w:rPr>
                <w:rFonts w:ascii="Arial" w:eastAsia="Times New Roman" w:hAnsi="Arial" w:cs="Times New Roman"/>
                <w:b/>
                <w:bCs/>
                <w:color w:val="000000"/>
                <w:sz w:val="16"/>
                <w:szCs w:val="18"/>
                <w:lang w:eastAsia="en-NZ"/>
              </w:rPr>
              <w:t>S 20</w:t>
            </w:r>
            <w:r>
              <w:rPr>
                <w:rFonts w:ascii="Arial" w:eastAsia="Times New Roman" w:hAnsi="Arial" w:cs="Times New Roman"/>
                <w:b/>
                <w:bCs/>
                <w:color w:val="000000"/>
                <w:sz w:val="16"/>
                <w:szCs w:val="18"/>
                <w:lang w:eastAsia="en-NZ"/>
              </w:rPr>
              <w:t>24-25</w:t>
            </w:r>
          </w:p>
        </w:tc>
        <w:tc>
          <w:tcPr>
            <w:tcW w:w="2371" w:type="dxa"/>
            <w:gridSpan w:val="5"/>
            <w:tcBorders>
              <w:bottom w:val="single" w:sz="4" w:space="0" w:color="auto"/>
              <w:right w:val="single" w:sz="8" w:space="0" w:color="auto"/>
            </w:tcBorders>
            <w:vAlign w:val="center"/>
            <w:hideMark/>
          </w:tcPr>
          <w:p w14:paraId="1EE27B1D" w14:textId="77777777" w:rsidR="00B25121" w:rsidRPr="002D0727" w:rsidRDefault="00B25121" w:rsidP="00AB176F">
            <w:pPr>
              <w:spacing w:after="0" w:line="240" w:lineRule="auto"/>
              <w:jc w:val="center"/>
              <w:rPr>
                <w:rFonts w:ascii="Arial" w:eastAsia="Times New Roman" w:hAnsi="Arial" w:cs="Times New Roman"/>
                <w:b/>
                <w:bCs/>
                <w:sz w:val="16"/>
                <w:szCs w:val="18"/>
                <w:lang w:eastAsia="en-NZ"/>
              </w:rPr>
            </w:pPr>
            <w:r w:rsidRPr="002D0727">
              <w:rPr>
                <w:rFonts w:ascii="Arial" w:eastAsia="Times New Roman" w:hAnsi="Arial" w:cs="Times New Roman"/>
                <w:b/>
                <w:bCs/>
                <w:sz w:val="16"/>
                <w:szCs w:val="18"/>
                <w:lang w:eastAsia="en-NZ"/>
              </w:rPr>
              <w:t>Material hardship rates</w:t>
            </w:r>
          </w:p>
        </w:tc>
        <w:tc>
          <w:tcPr>
            <w:tcW w:w="3586" w:type="dxa"/>
            <w:gridSpan w:val="7"/>
            <w:tcBorders>
              <w:left w:val="single" w:sz="8" w:space="0" w:color="auto"/>
              <w:bottom w:val="single" w:sz="4" w:space="0" w:color="auto"/>
            </w:tcBorders>
            <w:vAlign w:val="center"/>
            <w:hideMark/>
          </w:tcPr>
          <w:p w14:paraId="7199C4C0" w14:textId="77777777" w:rsidR="00B25121" w:rsidRPr="002D0727" w:rsidRDefault="00B25121" w:rsidP="00AB176F">
            <w:pPr>
              <w:spacing w:after="0" w:line="240" w:lineRule="auto"/>
              <w:jc w:val="center"/>
              <w:rPr>
                <w:rFonts w:ascii="Arial" w:eastAsia="Times New Roman" w:hAnsi="Arial" w:cs="Times New Roman"/>
                <w:b/>
                <w:bCs/>
                <w:sz w:val="16"/>
                <w:szCs w:val="18"/>
                <w:lang w:eastAsia="en-NZ"/>
              </w:rPr>
            </w:pPr>
            <w:r w:rsidRPr="002D0727">
              <w:rPr>
                <w:rFonts w:ascii="Arial" w:eastAsia="Times New Roman" w:hAnsi="Arial" w:cs="Times New Roman"/>
                <w:b/>
                <w:bCs/>
                <w:sz w:val="16"/>
                <w:szCs w:val="18"/>
                <w:lang w:eastAsia="en-NZ"/>
              </w:rPr>
              <w:t>Composition</w:t>
            </w:r>
          </w:p>
        </w:tc>
      </w:tr>
      <w:tr w:rsidR="00B25121" w:rsidRPr="0023544D" w14:paraId="36B841A8" w14:textId="77777777" w:rsidTr="00AB176F">
        <w:trPr>
          <w:trHeight w:val="300"/>
          <w:jc w:val="center"/>
        </w:trPr>
        <w:tc>
          <w:tcPr>
            <w:tcW w:w="2934" w:type="dxa"/>
            <w:vAlign w:val="center"/>
            <w:hideMark/>
          </w:tcPr>
          <w:p w14:paraId="1C985F05" w14:textId="77777777" w:rsidR="00B25121" w:rsidRPr="002D0727" w:rsidRDefault="00B25121" w:rsidP="00AB176F">
            <w:pPr>
              <w:spacing w:after="0" w:line="240" w:lineRule="auto"/>
              <w:rPr>
                <w:rFonts w:ascii="Arial" w:eastAsia="Times New Roman" w:hAnsi="Arial" w:cs="Times New Roman"/>
                <w:b/>
                <w:bCs/>
                <w:sz w:val="14"/>
                <w:szCs w:val="14"/>
                <w:lang w:eastAsia="en-NZ"/>
              </w:rPr>
            </w:pPr>
            <w:r w:rsidRPr="002D0727">
              <w:rPr>
                <w:rFonts w:ascii="Arial" w:eastAsia="Times New Roman" w:hAnsi="Arial" w:cs="Times New Roman"/>
                <w:b/>
                <w:bCs/>
                <w:sz w:val="14"/>
                <w:szCs w:val="16"/>
                <w:lang w:eastAsia="en-NZ"/>
              </w:rPr>
              <w:t> </w:t>
            </w:r>
          </w:p>
        </w:tc>
        <w:tc>
          <w:tcPr>
            <w:tcW w:w="2371" w:type="dxa"/>
            <w:gridSpan w:val="5"/>
            <w:tcBorders>
              <w:bottom w:val="single" w:sz="4" w:space="0" w:color="auto"/>
              <w:right w:val="single" w:sz="8" w:space="0" w:color="auto"/>
            </w:tcBorders>
            <w:vAlign w:val="center"/>
            <w:hideMark/>
          </w:tcPr>
          <w:p w14:paraId="1C81F505" w14:textId="77777777" w:rsidR="00B25121" w:rsidRPr="002D0727" w:rsidRDefault="00B25121" w:rsidP="00AB176F">
            <w:pPr>
              <w:spacing w:after="0" w:line="240" w:lineRule="auto"/>
              <w:jc w:val="center"/>
              <w:rPr>
                <w:rFonts w:ascii="Arial" w:eastAsia="Times New Roman" w:hAnsi="Arial" w:cs="Times New Roman"/>
                <w:sz w:val="16"/>
                <w:szCs w:val="16"/>
                <w:lang w:eastAsia="en-NZ"/>
              </w:rPr>
            </w:pPr>
            <w:r w:rsidRPr="002D0727">
              <w:rPr>
                <w:rFonts w:ascii="Arial" w:eastAsia="Times New Roman" w:hAnsi="Arial" w:cs="Times New Roman"/>
                <w:sz w:val="16"/>
                <w:szCs w:val="16"/>
                <w:lang w:eastAsia="en-NZ"/>
              </w:rPr>
              <w:t>what % of this group is in hardship, using the different thresholds?</w:t>
            </w:r>
          </w:p>
        </w:tc>
        <w:tc>
          <w:tcPr>
            <w:tcW w:w="2375" w:type="dxa"/>
            <w:gridSpan w:val="5"/>
            <w:tcBorders>
              <w:left w:val="single" w:sz="8" w:space="0" w:color="auto"/>
              <w:right w:val="single" w:sz="4" w:space="0" w:color="auto"/>
            </w:tcBorders>
            <w:vAlign w:val="center"/>
            <w:hideMark/>
          </w:tcPr>
          <w:p w14:paraId="40A18F1E" w14:textId="77777777" w:rsidR="00B25121" w:rsidRPr="002D0727" w:rsidRDefault="00B25121" w:rsidP="00AB176F">
            <w:pPr>
              <w:spacing w:after="0" w:line="240" w:lineRule="auto"/>
              <w:jc w:val="center"/>
              <w:rPr>
                <w:rFonts w:ascii="Arial" w:eastAsia="Times New Roman" w:hAnsi="Arial" w:cs="Times New Roman"/>
                <w:sz w:val="16"/>
                <w:szCs w:val="16"/>
                <w:lang w:eastAsia="en-NZ"/>
              </w:rPr>
            </w:pPr>
            <w:r w:rsidRPr="002D0727">
              <w:rPr>
                <w:rFonts w:ascii="Arial" w:eastAsia="Times New Roman" w:hAnsi="Arial" w:cs="Times New Roman"/>
                <w:sz w:val="16"/>
                <w:szCs w:val="16"/>
                <w:lang w:eastAsia="en-NZ"/>
              </w:rPr>
              <w:t>what % of all those in hardship (using a given threshold) are in this group / cell?</w:t>
            </w:r>
          </w:p>
        </w:tc>
        <w:tc>
          <w:tcPr>
            <w:tcW w:w="606" w:type="dxa"/>
            <w:tcBorders>
              <w:left w:val="single" w:sz="4" w:space="0" w:color="auto"/>
              <w:right w:val="single" w:sz="4" w:space="0" w:color="auto"/>
            </w:tcBorders>
            <w:vAlign w:val="center"/>
            <w:hideMark/>
          </w:tcPr>
          <w:p w14:paraId="10FC449F"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sidRPr="002D0727">
              <w:rPr>
                <w:rFonts w:ascii="Arial" w:eastAsia="Times New Roman" w:hAnsi="Arial" w:cs="Times New Roman"/>
                <w:b/>
                <w:bCs/>
                <w:sz w:val="14"/>
                <w:szCs w:val="14"/>
                <w:lang w:eastAsia="en-NZ"/>
              </w:rPr>
              <w:t> 000’s</w:t>
            </w:r>
          </w:p>
        </w:tc>
        <w:tc>
          <w:tcPr>
            <w:tcW w:w="605" w:type="dxa"/>
            <w:tcBorders>
              <w:left w:val="single" w:sz="4" w:space="0" w:color="auto"/>
            </w:tcBorders>
            <w:vAlign w:val="center"/>
          </w:tcPr>
          <w:p w14:paraId="38E14F9E"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sidRPr="002D0727">
              <w:rPr>
                <w:rFonts w:ascii="Arial" w:eastAsia="Times New Roman" w:hAnsi="Arial" w:cs="Times New Roman"/>
                <w:b/>
                <w:bCs/>
                <w:sz w:val="14"/>
                <w:szCs w:val="14"/>
                <w:lang w:eastAsia="en-NZ"/>
              </w:rPr>
              <w:t>%</w:t>
            </w:r>
          </w:p>
        </w:tc>
      </w:tr>
      <w:tr w:rsidR="00B25121" w:rsidRPr="0023544D" w14:paraId="5DBA1C08" w14:textId="77777777" w:rsidTr="00AB176F">
        <w:trPr>
          <w:trHeight w:val="396"/>
          <w:jc w:val="center"/>
        </w:trPr>
        <w:tc>
          <w:tcPr>
            <w:tcW w:w="2934" w:type="dxa"/>
            <w:vAlign w:val="center"/>
            <w:hideMark/>
          </w:tcPr>
          <w:p w14:paraId="55BB9B07" w14:textId="77777777" w:rsidR="00B25121" w:rsidRPr="002D0727" w:rsidRDefault="00B25121" w:rsidP="00AB176F">
            <w:pPr>
              <w:spacing w:after="0" w:line="240" w:lineRule="auto"/>
              <w:rPr>
                <w:rFonts w:ascii="Arial" w:eastAsia="Times New Roman" w:hAnsi="Arial" w:cs="Times New Roman"/>
                <w:b/>
                <w:bCs/>
                <w:sz w:val="14"/>
                <w:szCs w:val="14"/>
                <w:lang w:eastAsia="en-NZ"/>
              </w:rPr>
            </w:pPr>
            <w:r w:rsidRPr="002D0727">
              <w:rPr>
                <w:rFonts w:ascii="Arial" w:eastAsia="Times New Roman" w:hAnsi="Arial" w:cs="Times New Roman"/>
                <w:b/>
                <w:bCs/>
                <w:sz w:val="14"/>
                <w:szCs w:val="16"/>
                <w:lang w:eastAsia="en-NZ"/>
              </w:rPr>
              <w:t>Material hardship threshold as # of items lacked out of 1</w:t>
            </w:r>
            <w:r>
              <w:rPr>
                <w:rFonts w:ascii="Arial" w:eastAsia="Times New Roman" w:hAnsi="Arial" w:cs="Times New Roman"/>
                <w:b/>
                <w:bCs/>
                <w:sz w:val="14"/>
                <w:szCs w:val="16"/>
                <w:lang w:eastAsia="en-NZ"/>
              </w:rPr>
              <w:t>8</w:t>
            </w:r>
          </w:p>
        </w:tc>
        <w:tc>
          <w:tcPr>
            <w:tcW w:w="471" w:type="dxa"/>
            <w:tcBorders>
              <w:right w:val="single" w:sz="4" w:space="0" w:color="auto"/>
            </w:tcBorders>
            <w:vAlign w:val="center"/>
            <w:hideMark/>
          </w:tcPr>
          <w:p w14:paraId="193742F2"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6+</w:t>
            </w:r>
          </w:p>
        </w:tc>
        <w:tc>
          <w:tcPr>
            <w:tcW w:w="470" w:type="dxa"/>
            <w:tcBorders>
              <w:left w:val="single" w:sz="4" w:space="0" w:color="auto"/>
              <w:right w:val="single" w:sz="4" w:space="0" w:color="auto"/>
            </w:tcBorders>
            <w:shd w:val="clear" w:color="auto" w:fill="D9D9D9"/>
            <w:vAlign w:val="center"/>
            <w:hideMark/>
          </w:tcPr>
          <w:p w14:paraId="78100ADD"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7+</w:t>
            </w:r>
          </w:p>
        </w:tc>
        <w:tc>
          <w:tcPr>
            <w:tcW w:w="470" w:type="dxa"/>
            <w:tcBorders>
              <w:left w:val="single" w:sz="4" w:space="0" w:color="auto"/>
              <w:right w:val="single" w:sz="4" w:space="0" w:color="auto"/>
            </w:tcBorders>
            <w:vAlign w:val="center"/>
            <w:hideMark/>
          </w:tcPr>
          <w:p w14:paraId="1A7DAF08"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8+</w:t>
            </w:r>
          </w:p>
        </w:tc>
        <w:tc>
          <w:tcPr>
            <w:tcW w:w="489" w:type="dxa"/>
            <w:tcBorders>
              <w:left w:val="single" w:sz="4" w:space="0" w:color="auto"/>
              <w:right w:val="single" w:sz="4" w:space="0" w:color="auto"/>
            </w:tcBorders>
            <w:vAlign w:val="center"/>
            <w:hideMark/>
          </w:tcPr>
          <w:p w14:paraId="62B08B5D"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9+</w:t>
            </w:r>
          </w:p>
        </w:tc>
        <w:tc>
          <w:tcPr>
            <w:tcW w:w="471" w:type="dxa"/>
            <w:tcBorders>
              <w:left w:val="single" w:sz="4" w:space="0" w:color="auto"/>
              <w:right w:val="single" w:sz="8" w:space="0" w:color="auto"/>
            </w:tcBorders>
            <w:vAlign w:val="center"/>
            <w:hideMark/>
          </w:tcPr>
          <w:p w14:paraId="29DF573D"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10+</w:t>
            </w:r>
          </w:p>
        </w:tc>
        <w:tc>
          <w:tcPr>
            <w:tcW w:w="475" w:type="dxa"/>
            <w:tcBorders>
              <w:left w:val="single" w:sz="8" w:space="0" w:color="auto"/>
              <w:right w:val="single" w:sz="4" w:space="0" w:color="auto"/>
            </w:tcBorders>
            <w:vAlign w:val="center"/>
            <w:hideMark/>
          </w:tcPr>
          <w:p w14:paraId="78227A93"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6+</w:t>
            </w:r>
          </w:p>
        </w:tc>
        <w:tc>
          <w:tcPr>
            <w:tcW w:w="475" w:type="dxa"/>
            <w:tcBorders>
              <w:left w:val="single" w:sz="4" w:space="0" w:color="auto"/>
              <w:right w:val="single" w:sz="4" w:space="0" w:color="auto"/>
            </w:tcBorders>
            <w:shd w:val="clear" w:color="auto" w:fill="D9D9D9"/>
            <w:vAlign w:val="center"/>
            <w:hideMark/>
          </w:tcPr>
          <w:p w14:paraId="5DC55B2D"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7+</w:t>
            </w:r>
          </w:p>
        </w:tc>
        <w:tc>
          <w:tcPr>
            <w:tcW w:w="475" w:type="dxa"/>
            <w:tcBorders>
              <w:left w:val="single" w:sz="4" w:space="0" w:color="auto"/>
              <w:right w:val="single" w:sz="4" w:space="0" w:color="auto"/>
            </w:tcBorders>
            <w:vAlign w:val="center"/>
            <w:hideMark/>
          </w:tcPr>
          <w:p w14:paraId="7747BE43"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8+</w:t>
            </w:r>
          </w:p>
        </w:tc>
        <w:tc>
          <w:tcPr>
            <w:tcW w:w="475" w:type="dxa"/>
            <w:tcBorders>
              <w:left w:val="single" w:sz="4" w:space="0" w:color="auto"/>
              <w:right w:val="single" w:sz="4" w:space="0" w:color="auto"/>
            </w:tcBorders>
            <w:vAlign w:val="center"/>
            <w:hideMark/>
          </w:tcPr>
          <w:p w14:paraId="165B0648"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9+</w:t>
            </w:r>
          </w:p>
        </w:tc>
        <w:tc>
          <w:tcPr>
            <w:tcW w:w="475" w:type="dxa"/>
            <w:tcBorders>
              <w:left w:val="single" w:sz="4" w:space="0" w:color="auto"/>
              <w:right w:val="single" w:sz="4" w:space="0" w:color="auto"/>
            </w:tcBorders>
            <w:vAlign w:val="center"/>
            <w:hideMark/>
          </w:tcPr>
          <w:p w14:paraId="3D0CA809"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Pr>
                <w:rFonts w:ascii="Arial" w:hAnsi="Arial"/>
                <w:b/>
                <w:bCs/>
                <w:color w:val="000000"/>
                <w:sz w:val="14"/>
                <w:szCs w:val="14"/>
              </w:rPr>
              <w:t>10+</w:t>
            </w:r>
          </w:p>
        </w:tc>
        <w:tc>
          <w:tcPr>
            <w:tcW w:w="606" w:type="dxa"/>
            <w:tcBorders>
              <w:left w:val="single" w:sz="4" w:space="0" w:color="auto"/>
              <w:right w:val="single" w:sz="4" w:space="0" w:color="auto"/>
            </w:tcBorders>
            <w:vAlign w:val="center"/>
            <w:hideMark/>
          </w:tcPr>
          <w:p w14:paraId="29973DBC"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sidRPr="002D0727">
              <w:rPr>
                <w:rFonts w:ascii="Arial" w:eastAsia="Times New Roman" w:hAnsi="Arial" w:cs="Times New Roman"/>
                <w:b/>
                <w:bCs/>
                <w:sz w:val="14"/>
                <w:szCs w:val="14"/>
                <w:lang w:eastAsia="en-NZ"/>
              </w:rPr>
              <w:t>ALL</w:t>
            </w:r>
          </w:p>
        </w:tc>
        <w:tc>
          <w:tcPr>
            <w:tcW w:w="605" w:type="dxa"/>
            <w:tcBorders>
              <w:left w:val="single" w:sz="4" w:space="0" w:color="auto"/>
            </w:tcBorders>
            <w:vAlign w:val="center"/>
          </w:tcPr>
          <w:p w14:paraId="2A280E52" w14:textId="77777777" w:rsidR="00B25121" w:rsidRPr="002D0727" w:rsidRDefault="00B25121" w:rsidP="00AB176F">
            <w:pPr>
              <w:spacing w:after="0" w:line="240" w:lineRule="auto"/>
              <w:jc w:val="center"/>
              <w:rPr>
                <w:rFonts w:ascii="Arial" w:eastAsia="Times New Roman" w:hAnsi="Arial" w:cs="Times New Roman"/>
                <w:b/>
                <w:bCs/>
                <w:sz w:val="14"/>
                <w:szCs w:val="14"/>
                <w:lang w:eastAsia="en-NZ"/>
              </w:rPr>
            </w:pPr>
            <w:r w:rsidRPr="002D0727">
              <w:rPr>
                <w:rFonts w:ascii="Arial" w:eastAsia="Times New Roman" w:hAnsi="Arial" w:cs="Times New Roman"/>
                <w:b/>
                <w:bCs/>
                <w:sz w:val="14"/>
                <w:szCs w:val="14"/>
                <w:lang w:eastAsia="en-NZ"/>
              </w:rPr>
              <w:t>ALL</w:t>
            </w:r>
          </w:p>
        </w:tc>
      </w:tr>
      <w:tr w:rsidR="00B25121" w:rsidRPr="0023544D" w14:paraId="2C3D3BCC" w14:textId="77777777" w:rsidTr="00AB176F">
        <w:trPr>
          <w:trHeight w:val="227"/>
          <w:jc w:val="center"/>
        </w:trPr>
        <w:tc>
          <w:tcPr>
            <w:tcW w:w="2934" w:type="dxa"/>
            <w:vAlign w:val="center"/>
            <w:hideMark/>
          </w:tcPr>
          <w:p w14:paraId="47D23A3E" w14:textId="77777777" w:rsidR="00B25121" w:rsidRPr="002D0727" w:rsidRDefault="00B25121" w:rsidP="00AB176F">
            <w:pPr>
              <w:spacing w:after="0" w:line="240" w:lineRule="auto"/>
              <w:rPr>
                <w:rFonts w:ascii="Arial" w:eastAsia="Times New Roman" w:hAnsi="Arial" w:cs="Times New Roman"/>
                <w:b/>
                <w:bCs/>
                <w:sz w:val="14"/>
                <w:szCs w:val="14"/>
                <w:lang w:eastAsia="en-NZ"/>
              </w:rPr>
            </w:pPr>
            <w:r w:rsidRPr="002D0727">
              <w:rPr>
                <w:rFonts w:ascii="Arial" w:eastAsia="Times New Roman" w:hAnsi="Arial" w:cs="Times New Roman"/>
                <w:b/>
                <w:bCs/>
                <w:sz w:val="14"/>
                <w:szCs w:val="14"/>
                <w:lang w:eastAsia="en-NZ"/>
              </w:rPr>
              <w:t>Material hardship rates (%)</w:t>
            </w:r>
          </w:p>
        </w:tc>
        <w:tc>
          <w:tcPr>
            <w:tcW w:w="471" w:type="dxa"/>
            <w:tcBorders>
              <w:right w:val="single" w:sz="4" w:space="0" w:color="auto"/>
            </w:tcBorders>
            <w:vAlign w:val="center"/>
            <w:hideMark/>
          </w:tcPr>
          <w:p w14:paraId="67114678"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0" w:type="dxa"/>
            <w:tcBorders>
              <w:left w:val="single" w:sz="4" w:space="0" w:color="auto"/>
              <w:right w:val="single" w:sz="4" w:space="0" w:color="auto"/>
            </w:tcBorders>
            <w:shd w:val="clear" w:color="auto" w:fill="D9D9D9"/>
            <w:vAlign w:val="center"/>
            <w:hideMark/>
          </w:tcPr>
          <w:p w14:paraId="1CC963A8"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0" w:type="dxa"/>
            <w:tcBorders>
              <w:left w:val="single" w:sz="4" w:space="0" w:color="auto"/>
              <w:right w:val="single" w:sz="4" w:space="0" w:color="auto"/>
            </w:tcBorders>
            <w:vAlign w:val="center"/>
            <w:hideMark/>
          </w:tcPr>
          <w:p w14:paraId="7500D362"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89" w:type="dxa"/>
            <w:tcBorders>
              <w:left w:val="single" w:sz="4" w:space="0" w:color="auto"/>
              <w:right w:val="single" w:sz="4" w:space="0" w:color="auto"/>
            </w:tcBorders>
            <w:vAlign w:val="center"/>
            <w:hideMark/>
          </w:tcPr>
          <w:p w14:paraId="3BBA4F03"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1" w:type="dxa"/>
            <w:tcBorders>
              <w:left w:val="single" w:sz="4" w:space="0" w:color="auto"/>
              <w:right w:val="single" w:sz="8" w:space="0" w:color="auto"/>
            </w:tcBorders>
            <w:vAlign w:val="center"/>
            <w:hideMark/>
          </w:tcPr>
          <w:p w14:paraId="7575FC08"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5" w:type="dxa"/>
            <w:tcBorders>
              <w:left w:val="single" w:sz="8" w:space="0" w:color="auto"/>
              <w:right w:val="single" w:sz="4" w:space="0" w:color="auto"/>
            </w:tcBorders>
            <w:vAlign w:val="center"/>
            <w:hideMark/>
          </w:tcPr>
          <w:p w14:paraId="4A52A5DC"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5" w:type="dxa"/>
            <w:tcBorders>
              <w:left w:val="single" w:sz="4" w:space="0" w:color="auto"/>
              <w:right w:val="single" w:sz="4" w:space="0" w:color="auto"/>
            </w:tcBorders>
            <w:shd w:val="clear" w:color="auto" w:fill="D9D9D9"/>
            <w:vAlign w:val="center"/>
            <w:hideMark/>
          </w:tcPr>
          <w:p w14:paraId="5FB1B293"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5" w:type="dxa"/>
            <w:tcBorders>
              <w:left w:val="single" w:sz="4" w:space="0" w:color="auto"/>
              <w:right w:val="single" w:sz="4" w:space="0" w:color="auto"/>
            </w:tcBorders>
            <w:vAlign w:val="center"/>
            <w:hideMark/>
          </w:tcPr>
          <w:p w14:paraId="3F1CA072"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5" w:type="dxa"/>
            <w:tcBorders>
              <w:left w:val="single" w:sz="4" w:space="0" w:color="auto"/>
              <w:right w:val="single" w:sz="4" w:space="0" w:color="auto"/>
            </w:tcBorders>
            <w:vAlign w:val="center"/>
            <w:hideMark/>
          </w:tcPr>
          <w:p w14:paraId="48441699"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475" w:type="dxa"/>
            <w:tcBorders>
              <w:left w:val="single" w:sz="4" w:space="0" w:color="auto"/>
              <w:right w:val="single" w:sz="4" w:space="0" w:color="auto"/>
            </w:tcBorders>
            <w:vAlign w:val="center"/>
            <w:hideMark/>
          </w:tcPr>
          <w:p w14:paraId="7723B59C"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606" w:type="dxa"/>
            <w:tcBorders>
              <w:left w:val="single" w:sz="4" w:space="0" w:color="auto"/>
              <w:right w:val="single" w:sz="4" w:space="0" w:color="auto"/>
            </w:tcBorders>
            <w:vAlign w:val="center"/>
            <w:hideMark/>
          </w:tcPr>
          <w:p w14:paraId="2FFB0D32" w14:textId="77777777" w:rsidR="00B25121" w:rsidRPr="002D0727" w:rsidRDefault="00B25121" w:rsidP="00AB176F">
            <w:pPr>
              <w:spacing w:after="0" w:line="240" w:lineRule="auto"/>
              <w:rPr>
                <w:rFonts w:ascii="Arial" w:eastAsia="Times New Roman" w:hAnsi="Arial" w:cs="Times New Roman"/>
                <w:sz w:val="14"/>
                <w:szCs w:val="14"/>
                <w:lang w:eastAsia="en-NZ"/>
              </w:rPr>
            </w:pPr>
            <w:r w:rsidRPr="002D0727">
              <w:rPr>
                <w:rFonts w:ascii="Arial" w:eastAsia="Times New Roman" w:hAnsi="Arial" w:cs="Times New Roman"/>
                <w:sz w:val="14"/>
                <w:szCs w:val="14"/>
                <w:lang w:eastAsia="en-NZ"/>
              </w:rPr>
              <w:t> </w:t>
            </w:r>
          </w:p>
        </w:tc>
        <w:tc>
          <w:tcPr>
            <w:tcW w:w="605" w:type="dxa"/>
            <w:tcBorders>
              <w:left w:val="single" w:sz="4" w:space="0" w:color="auto"/>
            </w:tcBorders>
            <w:vAlign w:val="center"/>
          </w:tcPr>
          <w:p w14:paraId="4D3603D1" w14:textId="77777777" w:rsidR="00B25121" w:rsidRPr="002D0727" w:rsidRDefault="00B25121" w:rsidP="00AB176F">
            <w:pPr>
              <w:spacing w:after="0" w:line="240" w:lineRule="auto"/>
              <w:rPr>
                <w:rFonts w:ascii="Arial" w:eastAsia="Times New Roman" w:hAnsi="Arial" w:cs="Times New Roman"/>
                <w:sz w:val="14"/>
                <w:szCs w:val="14"/>
                <w:lang w:eastAsia="en-NZ"/>
              </w:rPr>
            </w:pPr>
          </w:p>
        </w:tc>
      </w:tr>
      <w:tr w:rsidR="00B25121" w:rsidRPr="0023544D" w14:paraId="3F31E1D0" w14:textId="77777777" w:rsidTr="00AB176F">
        <w:trPr>
          <w:trHeight w:hRule="exact" w:val="227"/>
          <w:jc w:val="center"/>
        </w:trPr>
        <w:tc>
          <w:tcPr>
            <w:tcW w:w="2934" w:type="dxa"/>
            <w:tcBorders>
              <w:right w:val="single" w:sz="4" w:space="0" w:color="auto"/>
            </w:tcBorders>
            <w:vAlign w:val="center"/>
            <w:hideMark/>
          </w:tcPr>
          <w:p w14:paraId="442BD6E7" w14:textId="77777777" w:rsidR="00B25121" w:rsidRPr="002D0727" w:rsidRDefault="00B25121" w:rsidP="00AB176F">
            <w:pPr>
              <w:spacing w:after="0" w:line="240" w:lineRule="auto"/>
              <w:rPr>
                <w:rFonts w:ascii="Arial" w:eastAsia="Times New Roman" w:hAnsi="Arial" w:cs="Times New Roman"/>
                <w:b/>
                <w:bCs/>
                <w:sz w:val="14"/>
                <w:szCs w:val="14"/>
                <w:lang w:eastAsia="en-NZ"/>
              </w:rPr>
            </w:pPr>
            <w:r w:rsidRPr="002D0727">
              <w:rPr>
                <w:rFonts w:ascii="Arial" w:eastAsia="Times New Roman" w:hAnsi="Arial" w:cs="Times New Roman"/>
                <w:b/>
                <w:bCs/>
                <w:sz w:val="14"/>
                <w:szCs w:val="14"/>
                <w:lang w:eastAsia="en-NZ"/>
              </w:rPr>
              <w:t>All children (0-17 yrs)</w:t>
            </w:r>
          </w:p>
        </w:tc>
        <w:tc>
          <w:tcPr>
            <w:tcW w:w="471" w:type="dxa"/>
            <w:tcBorders>
              <w:top w:val="single" w:sz="4" w:space="0" w:color="auto"/>
              <w:left w:val="single" w:sz="4" w:space="0" w:color="auto"/>
              <w:bottom w:val="single" w:sz="4" w:space="0" w:color="auto"/>
              <w:right w:val="single" w:sz="4" w:space="0" w:color="auto"/>
            </w:tcBorders>
            <w:vAlign w:val="center"/>
            <w:hideMark/>
          </w:tcPr>
          <w:p w14:paraId="60E034E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18</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5B8693"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14</w:t>
            </w:r>
          </w:p>
        </w:tc>
        <w:tc>
          <w:tcPr>
            <w:tcW w:w="470" w:type="dxa"/>
            <w:tcBorders>
              <w:top w:val="single" w:sz="4" w:space="0" w:color="auto"/>
              <w:left w:val="single" w:sz="4" w:space="0" w:color="auto"/>
              <w:bottom w:val="single" w:sz="4" w:space="0" w:color="auto"/>
              <w:right w:val="single" w:sz="4" w:space="0" w:color="auto"/>
            </w:tcBorders>
            <w:vAlign w:val="center"/>
            <w:hideMark/>
          </w:tcPr>
          <w:p w14:paraId="16466F66"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11</w:t>
            </w:r>
          </w:p>
        </w:tc>
        <w:tc>
          <w:tcPr>
            <w:tcW w:w="489" w:type="dxa"/>
            <w:tcBorders>
              <w:top w:val="single" w:sz="4" w:space="0" w:color="auto"/>
              <w:left w:val="single" w:sz="4" w:space="0" w:color="auto"/>
              <w:bottom w:val="single" w:sz="4" w:space="0" w:color="auto"/>
              <w:right w:val="single" w:sz="4" w:space="0" w:color="auto"/>
            </w:tcBorders>
            <w:vAlign w:val="center"/>
            <w:hideMark/>
          </w:tcPr>
          <w:p w14:paraId="272C6629"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8</w:t>
            </w:r>
          </w:p>
        </w:tc>
        <w:tc>
          <w:tcPr>
            <w:tcW w:w="471" w:type="dxa"/>
            <w:tcBorders>
              <w:top w:val="single" w:sz="4" w:space="0" w:color="auto"/>
              <w:left w:val="single" w:sz="4" w:space="0" w:color="auto"/>
              <w:bottom w:val="single" w:sz="4" w:space="0" w:color="auto"/>
              <w:right w:val="single" w:sz="8" w:space="0" w:color="auto"/>
            </w:tcBorders>
            <w:vAlign w:val="center"/>
            <w:hideMark/>
          </w:tcPr>
          <w:p w14:paraId="6D57FF05"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6</w:t>
            </w:r>
          </w:p>
        </w:tc>
        <w:tc>
          <w:tcPr>
            <w:tcW w:w="475" w:type="dxa"/>
            <w:tcBorders>
              <w:top w:val="single" w:sz="4" w:space="0" w:color="auto"/>
              <w:left w:val="single" w:sz="8" w:space="0" w:color="auto"/>
              <w:bottom w:val="single" w:sz="4" w:space="0" w:color="auto"/>
              <w:right w:val="single" w:sz="4" w:space="0" w:color="auto"/>
            </w:tcBorders>
            <w:vAlign w:val="center"/>
            <w:hideMark/>
          </w:tcPr>
          <w:p w14:paraId="63DF51A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100</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4BA69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100</w:t>
            </w:r>
          </w:p>
        </w:tc>
        <w:tc>
          <w:tcPr>
            <w:tcW w:w="475" w:type="dxa"/>
            <w:tcBorders>
              <w:top w:val="single" w:sz="4" w:space="0" w:color="auto"/>
              <w:left w:val="single" w:sz="4" w:space="0" w:color="auto"/>
              <w:bottom w:val="single" w:sz="4" w:space="0" w:color="auto"/>
              <w:right w:val="single" w:sz="4" w:space="0" w:color="auto"/>
            </w:tcBorders>
            <w:vAlign w:val="center"/>
            <w:hideMark/>
          </w:tcPr>
          <w:p w14:paraId="3641E60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100</w:t>
            </w:r>
          </w:p>
        </w:tc>
        <w:tc>
          <w:tcPr>
            <w:tcW w:w="475" w:type="dxa"/>
            <w:tcBorders>
              <w:top w:val="single" w:sz="4" w:space="0" w:color="auto"/>
              <w:left w:val="single" w:sz="4" w:space="0" w:color="auto"/>
              <w:bottom w:val="single" w:sz="4" w:space="0" w:color="auto"/>
              <w:right w:val="single" w:sz="4" w:space="0" w:color="auto"/>
            </w:tcBorders>
            <w:vAlign w:val="center"/>
            <w:hideMark/>
          </w:tcPr>
          <w:p w14:paraId="1922CD8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100</w:t>
            </w:r>
          </w:p>
        </w:tc>
        <w:tc>
          <w:tcPr>
            <w:tcW w:w="475" w:type="dxa"/>
            <w:tcBorders>
              <w:top w:val="single" w:sz="4" w:space="0" w:color="auto"/>
              <w:left w:val="single" w:sz="4" w:space="0" w:color="auto"/>
              <w:bottom w:val="single" w:sz="4" w:space="0" w:color="auto"/>
              <w:right w:val="single" w:sz="4" w:space="0" w:color="auto"/>
            </w:tcBorders>
            <w:vAlign w:val="center"/>
            <w:hideMark/>
          </w:tcPr>
          <w:p w14:paraId="67344B60"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100</w:t>
            </w:r>
          </w:p>
        </w:tc>
        <w:tc>
          <w:tcPr>
            <w:tcW w:w="606" w:type="dxa"/>
            <w:tcBorders>
              <w:top w:val="single" w:sz="4" w:space="0" w:color="auto"/>
              <w:left w:val="single" w:sz="4" w:space="0" w:color="auto"/>
              <w:bottom w:val="single" w:sz="4" w:space="0" w:color="auto"/>
              <w:right w:val="single" w:sz="4" w:space="0" w:color="auto"/>
            </w:tcBorders>
            <w:vAlign w:val="center"/>
            <w:hideMark/>
          </w:tcPr>
          <w:p w14:paraId="5C3C81B5"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1,185</w:t>
            </w:r>
          </w:p>
        </w:tc>
        <w:tc>
          <w:tcPr>
            <w:tcW w:w="605" w:type="dxa"/>
            <w:tcBorders>
              <w:top w:val="single" w:sz="4" w:space="0" w:color="auto"/>
              <w:left w:val="single" w:sz="4" w:space="0" w:color="auto"/>
              <w:bottom w:val="single" w:sz="4" w:space="0" w:color="auto"/>
              <w:right w:val="single" w:sz="4" w:space="0" w:color="auto"/>
            </w:tcBorders>
            <w:vAlign w:val="center"/>
          </w:tcPr>
          <w:p w14:paraId="1848E2CF"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100</w:t>
            </w:r>
          </w:p>
        </w:tc>
      </w:tr>
      <w:tr w:rsidR="00B25121" w:rsidRPr="0023544D" w14:paraId="35E153C6" w14:textId="77777777" w:rsidTr="00AB176F">
        <w:trPr>
          <w:trHeight w:hRule="exact" w:val="227"/>
          <w:jc w:val="center"/>
        </w:trPr>
        <w:tc>
          <w:tcPr>
            <w:tcW w:w="2934" w:type="dxa"/>
            <w:tcBorders>
              <w:right w:val="single" w:sz="4" w:space="0" w:color="auto"/>
            </w:tcBorders>
            <w:vAlign w:val="center"/>
          </w:tcPr>
          <w:p w14:paraId="77B0AE65" w14:textId="77777777" w:rsidR="00B25121" w:rsidRPr="002D0727" w:rsidRDefault="00B25121" w:rsidP="00AB176F">
            <w:pPr>
              <w:spacing w:after="0" w:line="240" w:lineRule="auto"/>
              <w:rPr>
                <w:rFonts w:ascii="Arial" w:hAnsi="Arial"/>
                <w:b/>
                <w:bCs/>
                <w:sz w:val="14"/>
                <w:szCs w:val="14"/>
              </w:rPr>
            </w:pPr>
            <w:r w:rsidRPr="002D0727">
              <w:rPr>
                <w:rFonts w:ascii="Arial" w:hAnsi="Arial"/>
                <w:b/>
                <w:bCs/>
                <w:sz w:val="14"/>
                <w:szCs w:val="14"/>
              </w:rPr>
              <w:t>Ethnicity (total)</w:t>
            </w:r>
          </w:p>
        </w:tc>
        <w:tc>
          <w:tcPr>
            <w:tcW w:w="471" w:type="dxa"/>
            <w:tcBorders>
              <w:top w:val="single" w:sz="4" w:space="0" w:color="auto"/>
              <w:left w:val="single" w:sz="4" w:space="0" w:color="auto"/>
              <w:bottom w:val="single" w:sz="4" w:space="0" w:color="auto"/>
              <w:right w:val="single" w:sz="4" w:space="0" w:color="auto"/>
            </w:tcBorders>
            <w:vAlign w:val="center"/>
          </w:tcPr>
          <w:p w14:paraId="501F3D9F"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tcPr>
          <w:p w14:paraId="598BCA03"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0" w:type="dxa"/>
            <w:tcBorders>
              <w:top w:val="single" w:sz="4" w:space="0" w:color="auto"/>
              <w:left w:val="single" w:sz="4" w:space="0" w:color="auto"/>
              <w:bottom w:val="single" w:sz="4" w:space="0" w:color="auto"/>
              <w:right w:val="single" w:sz="4" w:space="0" w:color="auto"/>
            </w:tcBorders>
            <w:vAlign w:val="center"/>
          </w:tcPr>
          <w:p w14:paraId="62D1B958"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89" w:type="dxa"/>
            <w:tcBorders>
              <w:top w:val="single" w:sz="4" w:space="0" w:color="auto"/>
              <w:left w:val="single" w:sz="4" w:space="0" w:color="auto"/>
              <w:bottom w:val="single" w:sz="4" w:space="0" w:color="auto"/>
              <w:right w:val="single" w:sz="4" w:space="0" w:color="auto"/>
            </w:tcBorders>
            <w:vAlign w:val="center"/>
          </w:tcPr>
          <w:p w14:paraId="22C04029"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1" w:type="dxa"/>
            <w:tcBorders>
              <w:top w:val="single" w:sz="4" w:space="0" w:color="auto"/>
              <w:left w:val="single" w:sz="4" w:space="0" w:color="auto"/>
              <w:bottom w:val="single" w:sz="4" w:space="0" w:color="auto"/>
              <w:right w:val="single" w:sz="8" w:space="0" w:color="auto"/>
            </w:tcBorders>
            <w:vAlign w:val="center"/>
          </w:tcPr>
          <w:p w14:paraId="446A1A8B"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5" w:type="dxa"/>
            <w:tcBorders>
              <w:top w:val="single" w:sz="4" w:space="0" w:color="auto"/>
              <w:left w:val="single" w:sz="8" w:space="0" w:color="auto"/>
              <w:bottom w:val="single" w:sz="4" w:space="0" w:color="auto"/>
              <w:right w:val="single" w:sz="4" w:space="0" w:color="auto"/>
            </w:tcBorders>
            <w:vAlign w:val="center"/>
          </w:tcPr>
          <w:p w14:paraId="3589226F"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tcPr>
          <w:p w14:paraId="68FAD14A"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vAlign w:val="center"/>
          </w:tcPr>
          <w:p w14:paraId="793C0355"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vAlign w:val="center"/>
          </w:tcPr>
          <w:p w14:paraId="0E58D2F6"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vAlign w:val="center"/>
          </w:tcPr>
          <w:p w14:paraId="00A1DD3F"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606" w:type="dxa"/>
            <w:tcBorders>
              <w:top w:val="single" w:sz="4" w:space="0" w:color="auto"/>
              <w:left w:val="single" w:sz="4" w:space="0" w:color="auto"/>
              <w:bottom w:val="single" w:sz="4" w:space="0" w:color="auto"/>
              <w:right w:val="single" w:sz="4" w:space="0" w:color="auto"/>
            </w:tcBorders>
            <w:vAlign w:val="center"/>
          </w:tcPr>
          <w:p w14:paraId="5CB15E00"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c>
          <w:tcPr>
            <w:tcW w:w="605" w:type="dxa"/>
            <w:tcBorders>
              <w:top w:val="single" w:sz="4" w:space="0" w:color="auto"/>
              <w:left w:val="single" w:sz="4" w:space="0" w:color="auto"/>
              <w:bottom w:val="single" w:sz="4" w:space="0" w:color="auto"/>
              <w:right w:val="single" w:sz="4" w:space="0" w:color="auto"/>
            </w:tcBorders>
            <w:vAlign w:val="center"/>
          </w:tcPr>
          <w:p w14:paraId="1B7014F9" w14:textId="77777777" w:rsidR="00B25121" w:rsidRPr="002D0727" w:rsidRDefault="00B25121" w:rsidP="00AB176F">
            <w:pPr>
              <w:spacing w:after="0" w:line="240" w:lineRule="auto"/>
              <w:rPr>
                <w:rFonts w:ascii="Arial" w:hAnsi="Arial"/>
                <w:sz w:val="14"/>
                <w:szCs w:val="14"/>
              </w:rPr>
            </w:pPr>
            <w:r>
              <w:rPr>
                <w:rFonts w:ascii="Arial" w:hAnsi="Arial"/>
                <w:color w:val="000000"/>
                <w:sz w:val="14"/>
                <w:szCs w:val="14"/>
              </w:rPr>
              <w:t> </w:t>
            </w:r>
          </w:p>
        </w:tc>
      </w:tr>
      <w:tr w:rsidR="00B25121" w:rsidRPr="0023544D" w14:paraId="082FD3EB" w14:textId="77777777" w:rsidTr="00AB176F">
        <w:trPr>
          <w:trHeight w:hRule="exact" w:val="227"/>
          <w:jc w:val="center"/>
        </w:trPr>
        <w:tc>
          <w:tcPr>
            <w:tcW w:w="2934" w:type="dxa"/>
            <w:tcBorders>
              <w:right w:val="single" w:sz="4" w:space="0" w:color="auto"/>
            </w:tcBorders>
            <w:vAlign w:val="center"/>
            <w:hideMark/>
          </w:tcPr>
          <w:p w14:paraId="20579911" w14:textId="77777777" w:rsidR="00B25121" w:rsidRPr="002D0727" w:rsidRDefault="00B25121" w:rsidP="00AB176F">
            <w:pPr>
              <w:spacing w:after="0" w:line="240" w:lineRule="auto"/>
              <w:rPr>
                <w:rFonts w:ascii="Arial" w:eastAsia="Times New Roman" w:hAnsi="Arial" w:cs="Times New Roman"/>
                <w:b/>
                <w:bCs/>
                <w:sz w:val="14"/>
                <w:szCs w:val="14"/>
                <w:lang w:eastAsia="en-NZ"/>
              </w:rPr>
            </w:pPr>
            <w:r w:rsidRPr="002D0727">
              <w:rPr>
                <w:rFonts w:ascii="Arial" w:hAnsi="Arial"/>
                <w:sz w:val="14"/>
                <w:szCs w:val="14"/>
              </w:rPr>
              <w:t xml:space="preserve">   European</w:t>
            </w:r>
          </w:p>
        </w:tc>
        <w:tc>
          <w:tcPr>
            <w:tcW w:w="471" w:type="dxa"/>
            <w:tcBorders>
              <w:top w:val="single" w:sz="4" w:space="0" w:color="auto"/>
              <w:left w:val="single" w:sz="4" w:space="0" w:color="auto"/>
              <w:bottom w:val="single" w:sz="4" w:space="0" w:color="auto"/>
              <w:right w:val="single" w:sz="4" w:space="0" w:color="auto"/>
            </w:tcBorders>
            <w:vAlign w:val="center"/>
            <w:hideMark/>
          </w:tcPr>
          <w:p w14:paraId="5B97D540"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15</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ADCDB4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12</w:t>
            </w:r>
          </w:p>
        </w:tc>
        <w:tc>
          <w:tcPr>
            <w:tcW w:w="470" w:type="dxa"/>
            <w:tcBorders>
              <w:top w:val="single" w:sz="4" w:space="0" w:color="auto"/>
              <w:left w:val="single" w:sz="4" w:space="0" w:color="auto"/>
              <w:bottom w:val="single" w:sz="4" w:space="0" w:color="auto"/>
              <w:right w:val="single" w:sz="4" w:space="0" w:color="auto"/>
            </w:tcBorders>
            <w:vAlign w:val="center"/>
            <w:hideMark/>
          </w:tcPr>
          <w:p w14:paraId="35D61E1F"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9</w:t>
            </w:r>
          </w:p>
        </w:tc>
        <w:tc>
          <w:tcPr>
            <w:tcW w:w="489" w:type="dxa"/>
            <w:tcBorders>
              <w:top w:val="single" w:sz="4" w:space="0" w:color="auto"/>
              <w:left w:val="single" w:sz="4" w:space="0" w:color="auto"/>
              <w:bottom w:val="single" w:sz="4" w:space="0" w:color="auto"/>
              <w:right w:val="single" w:sz="4" w:space="0" w:color="auto"/>
            </w:tcBorders>
            <w:vAlign w:val="center"/>
            <w:hideMark/>
          </w:tcPr>
          <w:p w14:paraId="724E5C8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6</w:t>
            </w:r>
          </w:p>
        </w:tc>
        <w:tc>
          <w:tcPr>
            <w:tcW w:w="471" w:type="dxa"/>
            <w:tcBorders>
              <w:top w:val="single" w:sz="4" w:space="0" w:color="auto"/>
              <w:left w:val="single" w:sz="4" w:space="0" w:color="auto"/>
              <w:bottom w:val="single" w:sz="4" w:space="0" w:color="auto"/>
              <w:right w:val="single" w:sz="8" w:space="0" w:color="auto"/>
            </w:tcBorders>
            <w:vAlign w:val="center"/>
            <w:hideMark/>
          </w:tcPr>
          <w:p w14:paraId="4341B6DC"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5</w:t>
            </w:r>
          </w:p>
        </w:tc>
        <w:tc>
          <w:tcPr>
            <w:tcW w:w="475" w:type="dxa"/>
            <w:tcBorders>
              <w:top w:val="single" w:sz="4" w:space="0" w:color="auto"/>
              <w:left w:val="single" w:sz="8" w:space="0" w:color="auto"/>
              <w:bottom w:val="single" w:sz="4" w:space="0" w:color="auto"/>
              <w:right w:val="single" w:sz="4" w:space="0" w:color="auto"/>
            </w:tcBorders>
            <w:vAlign w:val="center"/>
            <w:hideMark/>
          </w:tcPr>
          <w:p w14:paraId="4B10F8C0"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36</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523CDF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36</w:t>
            </w:r>
          </w:p>
        </w:tc>
        <w:tc>
          <w:tcPr>
            <w:tcW w:w="475" w:type="dxa"/>
            <w:tcBorders>
              <w:top w:val="single" w:sz="4" w:space="0" w:color="auto"/>
              <w:left w:val="single" w:sz="4" w:space="0" w:color="auto"/>
              <w:bottom w:val="single" w:sz="4" w:space="0" w:color="auto"/>
              <w:right w:val="single" w:sz="4" w:space="0" w:color="auto"/>
            </w:tcBorders>
            <w:vAlign w:val="center"/>
            <w:hideMark/>
          </w:tcPr>
          <w:p w14:paraId="29A266DC"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34</w:t>
            </w:r>
          </w:p>
        </w:tc>
        <w:tc>
          <w:tcPr>
            <w:tcW w:w="475" w:type="dxa"/>
            <w:tcBorders>
              <w:top w:val="single" w:sz="4" w:space="0" w:color="auto"/>
              <w:left w:val="single" w:sz="4" w:space="0" w:color="auto"/>
              <w:bottom w:val="single" w:sz="4" w:space="0" w:color="auto"/>
              <w:right w:val="single" w:sz="4" w:space="0" w:color="auto"/>
            </w:tcBorders>
            <w:vAlign w:val="center"/>
            <w:hideMark/>
          </w:tcPr>
          <w:p w14:paraId="5650DAB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33</w:t>
            </w:r>
          </w:p>
        </w:tc>
        <w:tc>
          <w:tcPr>
            <w:tcW w:w="475" w:type="dxa"/>
            <w:tcBorders>
              <w:top w:val="single" w:sz="4" w:space="0" w:color="auto"/>
              <w:left w:val="single" w:sz="4" w:space="0" w:color="auto"/>
              <w:bottom w:val="single" w:sz="4" w:space="0" w:color="auto"/>
              <w:right w:val="single" w:sz="4" w:space="0" w:color="auto"/>
            </w:tcBorders>
            <w:vAlign w:val="center"/>
            <w:hideMark/>
          </w:tcPr>
          <w:p w14:paraId="76E4762C"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34</w:t>
            </w:r>
          </w:p>
        </w:tc>
        <w:tc>
          <w:tcPr>
            <w:tcW w:w="606" w:type="dxa"/>
            <w:tcBorders>
              <w:top w:val="single" w:sz="4" w:space="0" w:color="auto"/>
              <w:left w:val="single" w:sz="4" w:space="0" w:color="auto"/>
              <w:bottom w:val="single" w:sz="4" w:space="0" w:color="auto"/>
              <w:right w:val="single" w:sz="4" w:space="0" w:color="auto"/>
            </w:tcBorders>
            <w:vAlign w:val="center"/>
            <w:hideMark/>
          </w:tcPr>
          <w:p w14:paraId="35967D4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745</w:t>
            </w:r>
          </w:p>
        </w:tc>
        <w:tc>
          <w:tcPr>
            <w:tcW w:w="605" w:type="dxa"/>
            <w:tcBorders>
              <w:top w:val="single" w:sz="4" w:space="0" w:color="auto"/>
              <w:left w:val="single" w:sz="4" w:space="0" w:color="auto"/>
              <w:bottom w:val="single" w:sz="4" w:space="0" w:color="auto"/>
              <w:right w:val="single" w:sz="4" w:space="0" w:color="auto"/>
            </w:tcBorders>
            <w:vAlign w:val="center"/>
          </w:tcPr>
          <w:p w14:paraId="6951F4F9"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49</w:t>
            </w:r>
          </w:p>
        </w:tc>
      </w:tr>
      <w:tr w:rsidR="00B25121" w:rsidRPr="0023544D" w14:paraId="17ED8C71" w14:textId="77777777" w:rsidTr="00AB176F">
        <w:trPr>
          <w:trHeight w:hRule="exact" w:val="227"/>
          <w:jc w:val="center"/>
        </w:trPr>
        <w:tc>
          <w:tcPr>
            <w:tcW w:w="2934" w:type="dxa"/>
            <w:tcBorders>
              <w:right w:val="single" w:sz="4" w:space="0" w:color="auto"/>
            </w:tcBorders>
            <w:vAlign w:val="center"/>
            <w:hideMark/>
          </w:tcPr>
          <w:p w14:paraId="2DE1A195" w14:textId="77777777" w:rsidR="00B25121" w:rsidRPr="002D0727" w:rsidRDefault="00B25121" w:rsidP="00AB176F">
            <w:pPr>
              <w:spacing w:after="0" w:line="240" w:lineRule="auto"/>
              <w:ind w:firstLineChars="100" w:firstLine="140"/>
              <w:rPr>
                <w:rFonts w:ascii="Arial Mäori" w:eastAsia="Times New Roman" w:hAnsi="Arial Mäori" w:cs="Calibri"/>
                <w:sz w:val="14"/>
                <w:szCs w:val="14"/>
                <w:lang w:eastAsia="en-NZ"/>
              </w:rPr>
            </w:pPr>
            <w:r w:rsidRPr="002D0727">
              <w:rPr>
                <w:rFonts w:ascii="Arial" w:hAnsi="Arial"/>
                <w:sz w:val="14"/>
                <w:szCs w:val="14"/>
              </w:rPr>
              <w:t xml:space="preserve">Māori  </w:t>
            </w:r>
          </w:p>
        </w:tc>
        <w:tc>
          <w:tcPr>
            <w:tcW w:w="471" w:type="dxa"/>
            <w:tcBorders>
              <w:top w:val="single" w:sz="4" w:space="0" w:color="auto"/>
              <w:left w:val="single" w:sz="4" w:space="0" w:color="auto"/>
              <w:bottom w:val="single" w:sz="4" w:space="0" w:color="auto"/>
              <w:right w:val="single" w:sz="4" w:space="0" w:color="auto"/>
            </w:tcBorders>
            <w:vAlign w:val="center"/>
            <w:hideMark/>
          </w:tcPr>
          <w:p w14:paraId="4400A858"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29</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47224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25</w:t>
            </w:r>
          </w:p>
        </w:tc>
        <w:tc>
          <w:tcPr>
            <w:tcW w:w="470" w:type="dxa"/>
            <w:tcBorders>
              <w:top w:val="single" w:sz="4" w:space="0" w:color="auto"/>
              <w:left w:val="single" w:sz="4" w:space="0" w:color="auto"/>
              <w:bottom w:val="single" w:sz="4" w:space="0" w:color="auto"/>
              <w:right w:val="single" w:sz="4" w:space="0" w:color="auto"/>
            </w:tcBorders>
            <w:vAlign w:val="center"/>
            <w:hideMark/>
          </w:tcPr>
          <w:p w14:paraId="0BFB676C"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21</w:t>
            </w:r>
          </w:p>
        </w:tc>
        <w:tc>
          <w:tcPr>
            <w:tcW w:w="489" w:type="dxa"/>
            <w:tcBorders>
              <w:top w:val="single" w:sz="4" w:space="0" w:color="auto"/>
              <w:left w:val="single" w:sz="4" w:space="0" w:color="auto"/>
              <w:bottom w:val="single" w:sz="4" w:space="0" w:color="auto"/>
              <w:right w:val="single" w:sz="4" w:space="0" w:color="auto"/>
            </w:tcBorders>
            <w:vAlign w:val="center"/>
            <w:hideMark/>
          </w:tcPr>
          <w:p w14:paraId="46BB5B59"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17</w:t>
            </w:r>
          </w:p>
        </w:tc>
        <w:tc>
          <w:tcPr>
            <w:tcW w:w="471" w:type="dxa"/>
            <w:tcBorders>
              <w:top w:val="single" w:sz="4" w:space="0" w:color="auto"/>
              <w:left w:val="single" w:sz="4" w:space="0" w:color="auto"/>
              <w:bottom w:val="single" w:sz="4" w:space="0" w:color="auto"/>
              <w:right w:val="single" w:sz="8" w:space="0" w:color="auto"/>
            </w:tcBorders>
            <w:vAlign w:val="center"/>
            <w:hideMark/>
          </w:tcPr>
          <w:p w14:paraId="1CAC3941"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12</w:t>
            </w:r>
          </w:p>
        </w:tc>
        <w:tc>
          <w:tcPr>
            <w:tcW w:w="475" w:type="dxa"/>
            <w:tcBorders>
              <w:top w:val="single" w:sz="4" w:space="0" w:color="auto"/>
              <w:left w:val="single" w:sz="8" w:space="0" w:color="auto"/>
              <w:bottom w:val="single" w:sz="4" w:space="0" w:color="auto"/>
              <w:right w:val="single" w:sz="4" w:space="0" w:color="auto"/>
            </w:tcBorders>
            <w:vAlign w:val="center"/>
            <w:hideMark/>
          </w:tcPr>
          <w:p w14:paraId="161D36E0"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30</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CEF50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32</w:t>
            </w:r>
          </w:p>
        </w:tc>
        <w:tc>
          <w:tcPr>
            <w:tcW w:w="475" w:type="dxa"/>
            <w:tcBorders>
              <w:top w:val="single" w:sz="4" w:space="0" w:color="auto"/>
              <w:left w:val="single" w:sz="4" w:space="0" w:color="auto"/>
              <w:bottom w:val="single" w:sz="4" w:space="0" w:color="auto"/>
              <w:right w:val="single" w:sz="4" w:space="0" w:color="auto"/>
            </w:tcBorders>
            <w:vAlign w:val="center"/>
            <w:hideMark/>
          </w:tcPr>
          <w:p w14:paraId="139C177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34</w:t>
            </w:r>
          </w:p>
        </w:tc>
        <w:tc>
          <w:tcPr>
            <w:tcW w:w="475" w:type="dxa"/>
            <w:tcBorders>
              <w:top w:val="single" w:sz="4" w:space="0" w:color="auto"/>
              <w:left w:val="single" w:sz="4" w:space="0" w:color="auto"/>
              <w:bottom w:val="single" w:sz="4" w:space="0" w:color="auto"/>
              <w:right w:val="single" w:sz="4" w:space="0" w:color="auto"/>
            </w:tcBorders>
            <w:vAlign w:val="center"/>
            <w:hideMark/>
          </w:tcPr>
          <w:p w14:paraId="663C1F8B"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36</w:t>
            </w:r>
          </w:p>
        </w:tc>
        <w:tc>
          <w:tcPr>
            <w:tcW w:w="475" w:type="dxa"/>
            <w:tcBorders>
              <w:top w:val="single" w:sz="4" w:space="0" w:color="auto"/>
              <w:left w:val="single" w:sz="4" w:space="0" w:color="auto"/>
              <w:bottom w:val="single" w:sz="4" w:space="0" w:color="auto"/>
              <w:right w:val="single" w:sz="4" w:space="0" w:color="auto"/>
            </w:tcBorders>
            <w:vAlign w:val="center"/>
            <w:hideMark/>
          </w:tcPr>
          <w:p w14:paraId="2B92FB01"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36</w:t>
            </w:r>
          </w:p>
        </w:tc>
        <w:tc>
          <w:tcPr>
            <w:tcW w:w="606" w:type="dxa"/>
            <w:tcBorders>
              <w:top w:val="single" w:sz="4" w:space="0" w:color="auto"/>
              <w:left w:val="single" w:sz="4" w:space="0" w:color="auto"/>
              <w:bottom w:val="single" w:sz="4" w:space="0" w:color="auto"/>
              <w:right w:val="single" w:sz="4" w:space="0" w:color="auto"/>
            </w:tcBorders>
            <w:vAlign w:val="center"/>
            <w:hideMark/>
          </w:tcPr>
          <w:p w14:paraId="40B4113B"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305</w:t>
            </w:r>
          </w:p>
        </w:tc>
        <w:tc>
          <w:tcPr>
            <w:tcW w:w="605" w:type="dxa"/>
            <w:tcBorders>
              <w:top w:val="single" w:sz="4" w:space="0" w:color="auto"/>
              <w:left w:val="single" w:sz="4" w:space="0" w:color="auto"/>
              <w:bottom w:val="single" w:sz="4" w:space="0" w:color="auto"/>
              <w:right w:val="single" w:sz="4" w:space="0" w:color="auto"/>
            </w:tcBorders>
            <w:vAlign w:val="center"/>
          </w:tcPr>
          <w:p w14:paraId="5705E34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20</w:t>
            </w:r>
          </w:p>
        </w:tc>
      </w:tr>
      <w:tr w:rsidR="00B25121" w:rsidRPr="0023544D" w14:paraId="67A972FB" w14:textId="77777777" w:rsidTr="00AB176F">
        <w:trPr>
          <w:trHeight w:hRule="exact" w:val="227"/>
          <w:jc w:val="center"/>
        </w:trPr>
        <w:tc>
          <w:tcPr>
            <w:tcW w:w="2934" w:type="dxa"/>
            <w:tcBorders>
              <w:right w:val="single" w:sz="4" w:space="0" w:color="auto"/>
            </w:tcBorders>
            <w:vAlign w:val="center"/>
            <w:hideMark/>
          </w:tcPr>
          <w:p w14:paraId="0F317683" w14:textId="77777777" w:rsidR="00B25121" w:rsidRPr="002D0727" w:rsidRDefault="00B25121" w:rsidP="00AB176F">
            <w:pPr>
              <w:spacing w:after="0" w:line="240" w:lineRule="auto"/>
              <w:ind w:firstLineChars="100" w:firstLine="140"/>
              <w:rPr>
                <w:rFonts w:ascii="Arial Mäori" w:eastAsia="Times New Roman" w:hAnsi="Arial Mäori" w:cs="Calibri"/>
                <w:sz w:val="14"/>
                <w:szCs w:val="14"/>
                <w:lang w:eastAsia="en-NZ"/>
              </w:rPr>
            </w:pPr>
            <w:r w:rsidRPr="002D0727">
              <w:rPr>
                <w:rFonts w:ascii="Arial" w:hAnsi="Arial"/>
                <w:sz w:val="14"/>
                <w:szCs w:val="14"/>
              </w:rPr>
              <w:t>Pacific peoples</w:t>
            </w:r>
          </w:p>
        </w:tc>
        <w:tc>
          <w:tcPr>
            <w:tcW w:w="471" w:type="dxa"/>
            <w:tcBorders>
              <w:top w:val="single" w:sz="4" w:space="0" w:color="auto"/>
              <w:left w:val="single" w:sz="4" w:space="0" w:color="auto"/>
              <w:bottom w:val="single" w:sz="4" w:space="0" w:color="auto"/>
              <w:right w:val="single" w:sz="4" w:space="0" w:color="auto"/>
            </w:tcBorders>
            <w:vAlign w:val="center"/>
            <w:hideMark/>
          </w:tcPr>
          <w:p w14:paraId="779C408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40</w:t>
            </w:r>
          </w:p>
        </w:tc>
        <w:tc>
          <w:tcPr>
            <w:tcW w:w="470"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40654D9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31</w:t>
            </w:r>
          </w:p>
        </w:tc>
        <w:tc>
          <w:tcPr>
            <w:tcW w:w="470" w:type="dxa"/>
            <w:tcBorders>
              <w:top w:val="single" w:sz="4" w:space="0" w:color="auto"/>
              <w:left w:val="single" w:sz="4" w:space="0" w:color="auto"/>
              <w:bottom w:val="single" w:sz="4" w:space="0" w:color="auto"/>
              <w:right w:val="single" w:sz="4" w:space="0" w:color="auto"/>
            </w:tcBorders>
            <w:vAlign w:val="center"/>
            <w:hideMark/>
          </w:tcPr>
          <w:p w14:paraId="095DA6B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26</w:t>
            </w:r>
          </w:p>
        </w:tc>
        <w:tc>
          <w:tcPr>
            <w:tcW w:w="489" w:type="dxa"/>
            <w:tcBorders>
              <w:top w:val="single" w:sz="4" w:space="0" w:color="auto"/>
              <w:left w:val="single" w:sz="4" w:space="0" w:color="auto"/>
              <w:bottom w:val="single" w:sz="4" w:space="0" w:color="auto"/>
              <w:right w:val="single" w:sz="4" w:space="0" w:color="auto"/>
            </w:tcBorders>
            <w:vAlign w:val="center"/>
            <w:hideMark/>
          </w:tcPr>
          <w:p w14:paraId="68D0A72B"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20</w:t>
            </w:r>
          </w:p>
        </w:tc>
        <w:tc>
          <w:tcPr>
            <w:tcW w:w="471" w:type="dxa"/>
            <w:tcBorders>
              <w:top w:val="single" w:sz="4" w:space="0" w:color="auto"/>
              <w:left w:val="single" w:sz="4" w:space="0" w:color="auto"/>
              <w:bottom w:val="single" w:sz="4" w:space="0" w:color="auto"/>
              <w:right w:val="single" w:sz="8" w:space="0" w:color="auto"/>
            </w:tcBorders>
            <w:vAlign w:val="center"/>
            <w:hideMark/>
          </w:tcPr>
          <w:p w14:paraId="27AA18C7"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15</w:t>
            </w:r>
          </w:p>
        </w:tc>
        <w:tc>
          <w:tcPr>
            <w:tcW w:w="475" w:type="dxa"/>
            <w:tcBorders>
              <w:top w:val="single" w:sz="4" w:space="0" w:color="auto"/>
              <w:left w:val="single" w:sz="8" w:space="0" w:color="auto"/>
              <w:bottom w:val="single" w:sz="4" w:space="0" w:color="auto"/>
              <w:right w:val="single" w:sz="4" w:space="0" w:color="auto"/>
            </w:tcBorders>
            <w:vAlign w:val="center"/>
            <w:hideMark/>
          </w:tcPr>
          <w:p w14:paraId="4385634F"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23</w:t>
            </w:r>
          </w:p>
        </w:tc>
        <w:tc>
          <w:tcPr>
            <w:tcW w:w="47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F3F9F7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23</w:t>
            </w:r>
          </w:p>
        </w:tc>
        <w:tc>
          <w:tcPr>
            <w:tcW w:w="475" w:type="dxa"/>
            <w:tcBorders>
              <w:top w:val="single" w:sz="4" w:space="0" w:color="auto"/>
              <w:left w:val="single" w:sz="4" w:space="0" w:color="auto"/>
              <w:bottom w:val="single" w:sz="4" w:space="0" w:color="auto"/>
              <w:right w:val="single" w:sz="4" w:space="0" w:color="auto"/>
            </w:tcBorders>
            <w:vAlign w:val="center"/>
            <w:hideMark/>
          </w:tcPr>
          <w:p w14:paraId="76D4B8C5"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24</w:t>
            </w:r>
          </w:p>
        </w:tc>
        <w:tc>
          <w:tcPr>
            <w:tcW w:w="475" w:type="dxa"/>
            <w:tcBorders>
              <w:top w:val="single" w:sz="4" w:space="0" w:color="auto"/>
              <w:left w:val="single" w:sz="4" w:space="0" w:color="auto"/>
              <w:bottom w:val="single" w:sz="4" w:space="0" w:color="auto"/>
              <w:right w:val="single" w:sz="4" w:space="0" w:color="auto"/>
            </w:tcBorders>
            <w:vAlign w:val="center"/>
            <w:hideMark/>
          </w:tcPr>
          <w:p w14:paraId="59C14E2F"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24</w:t>
            </w:r>
          </w:p>
        </w:tc>
        <w:tc>
          <w:tcPr>
            <w:tcW w:w="475" w:type="dxa"/>
            <w:tcBorders>
              <w:top w:val="single" w:sz="4" w:space="0" w:color="auto"/>
              <w:left w:val="single" w:sz="4" w:space="0" w:color="auto"/>
              <w:bottom w:val="single" w:sz="4" w:space="0" w:color="auto"/>
              <w:right w:val="single" w:sz="4" w:space="0" w:color="auto"/>
            </w:tcBorders>
            <w:vAlign w:val="center"/>
            <w:hideMark/>
          </w:tcPr>
          <w:p w14:paraId="67E13B36"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25</w:t>
            </w:r>
          </w:p>
        </w:tc>
        <w:tc>
          <w:tcPr>
            <w:tcW w:w="606" w:type="dxa"/>
            <w:tcBorders>
              <w:top w:val="single" w:sz="4" w:space="0" w:color="auto"/>
              <w:left w:val="single" w:sz="4" w:space="0" w:color="auto"/>
              <w:bottom w:val="single" w:sz="4" w:space="0" w:color="auto"/>
              <w:right w:val="single" w:sz="4" w:space="0" w:color="auto"/>
            </w:tcBorders>
            <w:vAlign w:val="center"/>
            <w:hideMark/>
          </w:tcPr>
          <w:p w14:paraId="46A9742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175</w:t>
            </w:r>
          </w:p>
        </w:tc>
        <w:tc>
          <w:tcPr>
            <w:tcW w:w="605" w:type="dxa"/>
            <w:tcBorders>
              <w:top w:val="single" w:sz="4" w:space="0" w:color="auto"/>
              <w:left w:val="single" w:sz="4" w:space="0" w:color="auto"/>
              <w:bottom w:val="single" w:sz="4" w:space="0" w:color="auto"/>
              <w:right w:val="single" w:sz="4" w:space="0" w:color="auto"/>
            </w:tcBorders>
            <w:vAlign w:val="center"/>
          </w:tcPr>
          <w:p w14:paraId="6DDA3829"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12</w:t>
            </w:r>
          </w:p>
        </w:tc>
      </w:tr>
      <w:tr w:rsidR="00B25121" w:rsidRPr="0023544D" w14:paraId="3385D96B" w14:textId="77777777" w:rsidTr="00AB176F">
        <w:trPr>
          <w:trHeight w:hRule="exact" w:val="227"/>
          <w:jc w:val="center"/>
        </w:trPr>
        <w:tc>
          <w:tcPr>
            <w:tcW w:w="2934" w:type="dxa"/>
            <w:tcBorders>
              <w:right w:val="single" w:sz="4" w:space="0" w:color="auto"/>
            </w:tcBorders>
            <w:vAlign w:val="center"/>
            <w:hideMark/>
          </w:tcPr>
          <w:p w14:paraId="6AACEB36" w14:textId="77777777" w:rsidR="00B25121" w:rsidRPr="002D0727" w:rsidRDefault="00B25121" w:rsidP="00AB176F">
            <w:pPr>
              <w:spacing w:after="0" w:line="240" w:lineRule="auto"/>
              <w:ind w:firstLineChars="100" w:firstLine="140"/>
              <w:rPr>
                <w:rFonts w:ascii="Arial Mäori" w:eastAsia="Times New Roman" w:hAnsi="Arial Mäori" w:cs="Calibri"/>
                <w:sz w:val="14"/>
                <w:szCs w:val="14"/>
                <w:lang w:eastAsia="en-NZ"/>
              </w:rPr>
            </w:pPr>
            <w:r w:rsidRPr="002D0727">
              <w:rPr>
                <w:rFonts w:ascii="Arial" w:hAnsi="Arial"/>
                <w:sz w:val="14"/>
                <w:szCs w:val="14"/>
              </w:rPr>
              <w:t xml:space="preserve">Asian </w:t>
            </w:r>
          </w:p>
        </w:tc>
        <w:tc>
          <w:tcPr>
            <w:tcW w:w="471" w:type="dxa"/>
            <w:tcBorders>
              <w:top w:val="single" w:sz="4" w:space="0" w:color="auto"/>
              <w:left w:val="single" w:sz="4" w:space="0" w:color="auto"/>
              <w:bottom w:val="single" w:sz="4" w:space="0" w:color="auto"/>
              <w:right w:val="single" w:sz="4" w:space="0" w:color="auto"/>
            </w:tcBorders>
            <w:vAlign w:val="center"/>
            <w:hideMark/>
          </w:tcPr>
          <w:p w14:paraId="06C86344"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9</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94E9B7"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6</w:t>
            </w:r>
          </w:p>
        </w:tc>
        <w:tc>
          <w:tcPr>
            <w:tcW w:w="470" w:type="dxa"/>
            <w:tcBorders>
              <w:top w:val="single" w:sz="4" w:space="0" w:color="auto"/>
              <w:left w:val="single" w:sz="4" w:space="0" w:color="auto"/>
              <w:bottom w:val="single" w:sz="4" w:space="0" w:color="auto"/>
              <w:right w:val="single" w:sz="4" w:space="0" w:color="auto"/>
            </w:tcBorders>
            <w:vAlign w:val="center"/>
            <w:hideMark/>
          </w:tcPr>
          <w:p w14:paraId="7BD6EC4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489" w:type="dxa"/>
            <w:tcBorders>
              <w:top w:val="single" w:sz="4" w:space="0" w:color="auto"/>
              <w:left w:val="single" w:sz="4" w:space="0" w:color="auto"/>
              <w:bottom w:val="single" w:sz="4" w:space="0" w:color="auto"/>
              <w:right w:val="single" w:sz="4" w:space="0" w:color="auto"/>
            </w:tcBorders>
            <w:vAlign w:val="center"/>
            <w:hideMark/>
          </w:tcPr>
          <w:p w14:paraId="7F33D8C7"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w:t>
            </w:r>
          </w:p>
        </w:tc>
        <w:tc>
          <w:tcPr>
            <w:tcW w:w="471" w:type="dxa"/>
            <w:tcBorders>
              <w:top w:val="single" w:sz="4" w:space="0" w:color="auto"/>
              <w:left w:val="single" w:sz="4" w:space="0" w:color="auto"/>
              <w:bottom w:val="single" w:sz="4" w:space="0" w:color="auto"/>
              <w:right w:val="single" w:sz="8" w:space="0" w:color="auto"/>
            </w:tcBorders>
            <w:vAlign w:val="center"/>
            <w:hideMark/>
          </w:tcPr>
          <w:p w14:paraId="03103AE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w:t>
            </w:r>
          </w:p>
        </w:tc>
        <w:tc>
          <w:tcPr>
            <w:tcW w:w="475" w:type="dxa"/>
            <w:tcBorders>
              <w:top w:val="single" w:sz="4" w:space="0" w:color="auto"/>
              <w:left w:val="single" w:sz="8" w:space="0" w:color="auto"/>
              <w:bottom w:val="single" w:sz="4" w:space="0" w:color="auto"/>
              <w:right w:val="single" w:sz="4" w:space="0" w:color="auto"/>
            </w:tcBorders>
            <w:vAlign w:val="center"/>
            <w:hideMark/>
          </w:tcPr>
          <w:p w14:paraId="20B0D6C9"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8</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2CA434"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6</w:t>
            </w:r>
          </w:p>
        </w:tc>
        <w:tc>
          <w:tcPr>
            <w:tcW w:w="475" w:type="dxa"/>
            <w:tcBorders>
              <w:top w:val="single" w:sz="4" w:space="0" w:color="auto"/>
              <w:left w:val="single" w:sz="4" w:space="0" w:color="auto"/>
              <w:bottom w:val="single" w:sz="4" w:space="0" w:color="auto"/>
              <w:right w:val="single" w:sz="4" w:space="0" w:color="auto"/>
            </w:tcBorders>
            <w:vAlign w:val="center"/>
            <w:hideMark/>
          </w:tcPr>
          <w:p w14:paraId="3AA43EC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4</w:t>
            </w:r>
          </w:p>
        </w:tc>
        <w:tc>
          <w:tcPr>
            <w:tcW w:w="475" w:type="dxa"/>
            <w:tcBorders>
              <w:top w:val="single" w:sz="4" w:space="0" w:color="auto"/>
              <w:left w:val="single" w:sz="4" w:space="0" w:color="auto"/>
              <w:bottom w:val="single" w:sz="4" w:space="0" w:color="auto"/>
              <w:right w:val="single" w:sz="4" w:space="0" w:color="auto"/>
            </w:tcBorders>
            <w:vAlign w:val="center"/>
            <w:hideMark/>
          </w:tcPr>
          <w:p w14:paraId="4A0A0521"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4</w:t>
            </w:r>
          </w:p>
        </w:tc>
        <w:tc>
          <w:tcPr>
            <w:tcW w:w="475" w:type="dxa"/>
            <w:tcBorders>
              <w:top w:val="single" w:sz="4" w:space="0" w:color="auto"/>
              <w:left w:val="single" w:sz="4" w:space="0" w:color="auto"/>
              <w:bottom w:val="single" w:sz="4" w:space="0" w:color="auto"/>
              <w:right w:val="single" w:sz="4" w:space="0" w:color="auto"/>
            </w:tcBorders>
            <w:vAlign w:val="center"/>
            <w:hideMark/>
          </w:tcPr>
          <w:p w14:paraId="7D73A7D7"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606" w:type="dxa"/>
            <w:tcBorders>
              <w:top w:val="single" w:sz="4" w:space="0" w:color="auto"/>
              <w:left w:val="single" w:sz="4" w:space="0" w:color="auto"/>
              <w:bottom w:val="single" w:sz="4" w:space="0" w:color="auto"/>
              <w:right w:val="single" w:sz="4" w:space="0" w:color="auto"/>
            </w:tcBorders>
            <w:vAlign w:val="center"/>
            <w:hideMark/>
          </w:tcPr>
          <w:p w14:paraId="58FACFA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250</w:t>
            </w:r>
          </w:p>
        </w:tc>
        <w:tc>
          <w:tcPr>
            <w:tcW w:w="605" w:type="dxa"/>
            <w:tcBorders>
              <w:top w:val="single" w:sz="4" w:space="0" w:color="auto"/>
              <w:left w:val="single" w:sz="4" w:space="0" w:color="auto"/>
              <w:bottom w:val="single" w:sz="4" w:space="0" w:color="auto"/>
              <w:right w:val="single" w:sz="4" w:space="0" w:color="auto"/>
            </w:tcBorders>
            <w:vAlign w:val="center"/>
          </w:tcPr>
          <w:p w14:paraId="28FE0155"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16</w:t>
            </w:r>
          </w:p>
        </w:tc>
      </w:tr>
      <w:tr w:rsidR="00B25121" w:rsidRPr="0023544D" w14:paraId="33F562BE" w14:textId="77777777" w:rsidTr="00AB176F">
        <w:trPr>
          <w:trHeight w:hRule="exact" w:val="227"/>
          <w:jc w:val="center"/>
        </w:trPr>
        <w:tc>
          <w:tcPr>
            <w:tcW w:w="2934" w:type="dxa"/>
            <w:tcBorders>
              <w:right w:val="single" w:sz="4" w:space="0" w:color="auto"/>
            </w:tcBorders>
            <w:vAlign w:val="center"/>
            <w:hideMark/>
          </w:tcPr>
          <w:p w14:paraId="30F2B8E9" w14:textId="77777777" w:rsidR="00B25121" w:rsidRPr="002D0727" w:rsidRDefault="00B25121" w:rsidP="00AB176F">
            <w:pPr>
              <w:spacing w:after="0" w:line="240" w:lineRule="auto"/>
              <w:ind w:firstLineChars="100" w:firstLine="140"/>
              <w:rPr>
                <w:rFonts w:ascii="Arial Mäori" w:eastAsia="Times New Roman" w:hAnsi="Arial Mäori" w:cs="Calibri"/>
                <w:sz w:val="14"/>
                <w:szCs w:val="14"/>
                <w:lang w:eastAsia="en-NZ"/>
              </w:rPr>
            </w:pPr>
            <w:r w:rsidRPr="002D0727">
              <w:rPr>
                <w:rFonts w:ascii="Arial" w:hAnsi="Arial"/>
                <w:sz w:val="14"/>
                <w:szCs w:val="14"/>
              </w:rPr>
              <w:t xml:space="preserve">Other </w:t>
            </w:r>
          </w:p>
        </w:tc>
        <w:tc>
          <w:tcPr>
            <w:tcW w:w="471" w:type="dxa"/>
            <w:tcBorders>
              <w:top w:val="single" w:sz="4" w:space="0" w:color="auto"/>
              <w:left w:val="single" w:sz="4" w:space="0" w:color="auto"/>
              <w:bottom w:val="single" w:sz="4" w:space="0" w:color="auto"/>
              <w:right w:val="single" w:sz="4" w:space="0" w:color="auto"/>
            </w:tcBorders>
            <w:vAlign w:val="center"/>
            <w:hideMark/>
          </w:tcPr>
          <w:p w14:paraId="6AAC90B8"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19</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938C705"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18</w:t>
            </w:r>
          </w:p>
        </w:tc>
        <w:tc>
          <w:tcPr>
            <w:tcW w:w="470" w:type="dxa"/>
            <w:tcBorders>
              <w:top w:val="single" w:sz="4" w:space="0" w:color="auto"/>
              <w:left w:val="single" w:sz="4" w:space="0" w:color="auto"/>
              <w:bottom w:val="single" w:sz="4" w:space="0" w:color="auto"/>
              <w:right w:val="single" w:sz="4" w:space="0" w:color="auto"/>
            </w:tcBorders>
            <w:vAlign w:val="center"/>
            <w:hideMark/>
          </w:tcPr>
          <w:p w14:paraId="12380567"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14</w:t>
            </w:r>
          </w:p>
        </w:tc>
        <w:tc>
          <w:tcPr>
            <w:tcW w:w="489" w:type="dxa"/>
            <w:tcBorders>
              <w:top w:val="single" w:sz="4" w:space="0" w:color="auto"/>
              <w:left w:val="single" w:sz="4" w:space="0" w:color="auto"/>
              <w:bottom w:val="single" w:sz="4" w:space="0" w:color="auto"/>
              <w:right w:val="single" w:sz="4" w:space="0" w:color="auto"/>
            </w:tcBorders>
            <w:vAlign w:val="center"/>
            <w:hideMark/>
          </w:tcPr>
          <w:p w14:paraId="0A33FA31"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9</w:t>
            </w:r>
          </w:p>
        </w:tc>
        <w:tc>
          <w:tcPr>
            <w:tcW w:w="471" w:type="dxa"/>
            <w:tcBorders>
              <w:top w:val="single" w:sz="4" w:space="0" w:color="auto"/>
              <w:left w:val="single" w:sz="4" w:space="0" w:color="auto"/>
              <w:bottom w:val="single" w:sz="4" w:space="0" w:color="auto"/>
              <w:right w:val="single" w:sz="8" w:space="0" w:color="auto"/>
            </w:tcBorders>
            <w:vAlign w:val="center"/>
            <w:hideMark/>
          </w:tcPr>
          <w:p w14:paraId="0711DF01"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7</w:t>
            </w:r>
          </w:p>
        </w:tc>
        <w:tc>
          <w:tcPr>
            <w:tcW w:w="475" w:type="dxa"/>
            <w:tcBorders>
              <w:top w:val="single" w:sz="4" w:space="0" w:color="auto"/>
              <w:left w:val="single" w:sz="8" w:space="0" w:color="auto"/>
              <w:bottom w:val="single" w:sz="4" w:space="0" w:color="auto"/>
              <w:right w:val="single" w:sz="4" w:space="0" w:color="auto"/>
            </w:tcBorders>
            <w:vAlign w:val="center"/>
            <w:hideMark/>
          </w:tcPr>
          <w:p w14:paraId="53A4DB7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685381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475" w:type="dxa"/>
            <w:tcBorders>
              <w:top w:val="single" w:sz="4" w:space="0" w:color="auto"/>
              <w:left w:val="single" w:sz="4" w:space="0" w:color="auto"/>
              <w:bottom w:val="single" w:sz="4" w:space="0" w:color="auto"/>
              <w:right w:val="single" w:sz="4" w:space="0" w:color="auto"/>
            </w:tcBorders>
            <w:vAlign w:val="center"/>
            <w:hideMark/>
          </w:tcPr>
          <w:p w14:paraId="6FC63AA6"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475" w:type="dxa"/>
            <w:tcBorders>
              <w:top w:val="single" w:sz="4" w:space="0" w:color="auto"/>
              <w:left w:val="single" w:sz="4" w:space="0" w:color="auto"/>
              <w:bottom w:val="single" w:sz="4" w:space="0" w:color="auto"/>
              <w:right w:val="single" w:sz="4" w:space="0" w:color="auto"/>
            </w:tcBorders>
            <w:vAlign w:val="center"/>
            <w:hideMark/>
          </w:tcPr>
          <w:p w14:paraId="22C4E03A"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475" w:type="dxa"/>
            <w:tcBorders>
              <w:top w:val="single" w:sz="4" w:space="0" w:color="auto"/>
              <w:left w:val="single" w:sz="4" w:space="0" w:color="auto"/>
              <w:bottom w:val="single" w:sz="4" w:space="0" w:color="auto"/>
              <w:right w:val="single" w:sz="4" w:space="0" w:color="auto"/>
            </w:tcBorders>
            <w:vAlign w:val="center"/>
            <w:hideMark/>
          </w:tcPr>
          <w:p w14:paraId="75DAD687"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3</w:t>
            </w:r>
          </w:p>
        </w:tc>
        <w:tc>
          <w:tcPr>
            <w:tcW w:w="606" w:type="dxa"/>
            <w:tcBorders>
              <w:top w:val="single" w:sz="4" w:space="0" w:color="auto"/>
              <w:left w:val="single" w:sz="4" w:space="0" w:color="auto"/>
              <w:bottom w:val="single" w:sz="4" w:space="0" w:color="auto"/>
              <w:right w:val="single" w:sz="4" w:space="0" w:color="auto"/>
            </w:tcBorders>
            <w:vAlign w:val="center"/>
            <w:hideMark/>
          </w:tcPr>
          <w:p w14:paraId="6764E17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40</w:t>
            </w:r>
          </w:p>
        </w:tc>
        <w:tc>
          <w:tcPr>
            <w:tcW w:w="605" w:type="dxa"/>
            <w:tcBorders>
              <w:top w:val="single" w:sz="4" w:space="0" w:color="auto"/>
              <w:left w:val="single" w:sz="4" w:space="0" w:color="auto"/>
              <w:bottom w:val="single" w:sz="4" w:space="0" w:color="auto"/>
              <w:right w:val="single" w:sz="4" w:space="0" w:color="auto"/>
            </w:tcBorders>
            <w:vAlign w:val="center"/>
          </w:tcPr>
          <w:p w14:paraId="242B80B5"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3</w:t>
            </w:r>
          </w:p>
        </w:tc>
      </w:tr>
      <w:tr w:rsidR="00B25121" w:rsidRPr="0023544D" w14:paraId="0548ECBF" w14:textId="77777777" w:rsidTr="00AB176F">
        <w:trPr>
          <w:trHeight w:hRule="exact" w:val="227"/>
          <w:jc w:val="center"/>
        </w:trPr>
        <w:tc>
          <w:tcPr>
            <w:tcW w:w="2934" w:type="dxa"/>
            <w:tcBorders>
              <w:right w:val="single" w:sz="4" w:space="0" w:color="auto"/>
            </w:tcBorders>
            <w:vAlign w:val="center"/>
            <w:hideMark/>
          </w:tcPr>
          <w:p w14:paraId="67D9D555" w14:textId="77777777" w:rsidR="00B25121" w:rsidRPr="002D0727" w:rsidRDefault="00B25121" w:rsidP="00AB176F">
            <w:pPr>
              <w:spacing w:after="0" w:line="240" w:lineRule="auto"/>
              <w:rPr>
                <w:rFonts w:ascii="Arial Mäori" w:eastAsia="Times New Roman" w:hAnsi="Arial Mäori" w:cs="Calibri"/>
                <w:sz w:val="14"/>
                <w:szCs w:val="14"/>
                <w:lang w:eastAsia="en-NZ"/>
              </w:rPr>
            </w:pPr>
            <w:r w:rsidRPr="002D0727">
              <w:rPr>
                <w:rFonts w:ascii="Arial" w:hAnsi="Arial"/>
                <w:b/>
                <w:bCs/>
                <w:sz w:val="14"/>
                <w:szCs w:val="14"/>
              </w:rPr>
              <w:t>Ethnicity (prioritised)</w:t>
            </w:r>
          </w:p>
        </w:tc>
        <w:tc>
          <w:tcPr>
            <w:tcW w:w="471" w:type="dxa"/>
            <w:tcBorders>
              <w:top w:val="single" w:sz="4" w:space="0" w:color="auto"/>
              <w:left w:val="single" w:sz="4" w:space="0" w:color="auto"/>
              <w:bottom w:val="single" w:sz="4" w:space="0" w:color="auto"/>
              <w:right w:val="single" w:sz="4" w:space="0" w:color="auto"/>
            </w:tcBorders>
            <w:vAlign w:val="center"/>
            <w:hideMark/>
          </w:tcPr>
          <w:p w14:paraId="2ADA1491"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53CDBB"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0" w:type="dxa"/>
            <w:tcBorders>
              <w:top w:val="single" w:sz="4" w:space="0" w:color="auto"/>
              <w:left w:val="single" w:sz="4" w:space="0" w:color="auto"/>
              <w:bottom w:val="single" w:sz="4" w:space="0" w:color="auto"/>
              <w:right w:val="single" w:sz="4" w:space="0" w:color="auto"/>
            </w:tcBorders>
            <w:vAlign w:val="center"/>
            <w:hideMark/>
          </w:tcPr>
          <w:p w14:paraId="29082440"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89" w:type="dxa"/>
            <w:tcBorders>
              <w:top w:val="single" w:sz="4" w:space="0" w:color="auto"/>
              <w:left w:val="single" w:sz="4" w:space="0" w:color="auto"/>
              <w:bottom w:val="single" w:sz="4" w:space="0" w:color="auto"/>
              <w:right w:val="single" w:sz="4" w:space="0" w:color="auto"/>
            </w:tcBorders>
            <w:vAlign w:val="center"/>
            <w:hideMark/>
          </w:tcPr>
          <w:p w14:paraId="38637042"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1" w:type="dxa"/>
            <w:tcBorders>
              <w:top w:val="single" w:sz="4" w:space="0" w:color="auto"/>
              <w:left w:val="single" w:sz="4" w:space="0" w:color="auto"/>
              <w:bottom w:val="single" w:sz="4" w:space="0" w:color="auto"/>
              <w:right w:val="single" w:sz="8" w:space="0" w:color="auto"/>
            </w:tcBorders>
            <w:vAlign w:val="center"/>
            <w:hideMark/>
          </w:tcPr>
          <w:p w14:paraId="59D678FB"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5" w:type="dxa"/>
            <w:tcBorders>
              <w:top w:val="single" w:sz="4" w:space="0" w:color="auto"/>
              <w:left w:val="single" w:sz="8" w:space="0" w:color="auto"/>
              <w:bottom w:val="single" w:sz="4" w:space="0" w:color="auto"/>
              <w:right w:val="single" w:sz="4" w:space="0" w:color="auto"/>
            </w:tcBorders>
            <w:vAlign w:val="center"/>
            <w:hideMark/>
          </w:tcPr>
          <w:p w14:paraId="13EC0955"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12EB4A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vAlign w:val="center"/>
            <w:hideMark/>
          </w:tcPr>
          <w:p w14:paraId="57D656E5"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vAlign w:val="center"/>
            <w:hideMark/>
          </w:tcPr>
          <w:p w14:paraId="54D0674E"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475" w:type="dxa"/>
            <w:tcBorders>
              <w:top w:val="single" w:sz="4" w:space="0" w:color="auto"/>
              <w:left w:val="single" w:sz="4" w:space="0" w:color="auto"/>
              <w:bottom w:val="single" w:sz="4" w:space="0" w:color="auto"/>
              <w:right w:val="single" w:sz="4" w:space="0" w:color="auto"/>
            </w:tcBorders>
            <w:vAlign w:val="center"/>
            <w:hideMark/>
          </w:tcPr>
          <w:p w14:paraId="5A180C8D"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606" w:type="dxa"/>
            <w:tcBorders>
              <w:top w:val="single" w:sz="4" w:space="0" w:color="auto"/>
              <w:left w:val="single" w:sz="4" w:space="0" w:color="auto"/>
              <w:bottom w:val="single" w:sz="4" w:space="0" w:color="auto"/>
              <w:right w:val="single" w:sz="4" w:space="0" w:color="auto"/>
            </w:tcBorders>
            <w:vAlign w:val="center"/>
            <w:hideMark/>
          </w:tcPr>
          <w:p w14:paraId="67A668AB" w14:textId="77777777" w:rsidR="00B25121" w:rsidRPr="002D0727" w:rsidRDefault="00B25121" w:rsidP="00AB176F">
            <w:pPr>
              <w:spacing w:after="0" w:line="240" w:lineRule="auto"/>
              <w:jc w:val="center"/>
              <w:rPr>
                <w:rFonts w:ascii="Arial" w:eastAsia="Times New Roman" w:hAnsi="Arial" w:cs="Times New Roman"/>
                <w:sz w:val="14"/>
                <w:szCs w:val="14"/>
              </w:rPr>
            </w:pPr>
            <w:r>
              <w:rPr>
                <w:rFonts w:ascii="Arial" w:hAnsi="Arial"/>
                <w:color w:val="000000"/>
                <w:sz w:val="14"/>
                <w:szCs w:val="14"/>
              </w:rPr>
              <w:t> </w:t>
            </w:r>
          </w:p>
        </w:tc>
        <w:tc>
          <w:tcPr>
            <w:tcW w:w="605" w:type="dxa"/>
            <w:tcBorders>
              <w:top w:val="single" w:sz="4" w:space="0" w:color="auto"/>
              <w:left w:val="single" w:sz="4" w:space="0" w:color="auto"/>
              <w:bottom w:val="single" w:sz="4" w:space="0" w:color="auto"/>
              <w:right w:val="single" w:sz="4" w:space="0" w:color="auto"/>
            </w:tcBorders>
            <w:vAlign w:val="center"/>
          </w:tcPr>
          <w:p w14:paraId="760A5417"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 </w:t>
            </w:r>
          </w:p>
        </w:tc>
      </w:tr>
      <w:tr w:rsidR="00B25121" w:rsidRPr="0023544D" w14:paraId="17ED52BC" w14:textId="77777777" w:rsidTr="00AB176F">
        <w:trPr>
          <w:trHeight w:hRule="exact" w:val="227"/>
          <w:jc w:val="center"/>
        </w:trPr>
        <w:tc>
          <w:tcPr>
            <w:tcW w:w="2934" w:type="dxa"/>
            <w:tcBorders>
              <w:right w:val="single" w:sz="4" w:space="0" w:color="auto"/>
            </w:tcBorders>
            <w:vAlign w:val="center"/>
          </w:tcPr>
          <w:p w14:paraId="59AF0E90" w14:textId="77777777" w:rsidR="00B25121" w:rsidRPr="002D0727" w:rsidRDefault="00B25121" w:rsidP="00AB176F">
            <w:pPr>
              <w:spacing w:after="0" w:line="240" w:lineRule="auto"/>
              <w:rPr>
                <w:rFonts w:ascii="Arial" w:hAnsi="Arial"/>
                <w:sz w:val="14"/>
                <w:szCs w:val="14"/>
              </w:rPr>
            </w:pPr>
            <w:r w:rsidRPr="002D0727">
              <w:rPr>
                <w:rFonts w:ascii="Arial" w:hAnsi="Arial"/>
                <w:sz w:val="14"/>
                <w:szCs w:val="14"/>
              </w:rPr>
              <w:t xml:space="preserve">    European</w:t>
            </w:r>
          </w:p>
        </w:tc>
        <w:tc>
          <w:tcPr>
            <w:tcW w:w="471" w:type="dxa"/>
            <w:tcBorders>
              <w:top w:val="single" w:sz="4" w:space="0" w:color="auto"/>
              <w:left w:val="single" w:sz="4" w:space="0" w:color="auto"/>
              <w:bottom w:val="single" w:sz="4" w:space="0" w:color="auto"/>
              <w:right w:val="single" w:sz="4" w:space="0" w:color="auto"/>
            </w:tcBorders>
            <w:vAlign w:val="center"/>
          </w:tcPr>
          <w:p w14:paraId="2BCE867A"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10</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tcPr>
          <w:p w14:paraId="2D09B9D5"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8</w:t>
            </w:r>
          </w:p>
        </w:tc>
        <w:tc>
          <w:tcPr>
            <w:tcW w:w="470" w:type="dxa"/>
            <w:tcBorders>
              <w:top w:val="single" w:sz="4" w:space="0" w:color="auto"/>
              <w:left w:val="single" w:sz="4" w:space="0" w:color="auto"/>
              <w:bottom w:val="single" w:sz="4" w:space="0" w:color="auto"/>
              <w:right w:val="single" w:sz="4" w:space="0" w:color="auto"/>
            </w:tcBorders>
            <w:vAlign w:val="center"/>
          </w:tcPr>
          <w:p w14:paraId="692AED1A"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w:t>
            </w:r>
          </w:p>
        </w:tc>
        <w:tc>
          <w:tcPr>
            <w:tcW w:w="489" w:type="dxa"/>
            <w:tcBorders>
              <w:top w:val="single" w:sz="4" w:space="0" w:color="auto"/>
              <w:left w:val="single" w:sz="4" w:space="0" w:color="auto"/>
              <w:bottom w:val="single" w:sz="4" w:space="0" w:color="auto"/>
              <w:right w:val="single" w:sz="4" w:space="0" w:color="auto"/>
            </w:tcBorders>
            <w:vAlign w:val="center"/>
          </w:tcPr>
          <w:p w14:paraId="2ED6FEA6"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w:t>
            </w:r>
          </w:p>
        </w:tc>
        <w:tc>
          <w:tcPr>
            <w:tcW w:w="471" w:type="dxa"/>
            <w:tcBorders>
              <w:top w:val="single" w:sz="4" w:space="0" w:color="auto"/>
              <w:left w:val="single" w:sz="4" w:space="0" w:color="auto"/>
              <w:bottom w:val="single" w:sz="4" w:space="0" w:color="auto"/>
              <w:right w:val="single" w:sz="8" w:space="0" w:color="auto"/>
            </w:tcBorders>
            <w:vAlign w:val="center"/>
          </w:tcPr>
          <w:p w14:paraId="08F3F7F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3</w:t>
            </w:r>
          </w:p>
        </w:tc>
        <w:tc>
          <w:tcPr>
            <w:tcW w:w="475" w:type="dxa"/>
            <w:tcBorders>
              <w:top w:val="single" w:sz="4" w:space="0" w:color="auto"/>
              <w:left w:val="single" w:sz="8" w:space="0" w:color="auto"/>
              <w:bottom w:val="single" w:sz="4" w:space="0" w:color="auto"/>
              <w:right w:val="single" w:sz="4" w:space="0" w:color="auto"/>
            </w:tcBorders>
            <w:vAlign w:val="center"/>
          </w:tcPr>
          <w:p w14:paraId="127D0B36"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24</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tcPr>
          <w:p w14:paraId="6223E4D7"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23</w:t>
            </w:r>
          </w:p>
        </w:tc>
        <w:tc>
          <w:tcPr>
            <w:tcW w:w="475" w:type="dxa"/>
            <w:tcBorders>
              <w:top w:val="single" w:sz="4" w:space="0" w:color="auto"/>
              <w:left w:val="single" w:sz="4" w:space="0" w:color="auto"/>
              <w:bottom w:val="single" w:sz="4" w:space="0" w:color="auto"/>
              <w:right w:val="single" w:sz="4" w:space="0" w:color="auto"/>
            </w:tcBorders>
            <w:vAlign w:val="center"/>
          </w:tcPr>
          <w:p w14:paraId="160EFE39"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20</w:t>
            </w:r>
          </w:p>
        </w:tc>
        <w:tc>
          <w:tcPr>
            <w:tcW w:w="475" w:type="dxa"/>
            <w:tcBorders>
              <w:top w:val="single" w:sz="4" w:space="0" w:color="auto"/>
              <w:left w:val="single" w:sz="4" w:space="0" w:color="auto"/>
              <w:bottom w:val="single" w:sz="4" w:space="0" w:color="auto"/>
              <w:right w:val="single" w:sz="4" w:space="0" w:color="auto"/>
            </w:tcBorders>
            <w:vAlign w:val="center"/>
          </w:tcPr>
          <w:p w14:paraId="583B9CAF"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18</w:t>
            </w:r>
          </w:p>
        </w:tc>
        <w:tc>
          <w:tcPr>
            <w:tcW w:w="475" w:type="dxa"/>
            <w:tcBorders>
              <w:top w:val="single" w:sz="4" w:space="0" w:color="auto"/>
              <w:left w:val="single" w:sz="4" w:space="0" w:color="auto"/>
              <w:bottom w:val="single" w:sz="4" w:space="0" w:color="auto"/>
              <w:right w:val="single" w:sz="4" w:space="0" w:color="auto"/>
            </w:tcBorders>
            <w:vAlign w:val="center"/>
          </w:tcPr>
          <w:p w14:paraId="01F6C676"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18</w:t>
            </w:r>
          </w:p>
        </w:tc>
        <w:tc>
          <w:tcPr>
            <w:tcW w:w="606" w:type="dxa"/>
            <w:tcBorders>
              <w:top w:val="single" w:sz="4" w:space="0" w:color="auto"/>
              <w:left w:val="single" w:sz="4" w:space="0" w:color="auto"/>
              <w:bottom w:val="single" w:sz="4" w:space="0" w:color="auto"/>
              <w:right w:val="single" w:sz="4" w:space="0" w:color="auto"/>
            </w:tcBorders>
            <w:vAlign w:val="center"/>
          </w:tcPr>
          <w:p w14:paraId="73284B05"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505</w:t>
            </w:r>
          </w:p>
        </w:tc>
        <w:tc>
          <w:tcPr>
            <w:tcW w:w="605" w:type="dxa"/>
            <w:tcBorders>
              <w:top w:val="single" w:sz="4" w:space="0" w:color="auto"/>
              <w:left w:val="single" w:sz="4" w:space="0" w:color="auto"/>
              <w:bottom w:val="single" w:sz="4" w:space="0" w:color="auto"/>
              <w:right w:val="single" w:sz="4" w:space="0" w:color="auto"/>
            </w:tcBorders>
            <w:vAlign w:val="center"/>
          </w:tcPr>
          <w:p w14:paraId="6BD2FAD3"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43</w:t>
            </w:r>
          </w:p>
        </w:tc>
      </w:tr>
      <w:tr w:rsidR="00B25121" w:rsidRPr="0023544D" w14:paraId="53C18634" w14:textId="77777777" w:rsidTr="00AB176F">
        <w:trPr>
          <w:trHeight w:hRule="exact" w:val="227"/>
          <w:jc w:val="center"/>
        </w:trPr>
        <w:tc>
          <w:tcPr>
            <w:tcW w:w="2934" w:type="dxa"/>
            <w:tcBorders>
              <w:right w:val="single" w:sz="4" w:space="0" w:color="auto"/>
            </w:tcBorders>
            <w:vAlign w:val="center"/>
          </w:tcPr>
          <w:p w14:paraId="068BC74C" w14:textId="77777777" w:rsidR="00B25121" w:rsidRPr="002D0727" w:rsidRDefault="00B25121" w:rsidP="00AB176F">
            <w:pPr>
              <w:spacing w:after="0" w:line="240" w:lineRule="auto"/>
              <w:ind w:firstLine="174"/>
              <w:rPr>
                <w:rFonts w:ascii="Arial" w:hAnsi="Arial"/>
                <w:sz w:val="14"/>
                <w:szCs w:val="14"/>
              </w:rPr>
            </w:pPr>
            <w:r w:rsidRPr="002D0727">
              <w:rPr>
                <w:rFonts w:ascii="Arial" w:hAnsi="Arial"/>
                <w:sz w:val="14"/>
                <w:szCs w:val="14"/>
              </w:rPr>
              <w:t xml:space="preserve">Māori </w:t>
            </w:r>
          </w:p>
        </w:tc>
        <w:tc>
          <w:tcPr>
            <w:tcW w:w="471" w:type="dxa"/>
            <w:tcBorders>
              <w:top w:val="single" w:sz="4" w:space="0" w:color="auto"/>
              <w:left w:val="single" w:sz="4" w:space="0" w:color="auto"/>
              <w:bottom w:val="single" w:sz="4" w:space="0" w:color="auto"/>
              <w:right w:val="single" w:sz="4" w:space="0" w:color="auto"/>
            </w:tcBorders>
            <w:vAlign w:val="center"/>
          </w:tcPr>
          <w:p w14:paraId="3B696FA6"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29</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tcPr>
          <w:p w14:paraId="56ED0041"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25</w:t>
            </w:r>
          </w:p>
        </w:tc>
        <w:tc>
          <w:tcPr>
            <w:tcW w:w="470" w:type="dxa"/>
            <w:tcBorders>
              <w:top w:val="single" w:sz="4" w:space="0" w:color="auto"/>
              <w:left w:val="single" w:sz="4" w:space="0" w:color="auto"/>
              <w:bottom w:val="single" w:sz="4" w:space="0" w:color="auto"/>
              <w:right w:val="single" w:sz="4" w:space="0" w:color="auto"/>
            </w:tcBorders>
            <w:vAlign w:val="center"/>
          </w:tcPr>
          <w:p w14:paraId="5D2FAC5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21</w:t>
            </w:r>
          </w:p>
        </w:tc>
        <w:tc>
          <w:tcPr>
            <w:tcW w:w="489" w:type="dxa"/>
            <w:tcBorders>
              <w:top w:val="single" w:sz="4" w:space="0" w:color="auto"/>
              <w:left w:val="single" w:sz="4" w:space="0" w:color="auto"/>
              <w:bottom w:val="single" w:sz="4" w:space="0" w:color="auto"/>
              <w:right w:val="single" w:sz="4" w:space="0" w:color="auto"/>
            </w:tcBorders>
            <w:vAlign w:val="center"/>
          </w:tcPr>
          <w:p w14:paraId="08F40ABC"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17</w:t>
            </w:r>
          </w:p>
        </w:tc>
        <w:tc>
          <w:tcPr>
            <w:tcW w:w="471" w:type="dxa"/>
            <w:tcBorders>
              <w:top w:val="single" w:sz="4" w:space="0" w:color="auto"/>
              <w:left w:val="single" w:sz="4" w:space="0" w:color="auto"/>
              <w:bottom w:val="single" w:sz="4" w:space="0" w:color="auto"/>
              <w:right w:val="single" w:sz="8" w:space="0" w:color="auto"/>
            </w:tcBorders>
            <w:vAlign w:val="center"/>
          </w:tcPr>
          <w:p w14:paraId="154C8273"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12</w:t>
            </w:r>
          </w:p>
        </w:tc>
        <w:tc>
          <w:tcPr>
            <w:tcW w:w="475" w:type="dxa"/>
            <w:tcBorders>
              <w:top w:val="single" w:sz="4" w:space="0" w:color="auto"/>
              <w:left w:val="single" w:sz="8" w:space="0" w:color="auto"/>
              <w:bottom w:val="single" w:sz="4" w:space="0" w:color="auto"/>
              <w:right w:val="single" w:sz="4" w:space="0" w:color="auto"/>
            </w:tcBorders>
            <w:vAlign w:val="center"/>
          </w:tcPr>
          <w:p w14:paraId="33353970"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42</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tcPr>
          <w:p w14:paraId="1BE9585A"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45</w:t>
            </w:r>
          </w:p>
        </w:tc>
        <w:tc>
          <w:tcPr>
            <w:tcW w:w="475" w:type="dxa"/>
            <w:tcBorders>
              <w:top w:val="single" w:sz="4" w:space="0" w:color="auto"/>
              <w:left w:val="single" w:sz="4" w:space="0" w:color="auto"/>
              <w:bottom w:val="single" w:sz="4" w:space="0" w:color="auto"/>
              <w:right w:val="single" w:sz="4" w:space="0" w:color="auto"/>
            </w:tcBorders>
            <w:vAlign w:val="center"/>
          </w:tcPr>
          <w:p w14:paraId="61EF464A"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49</w:t>
            </w:r>
          </w:p>
        </w:tc>
        <w:tc>
          <w:tcPr>
            <w:tcW w:w="475" w:type="dxa"/>
            <w:tcBorders>
              <w:top w:val="single" w:sz="4" w:space="0" w:color="auto"/>
              <w:left w:val="single" w:sz="4" w:space="0" w:color="auto"/>
              <w:bottom w:val="single" w:sz="4" w:space="0" w:color="auto"/>
              <w:right w:val="single" w:sz="4" w:space="0" w:color="auto"/>
            </w:tcBorders>
            <w:vAlign w:val="center"/>
          </w:tcPr>
          <w:p w14:paraId="33687DA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52</w:t>
            </w:r>
          </w:p>
        </w:tc>
        <w:tc>
          <w:tcPr>
            <w:tcW w:w="475" w:type="dxa"/>
            <w:tcBorders>
              <w:top w:val="single" w:sz="4" w:space="0" w:color="auto"/>
              <w:left w:val="single" w:sz="4" w:space="0" w:color="auto"/>
              <w:bottom w:val="single" w:sz="4" w:space="0" w:color="auto"/>
              <w:right w:val="single" w:sz="4" w:space="0" w:color="auto"/>
            </w:tcBorders>
            <w:vAlign w:val="center"/>
          </w:tcPr>
          <w:p w14:paraId="4AA9DB78"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53</w:t>
            </w:r>
          </w:p>
        </w:tc>
        <w:tc>
          <w:tcPr>
            <w:tcW w:w="606" w:type="dxa"/>
            <w:tcBorders>
              <w:top w:val="single" w:sz="4" w:space="0" w:color="auto"/>
              <w:left w:val="single" w:sz="4" w:space="0" w:color="auto"/>
              <w:bottom w:val="single" w:sz="4" w:space="0" w:color="auto"/>
              <w:right w:val="single" w:sz="4" w:space="0" w:color="auto"/>
            </w:tcBorders>
            <w:vAlign w:val="center"/>
          </w:tcPr>
          <w:p w14:paraId="715555F8"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305</w:t>
            </w:r>
          </w:p>
        </w:tc>
        <w:tc>
          <w:tcPr>
            <w:tcW w:w="605" w:type="dxa"/>
            <w:tcBorders>
              <w:top w:val="single" w:sz="4" w:space="0" w:color="auto"/>
              <w:left w:val="single" w:sz="4" w:space="0" w:color="auto"/>
              <w:bottom w:val="single" w:sz="4" w:space="0" w:color="auto"/>
              <w:right w:val="single" w:sz="4" w:space="0" w:color="auto"/>
            </w:tcBorders>
            <w:vAlign w:val="center"/>
          </w:tcPr>
          <w:p w14:paraId="71D000F4"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26</w:t>
            </w:r>
          </w:p>
        </w:tc>
      </w:tr>
      <w:tr w:rsidR="00B25121" w:rsidRPr="0023544D" w14:paraId="65498C0B" w14:textId="77777777" w:rsidTr="00AB176F">
        <w:trPr>
          <w:trHeight w:hRule="exact" w:val="227"/>
          <w:jc w:val="center"/>
        </w:trPr>
        <w:tc>
          <w:tcPr>
            <w:tcW w:w="2934" w:type="dxa"/>
            <w:tcBorders>
              <w:right w:val="single" w:sz="4" w:space="0" w:color="auto"/>
            </w:tcBorders>
            <w:vAlign w:val="center"/>
          </w:tcPr>
          <w:p w14:paraId="42465294" w14:textId="77777777" w:rsidR="00B25121" w:rsidRPr="002D0727" w:rsidRDefault="00B25121" w:rsidP="00AB176F">
            <w:pPr>
              <w:spacing w:after="0" w:line="240" w:lineRule="auto"/>
              <w:ind w:firstLineChars="100" w:firstLine="140"/>
              <w:rPr>
                <w:rFonts w:ascii="Arial" w:hAnsi="Arial"/>
                <w:sz w:val="14"/>
                <w:szCs w:val="14"/>
              </w:rPr>
            </w:pPr>
            <w:r w:rsidRPr="002D0727">
              <w:rPr>
                <w:rFonts w:ascii="Arial" w:hAnsi="Arial"/>
                <w:sz w:val="14"/>
                <w:szCs w:val="14"/>
              </w:rPr>
              <w:t xml:space="preserve">Pacific peoples </w:t>
            </w:r>
          </w:p>
        </w:tc>
        <w:tc>
          <w:tcPr>
            <w:tcW w:w="471" w:type="dxa"/>
            <w:tcBorders>
              <w:top w:val="single" w:sz="4" w:space="0" w:color="auto"/>
              <w:left w:val="single" w:sz="4" w:space="0" w:color="auto"/>
              <w:bottom w:val="single" w:sz="4" w:space="0" w:color="auto"/>
              <w:right w:val="single" w:sz="4" w:space="0" w:color="auto"/>
            </w:tcBorders>
            <w:vAlign w:val="center"/>
          </w:tcPr>
          <w:p w14:paraId="1EDAE1DE"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43</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tcPr>
          <w:p w14:paraId="4E17BCE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32</w:t>
            </w:r>
          </w:p>
        </w:tc>
        <w:tc>
          <w:tcPr>
            <w:tcW w:w="470" w:type="dxa"/>
            <w:tcBorders>
              <w:top w:val="single" w:sz="4" w:space="0" w:color="auto"/>
              <w:left w:val="single" w:sz="4" w:space="0" w:color="auto"/>
              <w:bottom w:val="single" w:sz="4" w:space="0" w:color="auto"/>
              <w:right w:val="single" w:sz="4" w:space="0" w:color="auto"/>
            </w:tcBorders>
            <w:vAlign w:val="center"/>
          </w:tcPr>
          <w:p w14:paraId="7FB750D8"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26</w:t>
            </w:r>
          </w:p>
        </w:tc>
        <w:tc>
          <w:tcPr>
            <w:tcW w:w="489" w:type="dxa"/>
            <w:tcBorders>
              <w:top w:val="single" w:sz="4" w:space="0" w:color="auto"/>
              <w:left w:val="single" w:sz="4" w:space="0" w:color="auto"/>
              <w:bottom w:val="single" w:sz="4" w:space="0" w:color="auto"/>
              <w:right w:val="single" w:sz="4" w:space="0" w:color="auto"/>
            </w:tcBorders>
            <w:vAlign w:val="center"/>
          </w:tcPr>
          <w:p w14:paraId="36A567A1"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19</w:t>
            </w:r>
          </w:p>
        </w:tc>
        <w:tc>
          <w:tcPr>
            <w:tcW w:w="471" w:type="dxa"/>
            <w:tcBorders>
              <w:top w:val="single" w:sz="4" w:space="0" w:color="auto"/>
              <w:left w:val="single" w:sz="4" w:space="0" w:color="auto"/>
              <w:bottom w:val="single" w:sz="4" w:space="0" w:color="auto"/>
              <w:right w:val="single" w:sz="8" w:space="0" w:color="auto"/>
            </w:tcBorders>
            <w:vAlign w:val="center"/>
          </w:tcPr>
          <w:p w14:paraId="02855A64"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15</w:t>
            </w:r>
          </w:p>
        </w:tc>
        <w:tc>
          <w:tcPr>
            <w:tcW w:w="475" w:type="dxa"/>
            <w:tcBorders>
              <w:top w:val="single" w:sz="4" w:space="0" w:color="auto"/>
              <w:left w:val="single" w:sz="8" w:space="0" w:color="auto"/>
              <w:bottom w:val="single" w:sz="4" w:space="0" w:color="auto"/>
              <w:right w:val="single" w:sz="4" w:space="0" w:color="auto"/>
            </w:tcBorders>
            <w:vAlign w:val="center"/>
          </w:tcPr>
          <w:p w14:paraId="50E96C11"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24</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tcPr>
          <w:p w14:paraId="25E3BBC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23</w:t>
            </w:r>
          </w:p>
        </w:tc>
        <w:tc>
          <w:tcPr>
            <w:tcW w:w="475" w:type="dxa"/>
            <w:tcBorders>
              <w:top w:val="single" w:sz="4" w:space="0" w:color="auto"/>
              <w:left w:val="single" w:sz="4" w:space="0" w:color="auto"/>
              <w:bottom w:val="single" w:sz="4" w:space="0" w:color="auto"/>
              <w:right w:val="single" w:sz="4" w:space="0" w:color="auto"/>
            </w:tcBorders>
            <w:vAlign w:val="center"/>
          </w:tcPr>
          <w:p w14:paraId="2CA82FA4"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24</w:t>
            </w:r>
          </w:p>
        </w:tc>
        <w:tc>
          <w:tcPr>
            <w:tcW w:w="475" w:type="dxa"/>
            <w:tcBorders>
              <w:top w:val="single" w:sz="4" w:space="0" w:color="auto"/>
              <w:left w:val="single" w:sz="4" w:space="0" w:color="auto"/>
              <w:bottom w:val="single" w:sz="4" w:space="0" w:color="auto"/>
              <w:right w:val="single" w:sz="4" w:space="0" w:color="auto"/>
            </w:tcBorders>
            <w:vAlign w:val="center"/>
          </w:tcPr>
          <w:p w14:paraId="4B3878B3"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24</w:t>
            </w:r>
          </w:p>
        </w:tc>
        <w:tc>
          <w:tcPr>
            <w:tcW w:w="475" w:type="dxa"/>
            <w:tcBorders>
              <w:top w:val="single" w:sz="4" w:space="0" w:color="auto"/>
              <w:left w:val="single" w:sz="4" w:space="0" w:color="auto"/>
              <w:bottom w:val="single" w:sz="4" w:space="0" w:color="auto"/>
              <w:right w:val="single" w:sz="4" w:space="0" w:color="auto"/>
            </w:tcBorders>
            <w:vAlign w:val="center"/>
          </w:tcPr>
          <w:p w14:paraId="507B47DD"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25</w:t>
            </w:r>
          </w:p>
        </w:tc>
        <w:tc>
          <w:tcPr>
            <w:tcW w:w="606" w:type="dxa"/>
            <w:tcBorders>
              <w:top w:val="single" w:sz="4" w:space="0" w:color="auto"/>
              <w:left w:val="single" w:sz="4" w:space="0" w:color="auto"/>
              <w:bottom w:val="single" w:sz="4" w:space="0" w:color="auto"/>
              <w:right w:val="single" w:sz="4" w:space="0" w:color="auto"/>
            </w:tcBorders>
            <w:vAlign w:val="center"/>
          </w:tcPr>
          <w:p w14:paraId="2480C526"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120</w:t>
            </w:r>
          </w:p>
        </w:tc>
        <w:tc>
          <w:tcPr>
            <w:tcW w:w="605" w:type="dxa"/>
            <w:tcBorders>
              <w:top w:val="single" w:sz="4" w:space="0" w:color="auto"/>
              <w:left w:val="single" w:sz="4" w:space="0" w:color="auto"/>
              <w:bottom w:val="single" w:sz="4" w:space="0" w:color="auto"/>
              <w:right w:val="single" w:sz="4" w:space="0" w:color="auto"/>
            </w:tcBorders>
            <w:vAlign w:val="center"/>
          </w:tcPr>
          <w:p w14:paraId="7B1810CD"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10</w:t>
            </w:r>
          </w:p>
        </w:tc>
      </w:tr>
      <w:tr w:rsidR="00B25121" w:rsidRPr="0023544D" w14:paraId="52FC5501" w14:textId="77777777" w:rsidTr="00AB176F">
        <w:trPr>
          <w:trHeight w:hRule="exact" w:val="227"/>
          <w:jc w:val="center"/>
        </w:trPr>
        <w:tc>
          <w:tcPr>
            <w:tcW w:w="2934" w:type="dxa"/>
            <w:tcBorders>
              <w:right w:val="single" w:sz="4" w:space="0" w:color="auto"/>
            </w:tcBorders>
            <w:vAlign w:val="center"/>
          </w:tcPr>
          <w:p w14:paraId="518E80B3" w14:textId="77777777" w:rsidR="00B25121" w:rsidRPr="002D0727" w:rsidRDefault="00B25121" w:rsidP="00AB176F">
            <w:pPr>
              <w:spacing w:after="0" w:line="240" w:lineRule="auto"/>
              <w:ind w:firstLineChars="100" w:firstLine="140"/>
              <w:rPr>
                <w:rFonts w:ascii="Arial" w:hAnsi="Arial"/>
                <w:sz w:val="14"/>
                <w:szCs w:val="14"/>
              </w:rPr>
            </w:pPr>
            <w:r w:rsidRPr="002D0727">
              <w:rPr>
                <w:rFonts w:ascii="Arial" w:hAnsi="Arial"/>
                <w:sz w:val="14"/>
                <w:szCs w:val="14"/>
              </w:rPr>
              <w:t xml:space="preserve">Asian </w:t>
            </w:r>
          </w:p>
        </w:tc>
        <w:tc>
          <w:tcPr>
            <w:tcW w:w="471" w:type="dxa"/>
            <w:tcBorders>
              <w:top w:val="single" w:sz="4" w:space="0" w:color="auto"/>
              <w:left w:val="single" w:sz="4" w:space="0" w:color="auto"/>
              <w:bottom w:val="single" w:sz="4" w:space="0" w:color="auto"/>
              <w:right w:val="single" w:sz="4" w:space="0" w:color="auto"/>
            </w:tcBorders>
            <w:vAlign w:val="center"/>
          </w:tcPr>
          <w:p w14:paraId="62EC32C9"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8</w:t>
            </w:r>
          </w:p>
        </w:tc>
        <w:tc>
          <w:tcPr>
            <w:tcW w:w="470" w:type="dxa"/>
            <w:tcBorders>
              <w:top w:val="single" w:sz="4" w:space="0" w:color="auto"/>
              <w:left w:val="single" w:sz="4" w:space="0" w:color="auto"/>
              <w:bottom w:val="single" w:sz="4" w:space="0" w:color="auto"/>
              <w:right w:val="single" w:sz="4" w:space="0" w:color="auto"/>
            </w:tcBorders>
            <w:shd w:val="clear" w:color="000000" w:fill="D9D9D9"/>
            <w:vAlign w:val="center"/>
          </w:tcPr>
          <w:p w14:paraId="1A65281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w:t>
            </w:r>
          </w:p>
        </w:tc>
        <w:tc>
          <w:tcPr>
            <w:tcW w:w="470" w:type="dxa"/>
            <w:tcBorders>
              <w:top w:val="single" w:sz="4" w:space="0" w:color="auto"/>
              <w:left w:val="single" w:sz="4" w:space="0" w:color="auto"/>
              <w:bottom w:val="single" w:sz="4" w:space="0" w:color="auto"/>
              <w:right w:val="single" w:sz="4" w:space="0" w:color="auto"/>
            </w:tcBorders>
            <w:vAlign w:val="center"/>
          </w:tcPr>
          <w:p w14:paraId="35C05A8B"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3</w:t>
            </w:r>
          </w:p>
        </w:tc>
        <w:tc>
          <w:tcPr>
            <w:tcW w:w="489" w:type="dxa"/>
            <w:tcBorders>
              <w:top w:val="single" w:sz="4" w:space="0" w:color="auto"/>
              <w:left w:val="single" w:sz="4" w:space="0" w:color="auto"/>
              <w:bottom w:val="single" w:sz="4" w:space="0" w:color="auto"/>
              <w:right w:val="single" w:sz="4" w:space="0" w:color="auto"/>
            </w:tcBorders>
            <w:vAlign w:val="center"/>
          </w:tcPr>
          <w:p w14:paraId="2F5E4BF5"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w:t>
            </w:r>
          </w:p>
        </w:tc>
        <w:tc>
          <w:tcPr>
            <w:tcW w:w="471" w:type="dxa"/>
            <w:tcBorders>
              <w:top w:val="single" w:sz="4" w:space="0" w:color="auto"/>
              <w:left w:val="single" w:sz="4" w:space="0" w:color="auto"/>
              <w:bottom w:val="single" w:sz="4" w:space="0" w:color="auto"/>
              <w:right w:val="single" w:sz="8" w:space="0" w:color="auto"/>
            </w:tcBorders>
            <w:vAlign w:val="center"/>
          </w:tcPr>
          <w:p w14:paraId="4F94B817"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1</w:t>
            </w:r>
          </w:p>
        </w:tc>
        <w:tc>
          <w:tcPr>
            <w:tcW w:w="475" w:type="dxa"/>
            <w:tcBorders>
              <w:top w:val="single" w:sz="4" w:space="0" w:color="auto"/>
              <w:left w:val="single" w:sz="8" w:space="0" w:color="auto"/>
              <w:bottom w:val="single" w:sz="4" w:space="0" w:color="auto"/>
              <w:right w:val="single" w:sz="4" w:space="0" w:color="auto"/>
            </w:tcBorders>
            <w:vAlign w:val="center"/>
          </w:tcPr>
          <w:p w14:paraId="17672C24"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9</w:t>
            </w:r>
          </w:p>
        </w:tc>
        <w:tc>
          <w:tcPr>
            <w:tcW w:w="475" w:type="dxa"/>
            <w:tcBorders>
              <w:top w:val="single" w:sz="4" w:space="0" w:color="auto"/>
              <w:left w:val="single" w:sz="4" w:space="0" w:color="auto"/>
              <w:bottom w:val="single" w:sz="4" w:space="0" w:color="auto"/>
              <w:right w:val="single" w:sz="4" w:space="0" w:color="auto"/>
            </w:tcBorders>
            <w:shd w:val="clear" w:color="000000" w:fill="D9D9D9"/>
            <w:vAlign w:val="center"/>
          </w:tcPr>
          <w:p w14:paraId="6C151620"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7</w:t>
            </w:r>
          </w:p>
        </w:tc>
        <w:tc>
          <w:tcPr>
            <w:tcW w:w="475" w:type="dxa"/>
            <w:tcBorders>
              <w:top w:val="single" w:sz="4" w:space="0" w:color="auto"/>
              <w:left w:val="single" w:sz="4" w:space="0" w:color="auto"/>
              <w:bottom w:val="single" w:sz="4" w:space="0" w:color="auto"/>
              <w:right w:val="single" w:sz="4" w:space="0" w:color="auto"/>
            </w:tcBorders>
            <w:vAlign w:val="center"/>
          </w:tcPr>
          <w:p w14:paraId="7FFEBA8A"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w:t>
            </w:r>
          </w:p>
        </w:tc>
        <w:tc>
          <w:tcPr>
            <w:tcW w:w="475" w:type="dxa"/>
            <w:tcBorders>
              <w:top w:val="single" w:sz="4" w:space="0" w:color="auto"/>
              <w:left w:val="single" w:sz="4" w:space="0" w:color="auto"/>
              <w:bottom w:val="single" w:sz="4" w:space="0" w:color="auto"/>
              <w:right w:val="single" w:sz="4" w:space="0" w:color="auto"/>
            </w:tcBorders>
            <w:vAlign w:val="center"/>
          </w:tcPr>
          <w:p w14:paraId="6A473625"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5</w:t>
            </w:r>
          </w:p>
        </w:tc>
        <w:tc>
          <w:tcPr>
            <w:tcW w:w="475" w:type="dxa"/>
            <w:tcBorders>
              <w:top w:val="single" w:sz="4" w:space="0" w:color="auto"/>
              <w:left w:val="single" w:sz="4" w:space="0" w:color="auto"/>
              <w:bottom w:val="single" w:sz="4" w:space="0" w:color="auto"/>
              <w:right w:val="single" w:sz="4" w:space="0" w:color="auto"/>
            </w:tcBorders>
            <w:vAlign w:val="center"/>
          </w:tcPr>
          <w:p w14:paraId="48F50694"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3</w:t>
            </w:r>
          </w:p>
        </w:tc>
        <w:tc>
          <w:tcPr>
            <w:tcW w:w="606" w:type="dxa"/>
            <w:tcBorders>
              <w:top w:val="single" w:sz="4" w:space="0" w:color="auto"/>
              <w:left w:val="single" w:sz="4" w:space="0" w:color="auto"/>
              <w:bottom w:val="single" w:sz="4" w:space="0" w:color="auto"/>
              <w:right w:val="single" w:sz="4" w:space="0" w:color="auto"/>
            </w:tcBorders>
            <w:vAlign w:val="center"/>
          </w:tcPr>
          <w:p w14:paraId="7B0A2D22"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235</w:t>
            </w:r>
          </w:p>
        </w:tc>
        <w:tc>
          <w:tcPr>
            <w:tcW w:w="605" w:type="dxa"/>
            <w:tcBorders>
              <w:top w:val="single" w:sz="4" w:space="0" w:color="auto"/>
              <w:left w:val="single" w:sz="4" w:space="0" w:color="auto"/>
              <w:bottom w:val="single" w:sz="4" w:space="0" w:color="auto"/>
              <w:right w:val="single" w:sz="4" w:space="0" w:color="auto"/>
            </w:tcBorders>
            <w:vAlign w:val="center"/>
          </w:tcPr>
          <w:p w14:paraId="50727B98" w14:textId="77777777" w:rsidR="00B25121" w:rsidRPr="002D0727" w:rsidRDefault="00B25121" w:rsidP="00AB176F">
            <w:pPr>
              <w:spacing w:after="0" w:line="240" w:lineRule="auto"/>
              <w:jc w:val="center"/>
              <w:rPr>
                <w:rFonts w:ascii="Arial" w:hAnsi="Arial"/>
                <w:sz w:val="14"/>
                <w:szCs w:val="14"/>
              </w:rPr>
            </w:pPr>
            <w:r>
              <w:rPr>
                <w:rFonts w:ascii="Arial" w:hAnsi="Arial"/>
                <w:color w:val="000000"/>
                <w:sz w:val="14"/>
                <w:szCs w:val="14"/>
              </w:rPr>
              <w:t>20</w:t>
            </w:r>
          </w:p>
        </w:tc>
      </w:tr>
      <w:tr w:rsidR="00B25121" w:rsidRPr="00DC1035" w14:paraId="0EA793E8" w14:textId="77777777" w:rsidTr="00AB176F">
        <w:trPr>
          <w:trHeight w:hRule="exact" w:val="227"/>
          <w:jc w:val="center"/>
        </w:trPr>
        <w:tc>
          <w:tcPr>
            <w:tcW w:w="2934" w:type="dxa"/>
            <w:tcBorders>
              <w:right w:val="single" w:sz="4" w:space="0" w:color="auto"/>
            </w:tcBorders>
            <w:vAlign w:val="center"/>
          </w:tcPr>
          <w:p w14:paraId="3555D896" w14:textId="77777777" w:rsidR="00B25121" w:rsidRPr="00DC1035" w:rsidRDefault="00B25121" w:rsidP="00AB176F">
            <w:pPr>
              <w:spacing w:after="0" w:line="240" w:lineRule="auto"/>
              <w:ind w:firstLineChars="100" w:firstLine="140"/>
              <w:rPr>
                <w:rFonts w:ascii="Arial" w:hAnsi="Arial"/>
                <w:sz w:val="14"/>
                <w:szCs w:val="14"/>
              </w:rPr>
            </w:pPr>
            <w:r w:rsidRPr="00DC1035">
              <w:rPr>
                <w:rFonts w:ascii="Arial" w:hAnsi="Arial"/>
                <w:sz w:val="14"/>
                <w:szCs w:val="14"/>
              </w:rPr>
              <w:t xml:space="preserve">Other </w:t>
            </w:r>
          </w:p>
        </w:tc>
        <w:tc>
          <w:tcPr>
            <w:tcW w:w="2371" w:type="dxa"/>
            <w:gridSpan w:val="5"/>
            <w:tcBorders>
              <w:top w:val="single" w:sz="4" w:space="0" w:color="auto"/>
              <w:left w:val="single" w:sz="4" w:space="0" w:color="auto"/>
              <w:bottom w:val="single" w:sz="4" w:space="0" w:color="auto"/>
              <w:right w:val="single" w:sz="8" w:space="0" w:color="auto"/>
            </w:tcBorders>
            <w:vAlign w:val="center"/>
          </w:tcPr>
          <w:p w14:paraId="3962C870" w14:textId="77777777" w:rsidR="00B25121" w:rsidRPr="00DC1035" w:rsidRDefault="00B25121" w:rsidP="00AB176F">
            <w:pPr>
              <w:spacing w:after="0" w:line="240" w:lineRule="auto"/>
              <w:jc w:val="center"/>
              <w:rPr>
                <w:rFonts w:ascii="Arial" w:hAnsi="Arial"/>
                <w:sz w:val="14"/>
                <w:szCs w:val="14"/>
              </w:rPr>
            </w:pPr>
            <w:r w:rsidRPr="00DC1035">
              <w:rPr>
                <w:rFonts w:ascii="Arial" w:hAnsi="Arial"/>
                <w:color w:val="000000"/>
                <w:sz w:val="12"/>
                <w:szCs w:val="12"/>
              </w:rPr>
              <w:t>suppressed – numbers too small</w:t>
            </w:r>
          </w:p>
        </w:tc>
        <w:tc>
          <w:tcPr>
            <w:tcW w:w="2375" w:type="dxa"/>
            <w:gridSpan w:val="5"/>
            <w:tcBorders>
              <w:top w:val="single" w:sz="4" w:space="0" w:color="auto"/>
              <w:left w:val="single" w:sz="8" w:space="0" w:color="auto"/>
              <w:bottom w:val="single" w:sz="4" w:space="0" w:color="auto"/>
              <w:right w:val="single" w:sz="4" w:space="0" w:color="auto"/>
            </w:tcBorders>
            <w:vAlign w:val="center"/>
          </w:tcPr>
          <w:p w14:paraId="1DB03147" w14:textId="77777777" w:rsidR="00B25121" w:rsidRPr="00DC1035" w:rsidRDefault="00B25121" w:rsidP="00AB176F">
            <w:pPr>
              <w:spacing w:after="0" w:line="240" w:lineRule="auto"/>
              <w:jc w:val="center"/>
              <w:rPr>
                <w:rFonts w:ascii="Arial" w:hAnsi="Arial"/>
                <w:sz w:val="14"/>
                <w:szCs w:val="14"/>
              </w:rPr>
            </w:pPr>
            <w:r w:rsidRPr="00DC1035">
              <w:rPr>
                <w:rFonts w:ascii="Arial" w:hAnsi="Arial"/>
                <w:color w:val="000000"/>
                <w:sz w:val="12"/>
                <w:szCs w:val="12"/>
              </w:rPr>
              <w:t>suppressed – numbers too small</w:t>
            </w:r>
          </w:p>
        </w:tc>
        <w:tc>
          <w:tcPr>
            <w:tcW w:w="606" w:type="dxa"/>
            <w:tcBorders>
              <w:top w:val="single" w:sz="4" w:space="0" w:color="auto"/>
              <w:left w:val="single" w:sz="4" w:space="0" w:color="auto"/>
              <w:bottom w:val="single" w:sz="4" w:space="0" w:color="auto"/>
              <w:right w:val="single" w:sz="4" w:space="0" w:color="auto"/>
            </w:tcBorders>
            <w:vAlign w:val="center"/>
          </w:tcPr>
          <w:p w14:paraId="0B5F3A4D" w14:textId="77777777" w:rsidR="00B25121" w:rsidRPr="00DC1035" w:rsidRDefault="00B25121" w:rsidP="00AB176F">
            <w:pPr>
              <w:spacing w:after="0" w:line="240" w:lineRule="auto"/>
              <w:jc w:val="center"/>
              <w:rPr>
                <w:rFonts w:ascii="Arial" w:hAnsi="Arial"/>
                <w:sz w:val="14"/>
                <w:szCs w:val="14"/>
              </w:rPr>
            </w:pPr>
            <w:r w:rsidRPr="00DC1035">
              <w:rPr>
                <w:rFonts w:ascii="Arial" w:hAnsi="Arial"/>
                <w:color w:val="000000"/>
                <w:sz w:val="14"/>
                <w:szCs w:val="14"/>
              </w:rPr>
              <w:t>20</w:t>
            </w:r>
          </w:p>
        </w:tc>
        <w:tc>
          <w:tcPr>
            <w:tcW w:w="605" w:type="dxa"/>
            <w:tcBorders>
              <w:top w:val="single" w:sz="4" w:space="0" w:color="auto"/>
              <w:left w:val="single" w:sz="4" w:space="0" w:color="auto"/>
              <w:bottom w:val="single" w:sz="4" w:space="0" w:color="auto"/>
              <w:right w:val="single" w:sz="4" w:space="0" w:color="auto"/>
            </w:tcBorders>
            <w:vAlign w:val="center"/>
          </w:tcPr>
          <w:p w14:paraId="5F4C56B7" w14:textId="77777777" w:rsidR="00B25121" w:rsidRPr="00DC1035" w:rsidRDefault="00B25121" w:rsidP="00AB176F">
            <w:pPr>
              <w:spacing w:after="0" w:line="240" w:lineRule="auto"/>
              <w:jc w:val="center"/>
              <w:rPr>
                <w:rFonts w:ascii="Arial" w:hAnsi="Arial"/>
                <w:sz w:val="14"/>
                <w:szCs w:val="14"/>
              </w:rPr>
            </w:pPr>
            <w:r w:rsidRPr="00DC1035">
              <w:rPr>
                <w:rFonts w:ascii="Arial" w:hAnsi="Arial"/>
                <w:color w:val="000000"/>
                <w:sz w:val="14"/>
                <w:szCs w:val="14"/>
              </w:rPr>
              <w:t>2</w:t>
            </w:r>
          </w:p>
        </w:tc>
      </w:tr>
    </w:tbl>
    <w:p w14:paraId="4DE1F490" w14:textId="77777777" w:rsidR="00B25121" w:rsidRPr="001B1DA2" w:rsidRDefault="00B25121" w:rsidP="00D31884">
      <w:pPr>
        <w:spacing w:before="60" w:after="0" w:line="240" w:lineRule="auto"/>
        <w:ind w:left="426" w:hanging="426"/>
        <w:rPr>
          <w:rFonts w:ascii="Arial Mäori" w:hAnsi="Arial Mäori"/>
          <w:sz w:val="16"/>
          <w:szCs w:val="16"/>
        </w:rPr>
      </w:pPr>
      <w:r w:rsidRPr="001B1DA2">
        <w:rPr>
          <w:rFonts w:ascii="Arial Mäori" w:hAnsi="Arial Mäori"/>
          <w:sz w:val="16"/>
          <w:szCs w:val="16"/>
        </w:rPr>
        <w:t>Note: a small number of children have a prioritised ethnicity outside of the four categories listed – however numbers are too small to report the hardship levels for this group at the different thresholds in the table.</w:t>
      </w:r>
    </w:p>
    <w:p w14:paraId="146A0B61" w14:textId="77777777" w:rsidR="00B25121" w:rsidRPr="00DC1035" w:rsidRDefault="00B25121" w:rsidP="00D31884">
      <w:pPr>
        <w:spacing w:before="80" w:after="0" w:line="240" w:lineRule="auto"/>
        <w:rPr>
          <w:rFonts w:ascii="Arial" w:hAnsi="Arial"/>
          <w:bCs/>
          <w:color w:val="000000" w:themeColor="text1"/>
          <w:sz w:val="16"/>
          <w:szCs w:val="16"/>
        </w:rPr>
      </w:pPr>
      <w:r w:rsidRPr="00DC1035">
        <w:rPr>
          <w:rFonts w:ascii="Arial" w:hAnsi="Arial"/>
          <w:bCs/>
          <w:color w:val="000000" w:themeColor="text1"/>
          <w:sz w:val="16"/>
          <w:szCs w:val="16"/>
          <w:u w:val="single"/>
        </w:rPr>
        <w:t>Reading note</w:t>
      </w:r>
      <w:r w:rsidRPr="00DC1035">
        <w:rPr>
          <w:rFonts w:ascii="Arial" w:hAnsi="Arial"/>
          <w:bCs/>
          <w:color w:val="000000" w:themeColor="text1"/>
          <w:sz w:val="16"/>
          <w:szCs w:val="16"/>
        </w:rPr>
        <w:t xml:space="preserve"> for interpreting ‘total ethnicity’ percentages. The total ethnicities approach counts ethnicities, not children. There are around 300,000 more ethnicity responses than there are children, as many report more than one ethnicity. </w:t>
      </w:r>
    </w:p>
    <w:p w14:paraId="43435065" w14:textId="77777777" w:rsidR="00B25121" w:rsidRPr="00DC1035" w:rsidRDefault="00B25121">
      <w:pPr>
        <w:pStyle w:val="ListParagraph"/>
        <w:numPr>
          <w:ilvl w:val="0"/>
          <w:numId w:val="51"/>
        </w:numPr>
        <w:spacing w:before="60" w:after="0" w:line="240" w:lineRule="auto"/>
        <w:ind w:left="425" w:hanging="153"/>
        <w:contextualSpacing w:val="0"/>
        <w:rPr>
          <w:rFonts w:ascii="Arial" w:hAnsi="Arial"/>
          <w:bCs/>
          <w:color w:val="000000" w:themeColor="text1"/>
          <w:sz w:val="16"/>
          <w:szCs w:val="16"/>
        </w:rPr>
      </w:pPr>
      <w:r w:rsidRPr="00DC1035">
        <w:rPr>
          <w:rFonts w:ascii="Arial" w:hAnsi="Arial"/>
          <w:bCs/>
          <w:color w:val="000000" w:themeColor="text1"/>
          <w:sz w:val="16"/>
          <w:szCs w:val="16"/>
        </w:rPr>
        <w:t>The ‘31%’ figure in the Pacific row for</w:t>
      </w:r>
      <w:r>
        <w:rPr>
          <w:rFonts w:ascii="Arial" w:hAnsi="Arial"/>
          <w:bCs/>
          <w:color w:val="000000" w:themeColor="text1"/>
          <w:sz w:val="16"/>
          <w:szCs w:val="16"/>
        </w:rPr>
        <w:t xml:space="preserve"> the</w:t>
      </w:r>
      <w:r w:rsidRPr="00DC1035">
        <w:rPr>
          <w:rFonts w:ascii="Arial" w:hAnsi="Arial"/>
          <w:bCs/>
          <w:color w:val="000000" w:themeColor="text1"/>
          <w:sz w:val="16"/>
          <w:szCs w:val="16"/>
        </w:rPr>
        <w:t xml:space="preserve"> 7+/17 </w:t>
      </w:r>
      <w:r w:rsidRPr="00DC1035">
        <w:rPr>
          <w:rFonts w:ascii="Arial" w:hAnsi="Arial"/>
          <w:bCs/>
          <w:color w:val="000000" w:themeColor="text1"/>
          <w:sz w:val="16"/>
          <w:szCs w:val="16"/>
          <w:u w:val="single"/>
        </w:rPr>
        <w:t>hardship rate</w:t>
      </w:r>
      <w:r w:rsidRPr="00DC1035">
        <w:rPr>
          <w:rFonts w:ascii="Arial" w:hAnsi="Arial"/>
          <w:bCs/>
          <w:color w:val="000000" w:themeColor="text1"/>
          <w:sz w:val="16"/>
          <w:szCs w:val="16"/>
        </w:rPr>
        <w:t xml:space="preserve"> means</w:t>
      </w:r>
      <w:r>
        <w:rPr>
          <w:rFonts w:ascii="Arial" w:hAnsi="Arial"/>
          <w:bCs/>
          <w:color w:val="000000" w:themeColor="text1"/>
          <w:sz w:val="16"/>
          <w:szCs w:val="16"/>
        </w:rPr>
        <w:t xml:space="preserve"> that</w:t>
      </w:r>
      <w:r w:rsidRPr="00DC1035">
        <w:rPr>
          <w:rFonts w:ascii="Arial" w:hAnsi="Arial"/>
          <w:bCs/>
          <w:color w:val="000000" w:themeColor="text1"/>
          <w:sz w:val="16"/>
          <w:szCs w:val="16"/>
        </w:rPr>
        <w:t xml:space="preserve"> 31% </w:t>
      </w:r>
      <w:r>
        <w:rPr>
          <w:rFonts w:ascii="Arial" w:hAnsi="Arial"/>
          <w:bCs/>
          <w:color w:val="000000" w:themeColor="text1"/>
          <w:sz w:val="16"/>
          <w:szCs w:val="16"/>
        </w:rPr>
        <w:t xml:space="preserve">of children reporting a Pacific ethnicity </w:t>
      </w:r>
      <w:r w:rsidRPr="00DC1035">
        <w:rPr>
          <w:rFonts w:ascii="Arial" w:hAnsi="Arial"/>
          <w:bCs/>
          <w:color w:val="000000" w:themeColor="text1"/>
          <w:sz w:val="16"/>
          <w:szCs w:val="16"/>
        </w:rPr>
        <w:t xml:space="preserve">are </w:t>
      </w:r>
      <w:r>
        <w:rPr>
          <w:rFonts w:ascii="Arial" w:hAnsi="Arial"/>
          <w:bCs/>
          <w:color w:val="000000" w:themeColor="text1"/>
          <w:sz w:val="16"/>
          <w:szCs w:val="16"/>
        </w:rPr>
        <w:t>in material hardship</w:t>
      </w:r>
      <w:r w:rsidRPr="00DC1035">
        <w:rPr>
          <w:rFonts w:ascii="Arial" w:hAnsi="Arial"/>
          <w:bCs/>
          <w:color w:val="000000" w:themeColor="text1"/>
          <w:sz w:val="16"/>
          <w:szCs w:val="16"/>
        </w:rPr>
        <w:t xml:space="preserve"> (whether only Pacific or Pacific and one or more other ethnicities). </w:t>
      </w:r>
    </w:p>
    <w:p w14:paraId="08700976" w14:textId="38A949B0" w:rsidR="00B25121" w:rsidRPr="00DC1035" w:rsidRDefault="00B25121">
      <w:pPr>
        <w:pStyle w:val="ListParagraph"/>
        <w:numPr>
          <w:ilvl w:val="0"/>
          <w:numId w:val="51"/>
        </w:numPr>
        <w:spacing w:before="60" w:after="0" w:line="240" w:lineRule="auto"/>
        <w:ind w:left="425" w:hanging="153"/>
        <w:contextualSpacing w:val="0"/>
        <w:rPr>
          <w:rFonts w:ascii="Arial" w:hAnsi="Arial"/>
          <w:bCs/>
          <w:color w:val="000000" w:themeColor="text1"/>
          <w:sz w:val="16"/>
          <w:szCs w:val="16"/>
        </w:rPr>
      </w:pPr>
      <w:r w:rsidRPr="00DC1035">
        <w:rPr>
          <w:rFonts w:ascii="Arial" w:hAnsi="Arial"/>
          <w:bCs/>
          <w:color w:val="000000" w:themeColor="text1"/>
          <w:sz w:val="16"/>
          <w:szCs w:val="16"/>
        </w:rPr>
        <w:t xml:space="preserve">The ‘23%’ figure in the Pacific row for 7+/17 </w:t>
      </w:r>
      <w:r w:rsidRPr="00DC1035">
        <w:rPr>
          <w:rFonts w:ascii="Arial" w:hAnsi="Arial"/>
          <w:bCs/>
          <w:color w:val="000000" w:themeColor="text1"/>
          <w:sz w:val="16"/>
          <w:szCs w:val="16"/>
          <w:u w:val="single"/>
        </w:rPr>
        <w:t>composition</w:t>
      </w:r>
      <w:r w:rsidRPr="00DC1035">
        <w:rPr>
          <w:rFonts w:ascii="Arial" w:hAnsi="Arial"/>
          <w:bCs/>
          <w:color w:val="000000" w:themeColor="text1"/>
          <w:sz w:val="16"/>
          <w:szCs w:val="16"/>
        </w:rPr>
        <w:t xml:space="preserve"> means that out of all the ethnicities reported by children in the 7+ hardship column, 23% are Pacific (whether only Pacific or Pacific and one or more other ethnicities)</w:t>
      </w:r>
      <w:r w:rsidR="00D31884">
        <w:rPr>
          <w:rFonts w:ascii="Arial" w:hAnsi="Arial"/>
          <w:bCs/>
          <w:color w:val="000000" w:themeColor="text1"/>
          <w:sz w:val="16"/>
          <w:szCs w:val="16"/>
        </w:rPr>
        <w:t>.</w:t>
      </w:r>
      <w:r w:rsidRPr="00DC1035">
        <w:rPr>
          <w:rFonts w:ascii="Arial" w:hAnsi="Arial"/>
          <w:bCs/>
          <w:color w:val="000000" w:themeColor="text1"/>
          <w:sz w:val="16"/>
          <w:szCs w:val="16"/>
        </w:rPr>
        <w:t xml:space="preserve"> </w:t>
      </w:r>
    </w:p>
    <w:p w14:paraId="4D27B461" w14:textId="77777777" w:rsidR="00B25121" w:rsidRPr="00DC1035" w:rsidRDefault="00B25121" w:rsidP="00B25121">
      <w:pPr>
        <w:spacing w:after="0" w:line="240" w:lineRule="auto"/>
        <w:rPr>
          <w:rFonts w:ascii="Arial" w:hAnsi="Arial"/>
          <w:b/>
          <w:color w:val="000000" w:themeColor="text1"/>
          <w:sz w:val="24"/>
          <w:szCs w:val="24"/>
        </w:rPr>
      </w:pPr>
    </w:p>
    <w:p w14:paraId="073FD624" w14:textId="77777777" w:rsidR="00B25121" w:rsidRPr="00DC1035" w:rsidRDefault="00B25121" w:rsidP="00B25121">
      <w:pPr>
        <w:spacing w:after="0" w:line="240" w:lineRule="auto"/>
        <w:rPr>
          <w:rFonts w:ascii="Arial" w:hAnsi="Arial"/>
          <w:bCs/>
          <w:color w:val="000000" w:themeColor="text1"/>
          <w:szCs w:val="20"/>
        </w:rPr>
      </w:pPr>
      <w:r w:rsidRPr="00DC1035">
        <w:rPr>
          <w:rFonts w:ascii="Arial" w:eastAsia="Times New Roman" w:hAnsi="Arial"/>
          <w:color w:val="000000" w:themeColor="text1"/>
          <w:szCs w:val="20"/>
          <w:lang w:val="en-US"/>
        </w:rPr>
        <w:t xml:space="preserve">Starting with HES 2007, ethnicity for children is provided in the survey data, with the information coming from either the children themselves or from their parents. Individuals can specify more than one ethnicity. </w:t>
      </w:r>
      <w:r w:rsidRPr="00DC1035">
        <w:rPr>
          <w:rFonts w:ascii="Arial" w:hAnsi="Arial"/>
          <w:bCs/>
          <w:color w:val="000000" w:themeColor="text1"/>
          <w:szCs w:val="20"/>
        </w:rPr>
        <w:t xml:space="preserve">In </w:t>
      </w:r>
      <w:r w:rsidRPr="00DC1035">
        <w:rPr>
          <w:rFonts w:ascii="Arial" w:hAnsi="Arial"/>
          <w:b/>
          <w:color w:val="000000" w:themeColor="text1"/>
          <w:szCs w:val="20"/>
        </w:rPr>
        <w:t>Table E.3b</w:t>
      </w:r>
      <w:r w:rsidRPr="00DC1035">
        <w:rPr>
          <w:rFonts w:ascii="Arial" w:hAnsi="Arial"/>
          <w:bCs/>
          <w:color w:val="000000" w:themeColor="text1"/>
          <w:szCs w:val="20"/>
        </w:rPr>
        <w:t xml:space="preserve"> ethnic groups are created (for the purposes of analysis) using both the total response method and the prioritised method for determining ethnicity.</w:t>
      </w:r>
      <w:r w:rsidRPr="00DC1035">
        <w:rPr>
          <w:rStyle w:val="FootnoteReference"/>
          <w:rFonts w:ascii="Arial" w:hAnsi="Arial"/>
          <w:bCs/>
          <w:color w:val="000000" w:themeColor="text1"/>
          <w:szCs w:val="20"/>
        </w:rPr>
        <w:footnoteReference w:id="51"/>
      </w:r>
      <w:r w:rsidRPr="00DC1035">
        <w:rPr>
          <w:rFonts w:ascii="Arial" w:hAnsi="Arial"/>
          <w:bCs/>
          <w:color w:val="000000" w:themeColor="text1"/>
          <w:szCs w:val="20"/>
        </w:rPr>
        <w:t xml:space="preserve"> </w:t>
      </w:r>
    </w:p>
    <w:p w14:paraId="3706E1F2" w14:textId="77777777" w:rsidR="00B25121" w:rsidRPr="00DC1035" w:rsidRDefault="00B25121" w:rsidP="00B25121">
      <w:pPr>
        <w:spacing w:after="0" w:line="240" w:lineRule="auto"/>
        <w:jc w:val="both"/>
        <w:rPr>
          <w:rFonts w:ascii="Arial" w:eastAsia="Times New Roman" w:hAnsi="Arial"/>
          <w:color w:val="000000" w:themeColor="text1"/>
          <w:szCs w:val="20"/>
          <w:lang w:val="en-US"/>
        </w:rPr>
      </w:pPr>
    </w:p>
    <w:p w14:paraId="1E16C39A" w14:textId="77777777" w:rsidR="00B25121" w:rsidRPr="00DC1035" w:rsidRDefault="00B25121" w:rsidP="00B25121">
      <w:pPr>
        <w:spacing w:after="0" w:line="240" w:lineRule="auto"/>
        <w:rPr>
          <w:rFonts w:ascii="Arial" w:hAnsi="Arial"/>
          <w:bCs/>
          <w:color w:val="000000" w:themeColor="text1"/>
          <w:szCs w:val="20"/>
        </w:rPr>
      </w:pPr>
      <w:r w:rsidRPr="00DC1035">
        <w:rPr>
          <w:rFonts w:ascii="Arial" w:hAnsi="Arial"/>
          <w:bCs/>
          <w:color w:val="000000" w:themeColor="text1"/>
          <w:szCs w:val="20"/>
        </w:rPr>
        <w:t xml:space="preserve">In the total response approach, each person’s total ethnicity response is counted. This means that individuals may be counted more than once, and the total figures will be greater than the population numbers </w:t>
      </w:r>
      <w:r w:rsidRPr="00D4715D">
        <w:rPr>
          <w:rFonts w:ascii="Arial" w:hAnsi="Arial"/>
          <w:bCs/>
          <w:color w:val="000000" w:themeColor="text1"/>
          <w:szCs w:val="20"/>
        </w:rPr>
        <w:t>(around 300,000 more in the case of</w:t>
      </w:r>
      <w:r w:rsidRPr="00DC1035">
        <w:rPr>
          <w:rFonts w:ascii="Arial" w:hAnsi="Arial"/>
          <w:bCs/>
          <w:color w:val="000000" w:themeColor="text1"/>
          <w:szCs w:val="20"/>
        </w:rPr>
        <w:t xml:space="preserve"> children in HILS 2024-25). The analysis is actually about the total number of ethnicities provided for the children – it is not directly about the children themselves.</w:t>
      </w:r>
      <w:r w:rsidRPr="00DC1035">
        <w:rPr>
          <w:rStyle w:val="FootnoteReference"/>
          <w:rFonts w:ascii="Arial" w:hAnsi="Arial"/>
          <w:bCs/>
          <w:color w:val="000000" w:themeColor="text1"/>
          <w:szCs w:val="20"/>
        </w:rPr>
        <w:footnoteReference w:id="52"/>
      </w:r>
    </w:p>
    <w:p w14:paraId="6A5AB7BF" w14:textId="77777777" w:rsidR="00B25121" w:rsidRPr="00DC1035" w:rsidRDefault="00B25121" w:rsidP="00B25121">
      <w:pPr>
        <w:spacing w:after="0" w:line="240" w:lineRule="auto"/>
        <w:jc w:val="both"/>
        <w:rPr>
          <w:rFonts w:ascii="Arial" w:eastAsia="Times New Roman" w:hAnsi="Arial"/>
          <w:color w:val="000000" w:themeColor="text1"/>
          <w:szCs w:val="20"/>
          <w:lang w:val="en-US"/>
        </w:rPr>
      </w:pPr>
    </w:p>
    <w:p w14:paraId="3547FB32" w14:textId="77777777" w:rsidR="00B25121" w:rsidRPr="00DC1035" w:rsidRDefault="00B25121" w:rsidP="00B25121">
      <w:pPr>
        <w:spacing w:after="0" w:line="240" w:lineRule="auto"/>
        <w:ind w:right="-44"/>
        <w:rPr>
          <w:rFonts w:ascii="Arial" w:hAnsi="Arial"/>
          <w:color w:val="000000" w:themeColor="text1"/>
          <w:szCs w:val="20"/>
        </w:rPr>
      </w:pPr>
      <w:r w:rsidRPr="00DC1035">
        <w:rPr>
          <w:rFonts w:ascii="Arial" w:eastAsia="Times New Roman" w:hAnsi="Arial"/>
          <w:color w:val="000000" w:themeColor="text1"/>
          <w:szCs w:val="20"/>
          <w:lang w:val="en-US"/>
        </w:rPr>
        <w:t xml:space="preserve">In the prioritised approach, if a respondent </w:t>
      </w:r>
      <w:r w:rsidRPr="00696AE3">
        <w:rPr>
          <w:rFonts w:ascii="Arial" w:eastAsia="Times New Roman" w:hAnsi="Arial"/>
          <w:color w:val="000000" w:themeColor="text1"/>
          <w:szCs w:val="20"/>
          <w:lang w:val="en-US"/>
        </w:rPr>
        <w:t>reports more than one ethnicity, the ethnicity attributed is determined according to a prioritised classification of Māori, Pacific peoples, Asian, European then Other.</w:t>
      </w:r>
      <w:r w:rsidRPr="00DC1035">
        <w:rPr>
          <w:rFonts w:ascii="Arial" w:eastAsia="Times New Roman" w:hAnsi="Arial"/>
          <w:color w:val="000000" w:themeColor="text1"/>
          <w:szCs w:val="20"/>
          <w:lang w:val="en-US"/>
        </w:rPr>
        <w:t xml:space="preserve"> </w:t>
      </w:r>
      <w:r w:rsidRPr="00DC1035">
        <w:rPr>
          <w:rFonts w:ascii="Arial" w:hAnsi="Arial"/>
          <w:color w:val="000000" w:themeColor="text1"/>
          <w:szCs w:val="20"/>
        </w:rPr>
        <w:t xml:space="preserve">This ensures that the total number of responses equals the total population being reported on. In doing so, prioritisation </w:t>
      </w:r>
      <w:r>
        <w:rPr>
          <w:rFonts w:ascii="Arial" w:hAnsi="Arial"/>
          <w:color w:val="000000" w:themeColor="text1"/>
          <w:szCs w:val="20"/>
        </w:rPr>
        <w:t>does not show the</w:t>
      </w:r>
      <w:r w:rsidRPr="00DC1035">
        <w:rPr>
          <w:rFonts w:ascii="Arial" w:hAnsi="Arial"/>
          <w:color w:val="000000" w:themeColor="text1"/>
          <w:szCs w:val="20"/>
        </w:rPr>
        <w:t xml:space="preserve"> diversity within and overlapping between ethnic groups by eliminating multiple ethnicities from the analysis. This systematic prioritisation of the data gives highest priority to Māori </w:t>
      </w:r>
      <w:r>
        <w:rPr>
          <w:rFonts w:ascii="Arial" w:hAnsi="Arial"/>
          <w:color w:val="000000" w:themeColor="text1"/>
          <w:szCs w:val="20"/>
        </w:rPr>
        <w:t xml:space="preserve">ethnicity </w:t>
      </w:r>
      <w:r w:rsidRPr="00DC1035">
        <w:rPr>
          <w:rFonts w:ascii="Arial" w:hAnsi="Arial"/>
          <w:color w:val="000000" w:themeColor="text1"/>
          <w:szCs w:val="20"/>
        </w:rPr>
        <w:t xml:space="preserve">– meaning, for example, an individual who might self-identify as both Pacific and Māori would be counted as Māori. </w:t>
      </w:r>
    </w:p>
    <w:p w14:paraId="257C7AB7" w14:textId="77777777" w:rsidR="00B25121" w:rsidRPr="00DC1035" w:rsidRDefault="00B25121" w:rsidP="00B25121">
      <w:pPr>
        <w:spacing w:after="0" w:line="240" w:lineRule="auto"/>
        <w:rPr>
          <w:rFonts w:ascii="Arial" w:hAnsi="Arial"/>
          <w:b/>
          <w:color w:val="000000" w:themeColor="text1"/>
          <w:sz w:val="24"/>
          <w:szCs w:val="28"/>
        </w:rPr>
      </w:pPr>
      <w:r w:rsidRPr="00DC1035">
        <w:rPr>
          <w:rFonts w:ascii="Arial" w:hAnsi="Arial"/>
          <w:b/>
          <w:color w:val="000000" w:themeColor="text1"/>
          <w:sz w:val="24"/>
          <w:szCs w:val="28"/>
        </w:rPr>
        <w:br w:type="page"/>
      </w:r>
    </w:p>
    <w:p w14:paraId="688BF6F0" w14:textId="0E50336C" w:rsidR="00BA4C6B" w:rsidRDefault="00BA4C6B" w:rsidP="00BA4C6B">
      <w:pPr>
        <w:spacing w:line="240" w:lineRule="auto"/>
        <w:rPr>
          <w:rFonts w:ascii="Arial Mäori" w:hAnsi="Arial Mäori"/>
          <w:bCs/>
          <w:color w:val="000000" w:themeColor="text1"/>
          <w:szCs w:val="20"/>
        </w:rPr>
      </w:pPr>
      <w:r w:rsidRPr="006552D0">
        <w:rPr>
          <w:rFonts w:ascii="Arial" w:eastAsia="Times New Roman" w:hAnsi="Arial"/>
          <w:b/>
          <w:color w:val="000000" w:themeColor="text1"/>
          <w:szCs w:val="20"/>
        </w:rPr>
        <w:lastRenderedPageBreak/>
        <w:t>Table E.3</w:t>
      </w:r>
      <w:r>
        <w:rPr>
          <w:rFonts w:ascii="Arial" w:eastAsia="Times New Roman" w:hAnsi="Arial"/>
          <w:b/>
          <w:color w:val="000000" w:themeColor="text1"/>
          <w:szCs w:val="20"/>
        </w:rPr>
        <w:t>c</w:t>
      </w:r>
      <w:r>
        <w:rPr>
          <w:rFonts w:ascii="Arial" w:eastAsia="Times New Roman" w:hAnsi="Arial"/>
          <w:bCs/>
          <w:color w:val="000000" w:themeColor="text1"/>
          <w:szCs w:val="20"/>
        </w:rPr>
        <w:t xml:space="preserve"> </w:t>
      </w:r>
      <w:r w:rsidRPr="006552D0">
        <w:rPr>
          <w:rFonts w:ascii="Arial" w:eastAsia="Times New Roman" w:hAnsi="Arial"/>
          <w:bCs/>
          <w:color w:val="000000" w:themeColor="text1"/>
          <w:szCs w:val="20"/>
        </w:rPr>
        <w:t>uses the HES 2023-24 dataset to report by</w:t>
      </w:r>
      <w:r>
        <w:rPr>
          <w:rFonts w:ascii="Arial" w:eastAsia="Times New Roman" w:hAnsi="Arial"/>
          <w:bCs/>
          <w:color w:val="000000" w:themeColor="text1"/>
          <w:szCs w:val="20"/>
        </w:rPr>
        <w:t xml:space="preserve"> ‘</w:t>
      </w:r>
      <w:r w:rsidRPr="006552D0">
        <w:rPr>
          <w:rFonts w:ascii="Arial Mäori" w:hAnsi="Arial Mäori"/>
          <w:szCs w:val="20"/>
        </w:rPr>
        <w:t>work in</w:t>
      </w:r>
      <w:r>
        <w:rPr>
          <w:rFonts w:ascii="Arial Mäori" w:hAnsi="Arial Mäori"/>
          <w:szCs w:val="20"/>
        </w:rPr>
        <w:t>tensity’</w:t>
      </w:r>
      <w:r w:rsidRPr="006552D0">
        <w:rPr>
          <w:rFonts w:ascii="Arial Mäori" w:hAnsi="Arial Mäori"/>
          <w:szCs w:val="20"/>
        </w:rPr>
        <w:t xml:space="preserve">, </w:t>
      </w:r>
      <w:r>
        <w:rPr>
          <w:rFonts w:ascii="Arial Mäori" w:hAnsi="Arial Mäori"/>
          <w:szCs w:val="20"/>
        </w:rPr>
        <w:t>‘</w:t>
      </w:r>
      <w:r w:rsidRPr="006552D0">
        <w:rPr>
          <w:rFonts w:ascii="Arial Mäori" w:hAnsi="Arial Mäori"/>
          <w:szCs w:val="20"/>
        </w:rPr>
        <w:t>labour market status</w:t>
      </w:r>
      <w:r>
        <w:rPr>
          <w:rFonts w:ascii="Arial Mäori" w:hAnsi="Arial Mäori"/>
          <w:szCs w:val="20"/>
        </w:rPr>
        <w:t>’</w:t>
      </w:r>
      <w:r w:rsidRPr="006552D0">
        <w:rPr>
          <w:rFonts w:ascii="Arial Mäori" w:hAnsi="Arial Mäori"/>
          <w:szCs w:val="20"/>
        </w:rPr>
        <w:t xml:space="preserve"> and </w:t>
      </w:r>
      <w:r>
        <w:rPr>
          <w:rFonts w:ascii="Arial Mäori" w:hAnsi="Arial Mäori"/>
          <w:szCs w:val="20"/>
        </w:rPr>
        <w:t>‘</w:t>
      </w:r>
      <w:r w:rsidRPr="006552D0">
        <w:rPr>
          <w:rFonts w:ascii="Arial Mäori" w:hAnsi="Arial Mäori"/>
          <w:szCs w:val="20"/>
        </w:rPr>
        <w:t>highest educational qualification in the household</w:t>
      </w:r>
      <w:r>
        <w:rPr>
          <w:rFonts w:ascii="Arial Mäori" w:hAnsi="Arial Mäori"/>
          <w:szCs w:val="20"/>
        </w:rPr>
        <w:t>’ – these breakdowns are not available from the HILS 2024-25 dataset. Table E.3c also reports the 2023-24 material hardship numbers for children by ‘household type’,</w:t>
      </w:r>
      <w:r w:rsidRPr="00BA4C6B">
        <w:rPr>
          <w:rFonts w:ascii="Arial Mäori" w:hAnsi="Arial Mäori"/>
          <w:szCs w:val="20"/>
        </w:rPr>
        <w:t xml:space="preserve"> </w:t>
      </w:r>
      <w:r>
        <w:rPr>
          <w:rFonts w:ascii="Arial Mäori" w:hAnsi="Arial Mäori"/>
          <w:szCs w:val="20"/>
        </w:rPr>
        <w:t>‘number of dependent children in the HH’ and ‘main source of income’ to enable some comparison with the 2024-25 results for those subgroups (see Table E.3b). The two surveys produce very similar numbers. This gives some assurance that the 2024-25 figures for the ‘</w:t>
      </w:r>
      <w:r w:rsidRPr="006552D0">
        <w:rPr>
          <w:rFonts w:ascii="Arial Mäori" w:hAnsi="Arial Mäori"/>
          <w:szCs w:val="20"/>
        </w:rPr>
        <w:t>work intensity</w:t>
      </w:r>
      <w:r>
        <w:rPr>
          <w:rFonts w:ascii="Arial Mäori" w:hAnsi="Arial Mäori"/>
          <w:szCs w:val="20"/>
        </w:rPr>
        <w:t>’</w:t>
      </w:r>
      <w:r w:rsidRPr="006552D0">
        <w:rPr>
          <w:rFonts w:ascii="Arial Mäori" w:hAnsi="Arial Mäori"/>
          <w:szCs w:val="20"/>
        </w:rPr>
        <w:t xml:space="preserve">, </w:t>
      </w:r>
      <w:r>
        <w:rPr>
          <w:rFonts w:ascii="Arial Mäori" w:hAnsi="Arial Mäori"/>
          <w:szCs w:val="20"/>
        </w:rPr>
        <w:t>‘</w:t>
      </w:r>
      <w:r w:rsidRPr="006552D0">
        <w:rPr>
          <w:rFonts w:ascii="Arial Mäori" w:hAnsi="Arial Mäori"/>
          <w:szCs w:val="20"/>
        </w:rPr>
        <w:t>labour market</w:t>
      </w:r>
      <w:r>
        <w:rPr>
          <w:rFonts w:ascii="Arial Mäori" w:hAnsi="Arial Mäori"/>
          <w:szCs w:val="20"/>
        </w:rPr>
        <w:t>‘</w:t>
      </w:r>
      <w:r w:rsidRPr="006552D0">
        <w:rPr>
          <w:rFonts w:ascii="Arial Mäori" w:hAnsi="Arial Mäori"/>
          <w:szCs w:val="20"/>
        </w:rPr>
        <w:t xml:space="preserve"> and </w:t>
      </w:r>
      <w:r>
        <w:rPr>
          <w:rFonts w:ascii="Arial Mäori" w:hAnsi="Arial Mäori"/>
          <w:szCs w:val="20"/>
        </w:rPr>
        <w:t>‘</w:t>
      </w:r>
      <w:r w:rsidRPr="006552D0">
        <w:rPr>
          <w:rFonts w:ascii="Arial Mäori" w:hAnsi="Arial Mäori"/>
          <w:szCs w:val="20"/>
        </w:rPr>
        <w:t>highest educational qualification</w:t>
      </w:r>
      <w:r>
        <w:rPr>
          <w:rFonts w:ascii="Arial Mäori" w:hAnsi="Arial Mäori"/>
          <w:szCs w:val="20"/>
        </w:rPr>
        <w:t>’ categories are likely to be well esti</w:t>
      </w:r>
      <w:r w:rsidR="000E1C26">
        <w:rPr>
          <w:rFonts w:ascii="Arial Mäori" w:hAnsi="Arial Mäori"/>
          <w:szCs w:val="20"/>
        </w:rPr>
        <w:t xml:space="preserve">mated </w:t>
      </w:r>
      <w:r>
        <w:rPr>
          <w:rFonts w:ascii="Arial Mäori" w:hAnsi="Arial Mäori"/>
          <w:szCs w:val="20"/>
        </w:rPr>
        <w:t xml:space="preserve">by the </w:t>
      </w:r>
      <w:r w:rsidR="00684467">
        <w:rPr>
          <w:rFonts w:ascii="Arial Mäori" w:hAnsi="Arial Mäori"/>
          <w:szCs w:val="20"/>
        </w:rPr>
        <w:t xml:space="preserve">HES </w:t>
      </w:r>
      <w:r>
        <w:rPr>
          <w:rFonts w:ascii="Arial Mäori" w:hAnsi="Arial Mäori"/>
          <w:szCs w:val="20"/>
        </w:rPr>
        <w:t>2023-24 figures.</w:t>
      </w:r>
    </w:p>
    <w:p w14:paraId="32E6E7F6" w14:textId="77777777" w:rsidR="00BA4C6B" w:rsidRDefault="00BA4C6B" w:rsidP="00E476C4">
      <w:pPr>
        <w:spacing w:after="0" w:line="240" w:lineRule="auto"/>
        <w:ind w:right="-44"/>
        <w:jc w:val="center"/>
        <w:rPr>
          <w:rFonts w:ascii="Arial" w:eastAsia="Times New Roman" w:hAnsi="Arial"/>
          <w:b/>
          <w:color w:val="000000"/>
          <w:sz w:val="18"/>
          <w:szCs w:val="18"/>
        </w:rPr>
      </w:pPr>
    </w:p>
    <w:p w14:paraId="6353DBCD" w14:textId="5105B48C" w:rsidR="00E476C4" w:rsidRPr="005B4109" w:rsidRDefault="00E476C4" w:rsidP="00E476C4">
      <w:pPr>
        <w:spacing w:after="0" w:line="240" w:lineRule="auto"/>
        <w:ind w:right="-44"/>
        <w:jc w:val="center"/>
        <w:rPr>
          <w:rFonts w:ascii="Arial" w:eastAsia="Times New Roman" w:hAnsi="Arial"/>
          <w:bCs/>
          <w:color w:val="FF0000"/>
          <w:sz w:val="18"/>
          <w:szCs w:val="18"/>
        </w:rPr>
      </w:pPr>
      <w:r w:rsidRPr="003D672F">
        <w:rPr>
          <w:rFonts w:ascii="Arial" w:eastAsia="Times New Roman" w:hAnsi="Arial"/>
          <w:b/>
          <w:color w:val="000000"/>
          <w:sz w:val="18"/>
          <w:szCs w:val="18"/>
        </w:rPr>
        <w:t>Table E.3</w:t>
      </w:r>
      <w:r w:rsidR="001C3318">
        <w:rPr>
          <w:rFonts w:ascii="Arial" w:eastAsia="Times New Roman" w:hAnsi="Arial"/>
          <w:b/>
          <w:color w:val="000000"/>
          <w:sz w:val="18"/>
          <w:szCs w:val="18"/>
        </w:rPr>
        <w:t>c</w:t>
      </w:r>
    </w:p>
    <w:p w14:paraId="55ABA955" w14:textId="740E86CA" w:rsidR="000842E2" w:rsidRPr="000842E2" w:rsidRDefault="000B31C0" w:rsidP="000842E2">
      <w:pPr>
        <w:spacing w:after="0" w:line="240" w:lineRule="auto"/>
        <w:ind w:right="-44"/>
        <w:jc w:val="center"/>
        <w:rPr>
          <w:rFonts w:ascii="Arial" w:eastAsia="Times New Roman" w:hAnsi="Arial" w:cs="Times New Roman"/>
          <w:b/>
          <w:bCs/>
          <w:color w:val="000000"/>
          <w:sz w:val="18"/>
          <w:szCs w:val="18"/>
          <w:lang w:eastAsia="en-NZ"/>
        </w:rPr>
      </w:pPr>
      <w:r>
        <w:rPr>
          <w:rFonts w:ascii="Arial" w:eastAsia="Times New Roman" w:hAnsi="Arial" w:cs="Times New Roman"/>
          <w:b/>
          <w:bCs/>
          <w:color w:val="000000"/>
          <w:sz w:val="18"/>
          <w:szCs w:val="18"/>
          <w:lang w:eastAsia="en-NZ"/>
        </w:rPr>
        <w:t>MH</w:t>
      </w:r>
      <w:r w:rsidR="000842E2" w:rsidRPr="000842E2">
        <w:rPr>
          <w:rFonts w:ascii="Arial" w:eastAsia="Times New Roman" w:hAnsi="Arial" w:cs="Times New Roman"/>
          <w:b/>
          <w:bCs/>
          <w:color w:val="000000"/>
          <w:sz w:val="18"/>
          <w:szCs w:val="18"/>
          <w:lang w:eastAsia="en-NZ"/>
        </w:rPr>
        <w:t xml:space="preserve"> rates and composition for </w:t>
      </w:r>
      <w:r>
        <w:rPr>
          <w:rFonts w:ascii="Arial" w:eastAsia="Times New Roman" w:hAnsi="Arial" w:cs="Times New Roman"/>
          <w:b/>
          <w:bCs/>
          <w:color w:val="000000"/>
          <w:sz w:val="18"/>
          <w:szCs w:val="18"/>
          <w:lang w:eastAsia="en-NZ"/>
        </w:rPr>
        <w:t xml:space="preserve">further </w:t>
      </w:r>
      <w:r w:rsidR="000842E2" w:rsidRPr="000842E2">
        <w:rPr>
          <w:rFonts w:ascii="Arial" w:eastAsia="Times New Roman" w:hAnsi="Arial" w:cs="Times New Roman"/>
          <w:b/>
          <w:bCs/>
          <w:color w:val="000000"/>
          <w:sz w:val="18"/>
          <w:szCs w:val="18"/>
          <w:lang w:eastAsia="en-NZ"/>
        </w:rPr>
        <w:t>selected population groups (DEP-17 index, 5 thresholds),</w:t>
      </w:r>
    </w:p>
    <w:p w14:paraId="358C0BC1" w14:textId="77777777" w:rsidR="000842E2" w:rsidRPr="000842E2" w:rsidRDefault="000842E2" w:rsidP="000842E2">
      <w:pPr>
        <w:spacing w:after="0" w:line="240" w:lineRule="auto"/>
        <w:jc w:val="center"/>
        <w:rPr>
          <w:rFonts w:ascii="Arial" w:eastAsia="Times New Roman" w:hAnsi="Arial" w:cs="Times New Roman"/>
          <w:b/>
          <w:bCs/>
          <w:color w:val="000000"/>
          <w:sz w:val="18"/>
          <w:szCs w:val="18"/>
          <w:lang w:eastAsia="en-NZ"/>
        </w:rPr>
      </w:pPr>
      <w:r w:rsidRPr="000842E2">
        <w:rPr>
          <w:rFonts w:ascii="Arial" w:eastAsia="Times New Roman" w:hAnsi="Arial" w:cs="Times New Roman"/>
          <w:b/>
          <w:bCs/>
          <w:color w:val="000000"/>
          <w:sz w:val="18"/>
          <w:szCs w:val="18"/>
          <w:lang w:eastAsia="en-NZ"/>
        </w:rPr>
        <w:t>Children (aged 0-17 years), HES 2023-24</w:t>
      </w:r>
    </w:p>
    <w:p w14:paraId="58ABB7D7" w14:textId="77777777" w:rsidR="000842E2" w:rsidRPr="000842E2" w:rsidRDefault="000842E2" w:rsidP="000842E2">
      <w:pPr>
        <w:spacing w:after="0" w:line="240" w:lineRule="auto"/>
        <w:jc w:val="center"/>
        <w:rPr>
          <w:rFonts w:ascii="Arial" w:hAnsi="Arial"/>
          <w:b/>
          <w:sz w:val="16"/>
          <w:szCs w:val="16"/>
        </w:rPr>
      </w:pPr>
      <w:r w:rsidRPr="000842E2">
        <w:rPr>
          <w:rFonts w:ascii="Arial" w:eastAsia="Times New Roman" w:hAnsi="Arial" w:cs="Times New Roman"/>
          <w:b/>
          <w:bCs/>
          <w:color w:val="000000"/>
          <w:sz w:val="18"/>
          <w:szCs w:val="18"/>
          <w:lang w:eastAsia="en-NZ"/>
        </w:rPr>
        <w:t xml:space="preserve">  </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472"/>
        <w:gridCol w:w="471"/>
        <w:gridCol w:w="471"/>
        <w:gridCol w:w="472"/>
        <w:gridCol w:w="472"/>
        <w:gridCol w:w="475"/>
        <w:gridCol w:w="475"/>
        <w:gridCol w:w="475"/>
        <w:gridCol w:w="475"/>
        <w:gridCol w:w="475"/>
        <w:gridCol w:w="606"/>
        <w:gridCol w:w="606"/>
      </w:tblGrid>
      <w:tr w:rsidR="000842E2" w:rsidRPr="000842E2" w14:paraId="115B0C54" w14:textId="77777777" w:rsidTr="00AB176F">
        <w:trPr>
          <w:trHeight w:val="300"/>
          <w:jc w:val="center"/>
        </w:trPr>
        <w:tc>
          <w:tcPr>
            <w:tcW w:w="2946" w:type="dxa"/>
            <w:vAlign w:val="center"/>
            <w:hideMark/>
          </w:tcPr>
          <w:p w14:paraId="4EB88CF2" w14:textId="77777777" w:rsidR="000842E2" w:rsidRPr="000842E2" w:rsidRDefault="000842E2" w:rsidP="000842E2">
            <w:pPr>
              <w:spacing w:after="0" w:line="240" w:lineRule="auto"/>
              <w:rPr>
                <w:rFonts w:ascii="Arial" w:eastAsia="Times New Roman" w:hAnsi="Arial" w:cs="Times New Roman"/>
                <w:b/>
                <w:bCs/>
                <w:color w:val="000000"/>
                <w:sz w:val="16"/>
                <w:szCs w:val="18"/>
                <w:lang w:eastAsia="en-NZ"/>
              </w:rPr>
            </w:pPr>
            <w:r w:rsidRPr="000842E2">
              <w:rPr>
                <w:rFonts w:ascii="Arial" w:eastAsia="Times New Roman" w:hAnsi="Arial" w:cs="Times New Roman"/>
                <w:b/>
                <w:bCs/>
                <w:color w:val="000000"/>
                <w:sz w:val="16"/>
                <w:szCs w:val="18"/>
                <w:lang w:eastAsia="en-NZ"/>
              </w:rPr>
              <w:t> HES 2023-24</w:t>
            </w:r>
          </w:p>
        </w:tc>
        <w:tc>
          <w:tcPr>
            <w:tcW w:w="2358" w:type="dxa"/>
            <w:gridSpan w:val="5"/>
            <w:tcBorders>
              <w:right w:val="single" w:sz="8" w:space="0" w:color="auto"/>
            </w:tcBorders>
            <w:vAlign w:val="center"/>
            <w:hideMark/>
          </w:tcPr>
          <w:p w14:paraId="1903F197" w14:textId="77777777" w:rsidR="000842E2" w:rsidRPr="000842E2" w:rsidRDefault="000842E2" w:rsidP="000842E2">
            <w:pPr>
              <w:spacing w:after="0" w:line="240" w:lineRule="auto"/>
              <w:jc w:val="center"/>
              <w:rPr>
                <w:rFonts w:ascii="Arial" w:eastAsia="Times New Roman" w:hAnsi="Arial" w:cs="Times New Roman"/>
                <w:b/>
                <w:bCs/>
                <w:color w:val="000000"/>
                <w:sz w:val="16"/>
                <w:szCs w:val="18"/>
                <w:lang w:eastAsia="en-NZ"/>
              </w:rPr>
            </w:pPr>
            <w:r w:rsidRPr="000842E2">
              <w:rPr>
                <w:rFonts w:ascii="Arial" w:eastAsia="Times New Roman" w:hAnsi="Arial" w:cs="Times New Roman"/>
                <w:b/>
                <w:bCs/>
                <w:color w:val="000000"/>
                <w:sz w:val="16"/>
                <w:szCs w:val="18"/>
                <w:lang w:eastAsia="en-NZ"/>
              </w:rPr>
              <w:t>Material hardship rates</w:t>
            </w:r>
          </w:p>
        </w:tc>
        <w:tc>
          <w:tcPr>
            <w:tcW w:w="3587" w:type="dxa"/>
            <w:gridSpan w:val="7"/>
            <w:tcBorders>
              <w:left w:val="single" w:sz="8" w:space="0" w:color="auto"/>
            </w:tcBorders>
            <w:vAlign w:val="center"/>
            <w:hideMark/>
          </w:tcPr>
          <w:p w14:paraId="4757E0E2" w14:textId="77777777" w:rsidR="000842E2" w:rsidRPr="000842E2" w:rsidRDefault="000842E2" w:rsidP="000842E2">
            <w:pPr>
              <w:spacing w:after="0" w:line="240" w:lineRule="auto"/>
              <w:jc w:val="center"/>
              <w:rPr>
                <w:rFonts w:ascii="Arial" w:eastAsia="Times New Roman" w:hAnsi="Arial" w:cs="Times New Roman"/>
                <w:b/>
                <w:bCs/>
                <w:color w:val="000000"/>
                <w:sz w:val="16"/>
                <w:szCs w:val="18"/>
                <w:lang w:eastAsia="en-NZ"/>
              </w:rPr>
            </w:pPr>
            <w:r w:rsidRPr="000842E2">
              <w:rPr>
                <w:rFonts w:ascii="Arial" w:eastAsia="Times New Roman" w:hAnsi="Arial" w:cs="Times New Roman"/>
                <w:b/>
                <w:bCs/>
                <w:color w:val="000000"/>
                <w:sz w:val="16"/>
                <w:szCs w:val="18"/>
                <w:lang w:eastAsia="en-NZ"/>
              </w:rPr>
              <w:t>Composition</w:t>
            </w:r>
          </w:p>
        </w:tc>
      </w:tr>
      <w:tr w:rsidR="000842E2" w:rsidRPr="000842E2" w14:paraId="5E697752" w14:textId="77777777" w:rsidTr="00AB176F">
        <w:trPr>
          <w:trHeight w:val="300"/>
          <w:jc w:val="center"/>
        </w:trPr>
        <w:tc>
          <w:tcPr>
            <w:tcW w:w="2946" w:type="dxa"/>
            <w:vAlign w:val="center"/>
            <w:hideMark/>
          </w:tcPr>
          <w:p w14:paraId="6CF4BE44"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6"/>
                <w:lang w:eastAsia="en-NZ"/>
              </w:rPr>
              <w:t> </w:t>
            </w:r>
          </w:p>
        </w:tc>
        <w:tc>
          <w:tcPr>
            <w:tcW w:w="2358" w:type="dxa"/>
            <w:gridSpan w:val="5"/>
            <w:tcBorders>
              <w:right w:val="single" w:sz="8" w:space="0" w:color="auto"/>
            </w:tcBorders>
            <w:vAlign w:val="center"/>
            <w:hideMark/>
          </w:tcPr>
          <w:p w14:paraId="0434290C" w14:textId="77777777" w:rsidR="000842E2" w:rsidRPr="000842E2" w:rsidRDefault="000842E2" w:rsidP="000842E2">
            <w:pPr>
              <w:spacing w:after="0" w:line="240" w:lineRule="auto"/>
              <w:jc w:val="center"/>
              <w:rPr>
                <w:rFonts w:ascii="Arial" w:eastAsia="Times New Roman" w:hAnsi="Arial" w:cs="Times New Roman"/>
                <w:color w:val="000000"/>
                <w:sz w:val="16"/>
                <w:szCs w:val="16"/>
                <w:lang w:eastAsia="en-NZ"/>
              </w:rPr>
            </w:pPr>
            <w:r w:rsidRPr="000842E2">
              <w:rPr>
                <w:rFonts w:ascii="Arial" w:eastAsia="Times New Roman" w:hAnsi="Arial" w:cs="Times New Roman"/>
                <w:color w:val="000000"/>
                <w:sz w:val="16"/>
                <w:szCs w:val="16"/>
                <w:lang w:eastAsia="en-NZ"/>
              </w:rPr>
              <w:t>what % of this group is in hardship, using the different thresholds?</w:t>
            </w:r>
          </w:p>
        </w:tc>
        <w:tc>
          <w:tcPr>
            <w:tcW w:w="2375" w:type="dxa"/>
            <w:gridSpan w:val="5"/>
            <w:tcBorders>
              <w:left w:val="single" w:sz="8" w:space="0" w:color="auto"/>
            </w:tcBorders>
            <w:vAlign w:val="center"/>
            <w:hideMark/>
          </w:tcPr>
          <w:p w14:paraId="60176C07" w14:textId="77777777" w:rsidR="000842E2" w:rsidRPr="000842E2" w:rsidRDefault="000842E2" w:rsidP="000842E2">
            <w:pPr>
              <w:spacing w:after="0" w:line="240" w:lineRule="auto"/>
              <w:jc w:val="center"/>
              <w:rPr>
                <w:rFonts w:ascii="Arial" w:eastAsia="Times New Roman" w:hAnsi="Arial" w:cs="Times New Roman"/>
                <w:color w:val="000000"/>
                <w:sz w:val="16"/>
                <w:szCs w:val="16"/>
                <w:lang w:eastAsia="en-NZ"/>
              </w:rPr>
            </w:pPr>
            <w:r w:rsidRPr="000842E2">
              <w:rPr>
                <w:rFonts w:ascii="Arial" w:eastAsia="Times New Roman" w:hAnsi="Arial" w:cs="Times New Roman"/>
                <w:color w:val="000000"/>
                <w:sz w:val="16"/>
                <w:szCs w:val="16"/>
                <w:lang w:eastAsia="en-NZ"/>
              </w:rPr>
              <w:t>what % of all those in hardship (using a given threshold) are in this group / cell?</w:t>
            </w:r>
          </w:p>
        </w:tc>
        <w:tc>
          <w:tcPr>
            <w:tcW w:w="606" w:type="dxa"/>
            <w:vAlign w:val="center"/>
            <w:hideMark/>
          </w:tcPr>
          <w:p w14:paraId="7D982AFF"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000’s</w:t>
            </w:r>
          </w:p>
        </w:tc>
        <w:tc>
          <w:tcPr>
            <w:tcW w:w="606" w:type="dxa"/>
            <w:vAlign w:val="center"/>
          </w:tcPr>
          <w:p w14:paraId="51B66C66" w14:textId="77777777" w:rsidR="000842E2" w:rsidRPr="000842E2" w:rsidRDefault="000842E2" w:rsidP="000842E2">
            <w:pPr>
              <w:spacing w:after="0" w:line="240" w:lineRule="auto"/>
              <w:jc w:val="center"/>
              <w:rPr>
                <w:rFonts w:ascii="Arial" w:eastAsia="Times New Roman" w:hAnsi="Arial" w:cs="Times New Roman"/>
                <w:b/>
                <w:bCs/>
                <w:sz w:val="14"/>
                <w:szCs w:val="14"/>
                <w:lang w:eastAsia="en-NZ"/>
              </w:rPr>
            </w:pPr>
            <w:r w:rsidRPr="000842E2">
              <w:rPr>
                <w:rFonts w:ascii="Arial" w:eastAsia="Times New Roman" w:hAnsi="Arial" w:cs="Times New Roman"/>
                <w:b/>
                <w:bCs/>
                <w:sz w:val="14"/>
                <w:szCs w:val="14"/>
                <w:lang w:eastAsia="en-NZ"/>
              </w:rPr>
              <w:t>%</w:t>
            </w:r>
          </w:p>
        </w:tc>
      </w:tr>
      <w:tr w:rsidR="000842E2" w:rsidRPr="000842E2" w14:paraId="00EA2CAA" w14:textId="77777777" w:rsidTr="00AB176F">
        <w:trPr>
          <w:trHeight w:val="396"/>
          <w:jc w:val="center"/>
        </w:trPr>
        <w:tc>
          <w:tcPr>
            <w:tcW w:w="2946" w:type="dxa"/>
            <w:vAlign w:val="center"/>
            <w:hideMark/>
          </w:tcPr>
          <w:p w14:paraId="0F135EB5"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6"/>
                <w:lang w:eastAsia="en-NZ"/>
              </w:rPr>
              <w:t>Material hardship threshold as # of items lacked out of 17</w:t>
            </w:r>
          </w:p>
        </w:tc>
        <w:tc>
          <w:tcPr>
            <w:tcW w:w="472" w:type="dxa"/>
            <w:vAlign w:val="center"/>
            <w:hideMark/>
          </w:tcPr>
          <w:p w14:paraId="7524F807"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5+</w:t>
            </w:r>
          </w:p>
        </w:tc>
        <w:tc>
          <w:tcPr>
            <w:tcW w:w="471" w:type="dxa"/>
            <w:shd w:val="clear" w:color="auto" w:fill="D9D9D9"/>
            <w:vAlign w:val="center"/>
            <w:hideMark/>
          </w:tcPr>
          <w:p w14:paraId="264C202D"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6+</w:t>
            </w:r>
          </w:p>
        </w:tc>
        <w:tc>
          <w:tcPr>
            <w:tcW w:w="471" w:type="dxa"/>
            <w:vAlign w:val="center"/>
            <w:hideMark/>
          </w:tcPr>
          <w:p w14:paraId="517B2D19"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7+</w:t>
            </w:r>
          </w:p>
        </w:tc>
        <w:tc>
          <w:tcPr>
            <w:tcW w:w="472" w:type="dxa"/>
            <w:vAlign w:val="center"/>
            <w:hideMark/>
          </w:tcPr>
          <w:p w14:paraId="7D7DEE3F"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8+</w:t>
            </w:r>
          </w:p>
        </w:tc>
        <w:tc>
          <w:tcPr>
            <w:tcW w:w="472" w:type="dxa"/>
            <w:tcBorders>
              <w:right w:val="single" w:sz="8" w:space="0" w:color="auto"/>
            </w:tcBorders>
            <w:vAlign w:val="center"/>
            <w:hideMark/>
          </w:tcPr>
          <w:p w14:paraId="6329E2BE"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9+</w:t>
            </w:r>
          </w:p>
        </w:tc>
        <w:tc>
          <w:tcPr>
            <w:tcW w:w="475" w:type="dxa"/>
            <w:tcBorders>
              <w:left w:val="single" w:sz="8" w:space="0" w:color="auto"/>
            </w:tcBorders>
            <w:vAlign w:val="center"/>
            <w:hideMark/>
          </w:tcPr>
          <w:p w14:paraId="58EC769A"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5+</w:t>
            </w:r>
          </w:p>
        </w:tc>
        <w:tc>
          <w:tcPr>
            <w:tcW w:w="475" w:type="dxa"/>
            <w:shd w:val="clear" w:color="auto" w:fill="D9D9D9"/>
            <w:vAlign w:val="center"/>
            <w:hideMark/>
          </w:tcPr>
          <w:p w14:paraId="028EDB26"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6+</w:t>
            </w:r>
          </w:p>
        </w:tc>
        <w:tc>
          <w:tcPr>
            <w:tcW w:w="475" w:type="dxa"/>
            <w:vAlign w:val="center"/>
            <w:hideMark/>
          </w:tcPr>
          <w:p w14:paraId="3D79F52E"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7+</w:t>
            </w:r>
          </w:p>
        </w:tc>
        <w:tc>
          <w:tcPr>
            <w:tcW w:w="475" w:type="dxa"/>
            <w:vAlign w:val="center"/>
            <w:hideMark/>
          </w:tcPr>
          <w:p w14:paraId="0ABFBE48"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8+</w:t>
            </w:r>
          </w:p>
        </w:tc>
        <w:tc>
          <w:tcPr>
            <w:tcW w:w="475" w:type="dxa"/>
            <w:vAlign w:val="center"/>
            <w:hideMark/>
          </w:tcPr>
          <w:p w14:paraId="78F38F18"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9+</w:t>
            </w:r>
          </w:p>
        </w:tc>
        <w:tc>
          <w:tcPr>
            <w:tcW w:w="606" w:type="dxa"/>
            <w:vAlign w:val="center"/>
            <w:hideMark/>
          </w:tcPr>
          <w:p w14:paraId="32C57BBD" w14:textId="77777777" w:rsidR="000842E2" w:rsidRPr="000842E2" w:rsidRDefault="000842E2" w:rsidP="000842E2">
            <w:pPr>
              <w:spacing w:after="0" w:line="240" w:lineRule="auto"/>
              <w:jc w:val="center"/>
              <w:rPr>
                <w:rFonts w:ascii="Arial" w:eastAsia="Times New Roman" w:hAnsi="Arial" w:cs="Times New Roman"/>
                <w:b/>
                <w:bCs/>
                <w:color w:val="000000"/>
                <w:sz w:val="14"/>
                <w:szCs w:val="14"/>
                <w:lang w:eastAsia="en-NZ"/>
              </w:rPr>
            </w:pPr>
            <w:r w:rsidRPr="000842E2">
              <w:rPr>
                <w:rFonts w:ascii="Arial" w:eastAsia="Times New Roman" w:hAnsi="Arial" w:cs="Times New Roman"/>
                <w:b/>
                <w:bCs/>
                <w:color w:val="000000"/>
                <w:sz w:val="14"/>
                <w:szCs w:val="14"/>
                <w:lang w:eastAsia="en-NZ"/>
              </w:rPr>
              <w:t>ALL</w:t>
            </w:r>
          </w:p>
        </w:tc>
        <w:tc>
          <w:tcPr>
            <w:tcW w:w="606" w:type="dxa"/>
            <w:vAlign w:val="center"/>
          </w:tcPr>
          <w:p w14:paraId="5D28CA6A" w14:textId="77777777" w:rsidR="000842E2" w:rsidRPr="000842E2" w:rsidRDefault="000842E2" w:rsidP="000842E2">
            <w:pPr>
              <w:spacing w:after="0" w:line="240" w:lineRule="auto"/>
              <w:jc w:val="center"/>
              <w:rPr>
                <w:rFonts w:ascii="Arial" w:eastAsia="Times New Roman" w:hAnsi="Arial" w:cs="Times New Roman"/>
                <w:b/>
                <w:bCs/>
                <w:sz w:val="14"/>
                <w:szCs w:val="14"/>
                <w:lang w:eastAsia="en-NZ"/>
              </w:rPr>
            </w:pPr>
            <w:r w:rsidRPr="000842E2">
              <w:rPr>
                <w:rFonts w:ascii="Arial" w:eastAsia="Times New Roman" w:hAnsi="Arial" w:cs="Times New Roman"/>
                <w:b/>
                <w:bCs/>
                <w:sz w:val="14"/>
                <w:szCs w:val="14"/>
                <w:lang w:eastAsia="en-NZ"/>
              </w:rPr>
              <w:t>ALL</w:t>
            </w:r>
          </w:p>
        </w:tc>
      </w:tr>
      <w:tr w:rsidR="000842E2" w:rsidRPr="000842E2" w14:paraId="01157777" w14:textId="77777777" w:rsidTr="00AB176F">
        <w:trPr>
          <w:trHeight w:val="227"/>
          <w:jc w:val="center"/>
        </w:trPr>
        <w:tc>
          <w:tcPr>
            <w:tcW w:w="2946" w:type="dxa"/>
            <w:vAlign w:val="center"/>
            <w:hideMark/>
          </w:tcPr>
          <w:p w14:paraId="32C0154E"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p>
        </w:tc>
        <w:tc>
          <w:tcPr>
            <w:tcW w:w="472" w:type="dxa"/>
            <w:vAlign w:val="center"/>
            <w:hideMark/>
          </w:tcPr>
          <w:p w14:paraId="0DFE16E0"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1" w:type="dxa"/>
            <w:shd w:val="clear" w:color="auto" w:fill="D9D9D9"/>
            <w:vAlign w:val="center"/>
            <w:hideMark/>
          </w:tcPr>
          <w:p w14:paraId="67C03D91"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1" w:type="dxa"/>
            <w:vAlign w:val="center"/>
            <w:hideMark/>
          </w:tcPr>
          <w:p w14:paraId="5506CFFC"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2" w:type="dxa"/>
            <w:vAlign w:val="center"/>
            <w:hideMark/>
          </w:tcPr>
          <w:p w14:paraId="0165D2B6"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2" w:type="dxa"/>
            <w:tcBorders>
              <w:right w:val="single" w:sz="8" w:space="0" w:color="auto"/>
            </w:tcBorders>
            <w:vAlign w:val="center"/>
            <w:hideMark/>
          </w:tcPr>
          <w:p w14:paraId="3A5153A1"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5" w:type="dxa"/>
            <w:tcBorders>
              <w:left w:val="single" w:sz="8" w:space="0" w:color="auto"/>
            </w:tcBorders>
            <w:vAlign w:val="center"/>
            <w:hideMark/>
          </w:tcPr>
          <w:p w14:paraId="5D021437"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5" w:type="dxa"/>
            <w:shd w:val="clear" w:color="auto" w:fill="D9D9D9"/>
            <w:vAlign w:val="center"/>
            <w:hideMark/>
          </w:tcPr>
          <w:p w14:paraId="33CE6749"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5" w:type="dxa"/>
            <w:vAlign w:val="center"/>
            <w:hideMark/>
          </w:tcPr>
          <w:p w14:paraId="105D252D"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5" w:type="dxa"/>
            <w:vAlign w:val="center"/>
            <w:hideMark/>
          </w:tcPr>
          <w:p w14:paraId="6067F807"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475" w:type="dxa"/>
            <w:vAlign w:val="center"/>
            <w:hideMark/>
          </w:tcPr>
          <w:p w14:paraId="0FA305BA"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606" w:type="dxa"/>
            <w:vAlign w:val="center"/>
            <w:hideMark/>
          </w:tcPr>
          <w:p w14:paraId="7C1F7A99"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r w:rsidRPr="000842E2">
              <w:rPr>
                <w:rFonts w:ascii="Arial" w:eastAsia="Times New Roman" w:hAnsi="Arial" w:cs="Times New Roman"/>
                <w:color w:val="000000"/>
                <w:sz w:val="14"/>
                <w:szCs w:val="14"/>
                <w:lang w:eastAsia="en-NZ"/>
              </w:rPr>
              <w:t> </w:t>
            </w:r>
          </w:p>
        </w:tc>
        <w:tc>
          <w:tcPr>
            <w:tcW w:w="606" w:type="dxa"/>
            <w:vAlign w:val="center"/>
          </w:tcPr>
          <w:p w14:paraId="5EAF2B1A" w14:textId="77777777" w:rsidR="000842E2" w:rsidRPr="000842E2" w:rsidRDefault="000842E2" w:rsidP="000842E2">
            <w:pPr>
              <w:spacing w:after="0" w:line="240" w:lineRule="auto"/>
              <w:rPr>
                <w:rFonts w:ascii="Arial" w:eastAsia="Times New Roman" w:hAnsi="Arial" w:cs="Times New Roman"/>
                <w:color w:val="000000"/>
                <w:sz w:val="14"/>
                <w:szCs w:val="14"/>
                <w:lang w:eastAsia="en-NZ"/>
              </w:rPr>
            </w:pPr>
          </w:p>
        </w:tc>
      </w:tr>
      <w:tr w:rsidR="000842E2" w:rsidRPr="000842E2" w14:paraId="0AF3040C" w14:textId="77777777" w:rsidTr="00AB176F">
        <w:trPr>
          <w:trHeight w:hRule="exact" w:val="227"/>
          <w:jc w:val="center"/>
        </w:trPr>
        <w:tc>
          <w:tcPr>
            <w:tcW w:w="2946" w:type="dxa"/>
            <w:vAlign w:val="center"/>
            <w:hideMark/>
          </w:tcPr>
          <w:p w14:paraId="2F94BCBD"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All children (0-17 yrs)</w:t>
            </w:r>
          </w:p>
        </w:tc>
        <w:tc>
          <w:tcPr>
            <w:tcW w:w="472" w:type="dxa"/>
            <w:vAlign w:val="center"/>
            <w:hideMark/>
          </w:tcPr>
          <w:p w14:paraId="7819747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18</w:t>
            </w:r>
          </w:p>
        </w:tc>
        <w:tc>
          <w:tcPr>
            <w:tcW w:w="471" w:type="dxa"/>
            <w:shd w:val="clear" w:color="auto" w:fill="D9D9D9"/>
            <w:vAlign w:val="center"/>
            <w:hideMark/>
          </w:tcPr>
          <w:p w14:paraId="03956AA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c>
          <w:tcPr>
            <w:tcW w:w="471" w:type="dxa"/>
            <w:vAlign w:val="center"/>
            <w:hideMark/>
          </w:tcPr>
          <w:p w14:paraId="16298F7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2" w:type="dxa"/>
            <w:vAlign w:val="center"/>
            <w:hideMark/>
          </w:tcPr>
          <w:p w14:paraId="5371994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2" w:type="dxa"/>
            <w:tcBorders>
              <w:right w:val="single" w:sz="8" w:space="0" w:color="auto"/>
            </w:tcBorders>
            <w:vAlign w:val="center"/>
            <w:hideMark/>
          </w:tcPr>
          <w:p w14:paraId="48130D5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tcBorders>
              <w:left w:val="single" w:sz="8" w:space="0" w:color="auto"/>
            </w:tcBorders>
            <w:vAlign w:val="center"/>
            <w:hideMark/>
          </w:tcPr>
          <w:p w14:paraId="1DF3B1C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w:t>
            </w:r>
          </w:p>
        </w:tc>
        <w:tc>
          <w:tcPr>
            <w:tcW w:w="475" w:type="dxa"/>
            <w:shd w:val="clear" w:color="auto" w:fill="D9D9D9"/>
            <w:vAlign w:val="center"/>
            <w:hideMark/>
          </w:tcPr>
          <w:p w14:paraId="28F8CE3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w:t>
            </w:r>
          </w:p>
        </w:tc>
        <w:tc>
          <w:tcPr>
            <w:tcW w:w="475" w:type="dxa"/>
            <w:vAlign w:val="center"/>
            <w:hideMark/>
          </w:tcPr>
          <w:p w14:paraId="6C0C6F3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w:t>
            </w:r>
          </w:p>
        </w:tc>
        <w:tc>
          <w:tcPr>
            <w:tcW w:w="475" w:type="dxa"/>
            <w:vAlign w:val="center"/>
            <w:hideMark/>
          </w:tcPr>
          <w:p w14:paraId="3413A39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w:t>
            </w:r>
          </w:p>
        </w:tc>
        <w:tc>
          <w:tcPr>
            <w:tcW w:w="475" w:type="dxa"/>
            <w:vAlign w:val="center"/>
            <w:hideMark/>
          </w:tcPr>
          <w:p w14:paraId="7078AA0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w:t>
            </w:r>
          </w:p>
        </w:tc>
        <w:tc>
          <w:tcPr>
            <w:tcW w:w="606" w:type="dxa"/>
            <w:vAlign w:val="center"/>
            <w:hideMark/>
          </w:tcPr>
          <w:p w14:paraId="601EDEC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1,170</w:t>
            </w:r>
          </w:p>
        </w:tc>
        <w:tc>
          <w:tcPr>
            <w:tcW w:w="606" w:type="dxa"/>
            <w:vAlign w:val="center"/>
          </w:tcPr>
          <w:p w14:paraId="1B54454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w:t>
            </w:r>
          </w:p>
        </w:tc>
      </w:tr>
      <w:tr w:rsidR="000842E2" w:rsidRPr="000842E2" w14:paraId="28A62FDB" w14:textId="77777777" w:rsidTr="00AB176F">
        <w:trPr>
          <w:trHeight w:hRule="exact" w:val="227"/>
          <w:jc w:val="center"/>
        </w:trPr>
        <w:tc>
          <w:tcPr>
            <w:tcW w:w="2946" w:type="dxa"/>
            <w:vAlign w:val="center"/>
            <w:hideMark/>
          </w:tcPr>
          <w:p w14:paraId="27EF03DF"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Household type</w:t>
            </w:r>
          </w:p>
        </w:tc>
        <w:tc>
          <w:tcPr>
            <w:tcW w:w="472" w:type="dxa"/>
            <w:vAlign w:val="center"/>
            <w:hideMark/>
          </w:tcPr>
          <w:p w14:paraId="17744EB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shd w:val="clear" w:color="auto" w:fill="D9D9D9"/>
            <w:vAlign w:val="center"/>
            <w:hideMark/>
          </w:tcPr>
          <w:p w14:paraId="63FD827F"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vAlign w:val="center"/>
            <w:hideMark/>
          </w:tcPr>
          <w:p w14:paraId="0F843A2D"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vAlign w:val="center"/>
            <w:hideMark/>
          </w:tcPr>
          <w:p w14:paraId="5EB8835F"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tcBorders>
              <w:right w:val="single" w:sz="8" w:space="0" w:color="auto"/>
            </w:tcBorders>
            <w:vAlign w:val="center"/>
            <w:hideMark/>
          </w:tcPr>
          <w:p w14:paraId="6794C819"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tcBorders>
              <w:left w:val="single" w:sz="8" w:space="0" w:color="auto"/>
            </w:tcBorders>
            <w:vAlign w:val="center"/>
            <w:hideMark/>
          </w:tcPr>
          <w:p w14:paraId="51CD5932"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shd w:val="clear" w:color="auto" w:fill="D9D9D9"/>
            <w:vAlign w:val="center"/>
            <w:hideMark/>
          </w:tcPr>
          <w:p w14:paraId="4DE3C581"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361CC6BF"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090161E9"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1515D6ED"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hideMark/>
          </w:tcPr>
          <w:p w14:paraId="01E30D2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tcPr>
          <w:p w14:paraId="7E7D515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r>
      <w:tr w:rsidR="000842E2" w:rsidRPr="000842E2" w14:paraId="6832C6D1" w14:textId="77777777" w:rsidTr="00AB176F">
        <w:trPr>
          <w:trHeight w:hRule="exact" w:val="227"/>
          <w:jc w:val="center"/>
        </w:trPr>
        <w:tc>
          <w:tcPr>
            <w:tcW w:w="2946" w:type="dxa"/>
            <w:vAlign w:val="center"/>
            <w:hideMark/>
          </w:tcPr>
          <w:p w14:paraId="0A86A66D"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2P HH with any dependent children</w:t>
            </w:r>
          </w:p>
        </w:tc>
        <w:tc>
          <w:tcPr>
            <w:tcW w:w="472" w:type="dxa"/>
            <w:vAlign w:val="center"/>
            <w:hideMark/>
          </w:tcPr>
          <w:p w14:paraId="6AAB4A1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w:t>
            </w:r>
          </w:p>
        </w:tc>
        <w:tc>
          <w:tcPr>
            <w:tcW w:w="471" w:type="dxa"/>
            <w:shd w:val="clear" w:color="auto" w:fill="D9D9D9"/>
            <w:vAlign w:val="center"/>
            <w:hideMark/>
          </w:tcPr>
          <w:p w14:paraId="4846FBF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1" w:type="dxa"/>
            <w:vAlign w:val="center"/>
            <w:hideMark/>
          </w:tcPr>
          <w:p w14:paraId="663C62B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2" w:type="dxa"/>
            <w:vAlign w:val="center"/>
            <w:hideMark/>
          </w:tcPr>
          <w:p w14:paraId="35A393E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2" w:type="dxa"/>
            <w:tcBorders>
              <w:right w:val="single" w:sz="8" w:space="0" w:color="auto"/>
            </w:tcBorders>
            <w:vAlign w:val="center"/>
            <w:hideMark/>
          </w:tcPr>
          <w:p w14:paraId="5F6D7F5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5" w:type="dxa"/>
            <w:tcBorders>
              <w:left w:val="single" w:sz="8" w:space="0" w:color="auto"/>
            </w:tcBorders>
            <w:vAlign w:val="center"/>
            <w:hideMark/>
          </w:tcPr>
          <w:p w14:paraId="06BC4EC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43</w:t>
            </w:r>
          </w:p>
        </w:tc>
        <w:tc>
          <w:tcPr>
            <w:tcW w:w="475" w:type="dxa"/>
            <w:shd w:val="clear" w:color="auto" w:fill="D9D9D9"/>
            <w:vAlign w:val="center"/>
            <w:hideMark/>
          </w:tcPr>
          <w:p w14:paraId="01271E6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40</w:t>
            </w:r>
          </w:p>
        </w:tc>
        <w:tc>
          <w:tcPr>
            <w:tcW w:w="475" w:type="dxa"/>
            <w:vAlign w:val="center"/>
            <w:hideMark/>
          </w:tcPr>
          <w:p w14:paraId="54C5534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41</w:t>
            </w:r>
          </w:p>
        </w:tc>
        <w:tc>
          <w:tcPr>
            <w:tcW w:w="475" w:type="dxa"/>
            <w:vAlign w:val="center"/>
            <w:hideMark/>
          </w:tcPr>
          <w:p w14:paraId="3118445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38</w:t>
            </w:r>
          </w:p>
        </w:tc>
        <w:tc>
          <w:tcPr>
            <w:tcW w:w="475" w:type="dxa"/>
            <w:vAlign w:val="center"/>
            <w:hideMark/>
          </w:tcPr>
          <w:p w14:paraId="0B02FE2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40</w:t>
            </w:r>
          </w:p>
        </w:tc>
        <w:tc>
          <w:tcPr>
            <w:tcW w:w="606" w:type="dxa"/>
            <w:vAlign w:val="center"/>
            <w:hideMark/>
          </w:tcPr>
          <w:p w14:paraId="0CDDB0C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810</w:t>
            </w:r>
          </w:p>
        </w:tc>
        <w:tc>
          <w:tcPr>
            <w:tcW w:w="606" w:type="dxa"/>
            <w:vAlign w:val="center"/>
          </w:tcPr>
          <w:p w14:paraId="2FD3B77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69</w:t>
            </w:r>
          </w:p>
        </w:tc>
      </w:tr>
      <w:tr w:rsidR="000842E2" w:rsidRPr="000842E2" w14:paraId="03929FA3" w14:textId="77777777" w:rsidTr="00AB176F">
        <w:trPr>
          <w:trHeight w:hRule="exact" w:val="227"/>
          <w:jc w:val="center"/>
        </w:trPr>
        <w:tc>
          <w:tcPr>
            <w:tcW w:w="2946" w:type="dxa"/>
            <w:vAlign w:val="center"/>
            <w:hideMark/>
          </w:tcPr>
          <w:p w14:paraId="7F0237A8"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 xml:space="preserve">SP HH with any dependent children </w:t>
            </w:r>
          </w:p>
        </w:tc>
        <w:tc>
          <w:tcPr>
            <w:tcW w:w="472" w:type="dxa"/>
            <w:vAlign w:val="center"/>
            <w:hideMark/>
          </w:tcPr>
          <w:p w14:paraId="131E324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42</w:t>
            </w:r>
          </w:p>
        </w:tc>
        <w:tc>
          <w:tcPr>
            <w:tcW w:w="471" w:type="dxa"/>
            <w:shd w:val="clear" w:color="auto" w:fill="D9D9D9"/>
            <w:vAlign w:val="center"/>
            <w:hideMark/>
          </w:tcPr>
          <w:p w14:paraId="087B863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33</w:t>
            </w:r>
          </w:p>
        </w:tc>
        <w:tc>
          <w:tcPr>
            <w:tcW w:w="471" w:type="dxa"/>
            <w:vAlign w:val="center"/>
            <w:hideMark/>
          </w:tcPr>
          <w:p w14:paraId="05D8BD3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25</w:t>
            </w:r>
          </w:p>
        </w:tc>
        <w:tc>
          <w:tcPr>
            <w:tcW w:w="472" w:type="dxa"/>
            <w:vAlign w:val="center"/>
            <w:hideMark/>
          </w:tcPr>
          <w:p w14:paraId="66DF49D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2" w:type="dxa"/>
            <w:tcBorders>
              <w:right w:val="single" w:sz="8" w:space="0" w:color="auto"/>
            </w:tcBorders>
            <w:vAlign w:val="center"/>
            <w:hideMark/>
          </w:tcPr>
          <w:p w14:paraId="1F20575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c>
          <w:tcPr>
            <w:tcW w:w="475" w:type="dxa"/>
            <w:tcBorders>
              <w:left w:val="single" w:sz="8" w:space="0" w:color="auto"/>
            </w:tcBorders>
            <w:vAlign w:val="center"/>
            <w:hideMark/>
          </w:tcPr>
          <w:p w14:paraId="36C3216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37</w:t>
            </w:r>
          </w:p>
        </w:tc>
        <w:tc>
          <w:tcPr>
            <w:tcW w:w="475" w:type="dxa"/>
            <w:shd w:val="clear" w:color="auto" w:fill="D9D9D9"/>
            <w:vAlign w:val="center"/>
            <w:hideMark/>
          </w:tcPr>
          <w:p w14:paraId="76E48DB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39</w:t>
            </w:r>
          </w:p>
        </w:tc>
        <w:tc>
          <w:tcPr>
            <w:tcW w:w="475" w:type="dxa"/>
            <w:vAlign w:val="center"/>
            <w:hideMark/>
          </w:tcPr>
          <w:p w14:paraId="391D422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38</w:t>
            </w:r>
          </w:p>
        </w:tc>
        <w:tc>
          <w:tcPr>
            <w:tcW w:w="475" w:type="dxa"/>
            <w:vAlign w:val="center"/>
            <w:hideMark/>
          </w:tcPr>
          <w:p w14:paraId="3280A81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42</w:t>
            </w:r>
          </w:p>
        </w:tc>
        <w:tc>
          <w:tcPr>
            <w:tcW w:w="475" w:type="dxa"/>
            <w:vAlign w:val="center"/>
            <w:hideMark/>
          </w:tcPr>
          <w:p w14:paraId="0CBC675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40</w:t>
            </w:r>
          </w:p>
        </w:tc>
        <w:tc>
          <w:tcPr>
            <w:tcW w:w="606" w:type="dxa"/>
            <w:vAlign w:val="center"/>
            <w:hideMark/>
          </w:tcPr>
          <w:p w14:paraId="32D58CA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185</w:t>
            </w:r>
          </w:p>
        </w:tc>
        <w:tc>
          <w:tcPr>
            <w:tcW w:w="606" w:type="dxa"/>
            <w:vAlign w:val="center"/>
          </w:tcPr>
          <w:p w14:paraId="458111B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w:t>
            </w:r>
          </w:p>
        </w:tc>
      </w:tr>
      <w:tr w:rsidR="000842E2" w:rsidRPr="000842E2" w14:paraId="2AEB6C0C" w14:textId="77777777" w:rsidTr="00AB176F">
        <w:trPr>
          <w:trHeight w:hRule="exact" w:val="227"/>
          <w:jc w:val="center"/>
        </w:trPr>
        <w:tc>
          <w:tcPr>
            <w:tcW w:w="2946" w:type="dxa"/>
            <w:vAlign w:val="center"/>
            <w:hideMark/>
          </w:tcPr>
          <w:p w14:paraId="2B02DC20"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Other fam HHs with any dep ch</w:t>
            </w:r>
          </w:p>
        </w:tc>
        <w:tc>
          <w:tcPr>
            <w:tcW w:w="472" w:type="dxa"/>
            <w:vAlign w:val="center"/>
            <w:hideMark/>
          </w:tcPr>
          <w:p w14:paraId="27C37C0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w:t>
            </w:r>
          </w:p>
        </w:tc>
        <w:tc>
          <w:tcPr>
            <w:tcW w:w="471" w:type="dxa"/>
            <w:shd w:val="clear" w:color="auto" w:fill="D9D9D9"/>
            <w:vAlign w:val="center"/>
            <w:hideMark/>
          </w:tcPr>
          <w:p w14:paraId="117A38E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1" w:type="dxa"/>
            <w:vAlign w:val="center"/>
            <w:hideMark/>
          </w:tcPr>
          <w:p w14:paraId="18E5519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15</w:t>
            </w:r>
          </w:p>
        </w:tc>
        <w:tc>
          <w:tcPr>
            <w:tcW w:w="472" w:type="dxa"/>
            <w:vAlign w:val="center"/>
            <w:hideMark/>
          </w:tcPr>
          <w:p w14:paraId="307770E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w:t>
            </w:r>
          </w:p>
        </w:tc>
        <w:tc>
          <w:tcPr>
            <w:tcW w:w="472" w:type="dxa"/>
            <w:tcBorders>
              <w:right w:val="single" w:sz="8" w:space="0" w:color="auto"/>
            </w:tcBorders>
            <w:vAlign w:val="center"/>
            <w:hideMark/>
          </w:tcPr>
          <w:p w14:paraId="7134565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tcBorders>
              <w:left w:val="single" w:sz="8" w:space="0" w:color="auto"/>
            </w:tcBorders>
            <w:vAlign w:val="center"/>
            <w:hideMark/>
          </w:tcPr>
          <w:p w14:paraId="7FE044E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19</w:t>
            </w:r>
          </w:p>
        </w:tc>
        <w:tc>
          <w:tcPr>
            <w:tcW w:w="475" w:type="dxa"/>
            <w:shd w:val="clear" w:color="auto" w:fill="D9D9D9"/>
            <w:vAlign w:val="center"/>
            <w:hideMark/>
          </w:tcPr>
          <w:p w14:paraId="59C140B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5" w:type="dxa"/>
            <w:vAlign w:val="center"/>
            <w:hideMark/>
          </w:tcPr>
          <w:p w14:paraId="65DBA53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5" w:type="dxa"/>
            <w:vAlign w:val="center"/>
            <w:hideMark/>
          </w:tcPr>
          <w:p w14:paraId="365ECDF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5" w:type="dxa"/>
            <w:vAlign w:val="center"/>
            <w:hideMark/>
          </w:tcPr>
          <w:p w14:paraId="6E0FFDB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19</w:t>
            </w:r>
          </w:p>
        </w:tc>
        <w:tc>
          <w:tcPr>
            <w:tcW w:w="606" w:type="dxa"/>
            <w:vAlign w:val="center"/>
            <w:hideMark/>
          </w:tcPr>
          <w:p w14:paraId="7684CA1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165</w:t>
            </w:r>
          </w:p>
        </w:tc>
        <w:tc>
          <w:tcPr>
            <w:tcW w:w="606" w:type="dxa"/>
            <w:vAlign w:val="center"/>
          </w:tcPr>
          <w:p w14:paraId="5F49BD2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r>
      <w:tr w:rsidR="000842E2" w:rsidRPr="000842E2" w14:paraId="7954878A" w14:textId="77777777" w:rsidTr="00AB176F">
        <w:trPr>
          <w:trHeight w:hRule="exact" w:val="227"/>
          <w:jc w:val="center"/>
        </w:trPr>
        <w:tc>
          <w:tcPr>
            <w:tcW w:w="2946" w:type="dxa"/>
            <w:vAlign w:val="center"/>
            <w:hideMark/>
          </w:tcPr>
          <w:p w14:paraId="249CD623"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Number of dep children in household</w:t>
            </w:r>
          </w:p>
        </w:tc>
        <w:tc>
          <w:tcPr>
            <w:tcW w:w="472" w:type="dxa"/>
            <w:vAlign w:val="center"/>
            <w:hideMark/>
          </w:tcPr>
          <w:p w14:paraId="2FCFC506"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shd w:val="clear" w:color="auto" w:fill="D9D9D9"/>
            <w:vAlign w:val="center"/>
            <w:hideMark/>
          </w:tcPr>
          <w:p w14:paraId="50C6358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vAlign w:val="center"/>
            <w:hideMark/>
          </w:tcPr>
          <w:p w14:paraId="5F000DF3"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vAlign w:val="center"/>
            <w:hideMark/>
          </w:tcPr>
          <w:p w14:paraId="20240CE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tcBorders>
              <w:right w:val="single" w:sz="8" w:space="0" w:color="auto"/>
            </w:tcBorders>
            <w:vAlign w:val="center"/>
            <w:hideMark/>
          </w:tcPr>
          <w:p w14:paraId="2210BE49"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tcBorders>
              <w:left w:val="single" w:sz="8" w:space="0" w:color="auto"/>
            </w:tcBorders>
            <w:vAlign w:val="center"/>
            <w:hideMark/>
          </w:tcPr>
          <w:p w14:paraId="7760B65B"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shd w:val="clear" w:color="auto" w:fill="D9D9D9"/>
            <w:vAlign w:val="center"/>
            <w:hideMark/>
          </w:tcPr>
          <w:p w14:paraId="5440B7F8"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51DE891F"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613F56E8"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55F5EAA8"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hideMark/>
          </w:tcPr>
          <w:p w14:paraId="563809D8"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tcPr>
          <w:p w14:paraId="3EDE8301"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r>
      <w:tr w:rsidR="000842E2" w:rsidRPr="000842E2" w14:paraId="2F254529" w14:textId="77777777" w:rsidTr="00AB176F">
        <w:trPr>
          <w:trHeight w:hRule="exact" w:val="227"/>
          <w:jc w:val="center"/>
        </w:trPr>
        <w:tc>
          <w:tcPr>
            <w:tcW w:w="2946" w:type="dxa"/>
            <w:vAlign w:val="center"/>
            <w:hideMark/>
          </w:tcPr>
          <w:p w14:paraId="3AE0B298"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1</w:t>
            </w:r>
          </w:p>
        </w:tc>
        <w:tc>
          <w:tcPr>
            <w:tcW w:w="472" w:type="dxa"/>
            <w:vAlign w:val="center"/>
            <w:hideMark/>
          </w:tcPr>
          <w:p w14:paraId="593035A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w:t>
            </w:r>
          </w:p>
        </w:tc>
        <w:tc>
          <w:tcPr>
            <w:tcW w:w="471" w:type="dxa"/>
            <w:shd w:val="clear" w:color="auto" w:fill="D9D9D9"/>
            <w:vAlign w:val="center"/>
            <w:hideMark/>
          </w:tcPr>
          <w:p w14:paraId="2986351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c>
          <w:tcPr>
            <w:tcW w:w="471" w:type="dxa"/>
            <w:vAlign w:val="center"/>
            <w:hideMark/>
          </w:tcPr>
          <w:p w14:paraId="1CB041E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2" w:type="dxa"/>
            <w:vAlign w:val="center"/>
            <w:hideMark/>
          </w:tcPr>
          <w:p w14:paraId="30DDD0E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2" w:type="dxa"/>
            <w:tcBorders>
              <w:right w:val="single" w:sz="8" w:space="0" w:color="auto"/>
            </w:tcBorders>
            <w:vAlign w:val="center"/>
            <w:hideMark/>
          </w:tcPr>
          <w:p w14:paraId="48A4036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tcBorders>
              <w:left w:val="single" w:sz="8" w:space="0" w:color="auto"/>
            </w:tcBorders>
            <w:vAlign w:val="center"/>
            <w:hideMark/>
          </w:tcPr>
          <w:p w14:paraId="5723B6A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21</w:t>
            </w:r>
          </w:p>
        </w:tc>
        <w:tc>
          <w:tcPr>
            <w:tcW w:w="475" w:type="dxa"/>
            <w:shd w:val="clear" w:color="auto" w:fill="D9D9D9"/>
            <w:vAlign w:val="center"/>
            <w:hideMark/>
          </w:tcPr>
          <w:p w14:paraId="1022E08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5" w:type="dxa"/>
            <w:vAlign w:val="center"/>
            <w:hideMark/>
          </w:tcPr>
          <w:p w14:paraId="250CC6A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19</w:t>
            </w:r>
          </w:p>
        </w:tc>
        <w:tc>
          <w:tcPr>
            <w:tcW w:w="475" w:type="dxa"/>
            <w:vAlign w:val="center"/>
            <w:hideMark/>
          </w:tcPr>
          <w:p w14:paraId="762CE6A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5" w:type="dxa"/>
            <w:vAlign w:val="center"/>
            <w:hideMark/>
          </w:tcPr>
          <w:p w14:paraId="339A730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606" w:type="dxa"/>
            <w:vAlign w:val="center"/>
            <w:hideMark/>
          </w:tcPr>
          <w:p w14:paraId="473BE13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270</w:t>
            </w:r>
          </w:p>
        </w:tc>
        <w:tc>
          <w:tcPr>
            <w:tcW w:w="606" w:type="dxa"/>
            <w:vAlign w:val="center"/>
          </w:tcPr>
          <w:p w14:paraId="5F3C80C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23</w:t>
            </w:r>
          </w:p>
        </w:tc>
      </w:tr>
      <w:tr w:rsidR="000842E2" w:rsidRPr="000842E2" w14:paraId="3139CD81" w14:textId="77777777" w:rsidTr="00AB176F">
        <w:trPr>
          <w:trHeight w:hRule="exact" w:val="227"/>
          <w:jc w:val="center"/>
        </w:trPr>
        <w:tc>
          <w:tcPr>
            <w:tcW w:w="2946" w:type="dxa"/>
            <w:vAlign w:val="center"/>
            <w:hideMark/>
          </w:tcPr>
          <w:p w14:paraId="43DAFAD4"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2</w:t>
            </w:r>
          </w:p>
        </w:tc>
        <w:tc>
          <w:tcPr>
            <w:tcW w:w="472" w:type="dxa"/>
            <w:vAlign w:val="center"/>
            <w:hideMark/>
          </w:tcPr>
          <w:p w14:paraId="42D5750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1" w:type="dxa"/>
            <w:shd w:val="clear" w:color="auto" w:fill="D9D9D9"/>
            <w:vAlign w:val="center"/>
            <w:hideMark/>
          </w:tcPr>
          <w:p w14:paraId="11F84BF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1" w:type="dxa"/>
            <w:vAlign w:val="center"/>
            <w:hideMark/>
          </w:tcPr>
          <w:p w14:paraId="7D8801B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2" w:type="dxa"/>
            <w:vAlign w:val="center"/>
            <w:hideMark/>
          </w:tcPr>
          <w:p w14:paraId="65B6133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2" w:type="dxa"/>
            <w:tcBorders>
              <w:right w:val="single" w:sz="8" w:space="0" w:color="auto"/>
            </w:tcBorders>
            <w:vAlign w:val="center"/>
            <w:hideMark/>
          </w:tcPr>
          <w:p w14:paraId="150CAB2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5" w:type="dxa"/>
            <w:tcBorders>
              <w:left w:val="single" w:sz="8" w:space="0" w:color="auto"/>
            </w:tcBorders>
            <w:vAlign w:val="center"/>
            <w:hideMark/>
          </w:tcPr>
          <w:p w14:paraId="220EE68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32</w:t>
            </w:r>
          </w:p>
        </w:tc>
        <w:tc>
          <w:tcPr>
            <w:tcW w:w="475" w:type="dxa"/>
            <w:shd w:val="clear" w:color="auto" w:fill="D9D9D9"/>
            <w:vAlign w:val="center"/>
            <w:hideMark/>
          </w:tcPr>
          <w:p w14:paraId="30AE064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5" w:type="dxa"/>
            <w:vAlign w:val="center"/>
            <w:hideMark/>
          </w:tcPr>
          <w:p w14:paraId="1F33D81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5" w:type="dxa"/>
            <w:vAlign w:val="center"/>
            <w:hideMark/>
          </w:tcPr>
          <w:p w14:paraId="22F4CAD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33</w:t>
            </w:r>
          </w:p>
        </w:tc>
        <w:tc>
          <w:tcPr>
            <w:tcW w:w="475" w:type="dxa"/>
            <w:vAlign w:val="center"/>
            <w:hideMark/>
          </w:tcPr>
          <w:p w14:paraId="2416323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31</w:t>
            </w:r>
          </w:p>
        </w:tc>
        <w:tc>
          <w:tcPr>
            <w:tcW w:w="606" w:type="dxa"/>
            <w:vAlign w:val="center"/>
            <w:hideMark/>
          </w:tcPr>
          <w:p w14:paraId="0291EE0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505</w:t>
            </w:r>
          </w:p>
        </w:tc>
        <w:tc>
          <w:tcPr>
            <w:tcW w:w="606" w:type="dxa"/>
            <w:vAlign w:val="center"/>
          </w:tcPr>
          <w:p w14:paraId="33647DC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43</w:t>
            </w:r>
          </w:p>
        </w:tc>
      </w:tr>
      <w:tr w:rsidR="000842E2" w:rsidRPr="000842E2" w14:paraId="39676BF7" w14:textId="77777777" w:rsidTr="00AB176F">
        <w:trPr>
          <w:trHeight w:hRule="exact" w:val="227"/>
          <w:jc w:val="center"/>
        </w:trPr>
        <w:tc>
          <w:tcPr>
            <w:tcW w:w="2946" w:type="dxa"/>
            <w:vAlign w:val="center"/>
            <w:hideMark/>
          </w:tcPr>
          <w:p w14:paraId="118D9DAA"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3</w:t>
            </w:r>
          </w:p>
        </w:tc>
        <w:tc>
          <w:tcPr>
            <w:tcW w:w="472" w:type="dxa"/>
            <w:vAlign w:val="center"/>
            <w:hideMark/>
          </w:tcPr>
          <w:p w14:paraId="00E6476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21</w:t>
            </w:r>
          </w:p>
        </w:tc>
        <w:tc>
          <w:tcPr>
            <w:tcW w:w="471" w:type="dxa"/>
            <w:shd w:val="clear" w:color="auto" w:fill="D9D9D9"/>
            <w:vAlign w:val="center"/>
            <w:hideMark/>
          </w:tcPr>
          <w:p w14:paraId="1D4DAFD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w:t>
            </w:r>
          </w:p>
        </w:tc>
        <w:tc>
          <w:tcPr>
            <w:tcW w:w="471" w:type="dxa"/>
            <w:vAlign w:val="center"/>
            <w:hideMark/>
          </w:tcPr>
          <w:p w14:paraId="486026F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2" w:type="dxa"/>
            <w:vAlign w:val="center"/>
            <w:hideMark/>
          </w:tcPr>
          <w:p w14:paraId="2BC2F4B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2" w:type="dxa"/>
            <w:tcBorders>
              <w:right w:val="single" w:sz="8" w:space="0" w:color="auto"/>
            </w:tcBorders>
            <w:vAlign w:val="center"/>
            <w:hideMark/>
          </w:tcPr>
          <w:p w14:paraId="71329D5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tcBorders>
              <w:left w:val="single" w:sz="8" w:space="0" w:color="auto"/>
            </w:tcBorders>
            <w:vAlign w:val="center"/>
            <w:hideMark/>
          </w:tcPr>
          <w:p w14:paraId="3DCC024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w:t>
            </w:r>
          </w:p>
        </w:tc>
        <w:tc>
          <w:tcPr>
            <w:tcW w:w="475" w:type="dxa"/>
            <w:shd w:val="clear" w:color="auto" w:fill="D9D9D9"/>
            <w:vAlign w:val="center"/>
            <w:hideMark/>
          </w:tcPr>
          <w:p w14:paraId="5680439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25</w:t>
            </w:r>
          </w:p>
        </w:tc>
        <w:tc>
          <w:tcPr>
            <w:tcW w:w="475" w:type="dxa"/>
            <w:vAlign w:val="center"/>
            <w:hideMark/>
          </w:tcPr>
          <w:p w14:paraId="11AEFED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26</w:t>
            </w:r>
          </w:p>
        </w:tc>
        <w:tc>
          <w:tcPr>
            <w:tcW w:w="475" w:type="dxa"/>
            <w:vAlign w:val="center"/>
            <w:hideMark/>
          </w:tcPr>
          <w:p w14:paraId="0173039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25</w:t>
            </w:r>
          </w:p>
        </w:tc>
        <w:tc>
          <w:tcPr>
            <w:tcW w:w="475" w:type="dxa"/>
            <w:vAlign w:val="center"/>
            <w:hideMark/>
          </w:tcPr>
          <w:p w14:paraId="345D023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25</w:t>
            </w:r>
          </w:p>
        </w:tc>
        <w:tc>
          <w:tcPr>
            <w:tcW w:w="606" w:type="dxa"/>
            <w:vAlign w:val="center"/>
            <w:hideMark/>
          </w:tcPr>
          <w:p w14:paraId="6F2A82F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245</w:t>
            </w:r>
          </w:p>
        </w:tc>
        <w:tc>
          <w:tcPr>
            <w:tcW w:w="606" w:type="dxa"/>
            <w:vAlign w:val="center"/>
          </w:tcPr>
          <w:p w14:paraId="4CF04A8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21</w:t>
            </w:r>
          </w:p>
        </w:tc>
      </w:tr>
      <w:tr w:rsidR="000842E2" w:rsidRPr="000842E2" w14:paraId="3CAF7FF9" w14:textId="77777777" w:rsidTr="00AB176F">
        <w:trPr>
          <w:trHeight w:hRule="exact" w:val="227"/>
          <w:jc w:val="center"/>
        </w:trPr>
        <w:tc>
          <w:tcPr>
            <w:tcW w:w="2946" w:type="dxa"/>
            <w:vAlign w:val="center"/>
            <w:hideMark/>
          </w:tcPr>
          <w:p w14:paraId="4FA5BD8B"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4+</w:t>
            </w:r>
          </w:p>
        </w:tc>
        <w:tc>
          <w:tcPr>
            <w:tcW w:w="472" w:type="dxa"/>
            <w:vAlign w:val="center"/>
            <w:hideMark/>
          </w:tcPr>
          <w:p w14:paraId="24655D0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32</w:t>
            </w:r>
          </w:p>
        </w:tc>
        <w:tc>
          <w:tcPr>
            <w:tcW w:w="471" w:type="dxa"/>
            <w:shd w:val="clear" w:color="auto" w:fill="D9D9D9"/>
            <w:vAlign w:val="center"/>
            <w:hideMark/>
          </w:tcPr>
          <w:p w14:paraId="5FAEC61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27</w:t>
            </w:r>
          </w:p>
        </w:tc>
        <w:tc>
          <w:tcPr>
            <w:tcW w:w="471" w:type="dxa"/>
            <w:vAlign w:val="center"/>
            <w:hideMark/>
          </w:tcPr>
          <w:p w14:paraId="4EF20D1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21</w:t>
            </w:r>
          </w:p>
        </w:tc>
        <w:tc>
          <w:tcPr>
            <w:tcW w:w="472" w:type="dxa"/>
            <w:vAlign w:val="center"/>
            <w:hideMark/>
          </w:tcPr>
          <w:p w14:paraId="36ECEFB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c>
          <w:tcPr>
            <w:tcW w:w="472" w:type="dxa"/>
            <w:tcBorders>
              <w:right w:val="single" w:sz="8" w:space="0" w:color="auto"/>
            </w:tcBorders>
            <w:vAlign w:val="center"/>
            <w:hideMark/>
          </w:tcPr>
          <w:p w14:paraId="3AB425F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w:t>
            </w:r>
          </w:p>
        </w:tc>
        <w:tc>
          <w:tcPr>
            <w:tcW w:w="475" w:type="dxa"/>
            <w:tcBorders>
              <w:left w:val="single" w:sz="8" w:space="0" w:color="auto"/>
            </w:tcBorders>
            <w:vAlign w:val="center"/>
            <w:hideMark/>
          </w:tcPr>
          <w:p w14:paraId="2C20D48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5" w:type="dxa"/>
            <w:shd w:val="clear" w:color="auto" w:fill="D9D9D9"/>
            <w:vAlign w:val="center"/>
            <w:hideMark/>
          </w:tcPr>
          <w:p w14:paraId="02857B6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w:t>
            </w:r>
          </w:p>
        </w:tc>
        <w:tc>
          <w:tcPr>
            <w:tcW w:w="475" w:type="dxa"/>
            <w:vAlign w:val="center"/>
            <w:hideMark/>
          </w:tcPr>
          <w:p w14:paraId="55DB379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25</w:t>
            </w:r>
          </w:p>
        </w:tc>
        <w:tc>
          <w:tcPr>
            <w:tcW w:w="475" w:type="dxa"/>
            <w:vAlign w:val="center"/>
            <w:hideMark/>
          </w:tcPr>
          <w:p w14:paraId="55F17A2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5" w:type="dxa"/>
            <w:vAlign w:val="center"/>
            <w:hideMark/>
          </w:tcPr>
          <w:p w14:paraId="2BE7D4C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w:t>
            </w:r>
          </w:p>
        </w:tc>
        <w:tc>
          <w:tcPr>
            <w:tcW w:w="606" w:type="dxa"/>
            <w:vAlign w:val="center"/>
            <w:hideMark/>
          </w:tcPr>
          <w:p w14:paraId="77DBA3D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140</w:t>
            </w:r>
          </w:p>
        </w:tc>
        <w:tc>
          <w:tcPr>
            <w:tcW w:w="606" w:type="dxa"/>
            <w:vAlign w:val="center"/>
          </w:tcPr>
          <w:p w14:paraId="402A955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r>
      <w:tr w:rsidR="000842E2" w:rsidRPr="000842E2" w14:paraId="0EBBEA1A" w14:textId="77777777" w:rsidTr="00AB176F">
        <w:trPr>
          <w:trHeight w:hRule="exact" w:val="227"/>
          <w:jc w:val="center"/>
        </w:trPr>
        <w:tc>
          <w:tcPr>
            <w:tcW w:w="2946" w:type="dxa"/>
            <w:vAlign w:val="center"/>
            <w:hideMark/>
          </w:tcPr>
          <w:p w14:paraId="33CD3FBC"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Work intensity (2P &amp; SP, adults all ages)</w:t>
            </w:r>
          </w:p>
        </w:tc>
        <w:tc>
          <w:tcPr>
            <w:tcW w:w="472" w:type="dxa"/>
            <w:vAlign w:val="center"/>
            <w:hideMark/>
          </w:tcPr>
          <w:p w14:paraId="6412E5B0"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shd w:val="clear" w:color="auto" w:fill="D9D9D9"/>
            <w:vAlign w:val="center"/>
            <w:hideMark/>
          </w:tcPr>
          <w:p w14:paraId="44027B56"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vAlign w:val="center"/>
            <w:hideMark/>
          </w:tcPr>
          <w:p w14:paraId="2E426963"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vAlign w:val="center"/>
            <w:hideMark/>
          </w:tcPr>
          <w:p w14:paraId="44D1B7F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tcBorders>
              <w:right w:val="single" w:sz="8" w:space="0" w:color="auto"/>
            </w:tcBorders>
            <w:vAlign w:val="center"/>
            <w:hideMark/>
          </w:tcPr>
          <w:p w14:paraId="3C8B064C"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tcBorders>
              <w:left w:val="single" w:sz="8" w:space="0" w:color="auto"/>
            </w:tcBorders>
            <w:vAlign w:val="center"/>
            <w:hideMark/>
          </w:tcPr>
          <w:p w14:paraId="3C7D78B6"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shd w:val="clear" w:color="auto" w:fill="D9D9D9"/>
            <w:vAlign w:val="center"/>
            <w:hideMark/>
          </w:tcPr>
          <w:p w14:paraId="348CB58F"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151E07D1"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3C1EA0BD"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7E0934E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hideMark/>
          </w:tcPr>
          <w:p w14:paraId="423F24E9"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tcPr>
          <w:p w14:paraId="0B77D1E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r>
      <w:tr w:rsidR="000842E2" w:rsidRPr="000842E2" w14:paraId="502E85D9" w14:textId="77777777" w:rsidTr="00AB176F">
        <w:trPr>
          <w:trHeight w:hRule="exact" w:val="227"/>
          <w:jc w:val="center"/>
        </w:trPr>
        <w:tc>
          <w:tcPr>
            <w:tcW w:w="2946" w:type="dxa"/>
            <w:vAlign w:val="center"/>
            <w:hideMark/>
          </w:tcPr>
          <w:p w14:paraId="5A10ABDB" w14:textId="77777777" w:rsidR="000842E2" w:rsidRPr="000842E2" w:rsidRDefault="000842E2" w:rsidP="000842E2">
            <w:pPr>
              <w:spacing w:after="0" w:line="240" w:lineRule="auto"/>
              <w:ind w:firstLineChars="100" w:firstLine="140"/>
              <w:rPr>
                <w:rFonts w:ascii="Arial Mäori" w:eastAsia="Times New Roman" w:hAnsi="Arial Mäori" w:cs="Calibri"/>
                <w:color w:val="000000"/>
                <w:sz w:val="14"/>
                <w:szCs w:val="14"/>
                <w:lang w:eastAsia="en-NZ"/>
              </w:rPr>
            </w:pPr>
            <w:r w:rsidRPr="000842E2">
              <w:rPr>
                <w:rFonts w:ascii="Arial Mäori" w:hAnsi="Arial Mäori" w:cs="Calibri"/>
                <w:color w:val="000000"/>
                <w:sz w:val="14"/>
                <w:szCs w:val="14"/>
              </w:rPr>
              <w:t>2P - both FT</w:t>
            </w:r>
          </w:p>
        </w:tc>
        <w:tc>
          <w:tcPr>
            <w:tcW w:w="472" w:type="dxa"/>
            <w:vAlign w:val="center"/>
            <w:hideMark/>
          </w:tcPr>
          <w:p w14:paraId="4C9DC42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1" w:type="dxa"/>
            <w:shd w:val="clear" w:color="auto" w:fill="D9D9D9"/>
            <w:vAlign w:val="center"/>
            <w:hideMark/>
          </w:tcPr>
          <w:p w14:paraId="5B7BE77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1" w:type="dxa"/>
            <w:vAlign w:val="center"/>
            <w:hideMark/>
          </w:tcPr>
          <w:p w14:paraId="3B6B700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2" w:type="dxa"/>
            <w:vAlign w:val="center"/>
            <w:hideMark/>
          </w:tcPr>
          <w:p w14:paraId="23B5DEC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2" w:type="dxa"/>
            <w:tcBorders>
              <w:right w:val="single" w:sz="8" w:space="0" w:color="auto"/>
            </w:tcBorders>
            <w:vAlign w:val="center"/>
            <w:hideMark/>
          </w:tcPr>
          <w:p w14:paraId="132FC25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5" w:type="dxa"/>
            <w:tcBorders>
              <w:left w:val="single" w:sz="8" w:space="0" w:color="auto"/>
            </w:tcBorders>
            <w:vAlign w:val="center"/>
            <w:hideMark/>
          </w:tcPr>
          <w:p w14:paraId="2A3F8C3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5" w:type="dxa"/>
            <w:shd w:val="clear" w:color="auto" w:fill="D9D9D9"/>
            <w:vAlign w:val="center"/>
            <w:hideMark/>
          </w:tcPr>
          <w:p w14:paraId="62F25F6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w:t>
            </w:r>
          </w:p>
        </w:tc>
        <w:tc>
          <w:tcPr>
            <w:tcW w:w="475" w:type="dxa"/>
            <w:vAlign w:val="center"/>
            <w:hideMark/>
          </w:tcPr>
          <w:p w14:paraId="0742312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5" w:type="dxa"/>
            <w:vAlign w:val="center"/>
            <w:hideMark/>
          </w:tcPr>
          <w:p w14:paraId="11649D5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5" w:type="dxa"/>
            <w:vAlign w:val="center"/>
            <w:hideMark/>
          </w:tcPr>
          <w:p w14:paraId="5BF56D0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606" w:type="dxa"/>
            <w:vAlign w:val="center"/>
            <w:hideMark/>
          </w:tcPr>
          <w:p w14:paraId="7164452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335</w:t>
            </w:r>
          </w:p>
        </w:tc>
        <w:tc>
          <w:tcPr>
            <w:tcW w:w="606" w:type="dxa"/>
            <w:vAlign w:val="center"/>
          </w:tcPr>
          <w:p w14:paraId="2EBE28C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29</w:t>
            </w:r>
          </w:p>
        </w:tc>
      </w:tr>
      <w:tr w:rsidR="000842E2" w:rsidRPr="000842E2" w14:paraId="19B30482" w14:textId="77777777" w:rsidTr="00AB176F">
        <w:trPr>
          <w:trHeight w:hRule="exact" w:val="227"/>
          <w:jc w:val="center"/>
        </w:trPr>
        <w:tc>
          <w:tcPr>
            <w:tcW w:w="2946" w:type="dxa"/>
            <w:vAlign w:val="center"/>
            <w:hideMark/>
          </w:tcPr>
          <w:p w14:paraId="23D1BAD6" w14:textId="77777777" w:rsidR="000842E2" w:rsidRPr="000842E2" w:rsidRDefault="000842E2" w:rsidP="000842E2">
            <w:pPr>
              <w:spacing w:after="0" w:line="240" w:lineRule="auto"/>
              <w:ind w:firstLineChars="100" w:firstLine="140"/>
              <w:rPr>
                <w:rFonts w:ascii="Arial Mäori" w:eastAsia="Times New Roman" w:hAnsi="Arial Mäori" w:cs="Calibri"/>
                <w:color w:val="000000"/>
                <w:sz w:val="14"/>
                <w:szCs w:val="14"/>
                <w:lang w:eastAsia="en-NZ"/>
              </w:rPr>
            </w:pPr>
            <w:r w:rsidRPr="000842E2">
              <w:rPr>
                <w:rFonts w:ascii="Arial Mäori" w:hAnsi="Arial Mäori" w:cs="Calibri"/>
                <w:color w:val="000000"/>
                <w:sz w:val="14"/>
                <w:szCs w:val="14"/>
              </w:rPr>
              <w:t>2P - FT PT</w:t>
            </w:r>
          </w:p>
        </w:tc>
        <w:tc>
          <w:tcPr>
            <w:tcW w:w="472" w:type="dxa"/>
            <w:vAlign w:val="center"/>
            <w:hideMark/>
          </w:tcPr>
          <w:p w14:paraId="3FF977E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1" w:type="dxa"/>
            <w:shd w:val="clear" w:color="auto" w:fill="D9D9D9"/>
            <w:vAlign w:val="center"/>
            <w:hideMark/>
          </w:tcPr>
          <w:p w14:paraId="607918A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1" w:type="dxa"/>
            <w:vAlign w:val="center"/>
            <w:hideMark/>
          </w:tcPr>
          <w:p w14:paraId="20B2B82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2" w:type="dxa"/>
            <w:vAlign w:val="center"/>
            <w:hideMark/>
          </w:tcPr>
          <w:p w14:paraId="0350481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2" w:type="dxa"/>
            <w:tcBorders>
              <w:right w:val="single" w:sz="8" w:space="0" w:color="auto"/>
            </w:tcBorders>
            <w:vAlign w:val="center"/>
            <w:hideMark/>
          </w:tcPr>
          <w:p w14:paraId="39EAD84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5" w:type="dxa"/>
            <w:tcBorders>
              <w:left w:val="single" w:sz="8" w:space="0" w:color="auto"/>
            </w:tcBorders>
            <w:vAlign w:val="center"/>
            <w:hideMark/>
          </w:tcPr>
          <w:p w14:paraId="0178C71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shd w:val="clear" w:color="auto" w:fill="D9D9D9"/>
            <w:vAlign w:val="center"/>
            <w:hideMark/>
          </w:tcPr>
          <w:p w14:paraId="1179671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vAlign w:val="center"/>
            <w:hideMark/>
          </w:tcPr>
          <w:p w14:paraId="797397C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vAlign w:val="center"/>
            <w:hideMark/>
          </w:tcPr>
          <w:p w14:paraId="6292466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vAlign w:val="center"/>
            <w:hideMark/>
          </w:tcPr>
          <w:p w14:paraId="20A4D4B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606" w:type="dxa"/>
            <w:vAlign w:val="center"/>
            <w:hideMark/>
          </w:tcPr>
          <w:p w14:paraId="6E8203E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150</w:t>
            </w:r>
          </w:p>
        </w:tc>
        <w:tc>
          <w:tcPr>
            <w:tcW w:w="606" w:type="dxa"/>
            <w:vAlign w:val="center"/>
          </w:tcPr>
          <w:p w14:paraId="0CDD1D2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r>
      <w:tr w:rsidR="000842E2" w:rsidRPr="000842E2" w14:paraId="659DF9A5" w14:textId="77777777" w:rsidTr="00AB176F">
        <w:trPr>
          <w:trHeight w:hRule="exact" w:val="227"/>
          <w:jc w:val="center"/>
        </w:trPr>
        <w:tc>
          <w:tcPr>
            <w:tcW w:w="2946" w:type="dxa"/>
            <w:vAlign w:val="center"/>
            <w:hideMark/>
          </w:tcPr>
          <w:p w14:paraId="03C0A554" w14:textId="77777777" w:rsidR="000842E2" w:rsidRPr="000842E2" w:rsidRDefault="000842E2" w:rsidP="000842E2">
            <w:pPr>
              <w:spacing w:after="0" w:line="240" w:lineRule="auto"/>
              <w:ind w:firstLineChars="100" w:firstLine="140"/>
              <w:rPr>
                <w:rFonts w:ascii="Arial Mäori" w:eastAsia="Times New Roman" w:hAnsi="Arial Mäori" w:cs="Calibri"/>
                <w:color w:val="000000"/>
                <w:sz w:val="14"/>
                <w:szCs w:val="14"/>
                <w:lang w:eastAsia="en-NZ"/>
              </w:rPr>
            </w:pPr>
            <w:r w:rsidRPr="000842E2">
              <w:rPr>
                <w:rFonts w:ascii="Arial Mäori" w:hAnsi="Arial Mäori" w:cs="Calibri"/>
                <w:color w:val="000000"/>
                <w:sz w:val="14"/>
                <w:szCs w:val="14"/>
              </w:rPr>
              <w:t>2P - FT WL</w:t>
            </w:r>
          </w:p>
        </w:tc>
        <w:tc>
          <w:tcPr>
            <w:tcW w:w="472" w:type="dxa"/>
            <w:vAlign w:val="center"/>
            <w:hideMark/>
          </w:tcPr>
          <w:p w14:paraId="1093408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15</w:t>
            </w:r>
          </w:p>
        </w:tc>
        <w:tc>
          <w:tcPr>
            <w:tcW w:w="471" w:type="dxa"/>
            <w:shd w:val="clear" w:color="auto" w:fill="D9D9D9"/>
            <w:vAlign w:val="center"/>
            <w:hideMark/>
          </w:tcPr>
          <w:p w14:paraId="7C1FAA5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c>
          <w:tcPr>
            <w:tcW w:w="471" w:type="dxa"/>
            <w:vAlign w:val="center"/>
            <w:hideMark/>
          </w:tcPr>
          <w:p w14:paraId="65D8003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2" w:type="dxa"/>
            <w:vAlign w:val="center"/>
            <w:hideMark/>
          </w:tcPr>
          <w:p w14:paraId="2A8D01A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2" w:type="dxa"/>
            <w:tcBorders>
              <w:right w:val="single" w:sz="8" w:space="0" w:color="auto"/>
            </w:tcBorders>
            <w:vAlign w:val="center"/>
            <w:hideMark/>
          </w:tcPr>
          <w:p w14:paraId="7E84CB3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5" w:type="dxa"/>
            <w:tcBorders>
              <w:left w:val="single" w:sz="8" w:space="0" w:color="auto"/>
            </w:tcBorders>
            <w:vAlign w:val="center"/>
            <w:hideMark/>
          </w:tcPr>
          <w:p w14:paraId="4775DB1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5" w:type="dxa"/>
            <w:shd w:val="clear" w:color="auto" w:fill="D9D9D9"/>
            <w:vAlign w:val="center"/>
            <w:hideMark/>
          </w:tcPr>
          <w:p w14:paraId="0F6406C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5" w:type="dxa"/>
            <w:vAlign w:val="center"/>
            <w:hideMark/>
          </w:tcPr>
          <w:p w14:paraId="0B6419C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c>
          <w:tcPr>
            <w:tcW w:w="475" w:type="dxa"/>
            <w:vAlign w:val="center"/>
            <w:hideMark/>
          </w:tcPr>
          <w:p w14:paraId="1A3E480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5" w:type="dxa"/>
            <w:vAlign w:val="center"/>
            <w:hideMark/>
          </w:tcPr>
          <w:p w14:paraId="625D1E3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606" w:type="dxa"/>
            <w:vAlign w:val="center"/>
            <w:hideMark/>
          </w:tcPr>
          <w:p w14:paraId="295DD5C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175</w:t>
            </w:r>
          </w:p>
        </w:tc>
        <w:tc>
          <w:tcPr>
            <w:tcW w:w="606" w:type="dxa"/>
            <w:vAlign w:val="center"/>
          </w:tcPr>
          <w:p w14:paraId="0FDE7E3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15</w:t>
            </w:r>
          </w:p>
        </w:tc>
      </w:tr>
      <w:tr w:rsidR="000842E2" w:rsidRPr="000842E2" w14:paraId="124E48CC" w14:textId="77777777" w:rsidTr="00AB176F">
        <w:trPr>
          <w:trHeight w:hRule="exact" w:val="227"/>
          <w:jc w:val="center"/>
        </w:trPr>
        <w:tc>
          <w:tcPr>
            <w:tcW w:w="2946" w:type="dxa"/>
            <w:vAlign w:val="center"/>
          </w:tcPr>
          <w:p w14:paraId="787F2912" w14:textId="77777777" w:rsidR="000842E2" w:rsidRPr="000842E2" w:rsidRDefault="000842E2" w:rsidP="000842E2">
            <w:pPr>
              <w:spacing w:after="0" w:line="240" w:lineRule="auto"/>
              <w:ind w:firstLineChars="100" w:firstLine="140"/>
              <w:rPr>
                <w:rFonts w:ascii="Arial Mäori" w:hAnsi="Arial Mäori" w:cs="Calibri"/>
                <w:color w:val="000000"/>
                <w:sz w:val="14"/>
                <w:szCs w:val="14"/>
              </w:rPr>
            </w:pPr>
            <w:r w:rsidRPr="000842E2">
              <w:rPr>
                <w:rFonts w:ascii="Arial Mäori" w:hAnsi="Arial Mäori" w:cs="Calibri"/>
                <w:color w:val="000000"/>
                <w:sz w:val="14"/>
                <w:szCs w:val="14"/>
              </w:rPr>
              <w:t>2P - no FT</w:t>
            </w:r>
          </w:p>
        </w:tc>
        <w:tc>
          <w:tcPr>
            <w:tcW w:w="472" w:type="dxa"/>
            <w:vAlign w:val="center"/>
          </w:tcPr>
          <w:p w14:paraId="41579A97"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33</w:t>
            </w:r>
          </w:p>
        </w:tc>
        <w:tc>
          <w:tcPr>
            <w:tcW w:w="471" w:type="dxa"/>
            <w:shd w:val="clear" w:color="auto" w:fill="D9D9D9"/>
            <w:vAlign w:val="center"/>
          </w:tcPr>
          <w:p w14:paraId="58D260DB"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28</w:t>
            </w:r>
          </w:p>
        </w:tc>
        <w:tc>
          <w:tcPr>
            <w:tcW w:w="471" w:type="dxa"/>
            <w:vAlign w:val="center"/>
          </w:tcPr>
          <w:p w14:paraId="19DA8EC6"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25</w:t>
            </w:r>
          </w:p>
        </w:tc>
        <w:tc>
          <w:tcPr>
            <w:tcW w:w="472" w:type="dxa"/>
            <w:vAlign w:val="center"/>
          </w:tcPr>
          <w:p w14:paraId="70A3F3E7"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16</w:t>
            </w:r>
          </w:p>
        </w:tc>
        <w:tc>
          <w:tcPr>
            <w:tcW w:w="472" w:type="dxa"/>
            <w:tcBorders>
              <w:right w:val="single" w:sz="8" w:space="0" w:color="auto"/>
            </w:tcBorders>
            <w:vAlign w:val="center"/>
          </w:tcPr>
          <w:p w14:paraId="5CD0EB0A"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15</w:t>
            </w:r>
          </w:p>
        </w:tc>
        <w:tc>
          <w:tcPr>
            <w:tcW w:w="475" w:type="dxa"/>
            <w:tcBorders>
              <w:left w:val="single" w:sz="8" w:space="0" w:color="auto"/>
            </w:tcBorders>
            <w:vAlign w:val="center"/>
          </w:tcPr>
          <w:p w14:paraId="55D5BDDE"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9</w:t>
            </w:r>
          </w:p>
        </w:tc>
        <w:tc>
          <w:tcPr>
            <w:tcW w:w="475" w:type="dxa"/>
            <w:shd w:val="clear" w:color="auto" w:fill="D9D9D9"/>
            <w:vAlign w:val="center"/>
          </w:tcPr>
          <w:p w14:paraId="03E1C252"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11</w:t>
            </w:r>
          </w:p>
        </w:tc>
        <w:tc>
          <w:tcPr>
            <w:tcW w:w="475" w:type="dxa"/>
            <w:vAlign w:val="center"/>
          </w:tcPr>
          <w:p w14:paraId="06E88102"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12</w:t>
            </w:r>
          </w:p>
        </w:tc>
        <w:tc>
          <w:tcPr>
            <w:tcW w:w="475" w:type="dxa"/>
            <w:vAlign w:val="center"/>
          </w:tcPr>
          <w:p w14:paraId="20A9EC91"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11</w:t>
            </w:r>
          </w:p>
        </w:tc>
        <w:tc>
          <w:tcPr>
            <w:tcW w:w="475" w:type="dxa"/>
            <w:vAlign w:val="center"/>
          </w:tcPr>
          <w:p w14:paraId="31E52B0D"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14</w:t>
            </w:r>
          </w:p>
        </w:tc>
        <w:tc>
          <w:tcPr>
            <w:tcW w:w="606" w:type="dxa"/>
            <w:vAlign w:val="center"/>
          </w:tcPr>
          <w:p w14:paraId="3FB16A4A"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60</w:t>
            </w:r>
          </w:p>
        </w:tc>
        <w:tc>
          <w:tcPr>
            <w:tcW w:w="606" w:type="dxa"/>
            <w:vAlign w:val="center"/>
          </w:tcPr>
          <w:p w14:paraId="14476730"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5</w:t>
            </w:r>
          </w:p>
        </w:tc>
      </w:tr>
      <w:tr w:rsidR="000842E2" w:rsidRPr="000842E2" w14:paraId="0B582371" w14:textId="77777777" w:rsidTr="00AB176F">
        <w:trPr>
          <w:trHeight w:hRule="exact" w:val="227"/>
          <w:jc w:val="center"/>
        </w:trPr>
        <w:tc>
          <w:tcPr>
            <w:tcW w:w="2946" w:type="dxa"/>
            <w:vAlign w:val="center"/>
            <w:hideMark/>
          </w:tcPr>
          <w:p w14:paraId="604B81F7" w14:textId="77777777" w:rsidR="000842E2" w:rsidRPr="000842E2" w:rsidRDefault="000842E2" w:rsidP="000842E2">
            <w:pPr>
              <w:spacing w:after="0" w:line="240" w:lineRule="auto"/>
              <w:ind w:firstLineChars="100" w:firstLine="140"/>
              <w:rPr>
                <w:rFonts w:ascii="Arial Mäori" w:eastAsia="Times New Roman" w:hAnsi="Arial Mäori" w:cs="Calibri"/>
                <w:color w:val="000000"/>
                <w:sz w:val="14"/>
                <w:szCs w:val="14"/>
                <w:lang w:eastAsia="en-NZ"/>
              </w:rPr>
            </w:pPr>
            <w:r w:rsidRPr="000842E2">
              <w:rPr>
                <w:rFonts w:ascii="Arial Mäori" w:hAnsi="Arial Mäori" w:cs="Calibri"/>
                <w:color w:val="000000"/>
                <w:sz w:val="14"/>
                <w:szCs w:val="14"/>
              </w:rPr>
              <w:t>SP - FT</w:t>
            </w:r>
          </w:p>
        </w:tc>
        <w:tc>
          <w:tcPr>
            <w:tcW w:w="472" w:type="dxa"/>
            <w:vAlign w:val="center"/>
            <w:hideMark/>
          </w:tcPr>
          <w:p w14:paraId="4BC5C1F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25</w:t>
            </w:r>
          </w:p>
        </w:tc>
        <w:tc>
          <w:tcPr>
            <w:tcW w:w="471" w:type="dxa"/>
            <w:shd w:val="clear" w:color="auto" w:fill="D9D9D9"/>
            <w:vAlign w:val="center"/>
            <w:hideMark/>
          </w:tcPr>
          <w:p w14:paraId="7CAFD7E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18</w:t>
            </w:r>
          </w:p>
        </w:tc>
        <w:tc>
          <w:tcPr>
            <w:tcW w:w="471" w:type="dxa"/>
            <w:vAlign w:val="center"/>
            <w:hideMark/>
          </w:tcPr>
          <w:p w14:paraId="00FAC6B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w:t>
            </w:r>
          </w:p>
        </w:tc>
        <w:tc>
          <w:tcPr>
            <w:tcW w:w="472" w:type="dxa"/>
            <w:vAlign w:val="center"/>
            <w:hideMark/>
          </w:tcPr>
          <w:p w14:paraId="2FA4F48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2" w:type="dxa"/>
            <w:tcBorders>
              <w:right w:val="single" w:sz="8" w:space="0" w:color="auto"/>
            </w:tcBorders>
            <w:vAlign w:val="center"/>
            <w:hideMark/>
          </w:tcPr>
          <w:p w14:paraId="6645A76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tcBorders>
              <w:left w:val="single" w:sz="8" w:space="0" w:color="auto"/>
            </w:tcBorders>
            <w:vAlign w:val="center"/>
            <w:hideMark/>
          </w:tcPr>
          <w:p w14:paraId="1934D16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5" w:type="dxa"/>
            <w:shd w:val="clear" w:color="auto" w:fill="D9D9D9"/>
            <w:vAlign w:val="center"/>
            <w:hideMark/>
          </w:tcPr>
          <w:p w14:paraId="1A526BF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5" w:type="dxa"/>
            <w:vAlign w:val="center"/>
            <w:hideMark/>
          </w:tcPr>
          <w:p w14:paraId="670556E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vAlign w:val="center"/>
            <w:hideMark/>
          </w:tcPr>
          <w:p w14:paraId="52E4744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vAlign w:val="center"/>
            <w:hideMark/>
          </w:tcPr>
          <w:p w14:paraId="214E7C4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606" w:type="dxa"/>
            <w:vAlign w:val="center"/>
            <w:hideMark/>
          </w:tcPr>
          <w:p w14:paraId="5B025C2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70</w:t>
            </w:r>
          </w:p>
        </w:tc>
        <w:tc>
          <w:tcPr>
            <w:tcW w:w="606" w:type="dxa"/>
            <w:vAlign w:val="center"/>
          </w:tcPr>
          <w:p w14:paraId="04960C0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r>
      <w:tr w:rsidR="000842E2" w:rsidRPr="000842E2" w14:paraId="5A17E9D7" w14:textId="77777777" w:rsidTr="00AB176F">
        <w:trPr>
          <w:trHeight w:hRule="exact" w:val="227"/>
          <w:jc w:val="center"/>
        </w:trPr>
        <w:tc>
          <w:tcPr>
            <w:tcW w:w="2946" w:type="dxa"/>
            <w:vAlign w:val="center"/>
            <w:hideMark/>
          </w:tcPr>
          <w:p w14:paraId="4F5450AF" w14:textId="77777777" w:rsidR="000842E2" w:rsidRPr="000842E2" w:rsidRDefault="000842E2" w:rsidP="000842E2">
            <w:pPr>
              <w:spacing w:after="0" w:line="240" w:lineRule="auto"/>
              <w:ind w:firstLineChars="100" w:firstLine="140"/>
              <w:rPr>
                <w:rFonts w:ascii="Arial Mäori" w:eastAsia="Times New Roman" w:hAnsi="Arial Mäori" w:cs="Calibri"/>
                <w:color w:val="000000"/>
                <w:sz w:val="14"/>
                <w:szCs w:val="14"/>
                <w:lang w:eastAsia="en-NZ"/>
              </w:rPr>
            </w:pPr>
            <w:r w:rsidRPr="000842E2">
              <w:rPr>
                <w:rFonts w:ascii="Arial Mäori" w:hAnsi="Arial Mäori" w:cs="Calibri"/>
                <w:color w:val="000000"/>
                <w:sz w:val="14"/>
                <w:szCs w:val="14"/>
              </w:rPr>
              <w:t>SP - PT</w:t>
            </w:r>
          </w:p>
        </w:tc>
        <w:tc>
          <w:tcPr>
            <w:tcW w:w="472" w:type="dxa"/>
            <w:vAlign w:val="center"/>
            <w:hideMark/>
          </w:tcPr>
          <w:p w14:paraId="70A830F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42</w:t>
            </w:r>
          </w:p>
        </w:tc>
        <w:tc>
          <w:tcPr>
            <w:tcW w:w="471" w:type="dxa"/>
            <w:shd w:val="clear" w:color="auto" w:fill="D9D9D9"/>
            <w:vAlign w:val="center"/>
            <w:hideMark/>
          </w:tcPr>
          <w:p w14:paraId="7F6BB3C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29</w:t>
            </w:r>
          </w:p>
        </w:tc>
        <w:tc>
          <w:tcPr>
            <w:tcW w:w="471" w:type="dxa"/>
            <w:vAlign w:val="center"/>
            <w:hideMark/>
          </w:tcPr>
          <w:p w14:paraId="61DC7B6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2" w:type="dxa"/>
            <w:vAlign w:val="center"/>
            <w:hideMark/>
          </w:tcPr>
          <w:p w14:paraId="6276515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w:t>
            </w:r>
          </w:p>
        </w:tc>
        <w:tc>
          <w:tcPr>
            <w:tcW w:w="472" w:type="dxa"/>
            <w:tcBorders>
              <w:right w:val="single" w:sz="8" w:space="0" w:color="auto"/>
            </w:tcBorders>
            <w:vAlign w:val="center"/>
            <w:hideMark/>
          </w:tcPr>
          <w:p w14:paraId="701A6DC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tcBorders>
              <w:left w:val="single" w:sz="8" w:space="0" w:color="auto"/>
            </w:tcBorders>
            <w:vAlign w:val="center"/>
            <w:hideMark/>
          </w:tcPr>
          <w:p w14:paraId="40F29E4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shd w:val="clear" w:color="auto" w:fill="D9D9D9"/>
            <w:vAlign w:val="center"/>
            <w:hideMark/>
          </w:tcPr>
          <w:p w14:paraId="36AFA13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vAlign w:val="center"/>
            <w:hideMark/>
          </w:tcPr>
          <w:p w14:paraId="0AC8085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vAlign w:val="center"/>
            <w:hideMark/>
          </w:tcPr>
          <w:p w14:paraId="36F4607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vAlign w:val="center"/>
            <w:hideMark/>
          </w:tcPr>
          <w:p w14:paraId="5824DEC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606" w:type="dxa"/>
            <w:vAlign w:val="center"/>
            <w:hideMark/>
          </w:tcPr>
          <w:p w14:paraId="1982C78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606" w:type="dxa"/>
            <w:vAlign w:val="center"/>
          </w:tcPr>
          <w:p w14:paraId="492CE34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r>
      <w:tr w:rsidR="000842E2" w:rsidRPr="000842E2" w14:paraId="5AA8FD82" w14:textId="77777777" w:rsidTr="00AB176F">
        <w:trPr>
          <w:trHeight w:hRule="exact" w:val="227"/>
          <w:jc w:val="center"/>
        </w:trPr>
        <w:tc>
          <w:tcPr>
            <w:tcW w:w="2946" w:type="dxa"/>
            <w:vAlign w:val="center"/>
          </w:tcPr>
          <w:p w14:paraId="6272CF25" w14:textId="77777777" w:rsidR="000842E2" w:rsidRPr="000842E2" w:rsidRDefault="000842E2" w:rsidP="000842E2">
            <w:pPr>
              <w:spacing w:after="0" w:line="240" w:lineRule="auto"/>
              <w:ind w:firstLineChars="100" w:firstLine="140"/>
              <w:rPr>
                <w:rFonts w:ascii="Arial Mäori" w:hAnsi="Arial Mäori" w:cs="Calibri"/>
                <w:color w:val="000000"/>
                <w:sz w:val="14"/>
                <w:szCs w:val="14"/>
              </w:rPr>
            </w:pPr>
            <w:r w:rsidRPr="000842E2">
              <w:rPr>
                <w:rFonts w:ascii="Arial Mäori" w:hAnsi="Arial Mäori" w:cs="Calibri"/>
                <w:color w:val="000000"/>
                <w:sz w:val="14"/>
                <w:szCs w:val="14"/>
              </w:rPr>
              <w:t>SP - WL</w:t>
            </w:r>
          </w:p>
        </w:tc>
        <w:tc>
          <w:tcPr>
            <w:tcW w:w="472" w:type="dxa"/>
            <w:vAlign w:val="center"/>
          </w:tcPr>
          <w:p w14:paraId="6981A9D0"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60</w:t>
            </w:r>
          </w:p>
        </w:tc>
        <w:tc>
          <w:tcPr>
            <w:tcW w:w="471" w:type="dxa"/>
            <w:shd w:val="clear" w:color="auto" w:fill="D9D9D9"/>
            <w:vAlign w:val="center"/>
          </w:tcPr>
          <w:p w14:paraId="2E5C7591"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51</w:t>
            </w:r>
          </w:p>
        </w:tc>
        <w:tc>
          <w:tcPr>
            <w:tcW w:w="471" w:type="dxa"/>
            <w:vAlign w:val="center"/>
          </w:tcPr>
          <w:p w14:paraId="2C170FD2"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40</w:t>
            </w:r>
          </w:p>
        </w:tc>
        <w:tc>
          <w:tcPr>
            <w:tcW w:w="472" w:type="dxa"/>
            <w:vAlign w:val="center"/>
          </w:tcPr>
          <w:p w14:paraId="0BC6C475"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32</w:t>
            </w:r>
          </w:p>
        </w:tc>
        <w:tc>
          <w:tcPr>
            <w:tcW w:w="472" w:type="dxa"/>
            <w:tcBorders>
              <w:right w:val="single" w:sz="8" w:space="0" w:color="auto"/>
            </w:tcBorders>
            <w:vAlign w:val="center"/>
          </w:tcPr>
          <w:p w14:paraId="636B75D2"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24</w:t>
            </w:r>
          </w:p>
        </w:tc>
        <w:tc>
          <w:tcPr>
            <w:tcW w:w="475" w:type="dxa"/>
            <w:tcBorders>
              <w:left w:val="single" w:sz="8" w:space="0" w:color="auto"/>
            </w:tcBorders>
            <w:vAlign w:val="center"/>
          </w:tcPr>
          <w:p w14:paraId="2C93F7C5"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23</w:t>
            </w:r>
          </w:p>
        </w:tc>
        <w:tc>
          <w:tcPr>
            <w:tcW w:w="475" w:type="dxa"/>
            <w:shd w:val="clear" w:color="auto" w:fill="D9D9D9"/>
            <w:vAlign w:val="center"/>
          </w:tcPr>
          <w:p w14:paraId="43950B6B"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26</w:t>
            </w:r>
          </w:p>
        </w:tc>
        <w:tc>
          <w:tcPr>
            <w:tcW w:w="475" w:type="dxa"/>
            <w:vAlign w:val="center"/>
          </w:tcPr>
          <w:p w14:paraId="47E3F351"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26</w:t>
            </w:r>
          </w:p>
        </w:tc>
        <w:tc>
          <w:tcPr>
            <w:tcW w:w="475" w:type="dxa"/>
            <w:vAlign w:val="center"/>
          </w:tcPr>
          <w:p w14:paraId="0EFA5667"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29</w:t>
            </w:r>
          </w:p>
        </w:tc>
        <w:tc>
          <w:tcPr>
            <w:tcW w:w="475" w:type="dxa"/>
            <w:vAlign w:val="center"/>
          </w:tcPr>
          <w:p w14:paraId="34D15714"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30</w:t>
            </w:r>
          </w:p>
        </w:tc>
        <w:tc>
          <w:tcPr>
            <w:tcW w:w="606" w:type="dxa"/>
            <w:vAlign w:val="center"/>
          </w:tcPr>
          <w:p w14:paraId="5E0673CE"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80</w:t>
            </w:r>
          </w:p>
        </w:tc>
        <w:tc>
          <w:tcPr>
            <w:tcW w:w="606" w:type="dxa"/>
            <w:vAlign w:val="center"/>
          </w:tcPr>
          <w:p w14:paraId="38958200"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7</w:t>
            </w:r>
          </w:p>
        </w:tc>
      </w:tr>
      <w:tr w:rsidR="000842E2" w:rsidRPr="000842E2" w14:paraId="0B0DC683" w14:textId="77777777" w:rsidTr="00AB176F">
        <w:trPr>
          <w:trHeight w:hRule="exact" w:val="227"/>
          <w:jc w:val="center"/>
        </w:trPr>
        <w:tc>
          <w:tcPr>
            <w:tcW w:w="2946" w:type="dxa"/>
            <w:vAlign w:val="center"/>
          </w:tcPr>
          <w:p w14:paraId="20125752" w14:textId="77777777" w:rsidR="000842E2" w:rsidRPr="000842E2" w:rsidRDefault="000842E2" w:rsidP="000842E2">
            <w:pPr>
              <w:spacing w:after="0" w:line="240" w:lineRule="auto"/>
              <w:ind w:firstLineChars="100" w:firstLine="140"/>
              <w:rPr>
                <w:rFonts w:ascii="Arial Mäori" w:hAnsi="Arial Mäori" w:cs="Calibri"/>
                <w:color w:val="000000"/>
                <w:sz w:val="14"/>
                <w:szCs w:val="14"/>
              </w:rPr>
            </w:pPr>
            <w:r w:rsidRPr="000842E2">
              <w:rPr>
                <w:rFonts w:ascii="Arial Mäori" w:hAnsi="Arial Mäori" w:cs="Calibri"/>
                <w:color w:val="000000"/>
                <w:sz w:val="14"/>
                <w:szCs w:val="14"/>
              </w:rPr>
              <w:t>Other</w:t>
            </w:r>
          </w:p>
        </w:tc>
        <w:tc>
          <w:tcPr>
            <w:tcW w:w="472" w:type="dxa"/>
            <w:vAlign w:val="center"/>
          </w:tcPr>
          <w:p w14:paraId="7AAC984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w:t>
            </w:r>
          </w:p>
        </w:tc>
        <w:tc>
          <w:tcPr>
            <w:tcW w:w="471" w:type="dxa"/>
            <w:shd w:val="clear" w:color="auto" w:fill="D9D9D9"/>
            <w:vAlign w:val="center"/>
          </w:tcPr>
          <w:p w14:paraId="4A5A3A6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1" w:type="dxa"/>
            <w:vAlign w:val="center"/>
          </w:tcPr>
          <w:p w14:paraId="027E4E6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2" w:type="dxa"/>
            <w:vAlign w:val="center"/>
          </w:tcPr>
          <w:p w14:paraId="429314A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2" w:type="dxa"/>
            <w:tcBorders>
              <w:right w:val="single" w:sz="8" w:space="0" w:color="auto"/>
            </w:tcBorders>
            <w:vAlign w:val="center"/>
          </w:tcPr>
          <w:p w14:paraId="1F8CCE0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tcBorders>
              <w:left w:val="single" w:sz="8" w:space="0" w:color="auto"/>
            </w:tcBorders>
            <w:vAlign w:val="center"/>
          </w:tcPr>
          <w:p w14:paraId="77C7935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21</w:t>
            </w:r>
          </w:p>
        </w:tc>
        <w:tc>
          <w:tcPr>
            <w:tcW w:w="475" w:type="dxa"/>
            <w:shd w:val="clear" w:color="auto" w:fill="D9D9D9"/>
            <w:vAlign w:val="center"/>
          </w:tcPr>
          <w:p w14:paraId="3E6D4DE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5" w:type="dxa"/>
            <w:vAlign w:val="center"/>
          </w:tcPr>
          <w:p w14:paraId="0253296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5" w:type="dxa"/>
            <w:vAlign w:val="center"/>
          </w:tcPr>
          <w:p w14:paraId="4B67557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5" w:type="dxa"/>
            <w:vAlign w:val="center"/>
          </w:tcPr>
          <w:p w14:paraId="564781C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21</w:t>
            </w:r>
          </w:p>
        </w:tc>
        <w:tc>
          <w:tcPr>
            <w:tcW w:w="606" w:type="dxa"/>
            <w:vAlign w:val="center"/>
          </w:tcPr>
          <w:p w14:paraId="104B0A0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280</w:t>
            </w:r>
          </w:p>
        </w:tc>
        <w:tc>
          <w:tcPr>
            <w:tcW w:w="606" w:type="dxa"/>
            <w:vAlign w:val="center"/>
          </w:tcPr>
          <w:p w14:paraId="29CBD096"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24</w:t>
            </w:r>
          </w:p>
        </w:tc>
      </w:tr>
      <w:tr w:rsidR="000842E2" w:rsidRPr="000842E2" w14:paraId="5D4AF56E" w14:textId="77777777" w:rsidTr="00AB176F">
        <w:trPr>
          <w:trHeight w:hRule="exact" w:val="227"/>
          <w:jc w:val="center"/>
        </w:trPr>
        <w:tc>
          <w:tcPr>
            <w:tcW w:w="2946" w:type="dxa"/>
            <w:vAlign w:val="center"/>
            <w:hideMark/>
          </w:tcPr>
          <w:p w14:paraId="2A855606"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Labour market status of household</w:t>
            </w:r>
          </w:p>
        </w:tc>
        <w:tc>
          <w:tcPr>
            <w:tcW w:w="472" w:type="dxa"/>
            <w:vAlign w:val="center"/>
            <w:hideMark/>
          </w:tcPr>
          <w:p w14:paraId="5841F421"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shd w:val="clear" w:color="auto" w:fill="D9D9D9"/>
            <w:vAlign w:val="center"/>
            <w:hideMark/>
          </w:tcPr>
          <w:p w14:paraId="753F688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vAlign w:val="center"/>
            <w:hideMark/>
          </w:tcPr>
          <w:p w14:paraId="1C9B163C"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vAlign w:val="center"/>
            <w:hideMark/>
          </w:tcPr>
          <w:p w14:paraId="04B0BF03"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tcBorders>
              <w:right w:val="single" w:sz="8" w:space="0" w:color="auto"/>
            </w:tcBorders>
            <w:vAlign w:val="center"/>
            <w:hideMark/>
          </w:tcPr>
          <w:p w14:paraId="0B9C86F2"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tcBorders>
              <w:left w:val="single" w:sz="8" w:space="0" w:color="auto"/>
            </w:tcBorders>
            <w:vAlign w:val="center"/>
            <w:hideMark/>
          </w:tcPr>
          <w:p w14:paraId="0EF1B5E1"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shd w:val="clear" w:color="auto" w:fill="D9D9D9"/>
            <w:vAlign w:val="center"/>
            <w:hideMark/>
          </w:tcPr>
          <w:p w14:paraId="69DB228C"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16C93C57"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411C832A"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7DE0A684"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hideMark/>
          </w:tcPr>
          <w:p w14:paraId="2E610200"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tcPr>
          <w:p w14:paraId="5A969124"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r>
      <w:tr w:rsidR="000842E2" w:rsidRPr="000842E2" w14:paraId="264DC796" w14:textId="77777777" w:rsidTr="00AB176F">
        <w:trPr>
          <w:trHeight w:hRule="exact" w:val="227"/>
          <w:jc w:val="center"/>
        </w:trPr>
        <w:tc>
          <w:tcPr>
            <w:tcW w:w="2946" w:type="dxa"/>
            <w:vAlign w:val="center"/>
            <w:hideMark/>
          </w:tcPr>
          <w:p w14:paraId="1FB6779F"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Self-employed</w:t>
            </w:r>
          </w:p>
        </w:tc>
        <w:tc>
          <w:tcPr>
            <w:tcW w:w="472" w:type="dxa"/>
            <w:vAlign w:val="center"/>
            <w:hideMark/>
          </w:tcPr>
          <w:p w14:paraId="3617CF8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1" w:type="dxa"/>
            <w:shd w:val="clear" w:color="auto" w:fill="D9D9D9"/>
            <w:vAlign w:val="center"/>
            <w:hideMark/>
          </w:tcPr>
          <w:p w14:paraId="4A8038F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1" w:type="dxa"/>
            <w:vAlign w:val="center"/>
            <w:hideMark/>
          </w:tcPr>
          <w:p w14:paraId="34154E6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2" w:type="dxa"/>
            <w:vAlign w:val="center"/>
            <w:hideMark/>
          </w:tcPr>
          <w:p w14:paraId="306E22A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472" w:type="dxa"/>
            <w:tcBorders>
              <w:right w:val="single" w:sz="8" w:space="0" w:color="auto"/>
            </w:tcBorders>
            <w:vAlign w:val="center"/>
            <w:hideMark/>
          </w:tcPr>
          <w:p w14:paraId="0C3555D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475" w:type="dxa"/>
            <w:tcBorders>
              <w:left w:val="single" w:sz="8" w:space="0" w:color="auto"/>
            </w:tcBorders>
            <w:vAlign w:val="center"/>
            <w:hideMark/>
          </w:tcPr>
          <w:p w14:paraId="7529D5E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5" w:type="dxa"/>
            <w:shd w:val="clear" w:color="auto" w:fill="D9D9D9"/>
            <w:vAlign w:val="center"/>
            <w:hideMark/>
          </w:tcPr>
          <w:p w14:paraId="61006B8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475" w:type="dxa"/>
            <w:vAlign w:val="center"/>
            <w:hideMark/>
          </w:tcPr>
          <w:p w14:paraId="682A7EF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475" w:type="dxa"/>
            <w:vAlign w:val="center"/>
            <w:hideMark/>
          </w:tcPr>
          <w:p w14:paraId="415506B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475" w:type="dxa"/>
            <w:vAlign w:val="center"/>
            <w:hideMark/>
          </w:tcPr>
          <w:p w14:paraId="75F0986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606" w:type="dxa"/>
            <w:vAlign w:val="center"/>
            <w:hideMark/>
          </w:tcPr>
          <w:p w14:paraId="2A13075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110</w:t>
            </w:r>
          </w:p>
        </w:tc>
        <w:tc>
          <w:tcPr>
            <w:tcW w:w="606" w:type="dxa"/>
            <w:vAlign w:val="center"/>
          </w:tcPr>
          <w:p w14:paraId="370DC51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r>
      <w:tr w:rsidR="000842E2" w:rsidRPr="000842E2" w14:paraId="4667083C" w14:textId="77777777" w:rsidTr="00AB176F">
        <w:trPr>
          <w:trHeight w:hRule="exact" w:val="227"/>
          <w:jc w:val="center"/>
        </w:trPr>
        <w:tc>
          <w:tcPr>
            <w:tcW w:w="2946" w:type="dxa"/>
            <w:vAlign w:val="center"/>
            <w:hideMark/>
          </w:tcPr>
          <w:p w14:paraId="10EE97FE"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At least one FT worker</w:t>
            </w:r>
          </w:p>
        </w:tc>
        <w:tc>
          <w:tcPr>
            <w:tcW w:w="472" w:type="dxa"/>
            <w:vAlign w:val="center"/>
            <w:hideMark/>
          </w:tcPr>
          <w:p w14:paraId="2C499E3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1" w:type="dxa"/>
            <w:shd w:val="clear" w:color="auto" w:fill="D9D9D9"/>
            <w:vAlign w:val="center"/>
            <w:hideMark/>
          </w:tcPr>
          <w:p w14:paraId="1F47DE5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1" w:type="dxa"/>
            <w:vAlign w:val="center"/>
            <w:hideMark/>
          </w:tcPr>
          <w:p w14:paraId="23290C6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2" w:type="dxa"/>
            <w:vAlign w:val="center"/>
            <w:hideMark/>
          </w:tcPr>
          <w:p w14:paraId="78CD23E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2" w:type="dxa"/>
            <w:tcBorders>
              <w:right w:val="single" w:sz="8" w:space="0" w:color="auto"/>
            </w:tcBorders>
            <w:vAlign w:val="center"/>
            <w:hideMark/>
          </w:tcPr>
          <w:p w14:paraId="70E845D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5" w:type="dxa"/>
            <w:tcBorders>
              <w:left w:val="single" w:sz="8" w:space="0" w:color="auto"/>
            </w:tcBorders>
            <w:vAlign w:val="center"/>
            <w:hideMark/>
          </w:tcPr>
          <w:p w14:paraId="19CD186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53</w:t>
            </w:r>
          </w:p>
        </w:tc>
        <w:tc>
          <w:tcPr>
            <w:tcW w:w="475" w:type="dxa"/>
            <w:shd w:val="clear" w:color="auto" w:fill="D9D9D9"/>
            <w:vAlign w:val="center"/>
            <w:hideMark/>
          </w:tcPr>
          <w:p w14:paraId="6C2E47F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49</w:t>
            </w:r>
          </w:p>
        </w:tc>
        <w:tc>
          <w:tcPr>
            <w:tcW w:w="475" w:type="dxa"/>
            <w:vAlign w:val="center"/>
            <w:hideMark/>
          </w:tcPr>
          <w:p w14:paraId="468C989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47</w:t>
            </w:r>
          </w:p>
        </w:tc>
        <w:tc>
          <w:tcPr>
            <w:tcW w:w="475" w:type="dxa"/>
            <w:vAlign w:val="center"/>
            <w:hideMark/>
          </w:tcPr>
          <w:p w14:paraId="1AC5BCA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46</w:t>
            </w:r>
          </w:p>
        </w:tc>
        <w:tc>
          <w:tcPr>
            <w:tcW w:w="475" w:type="dxa"/>
            <w:vAlign w:val="center"/>
            <w:hideMark/>
          </w:tcPr>
          <w:p w14:paraId="2EE2510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47</w:t>
            </w:r>
          </w:p>
        </w:tc>
        <w:tc>
          <w:tcPr>
            <w:tcW w:w="606" w:type="dxa"/>
            <w:vAlign w:val="center"/>
            <w:hideMark/>
          </w:tcPr>
          <w:p w14:paraId="3B4BE3B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860</w:t>
            </w:r>
          </w:p>
        </w:tc>
        <w:tc>
          <w:tcPr>
            <w:tcW w:w="606" w:type="dxa"/>
            <w:vAlign w:val="center"/>
          </w:tcPr>
          <w:p w14:paraId="696AEF3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73</w:t>
            </w:r>
          </w:p>
        </w:tc>
      </w:tr>
      <w:tr w:rsidR="000842E2" w:rsidRPr="000842E2" w14:paraId="0730900C" w14:textId="77777777" w:rsidTr="00AB176F">
        <w:trPr>
          <w:trHeight w:hRule="exact" w:val="227"/>
          <w:jc w:val="center"/>
        </w:trPr>
        <w:tc>
          <w:tcPr>
            <w:tcW w:w="2946" w:type="dxa"/>
            <w:vAlign w:val="center"/>
            <w:hideMark/>
          </w:tcPr>
          <w:p w14:paraId="79B3D30A"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No FT worker (may have PT)</w:t>
            </w:r>
          </w:p>
        </w:tc>
        <w:tc>
          <w:tcPr>
            <w:tcW w:w="472" w:type="dxa"/>
            <w:vAlign w:val="center"/>
            <w:hideMark/>
          </w:tcPr>
          <w:p w14:paraId="02B4206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47</w:t>
            </w:r>
          </w:p>
        </w:tc>
        <w:tc>
          <w:tcPr>
            <w:tcW w:w="471" w:type="dxa"/>
            <w:shd w:val="clear" w:color="auto" w:fill="D9D9D9"/>
            <w:vAlign w:val="center"/>
            <w:hideMark/>
          </w:tcPr>
          <w:p w14:paraId="534B7C9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39</w:t>
            </w:r>
          </w:p>
        </w:tc>
        <w:tc>
          <w:tcPr>
            <w:tcW w:w="471" w:type="dxa"/>
            <w:vAlign w:val="center"/>
            <w:hideMark/>
          </w:tcPr>
          <w:p w14:paraId="11F8562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31</w:t>
            </w:r>
          </w:p>
        </w:tc>
        <w:tc>
          <w:tcPr>
            <w:tcW w:w="472" w:type="dxa"/>
            <w:vAlign w:val="center"/>
            <w:hideMark/>
          </w:tcPr>
          <w:p w14:paraId="7F0EBD3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23</w:t>
            </w:r>
          </w:p>
        </w:tc>
        <w:tc>
          <w:tcPr>
            <w:tcW w:w="472" w:type="dxa"/>
            <w:tcBorders>
              <w:right w:val="single" w:sz="8" w:space="0" w:color="auto"/>
            </w:tcBorders>
            <w:vAlign w:val="center"/>
            <w:hideMark/>
          </w:tcPr>
          <w:p w14:paraId="737E8C2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w:t>
            </w:r>
          </w:p>
        </w:tc>
        <w:tc>
          <w:tcPr>
            <w:tcW w:w="475" w:type="dxa"/>
            <w:tcBorders>
              <w:left w:val="single" w:sz="8" w:space="0" w:color="auto"/>
            </w:tcBorders>
            <w:vAlign w:val="center"/>
            <w:hideMark/>
          </w:tcPr>
          <w:p w14:paraId="58D46B0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46</w:t>
            </w:r>
          </w:p>
        </w:tc>
        <w:tc>
          <w:tcPr>
            <w:tcW w:w="475" w:type="dxa"/>
            <w:shd w:val="clear" w:color="auto" w:fill="D9D9D9"/>
            <w:vAlign w:val="center"/>
            <w:hideMark/>
          </w:tcPr>
          <w:p w14:paraId="681B76F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49</w:t>
            </w:r>
          </w:p>
        </w:tc>
        <w:tc>
          <w:tcPr>
            <w:tcW w:w="475" w:type="dxa"/>
            <w:vAlign w:val="center"/>
            <w:hideMark/>
          </w:tcPr>
          <w:p w14:paraId="00AF9FC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52</w:t>
            </w:r>
          </w:p>
        </w:tc>
        <w:tc>
          <w:tcPr>
            <w:tcW w:w="475" w:type="dxa"/>
            <w:vAlign w:val="center"/>
            <w:hideMark/>
          </w:tcPr>
          <w:p w14:paraId="6C9131B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52</w:t>
            </w:r>
          </w:p>
        </w:tc>
        <w:tc>
          <w:tcPr>
            <w:tcW w:w="475" w:type="dxa"/>
            <w:vAlign w:val="center"/>
            <w:hideMark/>
          </w:tcPr>
          <w:p w14:paraId="192C271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52</w:t>
            </w:r>
          </w:p>
        </w:tc>
        <w:tc>
          <w:tcPr>
            <w:tcW w:w="606" w:type="dxa"/>
            <w:vAlign w:val="center"/>
            <w:hideMark/>
          </w:tcPr>
          <w:p w14:paraId="4DE3C5C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205</w:t>
            </w:r>
          </w:p>
        </w:tc>
        <w:tc>
          <w:tcPr>
            <w:tcW w:w="606" w:type="dxa"/>
            <w:vAlign w:val="center"/>
          </w:tcPr>
          <w:p w14:paraId="3626BD1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w:t>
            </w:r>
          </w:p>
        </w:tc>
      </w:tr>
      <w:tr w:rsidR="000842E2" w:rsidRPr="000842E2" w14:paraId="2C7F500B" w14:textId="77777777" w:rsidTr="00AB176F">
        <w:trPr>
          <w:trHeight w:hRule="exact" w:val="227"/>
          <w:jc w:val="center"/>
        </w:trPr>
        <w:tc>
          <w:tcPr>
            <w:tcW w:w="2946" w:type="dxa"/>
            <w:vAlign w:val="center"/>
            <w:hideMark/>
          </w:tcPr>
          <w:p w14:paraId="6D12BF6C"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PT work only</w:t>
            </w:r>
          </w:p>
        </w:tc>
        <w:tc>
          <w:tcPr>
            <w:tcW w:w="472" w:type="dxa"/>
            <w:vAlign w:val="center"/>
            <w:hideMark/>
          </w:tcPr>
          <w:p w14:paraId="034692B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1" w:type="dxa"/>
            <w:shd w:val="clear" w:color="auto" w:fill="D9D9D9"/>
            <w:vAlign w:val="center"/>
            <w:hideMark/>
          </w:tcPr>
          <w:p w14:paraId="457823E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1" w:type="dxa"/>
            <w:vAlign w:val="center"/>
            <w:hideMark/>
          </w:tcPr>
          <w:p w14:paraId="2D06BE4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w:t>
            </w:r>
          </w:p>
        </w:tc>
        <w:tc>
          <w:tcPr>
            <w:tcW w:w="472" w:type="dxa"/>
            <w:vAlign w:val="center"/>
            <w:hideMark/>
          </w:tcPr>
          <w:p w14:paraId="76BD597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11</w:t>
            </w:r>
          </w:p>
        </w:tc>
        <w:tc>
          <w:tcPr>
            <w:tcW w:w="472" w:type="dxa"/>
            <w:tcBorders>
              <w:right w:val="single" w:sz="8" w:space="0" w:color="auto"/>
            </w:tcBorders>
            <w:vAlign w:val="center"/>
            <w:hideMark/>
          </w:tcPr>
          <w:p w14:paraId="591F121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5" w:type="dxa"/>
            <w:tcBorders>
              <w:left w:val="single" w:sz="8" w:space="0" w:color="auto"/>
            </w:tcBorders>
            <w:vAlign w:val="center"/>
            <w:hideMark/>
          </w:tcPr>
          <w:p w14:paraId="1806A63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5" w:type="dxa"/>
            <w:shd w:val="clear" w:color="auto" w:fill="D9D9D9"/>
            <w:vAlign w:val="center"/>
            <w:hideMark/>
          </w:tcPr>
          <w:p w14:paraId="5222A6D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5" w:type="dxa"/>
            <w:vAlign w:val="center"/>
            <w:hideMark/>
          </w:tcPr>
          <w:p w14:paraId="1666E49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5" w:type="dxa"/>
            <w:vAlign w:val="center"/>
            <w:hideMark/>
          </w:tcPr>
          <w:p w14:paraId="045D2D7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5" w:type="dxa"/>
            <w:vAlign w:val="center"/>
            <w:hideMark/>
          </w:tcPr>
          <w:p w14:paraId="05A5B3D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606" w:type="dxa"/>
            <w:vAlign w:val="center"/>
            <w:hideMark/>
          </w:tcPr>
          <w:p w14:paraId="40F17D9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65</w:t>
            </w:r>
          </w:p>
        </w:tc>
        <w:tc>
          <w:tcPr>
            <w:tcW w:w="606" w:type="dxa"/>
            <w:vAlign w:val="center"/>
          </w:tcPr>
          <w:p w14:paraId="0B6B3FE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r>
      <w:tr w:rsidR="000842E2" w:rsidRPr="000842E2" w14:paraId="2A5526E4" w14:textId="77777777" w:rsidTr="00AB176F">
        <w:trPr>
          <w:trHeight w:hRule="exact" w:val="227"/>
          <w:jc w:val="center"/>
        </w:trPr>
        <w:tc>
          <w:tcPr>
            <w:tcW w:w="2946" w:type="dxa"/>
            <w:vAlign w:val="center"/>
            <w:hideMark/>
          </w:tcPr>
          <w:p w14:paraId="2B2E88A5"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Some work (excl SE)</w:t>
            </w:r>
          </w:p>
        </w:tc>
        <w:tc>
          <w:tcPr>
            <w:tcW w:w="472" w:type="dxa"/>
            <w:vAlign w:val="center"/>
            <w:hideMark/>
          </w:tcPr>
          <w:p w14:paraId="333CE2D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c>
          <w:tcPr>
            <w:tcW w:w="471" w:type="dxa"/>
            <w:shd w:val="clear" w:color="auto" w:fill="D9D9D9"/>
            <w:vAlign w:val="center"/>
            <w:hideMark/>
          </w:tcPr>
          <w:p w14:paraId="41D6C46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1" w:type="dxa"/>
            <w:vAlign w:val="center"/>
            <w:hideMark/>
          </w:tcPr>
          <w:p w14:paraId="6739275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2" w:type="dxa"/>
            <w:vAlign w:val="center"/>
            <w:hideMark/>
          </w:tcPr>
          <w:p w14:paraId="16A612F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w:t>
            </w:r>
          </w:p>
        </w:tc>
        <w:tc>
          <w:tcPr>
            <w:tcW w:w="472" w:type="dxa"/>
            <w:tcBorders>
              <w:right w:val="single" w:sz="8" w:space="0" w:color="auto"/>
            </w:tcBorders>
            <w:vAlign w:val="center"/>
            <w:hideMark/>
          </w:tcPr>
          <w:p w14:paraId="7C332F1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5" w:type="dxa"/>
            <w:tcBorders>
              <w:left w:val="single" w:sz="8" w:space="0" w:color="auto"/>
            </w:tcBorders>
            <w:vAlign w:val="center"/>
            <w:hideMark/>
          </w:tcPr>
          <w:p w14:paraId="52A2E55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62</w:t>
            </w:r>
          </w:p>
        </w:tc>
        <w:tc>
          <w:tcPr>
            <w:tcW w:w="475" w:type="dxa"/>
            <w:shd w:val="clear" w:color="auto" w:fill="D9D9D9"/>
            <w:vAlign w:val="center"/>
            <w:hideMark/>
          </w:tcPr>
          <w:p w14:paraId="4E442B6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58</w:t>
            </w:r>
          </w:p>
        </w:tc>
        <w:tc>
          <w:tcPr>
            <w:tcW w:w="475" w:type="dxa"/>
            <w:vAlign w:val="center"/>
            <w:hideMark/>
          </w:tcPr>
          <w:p w14:paraId="28427D4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56</w:t>
            </w:r>
          </w:p>
        </w:tc>
        <w:tc>
          <w:tcPr>
            <w:tcW w:w="475" w:type="dxa"/>
            <w:vAlign w:val="center"/>
            <w:hideMark/>
          </w:tcPr>
          <w:p w14:paraId="19CD5C6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54</w:t>
            </w:r>
          </w:p>
        </w:tc>
        <w:tc>
          <w:tcPr>
            <w:tcW w:w="475" w:type="dxa"/>
            <w:vAlign w:val="center"/>
            <w:hideMark/>
          </w:tcPr>
          <w:p w14:paraId="765F5B3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52</w:t>
            </w:r>
          </w:p>
        </w:tc>
        <w:tc>
          <w:tcPr>
            <w:tcW w:w="606" w:type="dxa"/>
            <w:vAlign w:val="center"/>
            <w:hideMark/>
          </w:tcPr>
          <w:p w14:paraId="433B783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925</w:t>
            </w:r>
          </w:p>
        </w:tc>
        <w:tc>
          <w:tcPr>
            <w:tcW w:w="606" w:type="dxa"/>
            <w:vAlign w:val="center"/>
          </w:tcPr>
          <w:p w14:paraId="5B7ECB9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79</w:t>
            </w:r>
          </w:p>
        </w:tc>
      </w:tr>
      <w:tr w:rsidR="000842E2" w:rsidRPr="000842E2" w14:paraId="49A049CA" w14:textId="77777777" w:rsidTr="00AB176F">
        <w:trPr>
          <w:trHeight w:hRule="exact" w:val="227"/>
          <w:jc w:val="center"/>
        </w:trPr>
        <w:tc>
          <w:tcPr>
            <w:tcW w:w="2946" w:type="dxa"/>
            <w:vAlign w:val="center"/>
            <w:hideMark/>
          </w:tcPr>
          <w:p w14:paraId="1FC1B3CD"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Workless</w:t>
            </w:r>
          </w:p>
        </w:tc>
        <w:tc>
          <w:tcPr>
            <w:tcW w:w="472" w:type="dxa"/>
            <w:vAlign w:val="center"/>
            <w:hideMark/>
          </w:tcPr>
          <w:p w14:paraId="651B711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55</w:t>
            </w:r>
          </w:p>
        </w:tc>
        <w:tc>
          <w:tcPr>
            <w:tcW w:w="471" w:type="dxa"/>
            <w:shd w:val="clear" w:color="auto" w:fill="D9D9D9"/>
            <w:vAlign w:val="center"/>
            <w:hideMark/>
          </w:tcPr>
          <w:p w14:paraId="68CDC92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46</w:t>
            </w:r>
          </w:p>
        </w:tc>
        <w:tc>
          <w:tcPr>
            <w:tcW w:w="471" w:type="dxa"/>
            <w:vAlign w:val="center"/>
            <w:hideMark/>
          </w:tcPr>
          <w:p w14:paraId="39ABDD6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37</w:t>
            </w:r>
          </w:p>
        </w:tc>
        <w:tc>
          <w:tcPr>
            <w:tcW w:w="472" w:type="dxa"/>
            <w:vAlign w:val="center"/>
            <w:hideMark/>
          </w:tcPr>
          <w:p w14:paraId="11597D4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28</w:t>
            </w:r>
          </w:p>
        </w:tc>
        <w:tc>
          <w:tcPr>
            <w:tcW w:w="472" w:type="dxa"/>
            <w:tcBorders>
              <w:right w:val="single" w:sz="8" w:space="0" w:color="auto"/>
            </w:tcBorders>
            <w:vAlign w:val="center"/>
            <w:hideMark/>
          </w:tcPr>
          <w:p w14:paraId="3127E3D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22</w:t>
            </w:r>
          </w:p>
        </w:tc>
        <w:tc>
          <w:tcPr>
            <w:tcW w:w="475" w:type="dxa"/>
            <w:tcBorders>
              <w:left w:val="single" w:sz="8" w:space="0" w:color="auto"/>
            </w:tcBorders>
            <w:vAlign w:val="center"/>
            <w:hideMark/>
          </w:tcPr>
          <w:p w14:paraId="625D4B4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37</w:t>
            </w:r>
          </w:p>
        </w:tc>
        <w:tc>
          <w:tcPr>
            <w:tcW w:w="475" w:type="dxa"/>
            <w:shd w:val="clear" w:color="auto" w:fill="D9D9D9"/>
            <w:vAlign w:val="center"/>
            <w:hideMark/>
          </w:tcPr>
          <w:p w14:paraId="301EEE1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41</w:t>
            </w:r>
          </w:p>
        </w:tc>
        <w:tc>
          <w:tcPr>
            <w:tcW w:w="475" w:type="dxa"/>
            <w:vAlign w:val="center"/>
            <w:hideMark/>
          </w:tcPr>
          <w:p w14:paraId="2DA1B54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43</w:t>
            </w:r>
          </w:p>
        </w:tc>
        <w:tc>
          <w:tcPr>
            <w:tcW w:w="475" w:type="dxa"/>
            <w:vAlign w:val="center"/>
            <w:hideMark/>
          </w:tcPr>
          <w:p w14:paraId="2FB3A64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44</w:t>
            </w:r>
          </w:p>
        </w:tc>
        <w:tc>
          <w:tcPr>
            <w:tcW w:w="475" w:type="dxa"/>
            <w:vAlign w:val="center"/>
            <w:hideMark/>
          </w:tcPr>
          <w:p w14:paraId="19FFC57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47</w:t>
            </w:r>
          </w:p>
        </w:tc>
        <w:tc>
          <w:tcPr>
            <w:tcW w:w="606" w:type="dxa"/>
            <w:vAlign w:val="center"/>
            <w:hideMark/>
          </w:tcPr>
          <w:p w14:paraId="0446685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140</w:t>
            </w:r>
          </w:p>
        </w:tc>
        <w:tc>
          <w:tcPr>
            <w:tcW w:w="606" w:type="dxa"/>
            <w:vAlign w:val="center"/>
          </w:tcPr>
          <w:p w14:paraId="1C1E188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r>
      <w:tr w:rsidR="000842E2" w:rsidRPr="000842E2" w14:paraId="6502C452" w14:textId="77777777" w:rsidTr="00AB176F">
        <w:trPr>
          <w:trHeight w:hRule="exact" w:val="344"/>
          <w:jc w:val="center"/>
        </w:trPr>
        <w:tc>
          <w:tcPr>
            <w:tcW w:w="2946" w:type="dxa"/>
            <w:vAlign w:val="center"/>
            <w:hideMark/>
          </w:tcPr>
          <w:p w14:paraId="253B9430"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Source of HH income in the 12 months prior to interview</w:t>
            </w:r>
          </w:p>
        </w:tc>
        <w:tc>
          <w:tcPr>
            <w:tcW w:w="472" w:type="dxa"/>
            <w:vAlign w:val="center"/>
            <w:hideMark/>
          </w:tcPr>
          <w:p w14:paraId="79B0CC0D"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shd w:val="clear" w:color="auto" w:fill="D9D9D9"/>
            <w:vAlign w:val="center"/>
            <w:hideMark/>
          </w:tcPr>
          <w:p w14:paraId="0E910E07"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vAlign w:val="center"/>
            <w:hideMark/>
          </w:tcPr>
          <w:p w14:paraId="6DD3ED6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vAlign w:val="center"/>
            <w:hideMark/>
          </w:tcPr>
          <w:p w14:paraId="76472723"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tcBorders>
              <w:right w:val="single" w:sz="8" w:space="0" w:color="auto"/>
            </w:tcBorders>
            <w:vAlign w:val="center"/>
            <w:hideMark/>
          </w:tcPr>
          <w:p w14:paraId="22B555D7"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tcBorders>
              <w:left w:val="single" w:sz="8" w:space="0" w:color="auto"/>
            </w:tcBorders>
            <w:vAlign w:val="center"/>
            <w:hideMark/>
          </w:tcPr>
          <w:p w14:paraId="21AAD0C8"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shd w:val="clear" w:color="auto" w:fill="D9D9D9"/>
            <w:vAlign w:val="center"/>
            <w:hideMark/>
          </w:tcPr>
          <w:p w14:paraId="31183A8F"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098B58B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41D82DD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1D646402"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hideMark/>
          </w:tcPr>
          <w:p w14:paraId="2F5D69B5"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tcPr>
          <w:p w14:paraId="2DAD1B73"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r>
      <w:tr w:rsidR="000842E2" w:rsidRPr="000842E2" w14:paraId="646480D9" w14:textId="77777777" w:rsidTr="00AB176F">
        <w:trPr>
          <w:trHeight w:hRule="exact" w:val="227"/>
          <w:jc w:val="center"/>
        </w:trPr>
        <w:tc>
          <w:tcPr>
            <w:tcW w:w="2946" w:type="dxa"/>
            <w:vAlign w:val="center"/>
            <w:hideMark/>
          </w:tcPr>
          <w:p w14:paraId="36326AD0"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Main source market</w:t>
            </w:r>
          </w:p>
        </w:tc>
        <w:tc>
          <w:tcPr>
            <w:tcW w:w="472" w:type="dxa"/>
            <w:vAlign w:val="center"/>
            <w:hideMark/>
          </w:tcPr>
          <w:p w14:paraId="47386C0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c>
          <w:tcPr>
            <w:tcW w:w="471" w:type="dxa"/>
            <w:shd w:val="clear" w:color="auto" w:fill="D9D9D9"/>
            <w:vAlign w:val="center"/>
            <w:hideMark/>
          </w:tcPr>
          <w:p w14:paraId="5A961B4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1" w:type="dxa"/>
            <w:vAlign w:val="center"/>
            <w:hideMark/>
          </w:tcPr>
          <w:p w14:paraId="4BA1EDA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2" w:type="dxa"/>
            <w:vAlign w:val="center"/>
            <w:hideMark/>
          </w:tcPr>
          <w:p w14:paraId="1E26FE9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2" w:type="dxa"/>
            <w:tcBorders>
              <w:right w:val="single" w:sz="8" w:space="0" w:color="auto"/>
            </w:tcBorders>
            <w:vAlign w:val="center"/>
            <w:hideMark/>
          </w:tcPr>
          <w:p w14:paraId="5902391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5" w:type="dxa"/>
            <w:tcBorders>
              <w:left w:val="single" w:sz="8" w:space="0" w:color="auto"/>
            </w:tcBorders>
            <w:vAlign w:val="center"/>
            <w:hideMark/>
          </w:tcPr>
          <w:p w14:paraId="45558E8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57</w:t>
            </w:r>
          </w:p>
        </w:tc>
        <w:tc>
          <w:tcPr>
            <w:tcW w:w="475" w:type="dxa"/>
            <w:shd w:val="clear" w:color="auto" w:fill="D9D9D9"/>
            <w:vAlign w:val="center"/>
            <w:hideMark/>
          </w:tcPr>
          <w:p w14:paraId="7E48F8E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53</w:t>
            </w:r>
          </w:p>
        </w:tc>
        <w:tc>
          <w:tcPr>
            <w:tcW w:w="475" w:type="dxa"/>
            <w:vAlign w:val="center"/>
            <w:hideMark/>
          </w:tcPr>
          <w:p w14:paraId="508284E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52</w:t>
            </w:r>
          </w:p>
        </w:tc>
        <w:tc>
          <w:tcPr>
            <w:tcW w:w="475" w:type="dxa"/>
            <w:vAlign w:val="center"/>
            <w:hideMark/>
          </w:tcPr>
          <w:p w14:paraId="3A32301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51</w:t>
            </w:r>
          </w:p>
        </w:tc>
        <w:tc>
          <w:tcPr>
            <w:tcW w:w="475" w:type="dxa"/>
            <w:vAlign w:val="center"/>
            <w:hideMark/>
          </w:tcPr>
          <w:p w14:paraId="326AF05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49</w:t>
            </w:r>
          </w:p>
        </w:tc>
        <w:tc>
          <w:tcPr>
            <w:tcW w:w="606" w:type="dxa"/>
            <w:vAlign w:val="center"/>
            <w:hideMark/>
          </w:tcPr>
          <w:p w14:paraId="4B921BB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1,000</w:t>
            </w:r>
          </w:p>
        </w:tc>
        <w:tc>
          <w:tcPr>
            <w:tcW w:w="606" w:type="dxa"/>
            <w:vAlign w:val="center"/>
          </w:tcPr>
          <w:p w14:paraId="3F3EB9A3"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85</w:t>
            </w:r>
          </w:p>
        </w:tc>
      </w:tr>
      <w:tr w:rsidR="000842E2" w:rsidRPr="000842E2" w14:paraId="69C1B29D" w14:textId="77777777" w:rsidTr="00AB176F">
        <w:trPr>
          <w:trHeight w:hRule="exact" w:val="227"/>
          <w:jc w:val="center"/>
        </w:trPr>
        <w:tc>
          <w:tcPr>
            <w:tcW w:w="2946" w:type="dxa"/>
            <w:vAlign w:val="center"/>
            <w:hideMark/>
          </w:tcPr>
          <w:p w14:paraId="7EAFEE7A"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w:hAnsi="Arial"/>
                <w:color w:val="000000"/>
                <w:sz w:val="14"/>
                <w:szCs w:val="14"/>
              </w:rPr>
              <w:t>Main source government</w:t>
            </w:r>
          </w:p>
        </w:tc>
        <w:tc>
          <w:tcPr>
            <w:tcW w:w="472" w:type="dxa"/>
            <w:vAlign w:val="center"/>
            <w:hideMark/>
          </w:tcPr>
          <w:p w14:paraId="3E5CC2D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53</w:t>
            </w:r>
          </w:p>
        </w:tc>
        <w:tc>
          <w:tcPr>
            <w:tcW w:w="471" w:type="dxa"/>
            <w:shd w:val="clear" w:color="auto" w:fill="D9D9D9"/>
            <w:vAlign w:val="center"/>
            <w:hideMark/>
          </w:tcPr>
          <w:p w14:paraId="07ACA4E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44</w:t>
            </w:r>
          </w:p>
        </w:tc>
        <w:tc>
          <w:tcPr>
            <w:tcW w:w="471" w:type="dxa"/>
            <w:vAlign w:val="center"/>
            <w:hideMark/>
          </w:tcPr>
          <w:p w14:paraId="053FEF9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35</w:t>
            </w:r>
          </w:p>
        </w:tc>
        <w:tc>
          <w:tcPr>
            <w:tcW w:w="472" w:type="dxa"/>
            <w:vAlign w:val="center"/>
            <w:hideMark/>
          </w:tcPr>
          <w:p w14:paraId="00D839D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26</w:t>
            </w:r>
          </w:p>
        </w:tc>
        <w:tc>
          <w:tcPr>
            <w:tcW w:w="472" w:type="dxa"/>
            <w:tcBorders>
              <w:right w:val="single" w:sz="8" w:space="0" w:color="auto"/>
            </w:tcBorders>
            <w:vAlign w:val="center"/>
            <w:hideMark/>
          </w:tcPr>
          <w:p w14:paraId="0230DFB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19</w:t>
            </w:r>
          </w:p>
        </w:tc>
        <w:tc>
          <w:tcPr>
            <w:tcW w:w="475" w:type="dxa"/>
            <w:tcBorders>
              <w:left w:val="single" w:sz="8" w:space="0" w:color="auto"/>
            </w:tcBorders>
            <w:vAlign w:val="center"/>
            <w:hideMark/>
          </w:tcPr>
          <w:p w14:paraId="2802BF0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43</w:t>
            </w:r>
          </w:p>
        </w:tc>
        <w:tc>
          <w:tcPr>
            <w:tcW w:w="475" w:type="dxa"/>
            <w:shd w:val="clear" w:color="auto" w:fill="D9D9D9"/>
            <w:vAlign w:val="center"/>
            <w:hideMark/>
          </w:tcPr>
          <w:p w14:paraId="0C665AB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47</w:t>
            </w:r>
          </w:p>
        </w:tc>
        <w:tc>
          <w:tcPr>
            <w:tcW w:w="475" w:type="dxa"/>
            <w:vAlign w:val="center"/>
            <w:hideMark/>
          </w:tcPr>
          <w:p w14:paraId="4DB23B3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48</w:t>
            </w:r>
          </w:p>
        </w:tc>
        <w:tc>
          <w:tcPr>
            <w:tcW w:w="475" w:type="dxa"/>
            <w:vAlign w:val="center"/>
            <w:hideMark/>
          </w:tcPr>
          <w:p w14:paraId="499769D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49</w:t>
            </w:r>
          </w:p>
        </w:tc>
        <w:tc>
          <w:tcPr>
            <w:tcW w:w="475" w:type="dxa"/>
            <w:vAlign w:val="center"/>
            <w:hideMark/>
          </w:tcPr>
          <w:p w14:paraId="50C3403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51</w:t>
            </w:r>
          </w:p>
        </w:tc>
        <w:tc>
          <w:tcPr>
            <w:tcW w:w="606" w:type="dxa"/>
            <w:vAlign w:val="center"/>
            <w:hideMark/>
          </w:tcPr>
          <w:p w14:paraId="6D82FD7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170</w:t>
            </w:r>
          </w:p>
        </w:tc>
        <w:tc>
          <w:tcPr>
            <w:tcW w:w="606" w:type="dxa"/>
            <w:vAlign w:val="center"/>
          </w:tcPr>
          <w:p w14:paraId="554240ED"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15</w:t>
            </w:r>
          </w:p>
        </w:tc>
      </w:tr>
      <w:tr w:rsidR="000842E2" w:rsidRPr="000842E2" w14:paraId="467D6C3A" w14:textId="77777777" w:rsidTr="00AB176F">
        <w:trPr>
          <w:trHeight w:hRule="exact" w:val="227"/>
          <w:jc w:val="center"/>
        </w:trPr>
        <w:tc>
          <w:tcPr>
            <w:tcW w:w="2946" w:type="dxa"/>
            <w:vAlign w:val="center"/>
            <w:hideMark/>
          </w:tcPr>
          <w:p w14:paraId="5D223B80" w14:textId="77777777" w:rsidR="000842E2" w:rsidRPr="000842E2" w:rsidRDefault="000842E2" w:rsidP="000842E2">
            <w:pPr>
              <w:spacing w:after="0" w:line="240" w:lineRule="auto"/>
              <w:rPr>
                <w:rFonts w:ascii="Arial" w:eastAsia="Times New Roman" w:hAnsi="Arial" w:cs="Times New Roman"/>
                <w:b/>
                <w:bCs/>
                <w:color w:val="000000"/>
                <w:sz w:val="14"/>
                <w:szCs w:val="14"/>
                <w:lang w:eastAsia="en-NZ"/>
              </w:rPr>
            </w:pPr>
            <w:r w:rsidRPr="000842E2">
              <w:rPr>
                <w:rFonts w:ascii="Arial" w:hAnsi="Arial"/>
                <w:b/>
                <w:bCs/>
                <w:color w:val="000000"/>
                <w:sz w:val="14"/>
                <w:szCs w:val="14"/>
              </w:rPr>
              <w:t>Education (highest qualification in HH)</w:t>
            </w:r>
          </w:p>
        </w:tc>
        <w:tc>
          <w:tcPr>
            <w:tcW w:w="472" w:type="dxa"/>
            <w:vAlign w:val="center"/>
            <w:hideMark/>
          </w:tcPr>
          <w:p w14:paraId="05517D90"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shd w:val="clear" w:color="auto" w:fill="D9D9D9"/>
            <w:vAlign w:val="center"/>
            <w:hideMark/>
          </w:tcPr>
          <w:p w14:paraId="224AAB8C"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1" w:type="dxa"/>
            <w:vAlign w:val="center"/>
            <w:hideMark/>
          </w:tcPr>
          <w:p w14:paraId="25A3D01C"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vAlign w:val="center"/>
            <w:hideMark/>
          </w:tcPr>
          <w:p w14:paraId="18738922"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2" w:type="dxa"/>
            <w:tcBorders>
              <w:right w:val="single" w:sz="8" w:space="0" w:color="auto"/>
            </w:tcBorders>
            <w:vAlign w:val="center"/>
            <w:hideMark/>
          </w:tcPr>
          <w:p w14:paraId="2360915B"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tcBorders>
              <w:left w:val="single" w:sz="8" w:space="0" w:color="auto"/>
            </w:tcBorders>
            <w:vAlign w:val="center"/>
            <w:hideMark/>
          </w:tcPr>
          <w:p w14:paraId="4AB505C8"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shd w:val="clear" w:color="auto" w:fill="D9D9D9"/>
            <w:vAlign w:val="center"/>
            <w:hideMark/>
          </w:tcPr>
          <w:p w14:paraId="1DABAC90"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5E07E129"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6F55BB5B"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475" w:type="dxa"/>
            <w:vAlign w:val="center"/>
            <w:hideMark/>
          </w:tcPr>
          <w:p w14:paraId="47018D9E"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hideMark/>
          </w:tcPr>
          <w:p w14:paraId="21A2AE1B" w14:textId="77777777" w:rsidR="000842E2" w:rsidRPr="000842E2" w:rsidRDefault="000842E2" w:rsidP="000842E2">
            <w:pPr>
              <w:spacing w:after="0" w:line="240" w:lineRule="auto"/>
              <w:rPr>
                <w:rFonts w:ascii="Arial" w:eastAsia="Times New Roman" w:hAnsi="Arial" w:cs="Times New Roman"/>
                <w:color w:val="000000"/>
                <w:sz w:val="14"/>
                <w:szCs w:val="14"/>
              </w:rPr>
            </w:pPr>
            <w:r w:rsidRPr="000842E2">
              <w:rPr>
                <w:rFonts w:ascii="Arial" w:hAnsi="Arial"/>
                <w:color w:val="000000"/>
                <w:sz w:val="14"/>
                <w:szCs w:val="14"/>
              </w:rPr>
              <w:t> </w:t>
            </w:r>
          </w:p>
        </w:tc>
        <w:tc>
          <w:tcPr>
            <w:tcW w:w="606" w:type="dxa"/>
            <w:vAlign w:val="center"/>
          </w:tcPr>
          <w:p w14:paraId="78FE1520" w14:textId="77777777" w:rsidR="000842E2" w:rsidRPr="000842E2" w:rsidRDefault="000842E2" w:rsidP="000842E2">
            <w:pPr>
              <w:spacing w:after="0" w:line="240" w:lineRule="auto"/>
              <w:rPr>
                <w:rFonts w:ascii="Arial" w:hAnsi="Arial"/>
                <w:color w:val="000000"/>
                <w:sz w:val="14"/>
                <w:szCs w:val="14"/>
              </w:rPr>
            </w:pPr>
            <w:r w:rsidRPr="000842E2">
              <w:rPr>
                <w:rFonts w:ascii="Arial" w:hAnsi="Arial"/>
                <w:color w:val="000000"/>
                <w:sz w:val="14"/>
                <w:szCs w:val="14"/>
              </w:rPr>
              <w:t> </w:t>
            </w:r>
          </w:p>
        </w:tc>
      </w:tr>
      <w:tr w:rsidR="000842E2" w:rsidRPr="000842E2" w14:paraId="0137CD80" w14:textId="77777777" w:rsidTr="00AB176F">
        <w:trPr>
          <w:trHeight w:hRule="exact" w:val="227"/>
          <w:jc w:val="center"/>
        </w:trPr>
        <w:tc>
          <w:tcPr>
            <w:tcW w:w="2946" w:type="dxa"/>
            <w:vAlign w:val="center"/>
            <w:hideMark/>
          </w:tcPr>
          <w:p w14:paraId="54ADD3CC"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Mäori" w:hAnsi="Arial Mäori" w:cs="Calibri"/>
                <w:color w:val="000000"/>
                <w:sz w:val="14"/>
                <w:szCs w:val="14"/>
              </w:rPr>
              <w:t>Higher degree</w:t>
            </w:r>
          </w:p>
        </w:tc>
        <w:tc>
          <w:tcPr>
            <w:tcW w:w="472" w:type="dxa"/>
            <w:vAlign w:val="center"/>
            <w:hideMark/>
          </w:tcPr>
          <w:p w14:paraId="2BA3141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1" w:type="dxa"/>
            <w:shd w:val="clear" w:color="auto" w:fill="D9D9D9"/>
            <w:vAlign w:val="center"/>
            <w:hideMark/>
          </w:tcPr>
          <w:p w14:paraId="2A45E40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1" w:type="dxa"/>
            <w:vAlign w:val="center"/>
            <w:hideMark/>
          </w:tcPr>
          <w:p w14:paraId="5649090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2" w:type="dxa"/>
            <w:vAlign w:val="center"/>
            <w:hideMark/>
          </w:tcPr>
          <w:p w14:paraId="4AEC256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2" w:type="dxa"/>
            <w:tcBorders>
              <w:right w:val="single" w:sz="8" w:space="0" w:color="auto"/>
            </w:tcBorders>
            <w:vAlign w:val="center"/>
            <w:hideMark/>
          </w:tcPr>
          <w:p w14:paraId="60632A9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w:t>
            </w:r>
          </w:p>
        </w:tc>
        <w:tc>
          <w:tcPr>
            <w:tcW w:w="475" w:type="dxa"/>
            <w:tcBorders>
              <w:left w:val="single" w:sz="8" w:space="0" w:color="auto"/>
            </w:tcBorders>
            <w:vAlign w:val="center"/>
            <w:hideMark/>
          </w:tcPr>
          <w:p w14:paraId="5766DF9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5" w:type="dxa"/>
            <w:shd w:val="clear" w:color="auto" w:fill="D9D9D9"/>
            <w:vAlign w:val="center"/>
            <w:hideMark/>
          </w:tcPr>
          <w:p w14:paraId="209B944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vAlign w:val="center"/>
            <w:hideMark/>
          </w:tcPr>
          <w:p w14:paraId="0B94DA3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vAlign w:val="center"/>
            <w:hideMark/>
          </w:tcPr>
          <w:p w14:paraId="68832E3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475" w:type="dxa"/>
            <w:vAlign w:val="center"/>
            <w:hideMark/>
          </w:tcPr>
          <w:p w14:paraId="0B90D87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6</w:t>
            </w:r>
          </w:p>
        </w:tc>
        <w:tc>
          <w:tcPr>
            <w:tcW w:w="606" w:type="dxa"/>
            <w:vAlign w:val="center"/>
            <w:hideMark/>
          </w:tcPr>
          <w:p w14:paraId="4ECCF09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285</w:t>
            </w:r>
          </w:p>
        </w:tc>
        <w:tc>
          <w:tcPr>
            <w:tcW w:w="606" w:type="dxa"/>
            <w:vAlign w:val="center"/>
          </w:tcPr>
          <w:p w14:paraId="2736ED3C"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24</w:t>
            </w:r>
          </w:p>
        </w:tc>
      </w:tr>
      <w:tr w:rsidR="000842E2" w:rsidRPr="000842E2" w14:paraId="337B5490" w14:textId="77777777" w:rsidTr="00AB176F">
        <w:trPr>
          <w:trHeight w:hRule="exact" w:val="227"/>
          <w:jc w:val="center"/>
        </w:trPr>
        <w:tc>
          <w:tcPr>
            <w:tcW w:w="2946" w:type="dxa"/>
            <w:vAlign w:val="center"/>
            <w:hideMark/>
          </w:tcPr>
          <w:p w14:paraId="54D34B8A"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Mäori" w:hAnsi="Arial Mäori" w:cs="Calibri"/>
                <w:color w:val="000000"/>
                <w:sz w:val="14"/>
                <w:szCs w:val="14"/>
              </w:rPr>
              <w:t xml:space="preserve">Bachelors or similar </w:t>
            </w:r>
          </w:p>
        </w:tc>
        <w:tc>
          <w:tcPr>
            <w:tcW w:w="472" w:type="dxa"/>
            <w:vAlign w:val="center"/>
            <w:hideMark/>
          </w:tcPr>
          <w:p w14:paraId="4905D52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1" w:type="dxa"/>
            <w:shd w:val="clear" w:color="auto" w:fill="D9D9D9"/>
            <w:vAlign w:val="center"/>
            <w:hideMark/>
          </w:tcPr>
          <w:p w14:paraId="7FCE632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1" w:type="dxa"/>
            <w:vAlign w:val="center"/>
            <w:hideMark/>
          </w:tcPr>
          <w:p w14:paraId="2BBE94E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4</w:t>
            </w:r>
          </w:p>
        </w:tc>
        <w:tc>
          <w:tcPr>
            <w:tcW w:w="472" w:type="dxa"/>
            <w:vAlign w:val="center"/>
            <w:hideMark/>
          </w:tcPr>
          <w:p w14:paraId="4964262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w:t>
            </w:r>
          </w:p>
        </w:tc>
        <w:tc>
          <w:tcPr>
            <w:tcW w:w="472" w:type="dxa"/>
            <w:tcBorders>
              <w:right w:val="single" w:sz="8" w:space="0" w:color="auto"/>
            </w:tcBorders>
            <w:vAlign w:val="center"/>
            <w:hideMark/>
          </w:tcPr>
          <w:p w14:paraId="2217BE9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w:t>
            </w:r>
          </w:p>
        </w:tc>
        <w:tc>
          <w:tcPr>
            <w:tcW w:w="475" w:type="dxa"/>
            <w:tcBorders>
              <w:left w:val="single" w:sz="8" w:space="0" w:color="auto"/>
            </w:tcBorders>
            <w:vAlign w:val="center"/>
            <w:hideMark/>
          </w:tcPr>
          <w:p w14:paraId="03F88C3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5" w:type="dxa"/>
            <w:shd w:val="clear" w:color="auto" w:fill="D9D9D9"/>
            <w:vAlign w:val="center"/>
            <w:hideMark/>
          </w:tcPr>
          <w:p w14:paraId="7126F0A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c>
          <w:tcPr>
            <w:tcW w:w="475" w:type="dxa"/>
            <w:vAlign w:val="center"/>
            <w:hideMark/>
          </w:tcPr>
          <w:p w14:paraId="7DEAB04C"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475" w:type="dxa"/>
            <w:vAlign w:val="center"/>
            <w:hideMark/>
          </w:tcPr>
          <w:p w14:paraId="2F7A430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8</w:t>
            </w:r>
          </w:p>
        </w:tc>
        <w:tc>
          <w:tcPr>
            <w:tcW w:w="475" w:type="dxa"/>
            <w:vAlign w:val="center"/>
            <w:hideMark/>
          </w:tcPr>
          <w:p w14:paraId="006A414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w:t>
            </w:r>
          </w:p>
        </w:tc>
        <w:tc>
          <w:tcPr>
            <w:tcW w:w="606" w:type="dxa"/>
            <w:vAlign w:val="center"/>
            <w:hideMark/>
          </w:tcPr>
          <w:p w14:paraId="0757238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270</w:t>
            </w:r>
          </w:p>
        </w:tc>
        <w:tc>
          <w:tcPr>
            <w:tcW w:w="606" w:type="dxa"/>
            <w:vAlign w:val="center"/>
          </w:tcPr>
          <w:p w14:paraId="34FB9B23"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23</w:t>
            </w:r>
          </w:p>
        </w:tc>
      </w:tr>
      <w:tr w:rsidR="000842E2" w:rsidRPr="000842E2" w14:paraId="0F75A4F8" w14:textId="77777777" w:rsidTr="00AB176F">
        <w:trPr>
          <w:trHeight w:hRule="exact" w:val="227"/>
          <w:jc w:val="center"/>
        </w:trPr>
        <w:tc>
          <w:tcPr>
            <w:tcW w:w="2946" w:type="dxa"/>
            <w:vAlign w:val="center"/>
            <w:hideMark/>
          </w:tcPr>
          <w:p w14:paraId="1D67D50B"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Mäori" w:hAnsi="Arial Mäori" w:cs="Calibri"/>
                <w:color w:val="000000"/>
                <w:sz w:val="14"/>
                <w:szCs w:val="14"/>
              </w:rPr>
              <w:t>Post-school non-degree qual</w:t>
            </w:r>
          </w:p>
        </w:tc>
        <w:tc>
          <w:tcPr>
            <w:tcW w:w="472" w:type="dxa"/>
            <w:vAlign w:val="center"/>
            <w:hideMark/>
          </w:tcPr>
          <w:p w14:paraId="3364D61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20</w:t>
            </w:r>
          </w:p>
        </w:tc>
        <w:tc>
          <w:tcPr>
            <w:tcW w:w="471" w:type="dxa"/>
            <w:shd w:val="clear" w:color="auto" w:fill="D9D9D9"/>
            <w:vAlign w:val="center"/>
            <w:hideMark/>
          </w:tcPr>
          <w:p w14:paraId="3E75C5F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w:t>
            </w:r>
          </w:p>
        </w:tc>
        <w:tc>
          <w:tcPr>
            <w:tcW w:w="471" w:type="dxa"/>
            <w:vAlign w:val="center"/>
            <w:hideMark/>
          </w:tcPr>
          <w:p w14:paraId="4738B79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13</w:t>
            </w:r>
          </w:p>
        </w:tc>
        <w:tc>
          <w:tcPr>
            <w:tcW w:w="472" w:type="dxa"/>
            <w:vAlign w:val="center"/>
            <w:hideMark/>
          </w:tcPr>
          <w:p w14:paraId="65E7DAA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2" w:type="dxa"/>
            <w:tcBorders>
              <w:right w:val="single" w:sz="8" w:space="0" w:color="auto"/>
            </w:tcBorders>
            <w:vAlign w:val="center"/>
            <w:hideMark/>
          </w:tcPr>
          <w:p w14:paraId="0ABBCE07"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7</w:t>
            </w:r>
          </w:p>
        </w:tc>
        <w:tc>
          <w:tcPr>
            <w:tcW w:w="475" w:type="dxa"/>
            <w:tcBorders>
              <w:left w:val="single" w:sz="8" w:space="0" w:color="auto"/>
            </w:tcBorders>
            <w:vAlign w:val="center"/>
            <w:hideMark/>
          </w:tcPr>
          <w:p w14:paraId="61DB8D1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33</w:t>
            </w:r>
          </w:p>
        </w:tc>
        <w:tc>
          <w:tcPr>
            <w:tcW w:w="475" w:type="dxa"/>
            <w:shd w:val="clear" w:color="auto" w:fill="D9D9D9"/>
            <w:vAlign w:val="center"/>
            <w:hideMark/>
          </w:tcPr>
          <w:p w14:paraId="3EC0FEE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34</w:t>
            </w:r>
          </w:p>
        </w:tc>
        <w:tc>
          <w:tcPr>
            <w:tcW w:w="475" w:type="dxa"/>
            <w:vAlign w:val="center"/>
            <w:hideMark/>
          </w:tcPr>
          <w:p w14:paraId="0CFECED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36</w:t>
            </w:r>
          </w:p>
        </w:tc>
        <w:tc>
          <w:tcPr>
            <w:tcW w:w="475" w:type="dxa"/>
            <w:vAlign w:val="center"/>
            <w:hideMark/>
          </w:tcPr>
          <w:p w14:paraId="2650C99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37</w:t>
            </w:r>
          </w:p>
        </w:tc>
        <w:tc>
          <w:tcPr>
            <w:tcW w:w="475" w:type="dxa"/>
            <w:vAlign w:val="center"/>
            <w:hideMark/>
          </w:tcPr>
          <w:p w14:paraId="0451AEE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38</w:t>
            </w:r>
          </w:p>
        </w:tc>
        <w:tc>
          <w:tcPr>
            <w:tcW w:w="606" w:type="dxa"/>
            <w:vAlign w:val="center"/>
            <w:hideMark/>
          </w:tcPr>
          <w:p w14:paraId="4CAE69C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335</w:t>
            </w:r>
          </w:p>
        </w:tc>
        <w:tc>
          <w:tcPr>
            <w:tcW w:w="606" w:type="dxa"/>
            <w:vAlign w:val="center"/>
          </w:tcPr>
          <w:p w14:paraId="5A1C6C5A"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28</w:t>
            </w:r>
          </w:p>
        </w:tc>
      </w:tr>
      <w:tr w:rsidR="000842E2" w:rsidRPr="000842E2" w14:paraId="24D691C7" w14:textId="77777777" w:rsidTr="00AB176F">
        <w:trPr>
          <w:trHeight w:hRule="exact" w:val="227"/>
          <w:jc w:val="center"/>
        </w:trPr>
        <w:tc>
          <w:tcPr>
            <w:tcW w:w="2946" w:type="dxa"/>
            <w:vAlign w:val="center"/>
            <w:hideMark/>
          </w:tcPr>
          <w:p w14:paraId="2F4683A1"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Mäori" w:hAnsi="Arial Mäori" w:cs="Calibri"/>
                <w:color w:val="000000"/>
                <w:sz w:val="14"/>
                <w:szCs w:val="14"/>
              </w:rPr>
              <w:t>School qual</w:t>
            </w:r>
          </w:p>
        </w:tc>
        <w:tc>
          <w:tcPr>
            <w:tcW w:w="472" w:type="dxa"/>
            <w:vAlign w:val="center"/>
            <w:hideMark/>
          </w:tcPr>
          <w:p w14:paraId="3F34808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32</w:t>
            </w:r>
          </w:p>
        </w:tc>
        <w:tc>
          <w:tcPr>
            <w:tcW w:w="471" w:type="dxa"/>
            <w:shd w:val="clear" w:color="auto" w:fill="D9D9D9"/>
            <w:vAlign w:val="center"/>
            <w:hideMark/>
          </w:tcPr>
          <w:p w14:paraId="5C34322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w:t>
            </w:r>
          </w:p>
        </w:tc>
        <w:tc>
          <w:tcPr>
            <w:tcW w:w="471" w:type="dxa"/>
            <w:vAlign w:val="center"/>
            <w:hideMark/>
          </w:tcPr>
          <w:p w14:paraId="5975045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19</w:t>
            </w:r>
          </w:p>
        </w:tc>
        <w:tc>
          <w:tcPr>
            <w:tcW w:w="472" w:type="dxa"/>
            <w:vAlign w:val="center"/>
            <w:hideMark/>
          </w:tcPr>
          <w:p w14:paraId="793384D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14</w:t>
            </w:r>
          </w:p>
        </w:tc>
        <w:tc>
          <w:tcPr>
            <w:tcW w:w="472" w:type="dxa"/>
            <w:tcBorders>
              <w:right w:val="single" w:sz="8" w:space="0" w:color="auto"/>
            </w:tcBorders>
            <w:vAlign w:val="center"/>
            <w:hideMark/>
          </w:tcPr>
          <w:p w14:paraId="487B4D9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10</w:t>
            </w:r>
          </w:p>
        </w:tc>
        <w:tc>
          <w:tcPr>
            <w:tcW w:w="475" w:type="dxa"/>
            <w:tcBorders>
              <w:left w:val="single" w:sz="8" w:space="0" w:color="auto"/>
            </w:tcBorders>
            <w:vAlign w:val="center"/>
            <w:hideMark/>
          </w:tcPr>
          <w:p w14:paraId="3D5DA4CE"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5" w:type="dxa"/>
            <w:shd w:val="clear" w:color="auto" w:fill="D9D9D9"/>
            <w:vAlign w:val="center"/>
            <w:hideMark/>
          </w:tcPr>
          <w:p w14:paraId="4C8836B8"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5" w:type="dxa"/>
            <w:vAlign w:val="center"/>
            <w:hideMark/>
          </w:tcPr>
          <w:p w14:paraId="20A8206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5" w:type="dxa"/>
            <w:vAlign w:val="center"/>
            <w:hideMark/>
          </w:tcPr>
          <w:p w14:paraId="6CF047BD"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475" w:type="dxa"/>
            <w:vAlign w:val="center"/>
            <w:hideMark/>
          </w:tcPr>
          <w:p w14:paraId="58FD179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30</w:t>
            </w:r>
          </w:p>
        </w:tc>
        <w:tc>
          <w:tcPr>
            <w:tcW w:w="606" w:type="dxa"/>
            <w:vAlign w:val="center"/>
            <w:hideMark/>
          </w:tcPr>
          <w:p w14:paraId="007E03E6"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195</w:t>
            </w:r>
          </w:p>
        </w:tc>
        <w:tc>
          <w:tcPr>
            <w:tcW w:w="606" w:type="dxa"/>
            <w:vAlign w:val="center"/>
          </w:tcPr>
          <w:p w14:paraId="7D684972"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17</w:t>
            </w:r>
          </w:p>
        </w:tc>
      </w:tr>
      <w:tr w:rsidR="000842E2" w:rsidRPr="000842E2" w14:paraId="5A1C8FE4" w14:textId="77777777" w:rsidTr="00AB176F">
        <w:trPr>
          <w:trHeight w:hRule="exact" w:val="227"/>
          <w:jc w:val="center"/>
        </w:trPr>
        <w:tc>
          <w:tcPr>
            <w:tcW w:w="2946" w:type="dxa"/>
            <w:vAlign w:val="center"/>
            <w:hideMark/>
          </w:tcPr>
          <w:p w14:paraId="56A34BF2" w14:textId="77777777" w:rsidR="000842E2" w:rsidRPr="000842E2" w:rsidRDefault="000842E2" w:rsidP="000842E2">
            <w:pPr>
              <w:spacing w:after="0" w:line="240" w:lineRule="auto"/>
              <w:ind w:firstLineChars="100" w:firstLine="140"/>
              <w:rPr>
                <w:rFonts w:ascii="Arial" w:eastAsia="Times New Roman" w:hAnsi="Arial" w:cs="Times New Roman"/>
                <w:color w:val="000000"/>
                <w:sz w:val="14"/>
                <w:szCs w:val="14"/>
                <w:lang w:eastAsia="en-NZ"/>
              </w:rPr>
            </w:pPr>
            <w:r w:rsidRPr="000842E2">
              <w:rPr>
                <w:rFonts w:ascii="Arial Mäori" w:hAnsi="Arial Mäori" w:cs="Calibri"/>
                <w:color w:val="000000"/>
                <w:sz w:val="14"/>
                <w:szCs w:val="14"/>
              </w:rPr>
              <w:t>No formal qual</w:t>
            </w:r>
          </w:p>
        </w:tc>
        <w:tc>
          <w:tcPr>
            <w:tcW w:w="472" w:type="dxa"/>
            <w:vAlign w:val="center"/>
            <w:hideMark/>
          </w:tcPr>
          <w:p w14:paraId="51A555C9"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38</w:t>
            </w:r>
          </w:p>
        </w:tc>
        <w:tc>
          <w:tcPr>
            <w:tcW w:w="471" w:type="dxa"/>
            <w:shd w:val="clear" w:color="auto" w:fill="D9D9D9"/>
            <w:vAlign w:val="center"/>
            <w:hideMark/>
          </w:tcPr>
          <w:p w14:paraId="4ED8D5D0"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31</w:t>
            </w:r>
          </w:p>
        </w:tc>
        <w:tc>
          <w:tcPr>
            <w:tcW w:w="471" w:type="dxa"/>
            <w:vAlign w:val="center"/>
            <w:hideMark/>
          </w:tcPr>
          <w:p w14:paraId="6F8F659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24</w:t>
            </w:r>
          </w:p>
        </w:tc>
        <w:tc>
          <w:tcPr>
            <w:tcW w:w="472" w:type="dxa"/>
            <w:vAlign w:val="center"/>
            <w:hideMark/>
          </w:tcPr>
          <w:p w14:paraId="6B38B083"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18</w:t>
            </w:r>
          </w:p>
        </w:tc>
        <w:tc>
          <w:tcPr>
            <w:tcW w:w="472" w:type="dxa"/>
            <w:tcBorders>
              <w:right w:val="single" w:sz="8" w:space="0" w:color="auto"/>
            </w:tcBorders>
            <w:vAlign w:val="center"/>
            <w:hideMark/>
          </w:tcPr>
          <w:p w14:paraId="78D87205"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12</w:t>
            </w:r>
          </w:p>
        </w:tc>
        <w:tc>
          <w:tcPr>
            <w:tcW w:w="475" w:type="dxa"/>
            <w:tcBorders>
              <w:left w:val="single" w:sz="8" w:space="0" w:color="auto"/>
            </w:tcBorders>
            <w:vAlign w:val="center"/>
            <w:hideMark/>
          </w:tcPr>
          <w:p w14:paraId="229B2154"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16</w:t>
            </w:r>
          </w:p>
        </w:tc>
        <w:tc>
          <w:tcPr>
            <w:tcW w:w="475" w:type="dxa"/>
            <w:shd w:val="clear" w:color="auto" w:fill="D9D9D9"/>
            <w:vAlign w:val="center"/>
            <w:hideMark/>
          </w:tcPr>
          <w:p w14:paraId="345A6291"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w:t>
            </w:r>
          </w:p>
        </w:tc>
        <w:tc>
          <w:tcPr>
            <w:tcW w:w="475" w:type="dxa"/>
            <w:vAlign w:val="center"/>
            <w:hideMark/>
          </w:tcPr>
          <w:p w14:paraId="0A84205B"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18</w:t>
            </w:r>
          </w:p>
        </w:tc>
        <w:tc>
          <w:tcPr>
            <w:tcW w:w="475" w:type="dxa"/>
            <w:vAlign w:val="center"/>
            <w:hideMark/>
          </w:tcPr>
          <w:p w14:paraId="09DA0812"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18</w:t>
            </w:r>
          </w:p>
        </w:tc>
        <w:tc>
          <w:tcPr>
            <w:tcW w:w="475" w:type="dxa"/>
            <w:vAlign w:val="center"/>
            <w:hideMark/>
          </w:tcPr>
          <w:p w14:paraId="0C74592F"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17</w:t>
            </w:r>
          </w:p>
        </w:tc>
        <w:tc>
          <w:tcPr>
            <w:tcW w:w="606" w:type="dxa"/>
            <w:vAlign w:val="center"/>
            <w:hideMark/>
          </w:tcPr>
          <w:p w14:paraId="668E0DDA" w14:textId="77777777" w:rsidR="000842E2" w:rsidRPr="000842E2" w:rsidRDefault="000842E2" w:rsidP="000842E2">
            <w:pPr>
              <w:spacing w:after="0" w:line="240" w:lineRule="auto"/>
              <w:jc w:val="center"/>
              <w:rPr>
                <w:rFonts w:ascii="Arial" w:eastAsia="Times New Roman" w:hAnsi="Arial" w:cs="Times New Roman"/>
                <w:color w:val="000000"/>
                <w:sz w:val="14"/>
                <w:szCs w:val="14"/>
              </w:rPr>
            </w:pPr>
            <w:r w:rsidRPr="000842E2">
              <w:rPr>
                <w:rFonts w:ascii="Arial" w:hAnsi="Arial"/>
                <w:color w:val="000000"/>
                <w:sz w:val="14"/>
                <w:szCs w:val="14"/>
              </w:rPr>
              <w:t>90</w:t>
            </w:r>
          </w:p>
        </w:tc>
        <w:tc>
          <w:tcPr>
            <w:tcW w:w="606" w:type="dxa"/>
            <w:vAlign w:val="center"/>
          </w:tcPr>
          <w:p w14:paraId="72B663B8" w14:textId="77777777" w:rsidR="000842E2" w:rsidRPr="000842E2" w:rsidRDefault="000842E2" w:rsidP="000842E2">
            <w:pPr>
              <w:spacing w:after="0" w:line="240" w:lineRule="auto"/>
              <w:jc w:val="center"/>
              <w:rPr>
                <w:rFonts w:ascii="Arial" w:hAnsi="Arial"/>
                <w:color w:val="000000"/>
                <w:sz w:val="14"/>
                <w:szCs w:val="14"/>
              </w:rPr>
            </w:pPr>
            <w:r w:rsidRPr="000842E2">
              <w:rPr>
                <w:rFonts w:ascii="Arial" w:hAnsi="Arial"/>
                <w:color w:val="000000"/>
                <w:sz w:val="14"/>
                <w:szCs w:val="14"/>
              </w:rPr>
              <w:t>8</w:t>
            </w:r>
          </w:p>
        </w:tc>
      </w:tr>
    </w:tbl>
    <w:p w14:paraId="6F3CE1E1" w14:textId="18725336" w:rsidR="00DC1035" w:rsidRDefault="00DC1035" w:rsidP="00DC1035">
      <w:pPr>
        <w:spacing w:after="0" w:line="240" w:lineRule="auto"/>
        <w:rPr>
          <w:rFonts w:ascii="Arial Mäori" w:hAnsi="Arial Mäori"/>
          <w:sz w:val="14"/>
          <w:szCs w:val="14"/>
        </w:rPr>
      </w:pPr>
    </w:p>
    <w:p w14:paraId="6A897593" w14:textId="77777777" w:rsidR="000842E2" w:rsidRDefault="000842E2">
      <w:pPr>
        <w:spacing w:after="0" w:line="240" w:lineRule="auto"/>
        <w:rPr>
          <w:rFonts w:ascii="Arial" w:eastAsia="Times New Roman" w:hAnsi="Arial"/>
          <w:b/>
          <w:color w:val="000000"/>
          <w:sz w:val="18"/>
          <w:szCs w:val="18"/>
        </w:rPr>
      </w:pPr>
      <w:r>
        <w:rPr>
          <w:rFonts w:ascii="Arial" w:eastAsia="Times New Roman" w:hAnsi="Arial"/>
          <w:b/>
          <w:color w:val="000000"/>
          <w:sz w:val="18"/>
          <w:szCs w:val="18"/>
        </w:rPr>
        <w:br w:type="page"/>
      </w:r>
    </w:p>
    <w:p w14:paraId="601A62B7" w14:textId="1A9ECAD3" w:rsidR="005E7540" w:rsidRPr="003464D4" w:rsidRDefault="005E7540" w:rsidP="005E7540">
      <w:pPr>
        <w:spacing w:after="0" w:line="240" w:lineRule="auto"/>
        <w:contextualSpacing/>
        <w:rPr>
          <w:rFonts w:ascii="Arial" w:hAnsi="Arial"/>
          <w:b/>
          <w:color w:val="000000" w:themeColor="text1"/>
          <w:sz w:val="24"/>
          <w:szCs w:val="24"/>
        </w:rPr>
      </w:pPr>
      <w:r w:rsidRPr="003464D4">
        <w:rPr>
          <w:rFonts w:ascii="Arial" w:hAnsi="Arial"/>
          <w:b/>
          <w:color w:val="000000" w:themeColor="text1"/>
          <w:sz w:val="24"/>
          <w:szCs w:val="24"/>
        </w:rPr>
        <w:lastRenderedPageBreak/>
        <w:t xml:space="preserve">Children in </w:t>
      </w:r>
      <w:r w:rsidR="00DA2AE7">
        <w:rPr>
          <w:rFonts w:ascii="Arial" w:hAnsi="Arial"/>
          <w:b/>
          <w:color w:val="000000" w:themeColor="text1"/>
          <w:sz w:val="24"/>
          <w:szCs w:val="24"/>
        </w:rPr>
        <w:t>‘</w:t>
      </w:r>
      <w:r w:rsidRPr="003464D4">
        <w:rPr>
          <w:rFonts w:ascii="Arial" w:hAnsi="Arial"/>
          <w:b/>
          <w:color w:val="000000" w:themeColor="text1"/>
          <w:sz w:val="24"/>
          <w:szCs w:val="24"/>
        </w:rPr>
        <w:t>working</w:t>
      </w:r>
      <w:r w:rsidR="00DA2AE7">
        <w:rPr>
          <w:rFonts w:ascii="Arial" w:hAnsi="Arial"/>
          <w:b/>
          <w:color w:val="000000" w:themeColor="text1"/>
          <w:sz w:val="24"/>
          <w:szCs w:val="24"/>
        </w:rPr>
        <w:t>’</w:t>
      </w:r>
      <w:r w:rsidRPr="003464D4">
        <w:rPr>
          <w:rFonts w:ascii="Arial" w:hAnsi="Arial"/>
          <w:b/>
          <w:color w:val="000000" w:themeColor="text1"/>
          <w:sz w:val="24"/>
          <w:szCs w:val="24"/>
        </w:rPr>
        <w:t xml:space="preserve"> and </w:t>
      </w:r>
      <w:r w:rsidR="00DA2AE7">
        <w:rPr>
          <w:rFonts w:ascii="Arial" w:hAnsi="Arial"/>
          <w:b/>
          <w:color w:val="000000" w:themeColor="text1"/>
          <w:sz w:val="24"/>
          <w:szCs w:val="24"/>
        </w:rPr>
        <w:t>‘</w:t>
      </w:r>
      <w:r w:rsidRPr="003464D4">
        <w:rPr>
          <w:rFonts w:ascii="Arial" w:hAnsi="Arial"/>
          <w:b/>
          <w:color w:val="000000" w:themeColor="text1"/>
          <w:sz w:val="24"/>
          <w:szCs w:val="24"/>
        </w:rPr>
        <w:t>beneficiary</w:t>
      </w:r>
      <w:r w:rsidR="00DA2AE7">
        <w:rPr>
          <w:rFonts w:ascii="Arial" w:hAnsi="Arial"/>
          <w:b/>
          <w:color w:val="000000" w:themeColor="text1"/>
          <w:sz w:val="24"/>
          <w:szCs w:val="24"/>
        </w:rPr>
        <w:t>’</w:t>
      </w:r>
      <w:r w:rsidRPr="003464D4">
        <w:rPr>
          <w:rFonts w:ascii="Arial" w:hAnsi="Arial"/>
          <w:b/>
          <w:color w:val="000000" w:themeColor="text1"/>
          <w:sz w:val="24"/>
          <w:szCs w:val="24"/>
        </w:rPr>
        <w:t xml:space="preserve"> households</w:t>
      </w:r>
    </w:p>
    <w:p w14:paraId="6F49F778" w14:textId="77777777" w:rsidR="005E7540" w:rsidRPr="00BF2CF5" w:rsidRDefault="005E7540" w:rsidP="005E7540">
      <w:pPr>
        <w:spacing w:after="0" w:line="240" w:lineRule="auto"/>
        <w:rPr>
          <w:rFonts w:ascii="Arial" w:hAnsi="Arial"/>
          <w:b/>
          <w:color w:val="000000" w:themeColor="text1"/>
          <w:szCs w:val="20"/>
        </w:rPr>
      </w:pPr>
    </w:p>
    <w:p w14:paraId="70945BB9" w14:textId="38C319C9" w:rsidR="005E7540" w:rsidRPr="00BF2CF5" w:rsidRDefault="005E7540" w:rsidP="005E7540">
      <w:pPr>
        <w:spacing w:after="0" w:line="240" w:lineRule="auto"/>
        <w:rPr>
          <w:rFonts w:ascii="Arial" w:hAnsi="Arial"/>
          <w:bCs/>
          <w:color w:val="000000" w:themeColor="text1"/>
          <w:szCs w:val="20"/>
        </w:rPr>
      </w:pPr>
      <w:bookmarkStart w:id="12" w:name="_Hlk72799722"/>
      <w:bookmarkStart w:id="13" w:name="_Hlk71628124"/>
      <w:r w:rsidRPr="00BF2CF5">
        <w:rPr>
          <w:rFonts w:ascii="Arial" w:hAnsi="Arial"/>
          <w:b/>
          <w:color w:val="000000" w:themeColor="text1"/>
          <w:szCs w:val="20"/>
        </w:rPr>
        <w:t xml:space="preserve">Table </w:t>
      </w:r>
      <w:r w:rsidR="00580757">
        <w:rPr>
          <w:rFonts w:ascii="Arial" w:hAnsi="Arial"/>
          <w:b/>
          <w:color w:val="000000" w:themeColor="text1"/>
          <w:szCs w:val="20"/>
        </w:rPr>
        <w:t>E.4</w:t>
      </w:r>
      <w:r w:rsidRPr="00BF2CF5">
        <w:rPr>
          <w:rFonts w:ascii="Arial" w:hAnsi="Arial"/>
          <w:bCs/>
          <w:color w:val="000000" w:themeColor="text1"/>
          <w:szCs w:val="20"/>
        </w:rPr>
        <w:t xml:space="preserve"> </w:t>
      </w:r>
      <w:r w:rsidR="00770BD1">
        <w:rPr>
          <w:rFonts w:ascii="Arial" w:hAnsi="Arial"/>
          <w:bCs/>
          <w:color w:val="000000" w:themeColor="text1"/>
          <w:szCs w:val="20"/>
        </w:rPr>
        <w:t xml:space="preserve">(next page) </w:t>
      </w:r>
      <w:r w:rsidRPr="00BF2CF5">
        <w:rPr>
          <w:rFonts w:ascii="Arial" w:hAnsi="Arial"/>
          <w:bCs/>
          <w:color w:val="000000" w:themeColor="text1"/>
          <w:szCs w:val="20"/>
        </w:rPr>
        <w:t xml:space="preserve">provides a picture of what life is like for children aged 6-17 years living in ‘working’ and ‘beneficiary’ households. The approach is much the same as earlier in </w:t>
      </w:r>
      <w:r>
        <w:rPr>
          <w:rFonts w:ascii="Arial" w:hAnsi="Arial"/>
          <w:bCs/>
          <w:color w:val="000000" w:themeColor="text1"/>
          <w:szCs w:val="20"/>
        </w:rPr>
        <w:t>Section D</w:t>
      </w:r>
      <w:r w:rsidRPr="00BF2CF5">
        <w:rPr>
          <w:rFonts w:ascii="Arial" w:hAnsi="Arial"/>
          <w:bCs/>
          <w:color w:val="000000" w:themeColor="text1"/>
          <w:szCs w:val="20"/>
        </w:rPr>
        <w:t xml:space="preserve">: the hardship profiles are based on information about child-specific hardship items and general household items that are directly child-relevant (see </w:t>
      </w:r>
      <w:r>
        <w:rPr>
          <w:rFonts w:ascii="Arial" w:hAnsi="Arial"/>
          <w:bCs/>
          <w:color w:val="000000" w:themeColor="text1"/>
          <w:szCs w:val="20"/>
        </w:rPr>
        <w:t>Table D.</w:t>
      </w:r>
      <w:r w:rsidR="00770BD1">
        <w:rPr>
          <w:rFonts w:ascii="Arial" w:hAnsi="Arial"/>
          <w:bCs/>
          <w:color w:val="000000" w:themeColor="text1"/>
          <w:szCs w:val="20"/>
        </w:rPr>
        <w:t>1</w:t>
      </w:r>
      <w:r>
        <w:rPr>
          <w:rFonts w:ascii="Arial" w:hAnsi="Arial"/>
          <w:bCs/>
          <w:color w:val="000000" w:themeColor="text1"/>
          <w:szCs w:val="20"/>
        </w:rPr>
        <w:t>).</w:t>
      </w:r>
      <w:r w:rsidR="00B013C7">
        <w:rPr>
          <w:rFonts w:ascii="Arial" w:hAnsi="Arial"/>
          <w:bCs/>
          <w:color w:val="000000" w:themeColor="text1"/>
          <w:szCs w:val="20"/>
        </w:rPr>
        <w:t xml:space="preserve"> </w:t>
      </w:r>
    </w:p>
    <w:bookmarkEnd w:id="12"/>
    <w:p w14:paraId="068FCE8F" w14:textId="77777777" w:rsidR="005E7540" w:rsidRPr="00BF2CF5" w:rsidRDefault="005E7540" w:rsidP="005E7540">
      <w:pPr>
        <w:spacing w:after="0" w:line="240" w:lineRule="auto"/>
        <w:contextualSpacing/>
        <w:rPr>
          <w:rFonts w:ascii="Arial" w:hAnsi="Arial"/>
          <w:bCs/>
          <w:color w:val="000000" w:themeColor="text1"/>
          <w:szCs w:val="20"/>
        </w:rPr>
      </w:pPr>
    </w:p>
    <w:p w14:paraId="55F3EB49" w14:textId="32687172" w:rsidR="005E7540" w:rsidRDefault="005E7540" w:rsidP="005E7540">
      <w:pPr>
        <w:spacing w:after="0" w:line="240" w:lineRule="auto"/>
        <w:rPr>
          <w:rFonts w:ascii="Arial" w:hAnsi="Arial"/>
          <w:bCs/>
          <w:color w:val="000000" w:themeColor="text1"/>
          <w:szCs w:val="20"/>
        </w:rPr>
      </w:pPr>
      <w:r w:rsidRPr="00BF2CF5">
        <w:rPr>
          <w:rFonts w:ascii="Arial" w:hAnsi="Arial"/>
          <w:bCs/>
          <w:color w:val="000000" w:themeColor="text1"/>
          <w:szCs w:val="20"/>
        </w:rPr>
        <w:t xml:space="preserve">The two groups (‘working’ and ‘beneficiary’ households) are identified by their respective main sources of income over the 12 months prior to interview </w:t>
      </w:r>
      <w:r w:rsidRPr="00BF2CF5">
        <w:rPr>
          <w:rFonts w:ascii="Arial" w:hAnsi="Arial"/>
          <w:color w:val="000000" w:themeColor="text1"/>
        </w:rPr>
        <w:t xml:space="preserve">– </w:t>
      </w:r>
      <w:r w:rsidRPr="00BF2CF5">
        <w:rPr>
          <w:rFonts w:ascii="Arial" w:hAnsi="Arial"/>
          <w:bCs/>
          <w:color w:val="000000" w:themeColor="text1"/>
          <w:szCs w:val="20"/>
        </w:rPr>
        <w:t>market</w:t>
      </w:r>
      <w:r w:rsidR="00B8778C">
        <w:rPr>
          <w:rFonts w:ascii="Arial" w:hAnsi="Arial"/>
          <w:bCs/>
          <w:color w:val="000000" w:themeColor="text1"/>
          <w:szCs w:val="20"/>
        </w:rPr>
        <w:t xml:space="preserve"> (wages and salaries, self-employment and investment)</w:t>
      </w:r>
      <w:r w:rsidRPr="00BF2CF5">
        <w:rPr>
          <w:rFonts w:ascii="Arial" w:hAnsi="Arial"/>
          <w:bCs/>
          <w:color w:val="000000" w:themeColor="text1"/>
          <w:szCs w:val="20"/>
        </w:rPr>
        <w:t xml:space="preserve"> or government (includes </w:t>
      </w:r>
      <w:r w:rsidR="00B8778C">
        <w:rPr>
          <w:rFonts w:ascii="Arial" w:hAnsi="Arial"/>
          <w:bCs/>
          <w:color w:val="000000" w:themeColor="text1"/>
          <w:szCs w:val="20"/>
        </w:rPr>
        <w:t>main</w:t>
      </w:r>
      <w:r w:rsidRPr="00BF2CF5">
        <w:rPr>
          <w:rFonts w:ascii="Arial" w:hAnsi="Arial"/>
          <w:bCs/>
          <w:color w:val="000000" w:themeColor="text1"/>
          <w:szCs w:val="20"/>
        </w:rPr>
        <w:t xml:space="preserve"> benefits, WFF, AS</w:t>
      </w:r>
      <w:r w:rsidR="00B8778C">
        <w:rPr>
          <w:rFonts w:ascii="Arial" w:hAnsi="Arial"/>
          <w:bCs/>
          <w:color w:val="000000" w:themeColor="text1"/>
          <w:szCs w:val="20"/>
        </w:rPr>
        <w:t>, and so on</w:t>
      </w:r>
      <w:r w:rsidRPr="00BF2CF5">
        <w:rPr>
          <w:rFonts w:ascii="Arial" w:hAnsi="Arial"/>
          <w:bCs/>
          <w:color w:val="000000" w:themeColor="text1"/>
          <w:szCs w:val="20"/>
        </w:rPr>
        <w:t>). Some of the ‘working’ households will receive WFF or AS payments, and some of the ‘beneficiary’ households will receive market income from part-time work.</w:t>
      </w:r>
    </w:p>
    <w:p w14:paraId="4B137092" w14:textId="77777777" w:rsidR="00770BD1" w:rsidRDefault="00770BD1" w:rsidP="005E7540">
      <w:pPr>
        <w:spacing w:after="0" w:line="240" w:lineRule="auto"/>
        <w:rPr>
          <w:rFonts w:ascii="Arial" w:hAnsi="Arial"/>
          <w:bCs/>
          <w:color w:val="000000" w:themeColor="text1"/>
          <w:szCs w:val="20"/>
        </w:rPr>
      </w:pPr>
    </w:p>
    <w:p w14:paraId="33E84698" w14:textId="77777777" w:rsidR="00770BD1" w:rsidRPr="00BF2CF5" w:rsidRDefault="00770BD1" w:rsidP="00770BD1">
      <w:pPr>
        <w:spacing w:after="0" w:line="240" w:lineRule="auto"/>
        <w:rPr>
          <w:rFonts w:ascii="Arial" w:hAnsi="Arial"/>
          <w:bCs/>
          <w:color w:val="000000" w:themeColor="text1"/>
          <w:szCs w:val="20"/>
        </w:rPr>
      </w:pPr>
      <w:r w:rsidRPr="00BF2CF5">
        <w:rPr>
          <w:rFonts w:ascii="Arial" w:hAnsi="Arial"/>
          <w:bCs/>
          <w:color w:val="000000" w:themeColor="text1"/>
          <w:szCs w:val="20"/>
        </w:rPr>
        <w:t xml:space="preserve">Unsurprisingly, the left-hand panel of Table </w:t>
      </w:r>
      <w:r>
        <w:rPr>
          <w:rFonts w:ascii="Arial" w:hAnsi="Arial"/>
          <w:bCs/>
          <w:color w:val="000000" w:themeColor="text1"/>
          <w:szCs w:val="20"/>
        </w:rPr>
        <w:t>E.4</w:t>
      </w:r>
      <w:r w:rsidRPr="00BF2CF5">
        <w:rPr>
          <w:rFonts w:ascii="Arial" w:hAnsi="Arial"/>
          <w:bCs/>
          <w:color w:val="000000" w:themeColor="text1"/>
          <w:szCs w:val="20"/>
        </w:rPr>
        <w:t xml:space="preserve"> shows that children in ‘working’ households are on average much better off than those in ‘beneficiary’ households (fewer restrictions / deprivations). One of the main drivers of this difference is the higher income received on average by ‘working’ </w:t>
      </w:r>
      <w:r w:rsidRPr="00DA090C">
        <w:rPr>
          <w:rFonts w:ascii="Arial" w:hAnsi="Arial"/>
          <w:bCs/>
          <w:color w:val="000000" w:themeColor="text1"/>
          <w:szCs w:val="20"/>
        </w:rPr>
        <w:t>households (a median of $39,000 pa compared with $19,000 for beneficiary households</w:t>
      </w:r>
      <w:r w:rsidRPr="00BF2CF5">
        <w:rPr>
          <w:rFonts w:ascii="Arial" w:hAnsi="Arial"/>
          <w:bCs/>
          <w:color w:val="000000" w:themeColor="text1"/>
          <w:szCs w:val="20"/>
        </w:rPr>
        <w:t xml:space="preserve"> – note, these are equivalised dollars, not ‘ordinary’ dollars). </w:t>
      </w:r>
    </w:p>
    <w:p w14:paraId="70E90C82" w14:textId="77777777" w:rsidR="00770BD1" w:rsidRPr="00BF2CF5" w:rsidRDefault="00770BD1" w:rsidP="00770BD1">
      <w:pPr>
        <w:spacing w:after="0" w:line="240" w:lineRule="auto"/>
        <w:contextualSpacing/>
        <w:rPr>
          <w:rFonts w:ascii="Arial" w:hAnsi="Arial"/>
          <w:bCs/>
          <w:color w:val="000000" w:themeColor="text1"/>
          <w:szCs w:val="20"/>
        </w:rPr>
      </w:pPr>
    </w:p>
    <w:p w14:paraId="3791C885" w14:textId="77777777" w:rsidR="00770BD1" w:rsidRPr="002C0765" w:rsidRDefault="00770BD1" w:rsidP="00770BD1">
      <w:pPr>
        <w:spacing w:after="0" w:line="240" w:lineRule="auto"/>
        <w:contextualSpacing/>
        <w:rPr>
          <w:rFonts w:ascii="Arial" w:hAnsi="Arial"/>
          <w:b/>
          <w:color w:val="0000FF"/>
          <w:sz w:val="18"/>
          <w:szCs w:val="18"/>
        </w:rPr>
      </w:pPr>
      <w:r w:rsidRPr="00BF2CF5">
        <w:rPr>
          <w:rFonts w:ascii="Arial" w:hAnsi="Arial"/>
          <w:bCs/>
          <w:color w:val="000000" w:themeColor="text1"/>
          <w:szCs w:val="20"/>
        </w:rPr>
        <w:t xml:space="preserve">The right-hand panel </w:t>
      </w:r>
      <w:r>
        <w:rPr>
          <w:rFonts w:ascii="Arial" w:hAnsi="Arial"/>
          <w:bCs/>
          <w:color w:val="000000" w:themeColor="text1"/>
          <w:szCs w:val="20"/>
        </w:rPr>
        <w:t xml:space="preserve">in Table E.4 </w:t>
      </w:r>
      <w:r w:rsidRPr="00BF2CF5">
        <w:rPr>
          <w:rFonts w:ascii="Arial" w:hAnsi="Arial"/>
          <w:bCs/>
          <w:color w:val="000000" w:themeColor="text1"/>
          <w:szCs w:val="20"/>
        </w:rPr>
        <w:t xml:space="preserve">to a considerable degree removes the </w:t>
      </w:r>
      <w:r>
        <w:rPr>
          <w:rFonts w:ascii="Arial" w:hAnsi="Arial"/>
          <w:bCs/>
          <w:color w:val="000000" w:themeColor="text1"/>
          <w:szCs w:val="20"/>
        </w:rPr>
        <w:t xml:space="preserve">impact of the </w:t>
      </w:r>
      <w:r w:rsidRPr="00BF2CF5">
        <w:rPr>
          <w:rFonts w:ascii="Arial" w:hAnsi="Arial"/>
          <w:bCs/>
          <w:color w:val="000000" w:themeColor="text1"/>
          <w:szCs w:val="20"/>
        </w:rPr>
        <w:t xml:space="preserve">income factor by looking only at households in the lower AHC income quintile (Q1). These low-income ‘working’ and ‘beneficiary’ households have hardship profiles </w:t>
      </w:r>
      <w:r>
        <w:rPr>
          <w:rFonts w:ascii="Arial" w:hAnsi="Arial"/>
          <w:bCs/>
          <w:color w:val="000000" w:themeColor="text1"/>
          <w:szCs w:val="20"/>
        </w:rPr>
        <w:t xml:space="preserve">that are a little less different </w:t>
      </w:r>
      <w:r w:rsidRPr="00BF2CF5">
        <w:rPr>
          <w:rFonts w:ascii="Arial" w:hAnsi="Arial"/>
          <w:bCs/>
          <w:color w:val="000000" w:themeColor="text1"/>
          <w:szCs w:val="20"/>
        </w:rPr>
        <w:t xml:space="preserve">than </w:t>
      </w:r>
      <w:r>
        <w:rPr>
          <w:rFonts w:ascii="Arial" w:hAnsi="Arial"/>
          <w:bCs/>
          <w:color w:val="000000" w:themeColor="text1"/>
          <w:szCs w:val="20"/>
        </w:rPr>
        <w:t>when looking at the whole income spectrum</w:t>
      </w:r>
      <w:r w:rsidRPr="00BF2CF5">
        <w:rPr>
          <w:rFonts w:ascii="Arial" w:hAnsi="Arial"/>
          <w:bCs/>
          <w:color w:val="000000" w:themeColor="text1"/>
          <w:szCs w:val="20"/>
        </w:rPr>
        <w:t>, though the children in low-income ‘working’ households are still better off (fewer restrictions / deprivations).</w:t>
      </w:r>
      <w:r>
        <w:rPr>
          <w:rFonts w:ascii="Arial" w:hAnsi="Arial"/>
          <w:bCs/>
          <w:color w:val="000000" w:themeColor="text1"/>
          <w:szCs w:val="20"/>
        </w:rPr>
        <w:t xml:space="preserve"> The respective material hardship rates are 8% and 44% across all incomes and 17% and 47% when only those in the low-income zone (Q1) are considered – a rough means of controlling for income. </w:t>
      </w:r>
    </w:p>
    <w:p w14:paraId="6EC6625E" w14:textId="77777777" w:rsidR="00770BD1" w:rsidRDefault="00770BD1" w:rsidP="00770BD1">
      <w:pPr>
        <w:spacing w:after="0" w:line="240" w:lineRule="auto"/>
        <w:contextualSpacing/>
        <w:rPr>
          <w:rFonts w:ascii="Arial" w:hAnsi="Arial"/>
          <w:bCs/>
          <w:color w:val="000000" w:themeColor="text1"/>
          <w:szCs w:val="20"/>
        </w:rPr>
      </w:pPr>
    </w:p>
    <w:p w14:paraId="4BB89800" w14:textId="77777777" w:rsidR="00770BD1" w:rsidRDefault="00770BD1" w:rsidP="00770BD1">
      <w:pPr>
        <w:spacing w:after="0" w:line="240" w:lineRule="auto"/>
        <w:contextualSpacing/>
        <w:rPr>
          <w:rFonts w:ascii="Arial" w:hAnsi="Arial"/>
          <w:bCs/>
          <w:color w:val="000000" w:themeColor="text1"/>
          <w:szCs w:val="20"/>
        </w:rPr>
      </w:pPr>
      <w:r w:rsidRPr="00B837F8">
        <w:rPr>
          <w:rFonts w:ascii="Arial" w:hAnsi="Arial"/>
          <w:b/>
          <w:color w:val="000000" w:themeColor="text1"/>
          <w:szCs w:val="20"/>
        </w:rPr>
        <w:t xml:space="preserve">Table E.5 </w:t>
      </w:r>
      <w:r w:rsidRPr="00B837F8">
        <w:rPr>
          <w:rFonts w:ascii="Arial" w:hAnsi="Arial"/>
          <w:bCs/>
          <w:color w:val="000000" w:themeColor="text1"/>
          <w:szCs w:val="20"/>
        </w:rPr>
        <w:t>takes the analysis a step further by adding information on the level of liquid assets</w:t>
      </w:r>
      <w:r w:rsidRPr="00B837F8">
        <w:rPr>
          <w:rStyle w:val="FootnoteReference"/>
          <w:rFonts w:ascii="Arial" w:hAnsi="Arial"/>
          <w:bCs/>
          <w:color w:val="000000" w:themeColor="text1"/>
          <w:szCs w:val="20"/>
        </w:rPr>
        <w:footnoteReference w:id="53"/>
      </w:r>
      <w:r w:rsidRPr="00B837F8">
        <w:rPr>
          <w:rFonts w:ascii="Arial" w:hAnsi="Arial"/>
          <w:bCs/>
          <w:color w:val="000000" w:themeColor="text1"/>
          <w:szCs w:val="20"/>
        </w:rPr>
        <w:t xml:space="preserve"> and the stock of non-vehicle consumer durables.</w:t>
      </w:r>
      <w:r>
        <w:rPr>
          <w:rFonts w:ascii="Arial" w:hAnsi="Arial"/>
          <w:bCs/>
          <w:color w:val="000000" w:themeColor="text1"/>
          <w:szCs w:val="20"/>
        </w:rPr>
        <w:t xml:space="preserve"> </w:t>
      </w:r>
      <w:r w:rsidRPr="00B837F8">
        <w:rPr>
          <w:rFonts w:ascii="Arial" w:hAnsi="Arial"/>
          <w:bCs/>
          <w:color w:val="000000" w:themeColor="text1"/>
          <w:szCs w:val="20"/>
        </w:rPr>
        <w:t>The two left-hand panels are similar to the two</w:t>
      </w:r>
      <w:r>
        <w:rPr>
          <w:rFonts w:ascii="Arial" w:hAnsi="Arial"/>
          <w:bCs/>
          <w:color w:val="000000" w:themeColor="text1"/>
          <w:szCs w:val="20"/>
        </w:rPr>
        <w:t xml:space="preserve"> panels in Table E.4, but are for all children in their households, not just 6-17-year-olds. They report for those in households across the whole income spectrum and for those in the bottom AHC quintile (Q1). An inspection of the liquid asset and consumer durable information in the middle panel (AHC Q1) shows that the ‘working households’ have noticeably higher levels of these resources. At the same or similar income levels the 'working households' therefore have a higher level of resources to draw on. </w:t>
      </w:r>
    </w:p>
    <w:p w14:paraId="03AC088D" w14:textId="77777777" w:rsidR="00770BD1" w:rsidRDefault="00770BD1" w:rsidP="00770BD1">
      <w:pPr>
        <w:spacing w:after="0" w:line="240" w:lineRule="auto"/>
        <w:contextualSpacing/>
        <w:rPr>
          <w:rFonts w:ascii="Arial" w:hAnsi="Arial"/>
          <w:bCs/>
          <w:color w:val="000000" w:themeColor="text1"/>
          <w:szCs w:val="20"/>
        </w:rPr>
      </w:pPr>
    </w:p>
    <w:p w14:paraId="79D0C6CF" w14:textId="77777777" w:rsidR="00770BD1" w:rsidRPr="00BF2CF5" w:rsidRDefault="00770BD1" w:rsidP="00770BD1">
      <w:pPr>
        <w:spacing w:after="0" w:line="240" w:lineRule="auto"/>
        <w:contextualSpacing/>
        <w:rPr>
          <w:rFonts w:ascii="Arial" w:hAnsi="Arial"/>
          <w:bCs/>
          <w:color w:val="000000" w:themeColor="text1"/>
          <w:szCs w:val="20"/>
        </w:rPr>
      </w:pPr>
      <w:r>
        <w:rPr>
          <w:rFonts w:ascii="Arial" w:hAnsi="Arial"/>
          <w:bCs/>
          <w:color w:val="000000" w:themeColor="text1"/>
          <w:szCs w:val="20"/>
        </w:rPr>
        <w:t>The third panel adds a further ‘control’, restricting the analysis in those columns to those with both low incomes and having liquid assets less than $2000. The respective material hardship rates are 8% and 44%, 17% and 47%, and finally 27% and 53%. The ‘working households’ are still better off than the ‘beneficiary households’, but the gap closes noticeably once incomes and assets are ‘controlled’ for. Why do 'working households' have higher liquid asset levels and a better stock of consumer durables? Does this reflect different income trajectories? It would not be a surprise if it did. The HES dataset on its own cannot however answer that</w:t>
      </w:r>
      <w:r w:rsidRPr="00F413A0">
        <w:rPr>
          <w:rFonts w:ascii="Arial" w:hAnsi="Arial"/>
          <w:bCs/>
          <w:color w:val="000000" w:themeColor="text1"/>
          <w:szCs w:val="20"/>
        </w:rPr>
        <w:t>. A longitudinal dataset</w:t>
      </w:r>
      <w:r>
        <w:rPr>
          <w:rFonts w:ascii="Arial" w:hAnsi="Arial"/>
          <w:bCs/>
          <w:color w:val="000000" w:themeColor="text1"/>
          <w:szCs w:val="20"/>
        </w:rPr>
        <w:t xml:space="preserve"> is needed.</w:t>
      </w:r>
    </w:p>
    <w:p w14:paraId="49D6E538" w14:textId="77777777" w:rsidR="00770BD1" w:rsidRPr="00BF2CF5" w:rsidRDefault="00770BD1" w:rsidP="005E7540">
      <w:pPr>
        <w:spacing w:after="0" w:line="240" w:lineRule="auto"/>
        <w:rPr>
          <w:rFonts w:ascii="Arial" w:hAnsi="Arial"/>
          <w:bCs/>
          <w:color w:val="000000" w:themeColor="text1"/>
          <w:szCs w:val="20"/>
        </w:rPr>
      </w:pPr>
    </w:p>
    <w:bookmarkEnd w:id="13"/>
    <w:p w14:paraId="4747ED2A" w14:textId="604D886E" w:rsidR="001D48C5" w:rsidRDefault="001D48C5">
      <w:pPr>
        <w:spacing w:after="0" w:line="240" w:lineRule="auto"/>
        <w:rPr>
          <w:rFonts w:ascii="Arial" w:hAnsi="Arial"/>
          <w:bCs/>
          <w:color w:val="0000FF"/>
          <w:szCs w:val="20"/>
        </w:rPr>
      </w:pPr>
      <w:r>
        <w:rPr>
          <w:rFonts w:ascii="Arial" w:hAnsi="Arial"/>
          <w:bCs/>
          <w:color w:val="0000FF"/>
          <w:szCs w:val="20"/>
        </w:rPr>
        <w:br w:type="page"/>
      </w:r>
    </w:p>
    <w:p w14:paraId="1977BBC8" w14:textId="77777777" w:rsidR="003E0852" w:rsidRPr="00903F0F" w:rsidRDefault="003E0852">
      <w:pPr>
        <w:spacing w:after="0" w:line="240" w:lineRule="auto"/>
        <w:rPr>
          <w:rFonts w:ascii="Arial" w:hAnsi="Arial"/>
          <w:bCs/>
          <w:color w:val="0000FF"/>
          <w:szCs w:val="20"/>
        </w:rPr>
      </w:pPr>
    </w:p>
    <w:p w14:paraId="69368217" w14:textId="7F2D8BB1" w:rsidR="007934CB" w:rsidRPr="00BF2CF5" w:rsidRDefault="007934CB" w:rsidP="007934CB">
      <w:pPr>
        <w:pStyle w:val="ListParagraph"/>
        <w:spacing w:after="0" w:line="240" w:lineRule="auto"/>
        <w:ind w:left="0"/>
        <w:jc w:val="center"/>
        <w:rPr>
          <w:rFonts w:ascii="Arial" w:hAnsi="Arial"/>
          <w:b/>
          <w:color w:val="000000" w:themeColor="text1"/>
          <w:sz w:val="18"/>
          <w:szCs w:val="24"/>
        </w:rPr>
      </w:pPr>
      <w:r w:rsidRPr="00BF2CF5">
        <w:rPr>
          <w:rFonts w:ascii="Arial" w:hAnsi="Arial"/>
          <w:b/>
          <w:color w:val="000000" w:themeColor="text1"/>
          <w:sz w:val="18"/>
          <w:szCs w:val="24"/>
        </w:rPr>
        <w:t xml:space="preserve">Table </w:t>
      </w:r>
      <w:r w:rsidR="00580757">
        <w:rPr>
          <w:rFonts w:ascii="Arial" w:hAnsi="Arial"/>
          <w:b/>
          <w:color w:val="000000" w:themeColor="text1"/>
          <w:sz w:val="18"/>
          <w:szCs w:val="24"/>
        </w:rPr>
        <w:t>E.4</w:t>
      </w:r>
    </w:p>
    <w:p w14:paraId="23ECF624" w14:textId="77777777" w:rsidR="00E978B3" w:rsidRPr="00BF2CF5" w:rsidRDefault="00E978B3" w:rsidP="00E978B3">
      <w:pPr>
        <w:spacing w:line="240" w:lineRule="auto"/>
        <w:jc w:val="center"/>
        <w:rPr>
          <w:rFonts w:ascii="Arial" w:hAnsi="Arial"/>
          <w:b/>
          <w:color w:val="000000" w:themeColor="text1"/>
          <w:sz w:val="18"/>
          <w:szCs w:val="24"/>
        </w:rPr>
      </w:pPr>
      <w:r w:rsidRPr="00BF2CF5">
        <w:rPr>
          <w:rFonts w:ascii="Arial" w:hAnsi="Arial"/>
          <w:b/>
          <w:color w:val="000000" w:themeColor="text1"/>
          <w:sz w:val="18"/>
          <w:szCs w:val="24"/>
        </w:rPr>
        <w:t>Deprivations/restrictions for children (</w:t>
      </w:r>
      <w:r>
        <w:rPr>
          <w:rFonts w:ascii="Arial" w:hAnsi="Arial"/>
          <w:b/>
          <w:color w:val="000000" w:themeColor="text1"/>
          <w:sz w:val="18"/>
          <w:szCs w:val="24"/>
        </w:rPr>
        <w:t>6</w:t>
      </w:r>
      <w:r w:rsidRPr="00BF2CF5">
        <w:rPr>
          <w:rFonts w:ascii="Arial" w:hAnsi="Arial"/>
          <w:b/>
          <w:color w:val="000000" w:themeColor="text1"/>
          <w:sz w:val="18"/>
          <w:szCs w:val="24"/>
        </w:rPr>
        <w:t>-17 yrs) in ‘working’ &amp; ‘</w:t>
      </w:r>
      <w:r w:rsidRPr="0061791D">
        <w:rPr>
          <w:rFonts w:ascii="Arial" w:hAnsi="Arial"/>
          <w:b/>
          <w:color w:val="000000" w:themeColor="text1"/>
          <w:sz w:val="18"/>
          <w:szCs w:val="24"/>
        </w:rPr>
        <w:t>beneficiary’</w:t>
      </w:r>
      <w:r w:rsidRPr="00BF2CF5">
        <w:rPr>
          <w:rFonts w:ascii="Arial" w:hAnsi="Arial"/>
          <w:b/>
          <w:color w:val="000000" w:themeColor="text1"/>
          <w:sz w:val="18"/>
          <w:szCs w:val="24"/>
        </w:rPr>
        <w:t xml:space="preserve"> households HES 20</w:t>
      </w:r>
      <w:r>
        <w:rPr>
          <w:rFonts w:ascii="Arial" w:hAnsi="Arial"/>
          <w:b/>
          <w:color w:val="000000" w:themeColor="text1"/>
          <w:sz w:val="18"/>
          <w:szCs w:val="24"/>
        </w:rPr>
        <w:t>23</w:t>
      </w:r>
      <w:r w:rsidRPr="00BF2CF5">
        <w:rPr>
          <w:rFonts w:ascii="Arial" w:hAnsi="Arial"/>
          <w:b/>
          <w:color w:val="000000" w:themeColor="text1"/>
          <w:sz w:val="18"/>
          <w:szCs w:val="24"/>
        </w:rPr>
        <w:t>-</w:t>
      </w:r>
      <w:r>
        <w:rPr>
          <w:rFonts w:ascii="Arial" w:hAnsi="Arial"/>
          <w:b/>
          <w:color w:val="000000" w:themeColor="text1"/>
          <w:sz w:val="18"/>
          <w:szCs w:val="24"/>
        </w:rPr>
        <w:t>24</w:t>
      </w:r>
      <w:r w:rsidRPr="00BF2CF5">
        <w:rPr>
          <w:rFonts w:ascii="Arial" w:hAnsi="Arial"/>
          <w:b/>
          <w:color w:val="000000" w:themeColor="text1"/>
          <w:sz w:val="18"/>
          <w:szCs w:val="24"/>
        </w:rPr>
        <w:t xml:space="preserve"> (%)</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5"/>
        <w:gridCol w:w="1559"/>
        <w:gridCol w:w="694"/>
        <w:gridCol w:w="708"/>
        <w:gridCol w:w="710"/>
        <w:gridCol w:w="709"/>
        <w:gridCol w:w="708"/>
        <w:gridCol w:w="709"/>
      </w:tblGrid>
      <w:tr w:rsidR="00E978B3" w:rsidRPr="00BF2CF5" w14:paraId="12E0BBD7" w14:textId="77777777" w:rsidTr="006F6F4E">
        <w:trPr>
          <w:jc w:val="center"/>
        </w:trPr>
        <w:tc>
          <w:tcPr>
            <w:tcW w:w="28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AB8B6C"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1559" w:type="dxa"/>
            <w:tcBorders>
              <w:top w:val="single" w:sz="4" w:space="0" w:color="auto"/>
              <w:left w:val="single" w:sz="4" w:space="0" w:color="auto"/>
              <w:bottom w:val="single" w:sz="4" w:space="0" w:color="auto"/>
              <w:right w:val="single" w:sz="8" w:space="0" w:color="auto"/>
            </w:tcBorders>
            <w:vAlign w:val="center"/>
          </w:tcPr>
          <w:p w14:paraId="5410833D"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2112" w:type="dxa"/>
            <w:gridSpan w:val="3"/>
            <w:tcBorders>
              <w:top w:val="single" w:sz="4" w:space="0" w:color="auto"/>
              <w:left w:val="single" w:sz="8" w:space="0" w:color="auto"/>
              <w:bottom w:val="single" w:sz="4" w:space="0" w:color="auto"/>
              <w:right w:val="single" w:sz="8" w:space="0" w:color="auto"/>
            </w:tcBorders>
            <w:tcMar>
              <w:left w:w="28" w:type="dxa"/>
              <w:right w:w="28" w:type="dxa"/>
            </w:tcMar>
            <w:vAlign w:val="center"/>
          </w:tcPr>
          <w:p w14:paraId="1887AAF5" w14:textId="77777777" w:rsidR="00E978B3" w:rsidRPr="00003C07" w:rsidRDefault="00E978B3" w:rsidP="006F6F4E">
            <w:pPr>
              <w:spacing w:before="60" w:after="60" w:line="240" w:lineRule="auto"/>
              <w:jc w:val="center"/>
              <w:rPr>
                <w:rFonts w:ascii="Arial" w:eastAsia="Times New Roman" w:hAnsi="Arial"/>
                <w:b/>
                <w:sz w:val="14"/>
                <w:szCs w:val="14"/>
              </w:rPr>
            </w:pPr>
            <w:r w:rsidRPr="00003C07">
              <w:rPr>
                <w:rFonts w:ascii="Arial" w:hAnsi="Arial"/>
                <w:b/>
                <w:bCs/>
                <w:sz w:val="14"/>
                <w:szCs w:val="14"/>
              </w:rPr>
              <w:t>ALL aged 6-17 yrs (%)</w:t>
            </w:r>
          </w:p>
        </w:tc>
        <w:tc>
          <w:tcPr>
            <w:tcW w:w="2126" w:type="dxa"/>
            <w:gridSpan w:val="3"/>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27B62CC8" w14:textId="77777777" w:rsidR="00E978B3" w:rsidRPr="00003C07" w:rsidRDefault="00E978B3" w:rsidP="006F6F4E">
            <w:pPr>
              <w:spacing w:before="60" w:after="60" w:line="240" w:lineRule="auto"/>
              <w:jc w:val="center"/>
              <w:rPr>
                <w:rFonts w:ascii="Arial" w:eastAsia="Times New Roman" w:hAnsi="Arial"/>
                <w:b/>
                <w:sz w:val="14"/>
                <w:szCs w:val="14"/>
              </w:rPr>
            </w:pPr>
            <w:r w:rsidRPr="00003C07">
              <w:rPr>
                <w:rFonts w:ascii="Arial" w:hAnsi="Arial"/>
                <w:b/>
                <w:bCs/>
                <w:sz w:val="14"/>
                <w:szCs w:val="14"/>
              </w:rPr>
              <w:t>Q1 (AHC) aged 6-17 yrs (%)</w:t>
            </w:r>
          </w:p>
        </w:tc>
      </w:tr>
      <w:tr w:rsidR="00E978B3" w:rsidRPr="00BF2CF5" w14:paraId="5A5B33F9" w14:textId="77777777" w:rsidTr="006F6F4E">
        <w:trPr>
          <w:jc w:val="center"/>
        </w:trPr>
        <w:tc>
          <w:tcPr>
            <w:tcW w:w="28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292F003"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1559" w:type="dxa"/>
            <w:tcBorders>
              <w:top w:val="single" w:sz="4" w:space="0" w:color="auto"/>
              <w:left w:val="single" w:sz="4" w:space="0" w:color="auto"/>
              <w:bottom w:val="single" w:sz="4" w:space="0" w:color="auto"/>
              <w:right w:val="single" w:sz="8" w:space="0" w:color="auto"/>
            </w:tcBorders>
            <w:vAlign w:val="center"/>
          </w:tcPr>
          <w:p w14:paraId="6A0E72D0"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694" w:type="dxa"/>
            <w:vMerge w:val="restart"/>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47577997"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ALL</w:t>
            </w:r>
          </w:p>
        </w:tc>
        <w:tc>
          <w:tcPr>
            <w:tcW w:w="1418" w:type="dxa"/>
            <w:gridSpan w:val="2"/>
            <w:tcBorders>
              <w:top w:val="single" w:sz="4" w:space="0" w:color="auto"/>
              <w:left w:val="single" w:sz="4" w:space="0" w:color="auto"/>
              <w:bottom w:val="single" w:sz="4" w:space="0" w:color="auto"/>
              <w:right w:val="single" w:sz="8" w:space="0" w:color="auto"/>
            </w:tcBorders>
            <w:tcMar>
              <w:left w:w="28" w:type="dxa"/>
              <w:right w:w="28" w:type="dxa"/>
            </w:tcMar>
            <w:vAlign w:val="center"/>
          </w:tcPr>
          <w:p w14:paraId="01E08281"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Main income source</w:t>
            </w:r>
          </w:p>
        </w:tc>
        <w:tc>
          <w:tcPr>
            <w:tcW w:w="709" w:type="dxa"/>
            <w:vMerge w:val="restart"/>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1CFB50E1"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ALL</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05A7C30"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Main income source</w:t>
            </w:r>
          </w:p>
        </w:tc>
      </w:tr>
      <w:tr w:rsidR="00E978B3" w:rsidRPr="00BF2CF5" w14:paraId="73721054" w14:textId="77777777" w:rsidTr="006F6F4E">
        <w:trPr>
          <w:jc w:val="center"/>
        </w:trPr>
        <w:tc>
          <w:tcPr>
            <w:tcW w:w="28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E5BF14"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1559" w:type="dxa"/>
            <w:tcBorders>
              <w:top w:val="single" w:sz="4" w:space="0" w:color="auto"/>
              <w:left w:val="single" w:sz="4" w:space="0" w:color="auto"/>
              <w:bottom w:val="single" w:sz="4" w:space="0" w:color="auto"/>
              <w:right w:val="single" w:sz="8" w:space="0" w:color="auto"/>
            </w:tcBorders>
            <w:vAlign w:val="center"/>
          </w:tcPr>
          <w:p w14:paraId="43E06A7C"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694" w:type="dxa"/>
            <w:vMerge/>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1361F995"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B07723"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Market</w:t>
            </w:r>
          </w:p>
        </w:tc>
        <w:tc>
          <w:tcPr>
            <w:tcW w:w="710" w:type="dxa"/>
            <w:tcBorders>
              <w:top w:val="single" w:sz="4" w:space="0" w:color="auto"/>
              <w:left w:val="single" w:sz="4" w:space="0" w:color="auto"/>
              <w:bottom w:val="single" w:sz="4" w:space="0" w:color="auto"/>
              <w:right w:val="single" w:sz="8" w:space="0" w:color="auto"/>
            </w:tcBorders>
            <w:tcMar>
              <w:left w:w="28" w:type="dxa"/>
              <w:right w:w="28" w:type="dxa"/>
            </w:tcMar>
            <w:vAlign w:val="center"/>
          </w:tcPr>
          <w:p w14:paraId="7CD7416B"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Govt</w:t>
            </w:r>
          </w:p>
        </w:tc>
        <w:tc>
          <w:tcPr>
            <w:tcW w:w="709" w:type="dxa"/>
            <w:vMerge/>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68F59F8D"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31F6E3D4"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Market</w:t>
            </w:r>
          </w:p>
        </w:tc>
        <w:tc>
          <w:tcPr>
            <w:tcW w:w="709" w:type="dxa"/>
            <w:tcBorders>
              <w:top w:val="single" w:sz="4" w:space="0" w:color="auto"/>
              <w:left w:val="single" w:sz="4" w:space="0" w:color="auto"/>
              <w:bottom w:val="single" w:sz="4" w:space="0" w:color="auto"/>
              <w:right w:val="single" w:sz="4" w:space="0" w:color="auto"/>
            </w:tcBorders>
          </w:tcPr>
          <w:p w14:paraId="678EFC4D"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eastAsia="Times New Roman" w:hAnsi="Arial"/>
                <w:b/>
                <w:color w:val="000000" w:themeColor="text1"/>
                <w:sz w:val="14"/>
                <w:szCs w:val="14"/>
              </w:rPr>
              <w:t>Govt</w:t>
            </w:r>
          </w:p>
        </w:tc>
      </w:tr>
      <w:tr w:rsidR="00E978B3" w:rsidRPr="00BF2CF5" w14:paraId="72C953DE" w14:textId="77777777" w:rsidTr="006F6F4E">
        <w:trPr>
          <w:jc w:val="center"/>
        </w:trPr>
        <w:tc>
          <w:tcPr>
            <w:tcW w:w="28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E9581B" w14:textId="77777777" w:rsidR="00E978B3" w:rsidRPr="00BF2CF5" w:rsidRDefault="00E978B3" w:rsidP="006F6F4E">
            <w:pPr>
              <w:spacing w:before="40" w:after="40" w:line="240" w:lineRule="auto"/>
              <w:ind w:left="61"/>
              <w:rPr>
                <w:rFonts w:ascii="Arial" w:eastAsia="Times New Roman" w:hAnsi="Arial"/>
                <w:b/>
                <w:bCs/>
                <w:color w:val="000000" w:themeColor="text1"/>
                <w:sz w:val="14"/>
                <w:szCs w:val="14"/>
                <w:lang w:val="en-GB" w:eastAsia="en-GB"/>
              </w:rPr>
            </w:pPr>
            <w:r>
              <w:rPr>
                <w:rFonts w:ascii="Arial" w:hAnsi="Arial"/>
                <w:b/>
                <w:bCs/>
                <w:color w:val="000000"/>
                <w:sz w:val="14"/>
                <w:szCs w:val="14"/>
              </w:rPr>
              <w:t>Population in each group (000s)</w:t>
            </w:r>
          </w:p>
        </w:tc>
        <w:tc>
          <w:tcPr>
            <w:tcW w:w="1559" w:type="dxa"/>
            <w:tcBorders>
              <w:top w:val="single" w:sz="4" w:space="0" w:color="auto"/>
              <w:left w:val="single" w:sz="4" w:space="0" w:color="auto"/>
              <w:bottom w:val="single" w:sz="4" w:space="0" w:color="auto"/>
              <w:right w:val="single" w:sz="8" w:space="0" w:color="auto"/>
            </w:tcBorders>
            <w:vAlign w:val="center"/>
          </w:tcPr>
          <w:p w14:paraId="07E5EBBD"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sidRPr="00BF2CF5">
              <w:rPr>
                <w:rFonts w:ascii="Arial" w:hAnsi="Arial"/>
                <w:b/>
                <w:bCs/>
                <w:color w:val="000000" w:themeColor="text1"/>
                <w:sz w:val="14"/>
                <w:szCs w:val="14"/>
              </w:rPr>
              <w:t> </w:t>
            </w:r>
          </w:p>
        </w:tc>
        <w:tc>
          <w:tcPr>
            <w:tcW w:w="694" w:type="dxa"/>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1A9162BE" w14:textId="77777777" w:rsidR="00E978B3" w:rsidRPr="00BF2CF5" w:rsidRDefault="00E978B3" w:rsidP="006F6F4E">
            <w:pPr>
              <w:spacing w:before="60" w:after="60" w:line="240" w:lineRule="auto"/>
              <w:ind w:hanging="27"/>
              <w:jc w:val="center"/>
              <w:rPr>
                <w:rFonts w:ascii="Arial" w:eastAsia="Times New Roman" w:hAnsi="Arial"/>
                <w:b/>
                <w:color w:val="000000" w:themeColor="text1"/>
                <w:sz w:val="14"/>
                <w:szCs w:val="14"/>
              </w:rPr>
            </w:pPr>
            <w:r>
              <w:rPr>
                <w:rFonts w:ascii="Arial" w:hAnsi="Arial"/>
                <w:color w:val="000000"/>
                <w:sz w:val="14"/>
                <w:szCs w:val="14"/>
              </w:rPr>
              <w:t>809</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85C586"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Pr>
                <w:rFonts w:ascii="Arial" w:hAnsi="Arial"/>
                <w:color w:val="000000"/>
                <w:sz w:val="14"/>
                <w:szCs w:val="14"/>
              </w:rPr>
              <w:t>693</w:t>
            </w:r>
          </w:p>
        </w:tc>
        <w:tc>
          <w:tcPr>
            <w:tcW w:w="710" w:type="dxa"/>
            <w:tcBorders>
              <w:top w:val="single" w:sz="4" w:space="0" w:color="auto"/>
              <w:left w:val="single" w:sz="4" w:space="0" w:color="auto"/>
              <w:bottom w:val="single" w:sz="4" w:space="0" w:color="auto"/>
              <w:right w:val="single" w:sz="8" w:space="0" w:color="auto"/>
            </w:tcBorders>
            <w:tcMar>
              <w:left w:w="28" w:type="dxa"/>
              <w:right w:w="28" w:type="dxa"/>
            </w:tcMar>
            <w:vAlign w:val="center"/>
          </w:tcPr>
          <w:p w14:paraId="64F78FDA"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Pr>
                <w:rFonts w:ascii="Arial" w:hAnsi="Arial"/>
                <w:color w:val="000000"/>
                <w:sz w:val="14"/>
                <w:szCs w:val="14"/>
              </w:rPr>
              <w:t>116</w:t>
            </w:r>
          </w:p>
        </w:tc>
        <w:tc>
          <w:tcPr>
            <w:tcW w:w="709" w:type="dxa"/>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085686CD"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Pr>
                <w:rFonts w:ascii="Arial" w:hAnsi="Arial"/>
                <w:color w:val="000000"/>
                <w:sz w:val="14"/>
                <w:szCs w:val="14"/>
              </w:rPr>
              <w:t>196</w:t>
            </w:r>
          </w:p>
        </w:tc>
        <w:tc>
          <w:tcPr>
            <w:tcW w:w="708" w:type="dxa"/>
            <w:tcBorders>
              <w:top w:val="single" w:sz="4" w:space="0" w:color="auto"/>
              <w:left w:val="single" w:sz="4" w:space="0" w:color="auto"/>
              <w:bottom w:val="single" w:sz="4" w:space="0" w:color="auto"/>
              <w:right w:val="single" w:sz="4" w:space="0" w:color="auto"/>
            </w:tcBorders>
            <w:vAlign w:val="center"/>
          </w:tcPr>
          <w:p w14:paraId="7A7E0976"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Pr>
                <w:rFonts w:ascii="Arial" w:hAnsi="Arial"/>
                <w:color w:val="000000"/>
                <w:sz w:val="14"/>
                <w:szCs w:val="14"/>
              </w:rPr>
              <w:t>116</w:t>
            </w:r>
          </w:p>
        </w:tc>
        <w:tc>
          <w:tcPr>
            <w:tcW w:w="709" w:type="dxa"/>
            <w:tcBorders>
              <w:top w:val="single" w:sz="4" w:space="0" w:color="auto"/>
              <w:left w:val="single" w:sz="4" w:space="0" w:color="auto"/>
              <w:bottom w:val="single" w:sz="4" w:space="0" w:color="auto"/>
              <w:right w:val="single" w:sz="4" w:space="0" w:color="auto"/>
            </w:tcBorders>
            <w:vAlign w:val="center"/>
          </w:tcPr>
          <w:p w14:paraId="503DED66" w14:textId="77777777" w:rsidR="00E978B3" w:rsidRPr="00BF2CF5" w:rsidRDefault="00E978B3" w:rsidP="006F6F4E">
            <w:pPr>
              <w:spacing w:before="60" w:after="60" w:line="240" w:lineRule="auto"/>
              <w:jc w:val="center"/>
              <w:rPr>
                <w:rFonts w:ascii="Arial" w:eastAsia="Times New Roman" w:hAnsi="Arial"/>
                <w:b/>
                <w:color w:val="000000" w:themeColor="text1"/>
                <w:sz w:val="14"/>
                <w:szCs w:val="14"/>
              </w:rPr>
            </w:pPr>
            <w:r>
              <w:rPr>
                <w:rFonts w:ascii="Arial" w:hAnsi="Arial"/>
                <w:color w:val="000000"/>
                <w:sz w:val="14"/>
                <w:szCs w:val="14"/>
              </w:rPr>
              <w:t>80</w:t>
            </w:r>
          </w:p>
        </w:tc>
      </w:tr>
      <w:tr w:rsidR="00E978B3" w:rsidRPr="00BF2CF5" w14:paraId="1A667D79" w14:textId="77777777" w:rsidTr="006F6F4E">
        <w:trPr>
          <w:jc w:val="center"/>
        </w:trPr>
        <w:tc>
          <w:tcPr>
            <w:tcW w:w="28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A3687B" w14:textId="77777777" w:rsidR="00E978B3" w:rsidRPr="00BF2CF5" w:rsidRDefault="00E978B3" w:rsidP="006F6F4E">
            <w:pPr>
              <w:spacing w:before="40" w:after="40" w:line="240" w:lineRule="auto"/>
              <w:ind w:left="61"/>
              <w:rPr>
                <w:rFonts w:ascii="Arial" w:eastAsia="Times New Roman" w:hAnsi="Arial"/>
                <w:b/>
                <w:bCs/>
                <w:color w:val="000000" w:themeColor="text1"/>
                <w:sz w:val="14"/>
                <w:szCs w:val="14"/>
                <w:lang w:val="en-GB" w:eastAsia="en-GB"/>
              </w:rPr>
            </w:pPr>
            <w:r>
              <w:rPr>
                <w:rFonts w:ascii="Arial" w:hAnsi="Arial"/>
                <w:b/>
                <w:bCs/>
                <w:color w:val="000000"/>
                <w:sz w:val="14"/>
                <w:szCs w:val="14"/>
              </w:rPr>
              <w:t>Population in each group (%)</w:t>
            </w:r>
          </w:p>
        </w:tc>
        <w:tc>
          <w:tcPr>
            <w:tcW w:w="1559" w:type="dxa"/>
            <w:tcBorders>
              <w:top w:val="single" w:sz="4" w:space="0" w:color="auto"/>
              <w:left w:val="single" w:sz="4" w:space="0" w:color="auto"/>
              <w:bottom w:val="single" w:sz="4" w:space="0" w:color="auto"/>
              <w:right w:val="single" w:sz="8" w:space="0" w:color="auto"/>
            </w:tcBorders>
            <w:vAlign w:val="center"/>
          </w:tcPr>
          <w:p w14:paraId="07EC01D7" w14:textId="77777777" w:rsidR="00E978B3" w:rsidRPr="00BF2CF5" w:rsidRDefault="00E978B3" w:rsidP="006F6F4E">
            <w:pPr>
              <w:spacing w:before="60" w:after="60" w:line="240" w:lineRule="auto"/>
              <w:jc w:val="center"/>
              <w:rPr>
                <w:rFonts w:ascii="Arial" w:hAnsi="Arial"/>
                <w:b/>
                <w:bCs/>
                <w:color w:val="000000" w:themeColor="text1"/>
                <w:sz w:val="14"/>
                <w:szCs w:val="14"/>
              </w:rPr>
            </w:pPr>
          </w:p>
        </w:tc>
        <w:tc>
          <w:tcPr>
            <w:tcW w:w="694" w:type="dxa"/>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040F4FB4" w14:textId="77777777" w:rsidR="00E978B3" w:rsidRDefault="00E978B3" w:rsidP="006F6F4E">
            <w:pPr>
              <w:spacing w:before="60" w:after="60" w:line="240" w:lineRule="auto"/>
              <w:ind w:hanging="27"/>
              <w:jc w:val="center"/>
              <w:rPr>
                <w:rFonts w:ascii="Arial" w:hAnsi="Arial"/>
                <w:sz w:val="14"/>
                <w:szCs w:val="14"/>
              </w:rPr>
            </w:pPr>
            <w:r>
              <w:rPr>
                <w:rFonts w:ascii="Arial" w:hAnsi="Arial"/>
                <w:color w:val="000000"/>
                <w:sz w:val="14"/>
                <w:szCs w:val="14"/>
              </w:rPr>
              <w:t>100</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716183"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86</w:t>
            </w:r>
          </w:p>
        </w:tc>
        <w:tc>
          <w:tcPr>
            <w:tcW w:w="710" w:type="dxa"/>
            <w:tcBorders>
              <w:top w:val="single" w:sz="4" w:space="0" w:color="auto"/>
              <w:left w:val="single" w:sz="4" w:space="0" w:color="auto"/>
              <w:bottom w:val="single" w:sz="4" w:space="0" w:color="auto"/>
              <w:right w:val="single" w:sz="8" w:space="0" w:color="auto"/>
            </w:tcBorders>
            <w:tcMar>
              <w:left w:w="28" w:type="dxa"/>
              <w:right w:w="28" w:type="dxa"/>
            </w:tcMar>
            <w:vAlign w:val="center"/>
          </w:tcPr>
          <w:p w14:paraId="4AB6D67A"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14</w:t>
            </w:r>
          </w:p>
        </w:tc>
        <w:tc>
          <w:tcPr>
            <w:tcW w:w="709" w:type="dxa"/>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634ED1C5"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100</w:t>
            </w:r>
          </w:p>
        </w:tc>
        <w:tc>
          <w:tcPr>
            <w:tcW w:w="708" w:type="dxa"/>
            <w:tcBorders>
              <w:top w:val="single" w:sz="4" w:space="0" w:color="auto"/>
              <w:left w:val="single" w:sz="4" w:space="0" w:color="auto"/>
              <w:bottom w:val="single" w:sz="4" w:space="0" w:color="auto"/>
              <w:right w:val="single" w:sz="4" w:space="0" w:color="auto"/>
            </w:tcBorders>
            <w:vAlign w:val="center"/>
          </w:tcPr>
          <w:p w14:paraId="61D26F65"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59</w:t>
            </w:r>
          </w:p>
        </w:tc>
        <w:tc>
          <w:tcPr>
            <w:tcW w:w="709" w:type="dxa"/>
            <w:tcBorders>
              <w:top w:val="single" w:sz="4" w:space="0" w:color="auto"/>
              <w:left w:val="single" w:sz="4" w:space="0" w:color="auto"/>
              <w:bottom w:val="single" w:sz="4" w:space="0" w:color="auto"/>
              <w:right w:val="single" w:sz="4" w:space="0" w:color="auto"/>
            </w:tcBorders>
            <w:vAlign w:val="center"/>
          </w:tcPr>
          <w:p w14:paraId="6108670E"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41</w:t>
            </w:r>
          </w:p>
        </w:tc>
      </w:tr>
      <w:tr w:rsidR="00E978B3" w:rsidRPr="00BF2CF5" w14:paraId="12480D7F" w14:textId="77777777" w:rsidTr="006F6F4E">
        <w:trPr>
          <w:jc w:val="center"/>
        </w:trPr>
        <w:tc>
          <w:tcPr>
            <w:tcW w:w="284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E84852" w14:textId="77777777" w:rsidR="00E978B3" w:rsidRPr="00BF2CF5" w:rsidRDefault="00E978B3" w:rsidP="006F6F4E">
            <w:pPr>
              <w:spacing w:before="40" w:after="40" w:line="240" w:lineRule="auto"/>
              <w:ind w:left="61"/>
              <w:rPr>
                <w:rFonts w:ascii="Arial" w:eastAsia="Times New Roman" w:hAnsi="Arial"/>
                <w:b/>
                <w:bCs/>
                <w:color w:val="000000" w:themeColor="text1"/>
                <w:sz w:val="14"/>
                <w:szCs w:val="14"/>
                <w:lang w:val="en-GB" w:eastAsia="en-GB"/>
              </w:rPr>
            </w:pPr>
          </w:p>
        </w:tc>
        <w:tc>
          <w:tcPr>
            <w:tcW w:w="1559" w:type="dxa"/>
            <w:tcBorders>
              <w:top w:val="single" w:sz="4" w:space="0" w:color="auto"/>
              <w:left w:val="single" w:sz="4" w:space="0" w:color="auto"/>
              <w:bottom w:val="single" w:sz="4" w:space="0" w:color="auto"/>
              <w:right w:val="single" w:sz="8" w:space="0" w:color="auto"/>
            </w:tcBorders>
            <w:vAlign w:val="center"/>
          </w:tcPr>
          <w:p w14:paraId="322B68ED" w14:textId="77777777" w:rsidR="00E978B3" w:rsidRPr="00BF2CF5" w:rsidRDefault="00E978B3" w:rsidP="006F6F4E">
            <w:pPr>
              <w:spacing w:before="60" w:after="60" w:line="240" w:lineRule="auto"/>
              <w:jc w:val="center"/>
              <w:rPr>
                <w:rFonts w:ascii="Arial" w:hAnsi="Arial"/>
                <w:b/>
                <w:bCs/>
                <w:color w:val="000000" w:themeColor="text1"/>
                <w:sz w:val="14"/>
                <w:szCs w:val="14"/>
              </w:rPr>
            </w:pPr>
          </w:p>
        </w:tc>
        <w:tc>
          <w:tcPr>
            <w:tcW w:w="694" w:type="dxa"/>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46651E98" w14:textId="77777777" w:rsidR="00E978B3" w:rsidRDefault="00E978B3" w:rsidP="006F6F4E">
            <w:pPr>
              <w:spacing w:before="60" w:after="60" w:line="240" w:lineRule="auto"/>
              <w:ind w:hanging="27"/>
              <w:jc w:val="center"/>
              <w:rPr>
                <w:rFonts w:ascii="Arial" w:hAnsi="Arial"/>
                <w:sz w:val="14"/>
                <w:szCs w:val="14"/>
              </w:rPr>
            </w:pPr>
            <w:r>
              <w:rPr>
                <w:rFonts w:ascii="Arial" w:hAnsi="Arial"/>
                <w:color w:val="000000"/>
                <w:sz w:val="14"/>
                <w:szCs w:val="14"/>
              </w:rPr>
              <w:t> </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538689"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 </w:t>
            </w:r>
          </w:p>
        </w:tc>
        <w:tc>
          <w:tcPr>
            <w:tcW w:w="710" w:type="dxa"/>
            <w:tcBorders>
              <w:top w:val="single" w:sz="4" w:space="0" w:color="auto"/>
              <w:left w:val="single" w:sz="4" w:space="0" w:color="auto"/>
              <w:bottom w:val="single" w:sz="4" w:space="0" w:color="auto"/>
              <w:right w:val="single" w:sz="8" w:space="0" w:color="auto"/>
            </w:tcBorders>
            <w:tcMar>
              <w:left w:w="28" w:type="dxa"/>
              <w:right w:w="28" w:type="dxa"/>
            </w:tcMar>
            <w:vAlign w:val="center"/>
          </w:tcPr>
          <w:p w14:paraId="0F5CFD08"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 </w:t>
            </w:r>
          </w:p>
        </w:tc>
        <w:tc>
          <w:tcPr>
            <w:tcW w:w="709" w:type="dxa"/>
            <w:tcBorders>
              <w:top w:val="single" w:sz="4" w:space="0" w:color="auto"/>
              <w:left w:val="single" w:sz="8" w:space="0" w:color="auto"/>
              <w:bottom w:val="single" w:sz="4" w:space="0" w:color="auto"/>
              <w:right w:val="single" w:sz="4" w:space="0" w:color="auto"/>
            </w:tcBorders>
            <w:tcMar>
              <w:left w:w="28" w:type="dxa"/>
              <w:right w:w="28" w:type="dxa"/>
            </w:tcMar>
            <w:vAlign w:val="center"/>
          </w:tcPr>
          <w:p w14:paraId="7D63C56A"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 </w:t>
            </w:r>
          </w:p>
        </w:tc>
        <w:tc>
          <w:tcPr>
            <w:tcW w:w="708" w:type="dxa"/>
            <w:tcBorders>
              <w:top w:val="single" w:sz="4" w:space="0" w:color="auto"/>
              <w:left w:val="single" w:sz="4" w:space="0" w:color="auto"/>
              <w:bottom w:val="single" w:sz="4" w:space="0" w:color="auto"/>
              <w:right w:val="single" w:sz="4" w:space="0" w:color="auto"/>
            </w:tcBorders>
            <w:vAlign w:val="center"/>
          </w:tcPr>
          <w:p w14:paraId="77996578"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 </w:t>
            </w:r>
          </w:p>
        </w:tc>
        <w:tc>
          <w:tcPr>
            <w:tcW w:w="709" w:type="dxa"/>
            <w:tcBorders>
              <w:top w:val="single" w:sz="4" w:space="0" w:color="auto"/>
              <w:left w:val="single" w:sz="4" w:space="0" w:color="auto"/>
              <w:bottom w:val="single" w:sz="4" w:space="0" w:color="auto"/>
              <w:right w:val="single" w:sz="4" w:space="0" w:color="auto"/>
            </w:tcBorders>
            <w:vAlign w:val="center"/>
          </w:tcPr>
          <w:p w14:paraId="52D6B76F" w14:textId="77777777" w:rsidR="00E978B3" w:rsidRDefault="00E978B3" w:rsidP="006F6F4E">
            <w:pPr>
              <w:spacing w:before="60" w:after="60" w:line="240" w:lineRule="auto"/>
              <w:jc w:val="center"/>
              <w:rPr>
                <w:rFonts w:ascii="Arial" w:hAnsi="Arial"/>
                <w:sz w:val="14"/>
                <w:szCs w:val="14"/>
              </w:rPr>
            </w:pPr>
            <w:r>
              <w:rPr>
                <w:rFonts w:ascii="Arial" w:hAnsi="Arial"/>
                <w:color w:val="000000"/>
                <w:sz w:val="14"/>
                <w:szCs w:val="14"/>
              </w:rPr>
              <w:t> </w:t>
            </w:r>
          </w:p>
        </w:tc>
      </w:tr>
      <w:tr w:rsidR="00E978B3" w:rsidRPr="00BF2CF5" w14:paraId="763CA4E5" w14:textId="77777777" w:rsidTr="006F6F4E">
        <w:trPr>
          <w:jc w:val="center"/>
        </w:trPr>
        <w:tc>
          <w:tcPr>
            <w:tcW w:w="2845" w:type="dxa"/>
            <w:tcBorders>
              <w:top w:val="single" w:sz="4" w:space="0" w:color="auto"/>
            </w:tcBorders>
            <w:vAlign w:val="center"/>
          </w:tcPr>
          <w:p w14:paraId="713A7163" w14:textId="77777777" w:rsidR="00E978B3" w:rsidRPr="00BF2CF5" w:rsidRDefault="00E978B3" w:rsidP="006F6F4E">
            <w:pPr>
              <w:spacing w:before="40" w:after="40" w:line="240" w:lineRule="auto"/>
              <w:ind w:left="61"/>
              <w:rPr>
                <w:rFonts w:ascii="Arial" w:eastAsia="Times New Roman" w:hAnsi="Arial"/>
                <w:b/>
                <w:bCs/>
                <w:color w:val="000000" w:themeColor="text1"/>
                <w:sz w:val="14"/>
                <w:szCs w:val="14"/>
                <w:lang w:val="en-GB" w:eastAsia="en-GB"/>
              </w:rPr>
            </w:pPr>
            <w:r w:rsidRPr="00BF2CF5">
              <w:rPr>
                <w:rFonts w:ascii="Arial" w:eastAsia="Times New Roman" w:hAnsi="Arial"/>
                <w:b/>
                <w:bCs/>
                <w:color w:val="000000" w:themeColor="text1"/>
                <w:sz w:val="14"/>
                <w:szCs w:val="14"/>
                <w:lang w:val="en-GB" w:eastAsia="en-GB"/>
              </w:rPr>
              <w:t>Material hardship rate (6+/17 for DEP-17)</w:t>
            </w:r>
          </w:p>
        </w:tc>
        <w:tc>
          <w:tcPr>
            <w:tcW w:w="1559" w:type="dxa"/>
            <w:tcBorders>
              <w:top w:val="single" w:sz="4" w:space="0" w:color="auto"/>
              <w:right w:val="single" w:sz="8" w:space="0" w:color="auto"/>
            </w:tcBorders>
          </w:tcPr>
          <w:p w14:paraId="6A1CE244" w14:textId="77777777" w:rsidR="00E978B3" w:rsidRPr="00BF2CF5" w:rsidRDefault="00E978B3" w:rsidP="006F6F4E">
            <w:pPr>
              <w:spacing w:before="40" w:after="40" w:line="240" w:lineRule="auto"/>
              <w:jc w:val="right"/>
              <w:rPr>
                <w:rFonts w:ascii="Arial" w:eastAsia="Times New Roman" w:hAnsi="Arial"/>
                <w:color w:val="000000" w:themeColor="text1"/>
                <w:sz w:val="14"/>
                <w:szCs w:val="14"/>
              </w:rPr>
            </w:pPr>
          </w:p>
        </w:tc>
        <w:tc>
          <w:tcPr>
            <w:tcW w:w="694" w:type="dxa"/>
            <w:tcBorders>
              <w:top w:val="single" w:sz="4" w:space="0" w:color="auto"/>
              <w:left w:val="single" w:sz="8" w:space="0" w:color="auto"/>
              <w:right w:val="single" w:sz="4" w:space="0" w:color="auto"/>
            </w:tcBorders>
            <w:noWrap/>
            <w:tcMar>
              <w:left w:w="28" w:type="dxa"/>
              <w:right w:w="28" w:type="dxa"/>
            </w:tcMar>
            <w:vAlign w:val="center"/>
          </w:tcPr>
          <w:p w14:paraId="71213BEB" w14:textId="77777777" w:rsidR="00E978B3" w:rsidRPr="00CB74D4" w:rsidRDefault="00E978B3" w:rsidP="006F6F4E">
            <w:pPr>
              <w:spacing w:before="40" w:after="40" w:line="240" w:lineRule="auto"/>
              <w:ind w:hanging="27"/>
              <w:jc w:val="center"/>
              <w:rPr>
                <w:rFonts w:ascii="Arial" w:eastAsia="Times New Roman" w:hAnsi="Arial"/>
                <w:b/>
                <w:bCs/>
                <w:color w:val="000000" w:themeColor="text1"/>
                <w:sz w:val="14"/>
                <w:szCs w:val="14"/>
              </w:rPr>
            </w:pPr>
            <w:r w:rsidRPr="00CB74D4">
              <w:rPr>
                <w:rFonts w:ascii="Arial" w:hAnsi="Arial"/>
                <w:b/>
                <w:bCs/>
                <w:color w:val="000000"/>
                <w:sz w:val="14"/>
                <w:szCs w:val="14"/>
              </w:rPr>
              <w:t>13</w:t>
            </w:r>
          </w:p>
        </w:tc>
        <w:tc>
          <w:tcPr>
            <w:tcW w:w="708" w:type="dxa"/>
            <w:tcBorders>
              <w:top w:val="single" w:sz="4" w:space="0" w:color="auto"/>
              <w:left w:val="single" w:sz="4" w:space="0" w:color="auto"/>
              <w:right w:val="single" w:sz="4" w:space="0" w:color="auto"/>
            </w:tcBorders>
            <w:tcMar>
              <w:left w:w="28" w:type="dxa"/>
              <w:right w:w="28" w:type="dxa"/>
            </w:tcMar>
            <w:vAlign w:val="center"/>
          </w:tcPr>
          <w:p w14:paraId="230491D2" w14:textId="77777777" w:rsidR="00E978B3" w:rsidRPr="00CB74D4" w:rsidRDefault="00E978B3" w:rsidP="006F6F4E">
            <w:pPr>
              <w:spacing w:before="40" w:after="40" w:line="240" w:lineRule="auto"/>
              <w:jc w:val="center"/>
              <w:rPr>
                <w:rFonts w:ascii="Arial" w:eastAsia="Times New Roman" w:hAnsi="Arial"/>
                <w:b/>
                <w:bCs/>
                <w:color w:val="000000" w:themeColor="text1"/>
                <w:sz w:val="14"/>
                <w:szCs w:val="14"/>
              </w:rPr>
            </w:pPr>
            <w:r w:rsidRPr="00CB74D4">
              <w:rPr>
                <w:rFonts w:ascii="Arial" w:hAnsi="Arial"/>
                <w:b/>
                <w:bCs/>
                <w:color w:val="000000"/>
                <w:sz w:val="14"/>
                <w:szCs w:val="14"/>
              </w:rPr>
              <w:t>8</w:t>
            </w:r>
          </w:p>
        </w:tc>
        <w:tc>
          <w:tcPr>
            <w:tcW w:w="710" w:type="dxa"/>
            <w:tcBorders>
              <w:top w:val="single" w:sz="4" w:space="0" w:color="auto"/>
              <w:left w:val="single" w:sz="4" w:space="0" w:color="auto"/>
              <w:right w:val="single" w:sz="8" w:space="0" w:color="auto"/>
            </w:tcBorders>
            <w:tcMar>
              <w:left w:w="28" w:type="dxa"/>
              <w:right w:w="28" w:type="dxa"/>
            </w:tcMar>
            <w:vAlign w:val="center"/>
          </w:tcPr>
          <w:p w14:paraId="015AEB0D" w14:textId="77777777" w:rsidR="00E978B3" w:rsidRPr="00CB74D4" w:rsidRDefault="00E978B3" w:rsidP="006F6F4E">
            <w:pPr>
              <w:spacing w:before="40" w:after="40" w:line="240" w:lineRule="auto"/>
              <w:jc w:val="center"/>
              <w:rPr>
                <w:rFonts w:ascii="Arial" w:eastAsia="Times New Roman" w:hAnsi="Arial"/>
                <w:b/>
                <w:bCs/>
                <w:color w:val="000000" w:themeColor="text1"/>
                <w:sz w:val="14"/>
                <w:szCs w:val="14"/>
              </w:rPr>
            </w:pPr>
            <w:r w:rsidRPr="00CB74D4">
              <w:rPr>
                <w:rFonts w:ascii="Arial" w:hAnsi="Arial"/>
                <w:b/>
                <w:bCs/>
                <w:color w:val="000000"/>
                <w:sz w:val="14"/>
                <w:szCs w:val="14"/>
              </w:rPr>
              <w:t>44</w:t>
            </w:r>
          </w:p>
        </w:tc>
        <w:tc>
          <w:tcPr>
            <w:tcW w:w="709" w:type="dxa"/>
            <w:tcBorders>
              <w:top w:val="single" w:sz="4" w:space="0" w:color="auto"/>
              <w:left w:val="single" w:sz="8" w:space="0" w:color="auto"/>
              <w:right w:val="single" w:sz="4" w:space="0" w:color="auto"/>
            </w:tcBorders>
            <w:tcMar>
              <w:left w:w="28" w:type="dxa"/>
              <w:right w:w="28" w:type="dxa"/>
            </w:tcMar>
            <w:vAlign w:val="center"/>
          </w:tcPr>
          <w:p w14:paraId="17F80952" w14:textId="77777777" w:rsidR="00E978B3" w:rsidRPr="00CB74D4" w:rsidRDefault="00E978B3" w:rsidP="006F6F4E">
            <w:pPr>
              <w:spacing w:before="40" w:after="40" w:line="240" w:lineRule="auto"/>
              <w:jc w:val="center"/>
              <w:rPr>
                <w:rFonts w:ascii="Arial" w:eastAsia="Times New Roman" w:hAnsi="Arial"/>
                <w:b/>
                <w:bCs/>
                <w:color w:val="000000" w:themeColor="text1"/>
                <w:sz w:val="14"/>
                <w:szCs w:val="14"/>
              </w:rPr>
            </w:pPr>
            <w:r w:rsidRPr="00CB74D4">
              <w:rPr>
                <w:rFonts w:ascii="Arial" w:hAnsi="Arial"/>
                <w:b/>
                <w:bCs/>
                <w:color w:val="000000"/>
                <w:sz w:val="14"/>
                <w:szCs w:val="14"/>
              </w:rPr>
              <w:t>29</w:t>
            </w:r>
          </w:p>
        </w:tc>
        <w:tc>
          <w:tcPr>
            <w:tcW w:w="708" w:type="dxa"/>
            <w:tcBorders>
              <w:top w:val="single" w:sz="4" w:space="0" w:color="auto"/>
              <w:left w:val="single" w:sz="4" w:space="0" w:color="auto"/>
              <w:right w:val="single" w:sz="4" w:space="0" w:color="auto"/>
            </w:tcBorders>
            <w:vAlign w:val="center"/>
          </w:tcPr>
          <w:p w14:paraId="218A6017" w14:textId="77777777" w:rsidR="00E978B3" w:rsidRPr="00CB74D4" w:rsidRDefault="00E978B3" w:rsidP="006F6F4E">
            <w:pPr>
              <w:spacing w:before="40" w:after="40" w:line="240" w:lineRule="auto"/>
              <w:jc w:val="center"/>
              <w:rPr>
                <w:rFonts w:ascii="Arial" w:eastAsia="Times New Roman" w:hAnsi="Arial"/>
                <w:b/>
                <w:bCs/>
                <w:color w:val="000000" w:themeColor="text1"/>
                <w:sz w:val="14"/>
                <w:szCs w:val="14"/>
              </w:rPr>
            </w:pPr>
            <w:r w:rsidRPr="00CB74D4">
              <w:rPr>
                <w:rFonts w:ascii="Arial" w:hAnsi="Arial"/>
                <w:b/>
                <w:bCs/>
                <w:color w:val="000000"/>
                <w:sz w:val="14"/>
                <w:szCs w:val="14"/>
              </w:rPr>
              <w:t>17</w:t>
            </w:r>
          </w:p>
        </w:tc>
        <w:tc>
          <w:tcPr>
            <w:tcW w:w="709" w:type="dxa"/>
            <w:tcBorders>
              <w:top w:val="single" w:sz="4" w:space="0" w:color="auto"/>
              <w:left w:val="single" w:sz="4" w:space="0" w:color="auto"/>
              <w:right w:val="single" w:sz="4" w:space="0" w:color="auto"/>
            </w:tcBorders>
            <w:vAlign w:val="center"/>
          </w:tcPr>
          <w:p w14:paraId="54951467" w14:textId="77777777" w:rsidR="00E978B3" w:rsidRPr="00CB74D4" w:rsidRDefault="00E978B3" w:rsidP="006F6F4E">
            <w:pPr>
              <w:spacing w:before="40" w:after="40" w:line="240" w:lineRule="auto"/>
              <w:jc w:val="center"/>
              <w:rPr>
                <w:rFonts w:ascii="Arial" w:eastAsia="Times New Roman" w:hAnsi="Arial"/>
                <w:b/>
                <w:bCs/>
                <w:color w:val="000000" w:themeColor="text1"/>
                <w:sz w:val="14"/>
                <w:szCs w:val="14"/>
              </w:rPr>
            </w:pPr>
            <w:r w:rsidRPr="00CB74D4">
              <w:rPr>
                <w:rFonts w:ascii="Arial" w:hAnsi="Arial"/>
                <w:b/>
                <w:bCs/>
                <w:color w:val="000000"/>
                <w:sz w:val="14"/>
                <w:szCs w:val="14"/>
              </w:rPr>
              <w:t>47</w:t>
            </w:r>
          </w:p>
        </w:tc>
      </w:tr>
      <w:tr w:rsidR="00E978B3" w:rsidRPr="00BF2CF5" w14:paraId="19DDE5A2" w14:textId="77777777" w:rsidTr="006F6F4E">
        <w:trPr>
          <w:jc w:val="center"/>
        </w:trPr>
        <w:tc>
          <w:tcPr>
            <w:tcW w:w="2845" w:type="dxa"/>
            <w:tcBorders>
              <w:top w:val="single" w:sz="4" w:space="0" w:color="auto"/>
            </w:tcBorders>
            <w:vAlign w:val="center"/>
          </w:tcPr>
          <w:p w14:paraId="0F8ED5E3" w14:textId="77777777" w:rsidR="00E978B3" w:rsidRPr="00BF2CF5" w:rsidRDefault="00E978B3" w:rsidP="006F6F4E">
            <w:pPr>
              <w:spacing w:before="40" w:after="40" w:line="240" w:lineRule="auto"/>
              <w:ind w:left="61"/>
              <w:rPr>
                <w:rFonts w:ascii="Arial" w:eastAsia="Times New Roman" w:hAnsi="Arial"/>
                <w:b/>
                <w:bCs/>
                <w:color w:val="000000" w:themeColor="text1"/>
                <w:sz w:val="14"/>
                <w:szCs w:val="14"/>
                <w:lang w:val="en-GB" w:eastAsia="en-GB"/>
              </w:rPr>
            </w:pPr>
          </w:p>
        </w:tc>
        <w:tc>
          <w:tcPr>
            <w:tcW w:w="1559" w:type="dxa"/>
            <w:tcBorders>
              <w:top w:val="single" w:sz="4" w:space="0" w:color="auto"/>
              <w:right w:val="single" w:sz="8" w:space="0" w:color="auto"/>
            </w:tcBorders>
          </w:tcPr>
          <w:p w14:paraId="75B02021" w14:textId="77777777" w:rsidR="00E978B3" w:rsidRPr="00BF2CF5" w:rsidRDefault="00E978B3" w:rsidP="006F6F4E">
            <w:pPr>
              <w:spacing w:before="40" w:after="40" w:line="240" w:lineRule="auto"/>
              <w:jc w:val="right"/>
              <w:rPr>
                <w:rFonts w:ascii="Arial" w:eastAsia="Times New Roman" w:hAnsi="Arial"/>
                <w:color w:val="000000" w:themeColor="text1"/>
                <w:sz w:val="14"/>
                <w:szCs w:val="14"/>
              </w:rPr>
            </w:pPr>
          </w:p>
        </w:tc>
        <w:tc>
          <w:tcPr>
            <w:tcW w:w="694" w:type="dxa"/>
            <w:tcBorders>
              <w:top w:val="single" w:sz="4" w:space="0" w:color="auto"/>
              <w:left w:val="single" w:sz="8" w:space="0" w:color="auto"/>
              <w:right w:val="single" w:sz="4" w:space="0" w:color="auto"/>
            </w:tcBorders>
            <w:noWrap/>
            <w:tcMar>
              <w:left w:w="28" w:type="dxa"/>
              <w:right w:w="28" w:type="dxa"/>
            </w:tcMar>
            <w:vAlign w:val="center"/>
          </w:tcPr>
          <w:p w14:paraId="00CD9AD0" w14:textId="77777777" w:rsidR="00E978B3" w:rsidRPr="00BF2CF5" w:rsidRDefault="00E978B3" w:rsidP="006F6F4E">
            <w:pPr>
              <w:spacing w:before="40" w:after="40" w:line="240" w:lineRule="auto"/>
              <w:ind w:hanging="27"/>
              <w:jc w:val="right"/>
              <w:rPr>
                <w:rFonts w:ascii="Arial" w:eastAsia="Times New Roman" w:hAnsi="Arial"/>
                <w:color w:val="000000" w:themeColor="text1"/>
                <w:sz w:val="14"/>
                <w:szCs w:val="14"/>
              </w:rPr>
            </w:pPr>
            <w:r>
              <w:rPr>
                <w:rFonts w:ascii="Arial" w:hAnsi="Arial"/>
                <w:color w:val="0000FF"/>
                <w:sz w:val="14"/>
                <w:szCs w:val="14"/>
              </w:rPr>
              <w:t> </w:t>
            </w:r>
          </w:p>
        </w:tc>
        <w:tc>
          <w:tcPr>
            <w:tcW w:w="708" w:type="dxa"/>
            <w:tcBorders>
              <w:top w:val="single" w:sz="4" w:space="0" w:color="auto"/>
              <w:left w:val="single" w:sz="4" w:space="0" w:color="auto"/>
              <w:right w:val="single" w:sz="4" w:space="0" w:color="auto"/>
            </w:tcBorders>
            <w:tcMar>
              <w:left w:w="28" w:type="dxa"/>
              <w:right w:w="28" w:type="dxa"/>
            </w:tcMar>
            <w:vAlign w:val="center"/>
          </w:tcPr>
          <w:p w14:paraId="6AB8C4BF"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c>
          <w:tcPr>
            <w:tcW w:w="710" w:type="dxa"/>
            <w:tcBorders>
              <w:top w:val="single" w:sz="4" w:space="0" w:color="auto"/>
              <w:left w:val="single" w:sz="4" w:space="0" w:color="auto"/>
              <w:right w:val="single" w:sz="8" w:space="0" w:color="auto"/>
            </w:tcBorders>
            <w:tcMar>
              <w:left w:w="28" w:type="dxa"/>
              <w:right w:w="28" w:type="dxa"/>
            </w:tcMar>
            <w:vAlign w:val="center"/>
          </w:tcPr>
          <w:p w14:paraId="4D60D384"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c>
          <w:tcPr>
            <w:tcW w:w="709" w:type="dxa"/>
            <w:tcBorders>
              <w:top w:val="single" w:sz="4" w:space="0" w:color="auto"/>
              <w:left w:val="single" w:sz="8" w:space="0" w:color="auto"/>
              <w:right w:val="single" w:sz="4" w:space="0" w:color="auto"/>
            </w:tcBorders>
            <w:tcMar>
              <w:left w:w="28" w:type="dxa"/>
              <w:right w:w="28" w:type="dxa"/>
            </w:tcMar>
            <w:vAlign w:val="center"/>
          </w:tcPr>
          <w:p w14:paraId="169F4520"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color w:val="0000FF"/>
                <w:sz w:val="14"/>
                <w:szCs w:val="14"/>
              </w:rPr>
              <w:t> </w:t>
            </w:r>
          </w:p>
        </w:tc>
        <w:tc>
          <w:tcPr>
            <w:tcW w:w="708" w:type="dxa"/>
            <w:tcBorders>
              <w:top w:val="single" w:sz="4" w:space="0" w:color="auto"/>
              <w:left w:val="single" w:sz="4" w:space="0" w:color="auto"/>
              <w:right w:val="single" w:sz="4" w:space="0" w:color="auto"/>
            </w:tcBorders>
            <w:vAlign w:val="center"/>
          </w:tcPr>
          <w:p w14:paraId="772B8BC0"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c>
          <w:tcPr>
            <w:tcW w:w="709" w:type="dxa"/>
            <w:tcBorders>
              <w:top w:val="single" w:sz="4" w:space="0" w:color="auto"/>
              <w:left w:val="single" w:sz="4" w:space="0" w:color="auto"/>
              <w:right w:val="single" w:sz="4" w:space="0" w:color="auto"/>
            </w:tcBorders>
            <w:vAlign w:val="center"/>
          </w:tcPr>
          <w:p w14:paraId="5C9D4E9E"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r>
      <w:tr w:rsidR="00E978B3" w:rsidRPr="00BF2CF5" w14:paraId="02D30BC6" w14:textId="77777777" w:rsidTr="006F6F4E">
        <w:trPr>
          <w:jc w:val="center"/>
        </w:trPr>
        <w:tc>
          <w:tcPr>
            <w:tcW w:w="2845" w:type="dxa"/>
            <w:tcBorders>
              <w:top w:val="single" w:sz="4" w:space="0" w:color="auto"/>
            </w:tcBorders>
            <w:vAlign w:val="center"/>
          </w:tcPr>
          <w:p w14:paraId="70BF3058" w14:textId="77777777" w:rsidR="00E978B3" w:rsidRPr="00BF2CF5" w:rsidRDefault="00E978B3" w:rsidP="006F6F4E">
            <w:pPr>
              <w:spacing w:before="40" w:after="40" w:line="240" w:lineRule="auto"/>
              <w:ind w:left="61"/>
              <w:rPr>
                <w:rFonts w:ascii="Arial" w:eastAsia="Times New Roman" w:hAnsi="Arial"/>
                <w:b/>
                <w:color w:val="000000" w:themeColor="text1"/>
                <w:sz w:val="14"/>
                <w:szCs w:val="14"/>
              </w:rPr>
            </w:pPr>
            <w:r w:rsidRPr="00BF2CF5">
              <w:rPr>
                <w:rFonts w:ascii="Arial" w:eastAsia="Times New Roman" w:hAnsi="Arial"/>
                <w:b/>
                <w:bCs/>
                <w:color w:val="000000" w:themeColor="text1"/>
                <w:sz w:val="14"/>
                <w:szCs w:val="14"/>
                <w:lang w:val="en-GB" w:eastAsia="en-GB"/>
              </w:rPr>
              <w:t>Child-relevant general household items</w:t>
            </w:r>
          </w:p>
        </w:tc>
        <w:tc>
          <w:tcPr>
            <w:tcW w:w="1559" w:type="dxa"/>
            <w:tcBorders>
              <w:top w:val="single" w:sz="4" w:space="0" w:color="auto"/>
              <w:right w:val="single" w:sz="8" w:space="0" w:color="auto"/>
            </w:tcBorders>
          </w:tcPr>
          <w:p w14:paraId="71AE9E85" w14:textId="77777777" w:rsidR="00E978B3" w:rsidRPr="00BF2CF5" w:rsidRDefault="00E978B3" w:rsidP="006F6F4E">
            <w:pPr>
              <w:spacing w:before="40" w:after="40" w:line="240" w:lineRule="auto"/>
              <w:jc w:val="right"/>
              <w:rPr>
                <w:rFonts w:ascii="Arial" w:eastAsia="Times New Roman" w:hAnsi="Arial"/>
                <w:color w:val="000000" w:themeColor="text1"/>
                <w:sz w:val="14"/>
                <w:szCs w:val="14"/>
              </w:rPr>
            </w:pPr>
          </w:p>
        </w:tc>
        <w:tc>
          <w:tcPr>
            <w:tcW w:w="694" w:type="dxa"/>
            <w:tcBorders>
              <w:top w:val="single" w:sz="4" w:space="0" w:color="auto"/>
              <w:left w:val="single" w:sz="8" w:space="0" w:color="auto"/>
              <w:right w:val="single" w:sz="4" w:space="0" w:color="auto"/>
            </w:tcBorders>
            <w:noWrap/>
            <w:tcMar>
              <w:left w:w="28" w:type="dxa"/>
              <w:right w:w="28" w:type="dxa"/>
            </w:tcMar>
            <w:vAlign w:val="center"/>
          </w:tcPr>
          <w:p w14:paraId="53044C93" w14:textId="77777777" w:rsidR="00E978B3" w:rsidRPr="00BF2CF5" w:rsidRDefault="00E978B3" w:rsidP="006F6F4E">
            <w:pPr>
              <w:spacing w:before="40" w:after="40" w:line="240" w:lineRule="auto"/>
              <w:ind w:hanging="27"/>
              <w:jc w:val="right"/>
              <w:rPr>
                <w:rFonts w:ascii="Arial" w:eastAsia="Times New Roman" w:hAnsi="Arial"/>
                <w:color w:val="000000" w:themeColor="text1"/>
                <w:sz w:val="14"/>
                <w:szCs w:val="14"/>
              </w:rPr>
            </w:pPr>
            <w:r>
              <w:rPr>
                <w:rFonts w:ascii="Arial" w:hAnsi="Arial"/>
                <w:color w:val="0000FF"/>
                <w:sz w:val="14"/>
                <w:szCs w:val="14"/>
              </w:rPr>
              <w:t> </w:t>
            </w:r>
          </w:p>
        </w:tc>
        <w:tc>
          <w:tcPr>
            <w:tcW w:w="708" w:type="dxa"/>
            <w:tcBorders>
              <w:top w:val="single" w:sz="4" w:space="0" w:color="auto"/>
              <w:left w:val="single" w:sz="4" w:space="0" w:color="auto"/>
              <w:right w:val="single" w:sz="4" w:space="0" w:color="auto"/>
            </w:tcBorders>
            <w:tcMar>
              <w:left w:w="28" w:type="dxa"/>
              <w:right w:w="28" w:type="dxa"/>
            </w:tcMar>
            <w:vAlign w:val="center"/>
          </w:tcPr>
          <w:p w14:paraId="66FA91C5"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c>
          <w:tcPr>
            <w:tcW w:w="710" w:type="dxa"/>
            <w:tcBorders>
              <w:top w:val="single" w:sz="4" w:space="0" w:color="auto"/>
              <w:left w:val="single" w:sz="4" w:space="0" w:color="auto"/>
              <w:right w:val="single" w:sz="8" w:space="0" w:color="auto"/>
            </w:tcBorders>
            <w:tcMar>
              <w:left w:w="28" w:type="dxa"/>
              <w:right w:w="28" w:type="dxa"/>
            </w:tcMar>
            <w:vAlign w:val="center"/>
          </w:tcPr>
          <w:p w14:paraId="35B721C3"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c>
          <w:tcPr>
            <w:tcW w:w="709" w:type="dxa"/>
            <w:tcBorders>
              <w:top w:val="single" w:sz="4" w:space="0" w:color="auto"/>
              <w:left w:val="single" w:sz="8" w:space="0" w:color="auto"/>
              <w:right w:val="single" w:sz="4" w:space="0" w:color="auto"/>
            </w:tcBorders>
            <w:tcMar>
              <w:left w:w="28" w:type="dxa"/>
              <w:right w:w="28" w:type="dxa"/>
            </w:tcMar>
            <w:vAlign w:val="center"/>
          </w:tcPr>
          <w:p w14:paraId="4D96FE98"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color w:val="0000FF"/>
                <w:sz w:val="14"/>
                <w:szCs w:val="14"/>
              </w:rPr>
              <w:t> </w:t>
            </w:r>
          </w:p>
        </w:tc>
        <w:tc>
          <w:tcPr>
            <w:tcW w:w="708" w:type="dxa"/>
            <w:tcBorders>
              <w:top w:val="single" w:sz="4" w:space="0" w:color="auto"/>
              <w:left w:val="single" w:sz="4" w:space="0" w:color="auto"/>
              <w:right w:val="single" w:sz="4" w:space="0" w:color="auto"/>
            </w:tcBorders>
            <w:vAlign w:val="center"/>
          </w:tcPr>
          <w:p w14:paraId="34B1F55F"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c>
          <w:tcPr>
            <w:tcW w:w="709" w:type="dxa"/>
            <w:tcBorders>
              <w:top w:val="single" w:sz="4" w:space="0" w:color="auto"/>
              <w:left w:val="single" w:sz="4" w:space="0" w:color="auto"/>
              <w:right w:val="single" w:sz="4" w:space="0" w:color="auto"/>
            </w:tcBorders>
            <w:vAlign w:val="center"/>
          </w:tcPr>
          <w:p w14:paraId="2A1F036C"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rPr>
            </w:pPr>
            <w:r>
              <w:rPr>
                <w:rFonts w:ascii="Arial" w:hAnsi="Arial"/>
                <w:b/>
                <w:bCs/>
                <w:color w:val="000000"/>
                <w:sz w:val="14"/>
                <w:szCs w:val="14"/>
              </w:rPr>
              <w:t> </w:t>
            </w:r>
          </w:p>
        </w:tc>
      </w:tr>
      <w:tr w:rsidR="00E978B3" w:rsidRPr="00BF2CF5" w14:paraId="7C014398" w14:textId="77777777" w:rsidTr="006F6F4E">
        <w:trPr>
          <w:jc w:val="center"/>
        </w:trPr>
        <w:tc>
          <w:tcPr>
            <w:tcW w:w="2845" w:type="dxa"/>
            <w:vAlign w:val="center"/>
          </w:tcPr>
          <w:p w14:paraId="75774D9E"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Pr>
                <w:rFonts w:ascii="Arial" w:hAnsi="Arial"/>
                <w:color w:val="000000"/>
                <w:sz w:val="14"/>
                <w:szCs w:val="14"/>
              </w:rPr>
              <w:t>Income adequacy for basics</w:t>
            </w:r>
          </w:p>
        </w:tc>
        <w:tc>
          <w:tcPr>
            <w:tcW w:w="1559" w:type="dxa"/>
            <w:tcBorders>
              <w:right w:val="single" w:sz="8" w:space="0" w:color="auto"/>
            </w:tcBorders>
            <w:vAlign w:val="center"/>
          </w:tcPr>
          <w:p w14:paraId="7CE9AA6C"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Pr>
                <w:rFonts w:ascii="Arial" w:hAnsi="Arial"/>
                <w:color w:val="000000"/>
                <w:sz w:val="14"/>
                <w:szCs w:val="14"/>
              </w:rPr>
              <w:t>not enough</w:t>
            </w:r>
          </w:p>
        </w:tc>
        <w:tc>
          <w:tcPr>
            <w:tcW w:w="694" w:type="dxa"/>
            <w:tcBorders>
              <w:left w:val="single" w:sz="8" w:space="0" w:color="auto"/>
              <w:right w:val="single" w:sz="4" w:space="0" w:color="auto"/>
            </w:tcBorders>
            <w:noWrap/>
            <w:tcMar>
              <w:left w:w="28" w:type="dxa"/>
              <w:right w:w="28" w:type="dxa"/>
            </w:tcMar>
            <w:vAlign w:val="center"/>
          </w:tcPr>
          <w:p w14:paraId="2B3BE41A"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14</w:t>
            </w:r>
          </w:p>
        </w:tc>
        <w:tc>
          <w:tcPr>
            <w:tcW w:w="708" w:type="dxa"/>
            <w:tcBorders>
              <w:left w:val="single" w:sz="4" w:space="0" w:color="auto"/>
              <w:right w:val="single" w:sz="4" w:space="0" w:color="auto"/>
            </w:tcBorders>
            <w:tcMar>
              <w:left w:w="28" w:type="dxa"/>
              <w:right w:w="28" w:type="dxa"/>
            </w:tcMar>
            <w:vAlign w:val="center"/>
          </w:tcPr>
          <w:p w14:paraId="33AA7E75"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10</w:t>
            </w:r>
          </w:p>
        </w:tc>
        <w:tc>
          <w:tcPr>
            <w:tcW w:w="710" w:type="dxa"/>
            <w:tcBorders>
              <w:left w:val="single" w:sz="4" w:space="0" w:color="auto"/>
              <w:right w:val="single" w:sz="8" w:space="0" w:color="auto"/>
            </w:tcBorders>
            <w:tcMar>
              <w:left w:w="28" w:type="dxa"/>
              <w:right w:w="28" w:type="dxa"/>
            </w:tcMar>
            <w:vAlign w:val="center"/>
          </w:tcPr>
          <w:p w14:paraId="2EC20D25"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38</w:t>
            </w:r>
          </w:p>
        </w:tc>
        <w:tc>
          <w:tcPr>
            <w:tcW w:w="709" w:type="dxa"/>
            <w:tcBorders>
              <w:left w:val="single" w:sz="8" w:space="0" w:color="auto"/>
              <w:right w:val="single" w:sz="4" w:space="0" w:color="auto"/>
            </w:tcBorders>
            <w:tcMar>
              <w:left w:w="28" w:type="dxa"/>
              <w:right w:w="28" w:type="dxa"/>
            </w:tcMar>
            <w:vAlign w:val="center"/>
          </w:tcPr>
          <w:p w14:paraId="657F1895"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30</w:t>
            </w:r>
          </w:p>
        </w:tc>
        <w:tc>
          <w:tcPr>
            <w:tcW w:w="708" w:type="dxa"/>
            <w:tcBorders>
              <w:left w:val="single" w:sz="4" w:space="0" w:color="auto"/>
              <w:right w:val="single" w:sz="4" w:space="0" w:color="auto"/>
            </w:tcBorders>
            <w:vAlign w:val="center"/>
          </w:tcPr>
          <w:p w14:paraId="57DF0BA8"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21</w:t>
            </w:r>
          </w:p>
        </w:tc>
        <w:tc>
          <w:tcPr>
            <w:tcW w:w="709" w:type="dxa"/>
            <w:tcBorders>
              <w:left w:val="single" w:sz="4" w:space="0" w:color="auto"/>
              <w:right w:val="single" w:sz="4" w:space="0" w:color="auto"/>
            </w:tcBorders>
            <w:vAlign w:val="center"/>
          </w:tcPr>
          <w:p w14:paraId="22CF0BB7"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42</w:t>
            </w:r>
          </w:p>
        </w:tc>
      </w:tr>
      <w:tr w:rsidR="00E978B3" w:rsidRPr="00BF2CF5" w14:paraId="4EDD0312" w14:textId="77777777" w:rsidTr="006F6F4E">
        <w:trPr>
          <w:jc w:val="center"/>
        </w:trPr>
        <w:tc>
          <w:tcPr>
            <w:tcW w:w="2845" w:type="dxa"/>
            <w:vAlign w:val="center"/>
          </w:tcPr>
          <w:p w14:paraId="578B0F6F" w14:textId="77777777" w:rsidR="00E978B3" w:rsidRPr="00BF2CF5" w:rsidRDefault="00E978B3" w:rsidP="006F6F4E">
            <w:pPr>
              <w:spacing w:before="40" w:after="40" w:line="240" w:lineRule="auto"/>
              <w:ind w:left="176"/>
              <w:rPr>
                <w:rFonts w:ascii="Arial" w:hAnsi="Arial"/>
                <w:color w:val="000000" w:themeColor="text1"/>
                <w:sz w:val="14"/>
                <w:szCs w:val="14"/>
              </w:rPr>
            </w:pPr>
            <w:r>
              <w:rPr>
                <w:rFonts w:ascii="Arial" w:hAnsi="Arial"/>
                <w:color w:val="000000"/>
                <w:sz w:val="14"/>
                <w:szCs w:val="14"/>
              </w:rPr>
              <w:t>Income adequacy for basics</w:t>
            </w:r>
          </w:p>
        </w:tc>
        <w:tc>
          <w:tcPr>
            <w:tcW w:w="1559" w:type="dxa"/>
            <w:tcBorders>
              <w:right w:val="single" w:sz="8" w:space="0" w:color="auto"/>
            </w:tcBorders>
            <w:vAlign w:val="center"/>
          </w:tcPr>
          <w:p w14:paraId="0CDC00DA" w14:textId="77777777" w:rsidR="00E978B3" w:rsidRPr="00BF2CF5" w:rsidRDefault="00E978B3" w:rsidP="006F6F4E">
            <w:pPr>
              <w:spacing w:before="40" w:after="40" w:line="240" w:lineRule="auto"/>
              <w:rPr>
                <w:rFonts w:ascii="Arial" w:hAnsi="Arial"/>
                <w:color w:val="000000" w:themeColor="text1"/>
                <w:sz w:val="14"/>
                <w:szCs w:val="14"/>
              </w:rPr>
            </w:pPr>
            <w:r>
              <w:rPr>
                <w:rFonts w:ascii="Arial" w:hAnsi="Arial"/>
                <w:color w:val="000000"/>
                <w:sz w:val="14"/>
                <w:szCs w:val="14"/>
              </w:rPr>
              <w:t>just enough</w:t>
            </w:r>
          </w:p>
        </w:tc>
        <w:tc>
          <w:tcPr>
            <w:tcW w:w="694" w:type="dxa"/>
            <w:tcBorders>
              <w:left w:val="single" w:sz="8" w:space="0" w:color="auto"/>
              <w:right w:val="single" w:sz="4" w:space="0" w:color="auto"/>
            </w:tcBorders>
            <w:noWrap/>
            <w:tcMar>
              <w:left w:w="28" w:type="dxa"/>
              <w:right w:w="28" w:type="dxa"/>
            </w:tcMar>
            <w:vAlign w:val="center"/>
          </w:tcPr>
          <w:p w14:paraId="6F195168" w14:textId="77777777" w:rsidR="00E978B3" w:rsidRDefault="00E978B3" w:rsidP="006F6F4E">
            <w:pPr>
              <w:spacing w:before="40" w:after="40" w:line="240" w:lineRule="auto"/>
              <w:ind w:right="-40" w:hanging="27"/>
              <w:jc w:val="center"/>
              <w:rPr>
                <w:rFonts w:ascii="Arial" w:hAnsi="Arial"/>
                <w:sz w:val="14"/>
                <w:szCs w:val="14"/>
              </w:rPr>
            </w:pPr>
            <w:r>
              <w:rPr>
                <w:rFonts w:ascii="Arial" w:hAnsi="Arial"/>
                <w:sz w:val="14"/>
                <w:szCs w:val="14"/>
              </w:rPr>
              <w:t>32</w:t>
            </w:r>
          </w:p>
        </w:tc>
        <w:tc>
          <w:tcPr>
            <w:tcW w:w="708" w:type="dxa"/>
            <w:tcBorders>
              <w:left w:val="single" w:sz="4" w:space="0" w:color="auto"/>
              <w:right w:val="single" w:sz="4" w:space="0" w:color="auto"/>
            </w:tcBorders>
            <w:tcMar>
              <w:left w:w="28" w:type="dxa"/>
              <w:right w:w="28" w:type="dxa"/>
            </w:tcMar>
            <w:vAlign w:val="center"/>
          </w:tcPr>
          <w:p w14:paraId="3954F50C" w14:textId="77777777" w:rsidR="00E978B3" w:rsidRDefault="00E978B3" w:rsidP="006F6F4E">
            <w:pPr>
              <w:spacing w:before="40" w:after="40" w:line="240" w:lineRule="auto"/>
              <w:jc w:val="center"/>
              <w:rPr>
                <w:rFonts w:ascii="Arial" w:hAnsi="Arial"/>
                <w:color w:val="000000"/>
                <w:sz w:val="14"/>
                <w:szCs w:val="14"/>
              </w:rPr>
            </w:pPr>
            <w:r>
              <w:rPr>
                <w:rFonts w:ascii="Arial" w:hAnsi="Arial"/>
                <w:color w:val="000000"/>
                <w:sz w:val="14"/>
                <w:szCs w:val="14"/>
              </w:rPr>
              <w:t>30</w:t>
            </w:r>
          </w:p>
        </w:tc>
        <w:tc>
          <w:tcPr>
            <w:tcW w:w="710" w:type="dxa"/>
            <w:tcBorders>
              <w:left w:val="single" w:sz="4" w:space="0" w:color="auto"/>
              <w:right w:val="single" w:sz="8" w:space="0" w:color="auto"/>
            </w:tcBorders>
            <w:tcMar>
              <w:left w:w="28" w:type="dxa"/>
              <w:right w:w="28" w:type="dxa"/>
            </w:tcMar>
            <w:vAlign w:val="center"/>
          </w:tcPr>
          <w:p w14:paraId="0B49A75A" w14:textId="77777777" w:rsidR="00E978B3" w:rsidRDefault="00E978B3" w:rsidP="006F6F4E">
            <w:pPr>
              <w:spacing w:before="40" w:after="40" w:line="240" w:lineRule="auto"/>
              <w:jc w:val="center"/>
              <w:rPr>
                <w:rFonts w:ascii="Arial" w:hAnsi="Arial"/>
                <w:color w:val="000000"/>
                <w:sz w:val="14"/>
                <w:szCs w:val="14"/>
              </w:rPr>
            </w:pPr>
            <w:r>
              <w:rPr>
                <w:rFonts w:ascii="Arial" w:hAnsi="Arial"/>
                <w:color w:val="000000"/>
                <w:sz w:val="14"/>
                <w:szCs w:val="14"/>
              </w:rPr>
              <w:t>44</w:t>
            </w:r>
          </w:p>
        </w:tc>
        <w:tc>
          <w:tcPr>
            <w:tcW w:w="709" w:type="dxa"/>
            <w:tcBorders>
              <w:left w:val="single" w:sz="8" w:space="0" w:color="auto"/>
              <w:right w:val="single" w:sz="4" w:space="0" w:color="auto"/>
            </w:tcBorders>
            <w:tcMar>
              <w:left w:w="28" w:type="dxa"/>
              <w:right w:w="28" w:type="dxa"/>
            </w:tcMar>
            <w:vAlign w:val="center"/>
          </w:tcPr>
          <w:p w14:paraId="23A5E0F1" w14:textId="77777777" w:rsidR="00E978B3" w:rsidRDefault="00E978B3" w:rsidP="006F6F4E">
            <w:pPr>
              <w:spacing w:before="40" w:after="40" w:line="240" w:lineRule="auto"/>
              <w:jc w:val="center"/>
              <w:rPr>
                <w:rFonts w:ascii="Arial" w:hAnsi="Arial"/>
                <w:sz w:val="14"/>
                <w:szCs w:val="14"/>
              </w:rPr>
            </w:pPr>
            <w:r>
              <w:rPr>
                <w:rFonts w:ascii="Arial" w:hAnsi="Arial"/>
                <w:sz w:val="14"/>
                <w:szCs w:val="14"/>
              </w:rPr>
              <w:t>43</w:t>
            </w:r>
          </w:p>
        </w:tc>
        <w:tc>
          <w:tcPr>
            <w:tcW w:w="708" w:type="dxa"/>
            <w:tcBorders>
              <w:left w:val="single" w:sz="4" w:space="0" w:color="auto"/>
              <w:right w:val="single" w:sz="4" w:space="0" w:color="auto"/>
            </w:tcBorders>
            <w:vAlign w:val="center"/>
          </w:tcPr>
          <w:p w14:paraId="2DB34EB3" w14:textId="77777777" w:rsidR="00E978B3" w:rsidRDefault="00E978B3" w:rsidP="006F6F4E">
            <w:pPr>
              <w:spacing w:before="40" w:after="40" w:line="240" w:lineRule="auto"/>
              <w:jc w:val="center"/>
              <w:rPr>
                <w:rFonts w:ascii="Arial" w:hAnsi="Arial"/>
                <w:color w:val="000000"/>
                <w:sz w:val="14"/>
                <w:szCs w:val="14"/>
              </w:rPr>
            </w:pPr>
            <w:r>
              <w:rPr>
                <w:rFonts w:ascii="Arial" w:hAnsi="Arial"/>
                <w:color w:val="000000"/>
                <w:sz w:val="14"/>
                <w:szCs w:val="14"/>
              </w:rPr>
              <w:t>44</w:t>
            </w:r>
          </w:p>
        </w:tc>
        <w:tc>
          <w:tcPr>
            <w:tcW w:w="709" w:type="dxa"/>
            <w:tcBorders>
              <w:left w:val="single" w:sz="4" w:space="0" w:color="auto"/>
              <w:right w:val="single" w:sz="4" w:space="0" w:color="auto"/>
            </w:tcBorders>
            <w:vAlign w:val="center"/>
          </w:tcPr>
          <w:p w14:paraId="52DEF800" w14:textId="77777777" w:rsidR="00E978B3" w:rsidRDefault="00E978B3" w:rsidP="006F6F4E">
            <w:pPr>
              <w:spacing w:before="40" w:after="40" w:line="240" w:lineRule="auto"/>
              <w:jc w:val="center"/>
              <w:rPr>
                <w:rFonts w:ascii="Arial" w:hAnsi="Arial"/>
                <w:color w:val="000000"/>
                <w:sz w:val="14"/>
                <w:szCs w:val="14"/>
              </w:rPr>
            </w:pPr>
            <w:r>
              <w:rPr>
                <w:rFonts w:ascii="Arial" w:hAnsi="Arial"/>
                <w:color w:val="000000"/>
                <w:sz w:val="14"/>
                <w:szCs w:val="14"/>
              </w:rPr>
              <w:t>42</w:t>
            </w:r>
          </w:p>
        </w:tc>
      </w:tr>
      <w:tr w:rsidR="00E978B3" w:rsidRPr="00BF2CF5" w14:paraId="3B9487BE" w14:textId="77777777" w:rsidTr="006F6F4E">
        <w:trPr>
          <w:jc w:val="center"/>
        </w:trPr>
        <w:tc>
          <w:tcPr>
            <w:tcW w:w="2845" w:type="dxa"/>
            <w:vAlign w:val="center"/>
          </w:tcPr>
          <w:p w14:paraId="0FCBB909"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Foodbank / other community help</w:t>
            </w:r>
          </w:p>
        </w:tc>
        <w:tc>
          <w:tcPr>
            <w:tcW w:w="1559" w:type="dxa"/>
            <w:tcBorders>
              <w:right w:val="single" w:sz="8" w:space="0" w:color="auto"/>
            </w:tcBorders>
            <w:vAlign w:val="center"/>
          </w:tcPr>
          <w:p w14:paraId="15864C8A"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more than once</w:t>
            </w:r>
          </w:p>
        </w:tc>
        <w:tc>
          <w:tcPr>
            <w:tcW w:w="694" w:type="dxa"/>
            <w:tcBorders>
              <w:left w:val="single" w:sz="8" w:space="0" w:color="auto"/>
              <w:right w:val="single" w:sz="4" w:space="0" w:color="auto"/>
            </w:tcBorders>
            <w:noWrap/>
            <w:tcMar>
              <w:left w:w="28" w:type="dxa"/>
              <w:right w:w="28" w:type="dxa"/>
            </w:tcMar>
            <w:vAlign w:val="center"/>
          </w:tcPr>
          <w:p w14:paraId="5C32FB6F"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8</w:t>
            </w:r>
          </w:p>
        </w:tc>
        <w:tc>
          <w:tcPr>
            <w:tcW w:w="708" w:type="dxa"/>
            <w:tcBorders>
              <w:left w:val="single" w:sz="4" w:space="0" w:color="auto"/>
              <w:right w:val="single" w:sz="4" w:space="0" w:color="auto"/>
            </w:tcBorders>
            <w:tcMar>
              <w:left w:w="28" w:type="dxa"/>
              <w:right w:w="28" w:type="dxa"/>
            </w:tcMar>
            <w:vAlign w:val="center"/>
          </w:tcPr>
          <w:p w14:paraId="2AE4BF19"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4</w:t>
            </w:r>
          </w:p>
        </w:tc>
        <w:tc>
          <w:tcPr>
            <w:tcW w:w="710" w:type="dxa"/>
            <w:tcBorders>
              <w:left w:val="single" w:sz="4" w:space="0" w:color="auto"/>
              <w:right w:val="single" w:sz="8" w:space="0" w:color="auto"/>
            </w:tcBorders>
            <w:tcMar>
              <w:left w:w="28" w:type="dxa"/>
              <w:right w:w="28" w:type="dxa"/>
            </w:tcMar>
            <w:vAlign w:val="center"/>
          </w:tcPr>
          <w:p w14:paraId="2483D988"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32</w:t>
            </w:r>
          </w:p>
        </w:tc>
        <w:tc>
          <w:tcPr>
            <w:tcW w:w="709" w:type="dxa"/>
            <w:tcBorders>
              <w:left w:val="single" w:sz="8" w:space="0" w:color="auto"/>
              <w:right w:val="single" w:sz="4" w:space="0" w:color="auto"/>
            </w:tcBorders>
            <w:tcMar>
              <w:left w:w="28" w:type="dxa"/>
              <w:right w:w="28" w:type="dxa"/>
            </w:tcMar>
            <w:vAlign w:val="center"/>
          </w:tcPr>
          <w:p w14:paraId="713CF9C4"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20</w:t>
            </w:r>
          </w:p>
        </w:tc>
        <w:tc>
          <w:tcPr>
            <w:tcW w:w="708" w:type="dxa"/>
            <w:tcBorders>
              <w:left w:val="single" w:sz="4" w:space="0" w:color="auto"/>
              <w:right w:val="single" w:sz="4" w:space="0" w:color="auto"/>
            </w:tcBorders>
            <w:vAlign w:val="center"/>
          </w:tcPr>
          <w:p w14:paraId="4B46B95B"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10</w:t>
            </w:r>
          </w:p>
        </w:tc>
        <w:tc>
          <w:tcPr>
            <w:tcW w:w="709" w:type="dxa"/>
            <w:tcBorders>
              <w:left w:val="single" w:sz="4" w:space="0" w:color="auto"/>
              <w:right w:val="single" w:sz="4" w:space="0" w:color="auto"/>
            </w:tcBorders>
            <w:vAlign w:val="center"/>
          </w:tcPr>
          <w:p w14:paraId="7341BA49"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34</w:t>
            </w:r>
          </w:p>
        </w:tc>
      </w:tr>
      <w:tr w:rsidR="00E978B3" w:rsidRPr="00BF2CF5" w14:paraId="60335074" w14:textId="77777777" w:rsidTr="006F6F4E">
        <w:trPr>
          <w:jc w:val="center"/>
        </w:trPr>
        <w:tc>
          <w:tcPr>
            <w:tcW w:w="2845" w:type="dxa"/>
            <w:vAlign w:val="center"/>
          </w:tcPr>
          <w:p w14:paraId="4C285C5D"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Borrowed for basics from family/friends</w:t>
            </w:r>
          </w:p>
        </w:tc>
        <w:tc>
          <w:tcPr>
            <w:tcW w:w="1559" w:type="dxa"/>
            <w:tcBorders>
              <w:right w:val="single" w:sz="8" w:space="0" w:color="auto"/>
            </w:tcBorders>
            <w:vAlign w:val="center"/>
          </w:tcPr>
          <w:p w14:paraId="436C3B8B"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more than once</w:t>
            </w:r>
          </w:p>
        </w:tc>
        <w:tc>
          <w:tcPr>
            <w:tcW w:w="694" w:type="dxa"/>
            <w:tcBorders>
              <w:left w:val="single" w:sz="8" w:space="0" w:color="auto"/>
              <w:right w:val="single" w:sz="4" w:space="0" w:color="auto"/>
            </w:tcBorders>
            <w:noWrap/>
            <w:tcMar>
              <w:left w:w="28" w:type="dxa"/>
              <w:right w:w="28" w:type="dxa"/>
            </w:tcMar>
            <w:vAlign w:val="center"/>
          </w:tcPr>
          <w:p w14:paraId="2A352295"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11</w:t>
            </w:r>
          </w:p>
        </w:tc>
        <w:tc>
          <w:tcPr>
            <w:tcW w:w="708" w:type="dxa"/>
            <w:tcBorders>
              <w:left w:val="single" w:sz="4" w:space="0" w:color="auto"/>
              <w:right w:val="single" w:sz="4" w:space="0" w:color="auto"/>
            </w:tcBorders>
            <w:tcMar>
              <w:left w:w="28" w:type="dxa"/>
              <w:right w:w="28" w:type="dxa"/>
            </w:tcMar>
            <w:vAlign w:val="center"/>
          </w:tcPr>
          <w:p w14:paraId="537C74DC"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7</w:t>
            </w:r>
          </w:p>
        </w:tc>
        <w:tc>
          <w:tcPr>
            <w:tcW w:w="710" w:type="dxa"/>
            <w:tcBorders>
              <w:left w:val="single" w:sz="4" w:space="0" w:color="auto"/>
              <w:right w:val="single" w:sz="8" w:space="0" w:color="auto"/>
            </w:tcBorders>
            <w:tcMar>
              <w:left w:w="28" w:type="dxa"/>
              <w:right w:w="28" w:type="dxa"/>
            </w:tcMar>
            <w:vAlign w:val="center"/>
          </w:tcPr>
          <w:p w14:paraId="689C07BE"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33</w:t>
            </w:r>
          </w:p>
        </w:tc>
        <w:tc>
          <w:tcPr>
            <w:tcW w:w="709" w:type="dxa"/>
            <w:tcBorders>
              <w:left w:val="single" w:sz="8" w:space="0" w:color="auto"/>
              <w:right w:val="single" w:sz="4" w:space="0" w:color="auto"/>
            </w:tcBorders>
            <w:tcMar>
              <w:left w:w="28" w:type="dxa"/>
              <w:right w:w="28" w:type="dxa"/>
            </w:tcMar>
            <w:vAlign w:val="center"/>
          </w:tcPr>
          <w:p w14:paraId="44E1EC79"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24</w:t>
            </w:r>
          </w:p>
        </w:tc>
        <w:tc>
          <w:tcPr>
            <w:tcW w:w="708" w:type="dxa"/>
            <w:tcBorders>
              <w:left w:val="single" w:sz="4" w:space="0" w:color="auto"/>
              <w:right w:val="single" w:sz="4" w:space="0" w:color="auto"/>
            </w:tcBorders>
            <w:vAlign w:val="center"/>
          </w:tcPr>
          <w:p w14:paraId="2A39BFBD"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16</w:t>
            </w:r>
          </w:p>
        </w:tc>
        <w:tc>
          <w:tcPr>
            <w:tcW w:w="709" w:type="dxa"/>
            <w:tcBorders>
              <w:left w:val="single" w:sz="4" w:space="0" w:color="auto"/>
              <w:right w:val="single" w:sz="4" w:space="0" w:color="auto"/>
            </w:tcBorders>
            <w:vAlign w:val="center"/>
          </w:tcPr>
          <w:p w14:paraId="047D9114"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37</w:t>
            </w:r>
          </w:p>
        </w:tc>
      </w:tr>
      <w:tr w:rsidR="00E978B3" w:rsidRPr="00BF2CF5" w14:paraId="4E8FF377" w14:textId="77777777" w:rsidTr="006F6F4E">
        <w:trPr>
          <w:jc w:val="center"/>
        </w:trPr>
        <w:tc>
          <w:tcPr>
            <w:tcW w:w="2845" w:type="dxa"/>
            <w:vAlign w:val="center"/>
          </w:tcPr>
          <w:p w14:paraId="2BA26814"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Can pay unexpected $500 essential bill</w:t>
            </w:r>
          </w:p>
        </w:tc>
        <w:tc>
          <w:tcPr>
            <w:tcW w:w="1559" w:type="dxa"/>
            <w:tcBorders>
              <w:right w:val="single" w:sz="8" w:space="0" w:color="auto"/>
            </w:tcBorders>
            <w:vAlign w:val="center"/>
          </w:tcPr>
          <w:p w14:paraId="107F9D5D"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no</w:t>
            </w:r>
          </w:p>
        </w:tc>
        <w:tc>
          <w:tcPr>
            <w:tcW w:w="694" w:type="dxa"/>
            <w:tcBorders>
              <w:left w:val="single" w:sz="8" w:space="0" w:color="auto"/>
              <w:right w:val="single" w:sz="4" w:space="0" w:color="auto"/>
            </w:tcBorders>
            <w:noWrap/>
            <w:tcMar>
              <w:left w:w="28" w:type="dxa"/>
              <w:right w:w="28" w:type="dxa"/>
            </w:tcMar>
            <w:vAlign w:val="center"/>
          </w:tcPr>
          <w:p w14:paraId="0AC4A0F3"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22</w:t>
            </w:r>
          </w:p>
        </w:tc>
        <w:tc>
          <w:tcPr>
            <w:tcW w:w="708" w:type="dxa"/>
            <w:tcBorders>
              <w:left w:val="single" w:sz="4" w:space="0" w:color="auto"/>
              <w:right w:val="single" w:sz="4" w:space="0" w:color="auto"/>
            </w:tcBorders>
            <w:tcMar>
              <w:left w:w="28" w:type="dxa"/>
              <w:right w:w="28" w:type="dxa"/>
            </w:tcMar>
            <w:vAlign w:val="center"/>
          </w:tcPr>
          <w:p w14:paraId="345F4B8A"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16</w:t>
            </w:r>
          </w:p>
        </w:tc>
        <w:tc>
          <w:tcPr>
            <w:tcW w:w="710" w:type="dxa"/>
            <w:tcBorders>
              <w:left w:val="single" w:sz="4" w:space="0" w:color="auto"/>
              <w:right w:val="single" w:sz="8" w:space="0" w:color="auto"/>
            </w:tcBorders>
            <w:tcMar>
              <w:left w:w="28" w:type="dxa"/>
              <w:right w:w="28" w:type="dxa"/>
            </w:tcMar>
            <w:vAlign w:val="center"/>
          </w:tcPr>
          <w:p w14:paraId="46E1CEFD"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56</w:t>
            </w:r>
          </w:p>
        </w:tc>
        <w:tc>
          <w:tcPr>
            <w:tcW w:w="709" w:type="dxa"/>
            <w:tcBorders>
              <w:left w:val="single" w:sz="8" w:space="0" w:color="auto"/>
              <w:right w:val="single" w:sz="4" w:space="0" w:color="auto"/>
            </w:tcBorders>
            <w:tcMar>
              <w:left w:w="28" w:type="dxa"/>
              <w:right w:w="28" w:type="dxa"/>
            </w:tcMar>
            <w:vAlign w:val="center"/>
          </w:tcPr>
          <w:p w14:paraId="5FCEA24A"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42</w:t>
            </w:r>
          </w:p>
        </w:tc>
        <w:tc>
          <w:tcPr>
            <w:tcW w:w="708" w:type="dxa"/>
            <w:tcBorders>
              <w:left w:val="single" w:sz="4" w:space="0" w:color="auto"/>
              <w:right w:val="single" w:sz="4" w:space="0" w:color="auto"/>
            </w:tcBorders>
            <w:vAlign w:val="center"/>
          </w:tcPr>
          <w:p w14:paraId="1534DDAE"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30</w:t>
            </w:r>
          </w:p>
        </w:tc>
        <w:tc>
          <w:tcPr>
            <w:tcW w:w="709" w:type="dxa"/>
            <w:tcBorders>
              <w:left w:val="single" w:sz="4" w:space="0" w:color="auto"/>
              <w:right w:val="single" w:sz="4" w:space="0" w:color="auto"/>
            </w:tcBorders>
            <w:vAlign w:val="center"/>
          </w:tcPr>
          <w:p w14:paraId="28292C29"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59</w:t>
            </w:r>
          </w:p>
        </w:tc>
      </w:tr>
      <w:tr w:rsidR="00E978B3" w:rsidRPr="00BF2CF5" w14:paraId="2016E85C" w14:textId="77777777" w:rsidTr="006F6F4E">
        <w:trPr>
          <w:jc w:val="center"/>
        </w:trPr>
        <w:tc>
          <w:tcPr>
            <w:tcW w:w="2845" w:type="dxa"/>
            <w:vAlign w:val="center"/>
          </w:tcPr>
          <w:p w14:paraId="037BFC84"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Delayed replace/repair appliances</w:t>
            </w:r>
          </w:p>
        </w:tc>
        <w:tc>
          <w:tcPr>
            <w:tcW w:w="1559" w:type="dxa"/>
            <w:tcBorders>
              <w:right w:val="single" w:sz="8" w:space="0" w:color="auto"/>
            </w:tcBorders>
            <w:vAlign w:val="center"/>
          </w:tcPr>
          <w:p w14:paraId="46931717"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a lot</w:t>
            </w:r>
          </w:p>
        </w:tc>
        <w:tc>
          <w:tcPr>
            <w:tcW w:w="694" w:type="dxa"/>
            <w:tcBorders>
              <w:left w:val="single" w:sz="8" w:space="0" w:color="auto"/>
              <w:right w:val="single" w:sz="4" w:space="0" w:color="auto"/>
            </w:tcBorders>
            <w:noWrap/>
            <w:tcMar>
              <w:left w:w="28" w:type="dxa"/>
              <w:right w:w="28" w:type="dxa"/>
            </w:tcMar>
            <w:vAlign w:val="center"/>
          </w:tcPr>
          <w:p w14:paraId="13E99D9B"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13</w:t>
            </w:r>
          </w:p>
        </w:tc>
        <w:tc>
          <w:tcPr>
            <w:tcW w:w="708" w:type="dxa"/>
            <w:tcBorders>
              <w:left w:val="single" w:sz="4" w:space="0" w:color="auto"/>
              <w:right w:val="single" w:sz="4" w:space="0" w:color="auto"/>
            </w:tcBorders>
            <w:tcMar>
              <w:left w:w="28" w:type="dxa"/>
              <w:right w:w="28" w:type="dxa"/>
            </w:tcMar>
            <w:vAlign w:val="center"/>
          </w:tcPr>
          <w:p w14:paraId="04500B65"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10</w:t>
            </w:r>
          </w:p>
        </w:tc>
        <w:tc>
          <w:tcPr>
            <w:tcW w:w="710" w:type="dxa"/>
            <w:tcBorders>
              <w:left w:val="single" w:sz="4" w:space="0" w:color="auto"/>
              <w:right w:val="single" w:sz="8" w:space="0" w:color="auto"/>
            </w:tcBorders>
            <w:tcMar>
              <w:left w:w="28" w:type="dxa"/>
              <w:right w:w="28" w:type="dxa"/>
            </w:tcMar>
            <w:vAlign w:val="center"/>
          </w:tcPr>
          <w:p w14:paraId="0DD1CB21"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28</w:t>
            </w:r>
          </w:p>
        </w:tc>
        <w:tc>
          <w:tcPr>
            <w:tcW w:w="709" w:type="dxa"/>
            <w:tcBorders>
              <w:left w:val="single" w:sz="8" w:space="0" w:color="auto"/>
              <w:right w:val="single" w:sz="4" w:space="0" w:color="auto"/>
            </w:tcBorders>
            <w:tcMar>
              <w:left w:w="28" w:type="dxa"/>
              <w:right w:w="28" w:type="dxa"/>
            </w:tcMar>
            <w:vAlign w:val="center"/>
          </w:tcPr>
          <w:p w14:paraId="446A759F"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22</w:t>
            </w:r>
          </w:p>
        </w:tc>
        <w:tc>
          <w:tcPr>
            <w:tcW w:w="708" w:type="dxa"/>
            <w:tcBorders>
              <w:left w:val="single" w:sz="4" w:space="0" w:color="auto"/>
              <w:right w:val="single" w:sz="4" w:space="0" w:color="auto"/>
            </w:tcBorders>
            <w:vAlign w:val="center"/>
          </w:tcPr>
          <w:p w14:paraId="432F3D49"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17</w:t>
            </w:r>
          </w:p>
        </w:tc>
        <w:tc>
          <w:tcPr>
            <w:tcW w:w="709" w:type="dxa"/>
            <w:tcBorders>
              <w:left w:val="single" w:sz="4" w:space="0" w:color="auto"/>
              <w:right w:val="single" w:sz="4" w:space="0" w:color="auto"/>
            </w:tcBorders>
            <w:vAlign w:val="center"/>
          </w:tcPr>
          <w:p w14:paraId="064F0246"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28</w:t>
            </w:r>
          </w:p>
        </w:tc>
      </w:tr>
      <w:tr w:rsidR="00E978B3" w:rsidRPr="00BF2CF5" w14:paraId="26335709" w14:textId="77777777" w:rsidTr="006F6F4E">
        <w:trPr>
          <w:jc w:val="center"/>
        </w:trPr>
        <w:tc>
          <w:tcPr>
            <w:tcW w:w="2845" w:type="dxa"/>
            <w:vAlign w:val="center"/>
          </w:tcPr>
          <w:p w14:paraId="29DCDC5A"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Can afford to keep home warm</w:t>
            </w:r>
          </w:p>
        </w:tc>
        <w:tc>
          <w:tcPr>
            <w:tcW w:w="1559" w:type="dxa"/>
            <w:tcBorders>
              <w:right w:val="single" w:sz="8" w:space="0" w:color="auto"/>
            </w:tcBorders>
            <w:vAlign w:val="center"/>
          </w:tcPr>
          <w:p w14:paraId="18FE34C0"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no</w:t>
            </w:r>
          </w:p>
        </w:tc>
        <w:tc>
          <w:tcPr>
            <w:tcW w:w="694" w:type="dxa"/>
            <w:tcBorders>
              <w:left w:val="single" w:sz="8" w:space="0" w:color="auto"/>
              <w:right w:val="single" w:sz="4" w:space="0" w:color="auto"/>
            </w:tcBorders>
            <w:noWrap/>
            <w:tcMar>
              <w:left w:w="28" w:type="dxa"/>
              <w:right w:w="28" w:type="dxa"/>
            </w:tcMar>
            <w:vAlign w:val="center"/>
          </w:tcPr>
          <w:p w14:paraId="6B3A6B3C"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9</w:t>
            </w:r>
          </w:p>
        </w:tc>
        <w:tc>
          <w:tcPr>
            <w:tcW w:w="708" w:type="dxa"/>
            <w:tcBorders>
              <w:left w:val="single" w:sz="4" w:space="0" w:color="auto"/>
              <w:right w:val="single" w:sz="4" w:space="0" w:color="auto"/>
            </w:tcBorders>
            <w:tcMar>
              <w:left w:w="28" w:type="dxa"/>
              <w:right w:w="28" w:type="dxa"/>
            </w:tcMar>
            <w:vAlign w:val="center"/>
          </w:tcPr>
          <w:p w14:paraId="3B30D38F"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6</w:t>
            </w:r>
          </w:p>
        </w:tc>
        <w:tc>
          <w:tcPr>
            <w:tcW w:w="710" w:type="dxa"/>
            <w:tcBorders>
              <w:left w:val="single" w:sz="4" w:space="0" w:color="auto"/>
              <w:right w:val="single" w:sz="8" w:space="0" w:color="auto"/>
            </w:tcBorders>
            <w:tcMar>
              <w:left w:w="28" w:type="dxa"/>
              <w:right w:w="28" w:type="dxa"/>
            </w:tcMar>
            <w:vAlign w:val="center"/>
          </w:tcPr>
          <w:p w14:paraId="5B30EB0A"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25</w:t>
            </w:r>
          </w:p>
        </w:tc>
        <w:tc>
          <w:tcPr>
            <w:tcW w:w="709" w:type="dxa"/>
            <w:tcBorders>
              <w:left w:val="single" w:sz="8" w:space="0" w:color="auto"/>
              <w:right w:val="single" w:sz="4" w:space="0" w:color="auto"/>
            </w:tcBorders>
            <w:tcMar>
              <w:left w:w="28" w:type="dxa"/>
              <w:right w:w="28" w:type="dxa"/>
            </w:tcMar>
            <w:vAlign w:val="center"/>
          </w:tcPr>
          <w:p w14:paraId="7EB5D384"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17</w:t>
            </w:r>
          </w:p>
        </w:tc>
        <w:tc>
          <w:tcPr>
            <w:tcW w:w="708" w:type="dxa"/>
            <w:tcBorders>
              <w:left w:val="single" w:sz="4" w:space="0" w:color="auto"/>
              <w:right w:val="single" w:sz="4" w:space="0" w:color="auto"/>
            </w:tcBorders>
            <w:vAlign w:val="center"/>
          </w:tcPr>
          <w:p w14:paraId="20807CF2"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12</w:t>
            </w:r>
          </w:p>
        </w:tc>
        <w:tc>
          <w:tcPr>
            <w:tcW w:w="709" w:type="dxa"/>
            <w:tcBorders>
              <w:left w:val="single" w:sz="4" w:space="0" w:color="auto"/>
              <w:right w:val="single" w:sz="4" w:space="0" w:color="auto"/>
            </w:tcBorders>
            <w:vAlign w:val="center"/>
          </w:tcPr>
          <w:p w14:paraId="7C460B7B"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26</w:t>
            </w:r>
          </w:p>
        </w:tc>
      </w:tr>
      <w:tr w:rsidR="00E978B3" w:rsidRPr="00BF2CF5" w14:paraId="0455F31D" w14:textId="77777777" w:rsidTr="006F6F4E">
        <w:trPr>
          <w:jc w:val="center"/>
        </w:trPr>
        <w:tc>
          <w:tcPr>
            <w:tcW w:w="2845" w:type="dxa"/>
            <w:tcBorders>
              <w:top w:val="single" w:sz="8" w:space="0" w:color="auto"/>
            </w:tcBorders>
            <w:vAlign w:val="center"/>
          </w:tcPr>
          <w:p w14:paraId="1A9EB6BC" w14:textId="77777777" w:rsidR="00E978B3" w:rsidRPr="00BF2CF5" w:rsidRDefault="00E978B3" w:rsidP="006F6F4E">
            <w:pPr>
              <w:spacing w:before="40" w:after="40" w:line="240" w:lineRule="auto"/>
              <w:ind w:left="62"/>
              <w:rPr>
                <w:rFonts w:ascii="Arial" w:eastAsia="Times New Roman" w:hAnsi="Arial"/>
                <w:b/>
                <w:bCs/>
                <w:color w:val="000000" w:themeColor="text1"/>
                <w:sz w:val="14"/>
                <w:szCs w:val="14"/>
                <w:lang w:val="en-GB" w:eastAsia="en-GB"/>
              </w:rPr>
            </w:pPr>
            <w:r w:rsidRPr="00BF2CF5">
              <w:rPr>
                <w:rFonts w:ascii="Arial" w:hAnsi="Arial"/>
                <w:b/>
                <w:bCs/>
                <w:color w:val="000000" w:themeColor="text1"/>
                <w:sz w:val="14"/>
                <w:szCs w:val="14"/>
              </w:rPr>
              <w:t>Child-specific items (</w:t>
            </w:r>
            <w:r>
              <w:rPr>
                <w:rFonts w:ascii="Arial" w:hAnsi="Arial"/>
                <w:b/>
                <w:bCs/>
                <w:color w:val="000000" w:themeColor="text1"/>
                <w:sz w:val="14"/>
                <w:szCs w:val="14"/>
              </w:rPr>
              <w:t>6</w:t>
            </w:r>
            <w:r w:rsidRPr="00BF2CF5">
              <w:rPr>
                <w:rFonts w:ascii="Arial" w:hAnsi="Arial"/>
                <w:b/>
                <w:bCs/>
                <w:color w:val="000000" w:themeColor="text1"/>
                <w:sz w:val="14"/>
                <w:szCs w:val="14"/>
              </w:rPr>
              <w:t>-17 yrs)</w:t>
            </w:r>
          </w:p>
        </w:tc>
        <w:tc>
          <w:tcPr>
            <w:tcW w:w="1559" w:type="dxa"/>
            <w:tcBorders>
              <w:top w:val="single" w:sz="8" w:space="0" w:color="auto"/>
              <w:right w:val="single" w:sz="8" w:space="0" w:color="auto"/>
            </w:tcBorders>
            <w:vAlign w:val="center"/>
          </w:tcPr>
          <w:p w14:paraId="55D50231"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 </w:t>
            </w:r>
          </w:p>
        </w:tc>
        <w:tc>
          <w:tcPr>
            <w:tcW w:w="694" w:type="dxa"/>
            <w:tcBorders>
              <w:top w:val="single" w:sz="8" w:space="0" w:color="auto"/>
              <w:left w:val="single" w:sz="8" w:space="0" w:color="auto"/>
              <w:right w:val="single" w:sz="4" w:space="0" w:color="auto"/>
            </w:tcBorders>
            <w:noWrap/>
            <w:tcMar>
              <w:left w:w="28" w:type="dxa"/>
              <w:right w:w="28" w:type="dxa"/>
            </w:tcMar>
            <w:vAlign w:val="center"/>
          </w:tcPr>
          <w:p w14:paraId="67C1FEF8" w14:textId="77777777" w:rsidR="00E978B3" w:rsidRPr="00BF2CF5" w:rsidRDefault="00E978B3" w:rsidP="006F6F4E">
            <w:pPr>
              <w:spacing w:before="40" w:after="40" w:line="240" w:lineRule="auto"/>
              <w:ind w:right="-40" w:hanging="27"/>
              <w:jc w:val="center"/>
              <w:rPr>
                <w:rFonts w:ascii="Arial" w:eastAsia="Times New Roman" w:hAnsi="Arial"/>
                <w:color w:val="000000" w:themeColor="text1"/>
                <w:sz w:val="14"/>
                <w:szCs w:val="14"/>
                <w:lang w:val="en-GB" w:eastAsia="en-GB"/>
              </w:rPr>
            </w:pPr>
            <w:r>
              <w:rPr>
                <w:rFonts w:ascii="Arial" w:hAnsi="Arial"/>
                <w:sz w:val="14"/>
                <w:szCs w:val="14"/>
              </w:rPr>
              <w:t> </w:t>
            </w:r>
          </w:p>
        </w:tc>
        <w:tc>
          <w:tcPr>
            <w:tcW w:w="708" w:type="dxa"/>
            <w:tcBorders>
              <w:top w:val="single" w:sz="8" w:space="0" w:color="auto"/>
              <w:left w:val="single" w:sz="4" w:space="0" w:color="auto"/>
              <w:right w:val="single" w:sz="4" w:space="0" w:color="auto"/>
            </w:tcBorders>
            <w:tcMar>
              <w:left w:w="28" w:type="dxa"/>
              <w:right w:w="28" w:type="dxa"/>
            </w:tcMar>
            <w:vAlign w:val="center"/>
          </w:tcPr>
          <w:p w14:paraId="185F62E3"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c>
          <w:tcPr>
            <w:tcW w:w="710" w:type="dxa"/>
            <w:tcBorders>
              <w:top w:val="single" w:sz="8" w:space="0" w:color="auto"/>
              <w:left w:val="single" w:sz="4" w:space="0" w:color="auto"/>
              <w:right w:val="single" w:sz="8" w:space="0" w:color="auto"/>
            </w:tcBorders>
            <w:tcMar>
              <w:left w:w="28" w:type="dxa"/>
              <w:right w:w="28" w:type="dxa"/>
            </w:tcMar>
            <w:vAlign w:val="center"/>
          </w:tcPr>
          <w:p w14:paraId="1E615C6F"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color w:val="000000"/>
                <w:sz w:val="14"/>
                <w:szCs w:val="14"/>
              </w:rPr>
              <w:t> </w:t>
            </w:r>
          </w:p>
        </w:tc>
        <w:tc>
          <w:tcPr>
            <w:tcW w:w="709" w:type="dxa"/>
            <w:tcBorders>
              <w:top w:val="single" w:sz="8" w:space="0" w:color="auto"/>
              <w:left w:val="single" w:sz="8" w:space="0" w:color="auto"/>
              <w:right w:val="single" w:sz="4" w:space="0" w:color="auto"/>
            </w:tcBorders>
            <w:tcMar>
              <w:left w:w="28" w:type="dxa"/>
              <w:right w:w="28" w:type="dxa"/>
            </w:tcMar>
            <w:vAlign w:val="center"/>
          </w:tcPr>
          <w:p w14:paraId="1823CA1F" w14:textId="77777777" w:rsidR="00E978B3" w:rsidRPr="00BF2CF5" w:rsidRDefault="00E978B3" w:rsidP="006F6F4E">
            <w:pPr>
              <w:spacing w:before="40" w:after="40" w:line="240" w:lineRule="auto"/>
              <w:jc w:val="center"/>
              <w:rPr>
                <w:rFonts w:ascii="Arial" w:eastAsia="Times New Roman" w:hAnsi="Arial"/>
                <w:color w:val="000000" w:themeColor="text1"/>
                <w:sz w:val="14"/>
                <w:szCs w:val="14"/>
                <w:lang w:val="en-GB" w:eastAsia="en-GB"/>
              </w:rPr>
            </w:pPr>
            <w:r>
              <w:rPr>
                <w:rFonts w:ascii="Arial" w:hAnsi="Arial"/>
                <w:sz w:val="14"/>
                <w:szCs w:val="14"/>
              </w:rPr>
              <w:t> </w:t>
            </w:r>
          </w:p>
        </w:tc>
        <w:tc>
          <w:tcPr>
            <w:tcW w:w="708" w:type="dxa"/>
            <w:tcBorders>
              <w:top w:val="single" w:sz="8" w:space="0" w:color="auto"/>
              <w:left w:val="single" w:sz="4" w:space="0" w:color="auto"/>
              <w:right w:val="single" w:sz="4" w:space="0" w:color="auto"/>
            </w:tcBorders>
            <w:vAlign w:val="center"/>
          </w:tcPr>
          <w:p w14:paraId="300DB8CA"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 </w:t>
            </w:r>
          </w:p>
        </w:tc>
        <w:tc>
          <w:tcPr>
            <w:tcW w:w="709" w:type="dxa"/>
            <w:tcBorders>
              <w:top w:val="single" w:sz="8" w:space="0" w:color="auto"/>
              <w:left w:val="single" w:sz="4" w:space="0" w:color="auto"/>
              <w:right w:val="single" w:sz="4" w:space="0" w:color="auto"/>
            </w:tcBorders>
            <w:vAlign w:val="center"/>
          </w:tcPr>
          <w:p w14:paraId="1976F9B2"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 </w:t>
            </w:r>
          </w:p>
        </w:tc>
      </w:tr>
      <w:tr w:rsidR="00E978B3" w:rsidRPr="00BF2CF5" w14:paraId="2931D95B" w14:textId="77777777" w:rsidTr="006F6F4E">
        <w:trPr>
          <w:jc w:val="center"/>
        </w:trPr>
        <w:tc>
          <w:tcPr>
            <w:tcW w:w="2845" w:type="dxa"/>
            <w:vAlign w:val="center"/>
          </w:tcPr>
          <w:p w14:paraId="705C6404"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Two pair of shoes</w:t>
            </w:r>
          </w:p>
        </w:tc>
        <w:tc>
          <w:tcPr>
            <w:tcW w:w="1559" w:type="dxa"/>
            <w:tcBorders>
              <w:right w:val="single" w:sz="8" w:space="0" w:color="auto"/>
            </w:tcBorders>
            <w:vAlign w:val="center"/>
          </w:tcPr>
          <w:p w14:paraId="2375EE68"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694" w:type="dxa"/>
            <w:tcBorders>
              <w:left w:val="single" w:sz="8" w:space="0" w:color="auto"/>
              <w:right w:val="single" w:sz="4" w:space="0" w:color="auto"/>
            </w:tcBorders>
            <w:noWrap/>
            <w:tcMar>
              <w:left w:w="28" w:type="dxa"/>
              <w:right w:w="28" w:type="dxa"/>
            </w:tcMar>
            <w:vAlign w:val="center"/>
          </w:tcPr>
          <w:p w14:paraId="7E47D67B"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4</w:t>
            </w:r>
          </w:p>
        </w:tc>
        <w:tc>
          <w:tcPr>
            <w:tcW w:w="708" w:type="dxa"/>
            <w:tcBorders>
              <w:left w:val="single" w:sz="4" w:space="0" w:color="auto"/>
              <w:right w:val="single" w:sz="4" w:space="0" w:color="auto"/>
            </w:tcBorders>
            <w:tcMar>
              <w:left w:w="28" w:type="dxa"/>
              <w:right w:w="28" w:type="dxa"/>
            </w:tcMar>
            <w:vAlign w:val="center"/>
          </w:tcPr>
          <w:p w14:paraId="24FC308F"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2</w:t>
            </w:r>
          </w:p>
        </w:tc>
        <w:tc>
          <w:tcPr>
            <w:tcW w:w="710" w:type="dxa"/>
            <w:tcBorders>
              <w:left w:val="single" w:sz="4" w:space="0" w:color="auto"/>
              <w:right w:val="single" w:sz="8" w:space="0" w:color="auto"/>
            </w:tcBorders>
            <w:tcMar>
              <w:left w:w="28" w:type="dxa"/>
              <w:right w:w="28" w:type="dxa"/>
            </w:tcMar>
            <w:vAlign w:val="center"/>
          </w:tcPr>
          <w:p w14:paraId="79DFABCC"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14</w:t>
            </w:r>
          </w:p>
        </w:tc>
        <w:tc>
          <w:tcPr>
            <w:tcW w:w="709" w:type="dxa"/>
            <w:tcBorders>
              <w:left w:val="single" w:sz="8" w:space="0" w:color="auto"/>
              <w:right w:val="single" w:sz="4" w:space="0" w:color="auto"/>
            </w:tcBorders>
            <w:tcMar>
              <w:left w:w="28" w:type="dxa"/>
              <w:right w:w="28" w:type="dxa"/>
            </w:tcMar>
            <w:vAlign w:val="center"/>
          </w:tcPr>
          <w:p w14:paraId="14CEA6C0"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9</w:t>
            </w:r>
          </w:p>
        </w:tc>
        <w:tc>
          <w:tcPr>
            <w:tcW w:w="708" w:type="dxa"/>
            <w:tcBorders>
              <w:left w:val="single" w:sz="4" w:space="0" w:color="auto"/>
              <w:right w:val="single" w:sz="4" w:space="0" w:color="auto"/>
            </w:tcBorders>
            <w:vAlign w:val="center"/>
          </w:tcPr>
          <w:p w14:paraId="56DFCE1E"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5</w:t>
            </w:r>
          </w:p>
        </w:tc>
        <w:tc>
          <w:tcPr>
            <w:tcW w:w="709" w:type="dxa"/>
            <w:tcBorders>
              <w:left w:val="single" w:sz="4" w:space="0" w:color="auto"/>
              <w:right w:val="single" w:sz="4" w:space="0" w:color="auto"/>
            </w:tcBorders>
            <w:vAlign w:val="center"/>
          </w:tcPr>
          <w:p w14:paraId="62F341D8"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r>
      <w:tr w:rsidR="00E978B3" w:rsidRPr="00BF2CF5" w14:paraId="79302963" w14:textId="77777777" w:rsidTr="006F6F4E">
        <w:trPr>
          <w:jc w:val="center"/>
        </w:trPr>
        <w:tc>
          <w:tcPr>
            <w:tcW w:w="2845" w:type="dxa"/>
            <w:vAlign w:val="center"/>
          </w:tcPr>
          <w:p w14:paraId="786C4262"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Two sets winter clothes</w:t>
            </w:r>
          </w:p>
        </w:tc>
        <w:tc>
          <w:tcPr>
            <w:tcW w:w="1559" w:type="dxa"/>
            <w:tcBorders>
              <w:right w:val="single" w:sz="8" w:space="0" w:color="auto"/>
            </w:tcBorders>
            <w:vAlign w:val="center"/>
          </w:tcPr>
          <w:p w14:paraId="6C3BB0FF"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694" w:type="dxa"/>
            <w:tcBorders>
              <w:left w:val="single" w:sz="8" w:space="0" w:color="auto"/>
              <w:right w:val="single" w:sz="4" w:space="0" w:color="auto"/>
            </w:tcBorders>
            <w:noWrap/>
            <w:tcMar>
              <w:left w:w="28" w:type="dxa"/>
              <w:right w:w="28" w:type="dxa"/>
            </w:tcMar>
            <w:vAlign w:val="center"/>
          </w:tcPr>
          <w:p w14:paraId="4902092B"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1</w:t>
            </w:r>
          </w:p>
        </w:tc>
        <w:tc>
          <w:tcPr>
            <w:tcW w:w="708" w:type="dxa"/>
            <w:tcBorders>
              <w:left w:val="single" w:sz="4" w:space="0" w:color="auto"/>
              <w:right w:val="single" w:sz="4" w:space="0" w:color="auto"/>
            </w:tcBorders>
            <w:tcMar>
              <w:left w:w="28" w:type="dxa"/>
              <w:right w:w="28" w:type="dxa"/>
            </w:tcMar>
            <w:vAlign w:val="center"/>
          </w:tcPr>
          <w:p w14:paraId="6E268B10"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w:t>
            </w:r>
          </w:p>
        </w:tc>
        <w:tc>
          <w:tcPr>
            <w:tcW w:w="710" w:type="dxa"/>
            <w:tcBorders>
              <w:left w:val="single" w:sz="4" w:space="0" w:color="auto"/>
              <w:right w:val="single" w:sz="8" w:space="0" w:color="auto"/>
            </w:tcBorders>
            <w:tcMar>
              <w:left w:w="28" w:type="dxa"/>
              <w:right w:w="28" w:type="dxa"/>
            </w:tcMar>
            <w:vAlign w:val="center"/>
          </w:tcPr>
          <w:p w14:paraId="57B1D9D9"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5</w:t>
            </w:r>
          </w:p>
        </w:tc>
        <w:tc>
          <w:tcPr>
            <w:tcW w:w="709" w:type="dxa"/>
            <w:tcBorders>
              <w:left w:val="single" w:sz="8" w:space="0" w:color="auto"/>
              <w:right w:val="single" w:sz="4" w:space="0" w:color="auto"/>
            </w:tcBorders>
            <w:tcMar>
              <w:left w:w="28" w:type="dxa"/>
              <w:right w:w="28" w:type="dxa"/>
            </w:tcMar>
            <w:vAlign w:val="center"/>
          </w:tcPr>
          <w:p w14:paraId="5CFF4F8B"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2</w:t>
            </w:r>
          </w:p>
        </w:tc>
        <w:tc>
          <w:tcPr>
            <w:tcW w:w="708" w:type="dxa"/>
            <w:tcBorders>
              <w:left w:val="single" w:sz="4" w:space="0" w:color="auto"/>
              <w:right w:val="single" w:sz="4" w:space="0" w:color="auto"/>
            </w:tcBorders>
            <w:vAlign w:val="center"/>
          </w:tcPr>
          <w:p w14:paraId="499B6F0C"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w:t>
            </w:r>
          </w:p>
        </w:tc>
        <w:tc>
          <w:tcPr>
            <w:tcW w:w="709" w:type="dxa"/>
            <w:tcBorders>
              <w:left w:val="single" w:sz="4" w:space="0" w:color="auto"/>
              <w:right w:val="single" w:sz="4" w:space="0" w:color="auto"/>
            </w:tcBorders>
            <w:vAlign w:val="center"/>
          </w:tcPr>
          <w:p w14:paraId="6AFFFA3F"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w:t>
            </w:r>
          </w:p>
        </w:tc>
      </w:tr>
      <w:tr w:rsidR="00E978B3" w:rsidRPr="00BF2CF5" w14:paraId="0298DEA9" w14:textId="77777777" w:rsidTr="006F6F4E">
        <w:trPr>
          <w:jc w:val="center"/>
        </w:trPr>
        <w:tc>
          <w:tcPr>
            <w:tcW w:w="2845" w:type="dxa"/>
            <w:vAlign w:val="center"/>
          </w:tcPr>
          <w:p w14:paraId="47B0A763"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Separate bed</w:t>
            </w:r>
          </w:p>
        </w:tc>
        <w:tc>
          <w:tcPr>
            <w:tcW w:w="1559" w:type="dxa"/>
            <w:tcBorders>
              <w:right w:val="single" w:sz="8" w:space="0" w:color="auto"/>
            </w:tcBorders>
            <w:vAlign w:val="center"/>
          </w:tcPr>
          <w:p w14:paraId="5F125482"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694" w:type="dxa"/>
            <w:tcBorders>
              <w:left w:val="single" w:sz="8" w:space="0" w:color="auto"/>
              <w:right w:val="single" w:sz="4" w:space="0" w:color="auto"/>
            </w:tcBorders>
            <w:noWrap/>
            <w:tcMar>
              <w:left w:w="28" w:type="dxa"/>
              <w:right w:w="28" w:type="dxa"/>
            </w:tcMar>
            <w:vAlign w:val="center"/>
          </w:tcPr>
          <w:p w14:paraId="5D40ED5F"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4</w:t>
            </w:r>
          </w:p>
        </w:tc>
        <w:tc>
          <w:tcPr>
            <w:tcW w:w="708" w:type="dxa"/>
            <w:tcBorders>
              <w:left w:val="single" w:sz="4" w:space="0" w:color="auto"/>
              <w:right w:val="single" w:sz="4" w:space="0" w:color="auto"/>
            </w:tcBorders>
            <w:tcMar>
              <w:left w:w="28" w:type="dxa"/>
              <w:right w:w="28" w:type="dxa"/>
            </w:tcMar>
            <w:vAlign w:val="center"/>
          </w:tcPr>
          <w:p w14:paraId="1EDF2FCD"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2</w:t>
            </w:r>
          </w:p>
        </w:tc>
        <w:tc>
          <w:tcPr>
            <w:tcW w:w="710" w:type="dxa"/>
            <w:tcBorders>
              <w:left w:val="single" w:sz="4" w:space="0" w:color="auto"/>
              <w:right w:val="single" w:sz="8" w:space="0" w:color="auto"/>
            </w:tcBorders>
            <w:tcMar>
              <w:left w:w="28" w:type="dxa"/>
              <w:right w:w="28" w:type="dxa"/>
            </w:tcMar>
            <w:vAlign w:val="center"/>
          </w:tcPr>
          <w:p w14:paraId="7339A097"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13</w:t>
            </w:r>
          </w:p>
        </w:tc>
        <w:tc>
          <w:tcPr>
            <w:tcW w:w="709" w:type="dxa"/>
            <w:tcBorders>
              <w:left w:val="single" w:sz="8" w:space="0" w:color="auto"/>
              <w:right w:val="single" w:sz="4" w:space="0" w:color="auto"/>
            </w:tcBorders>
            <w:tcMar>
              <w:left w:w="28" w:type="dxa"/>
              <w:right w:w="28" w:type="dxa"/>
            </w:tcMar>
            <w:vAlign w:val="center"/>
          </w:tcPr>
          <w:p w14:paraId="04D2A7E3"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9</w:t>
            </w:r>
          </w:p>
        </w:tc>
        <w:tc>
          <w:tcPr>
            <w:tcW w:w="708" w:type="dxa"/>
            <w:tcBorders>
              <w:left w:val="single" w:sz="4" w:space="0" w:color="auto"/>
              <w:right w:val="single" w:sz="4" w:space="0" w:color="auto"/>
            </w:tcBorders>
            <w:vAlign w:val="center"/>
          </w:tcPr>
          <w:p w14:paraId="207F59A7"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5</w:t>
            </w:r>
          </w:p>
        </w:tc>
        <w:tc>
          <w:tcPr>
            <w:tcW w:w="709" w:type="dxa"/>
            <w:tcBorders>
              <w:left w:val="single" w:sz="4" w:space="0" w:color="auto"/>
              <w:right w:val="single" w:sz="4" w:space="0" w:color="auto"/>
            </w:tcBorders>
            <w:vAlign w:val="center"/>
          </w:tcPr>
          <w:p w14:paraId="509F1942"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r>
      <w:tr w:rsidR="00E978B3" w:rsidRPr="00BF2CF5" w14:paraId="202EFF43" w14:textId="77777777" w:rsidTr="006F6F4E">
        <w:trPr>
          <w:jc w:val="center"/>
        </w:trPr>
        <w:tc>
          <w:tcPr>
            <w:tcW w:w="2845" w:type="dxa"/>
            <w:vAlign w:val="center"/>
          </w:tcPr>
          <w:p w14:paraId="3DA2992A"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Fruit and veg daily</w:t>
            </w:r>
          </w:p>
        </w:tc>
        <w:tc>
          <w:tcPr>
            <w:tcW w:w="1559" w:type="dxa"/>
            <w:tcBorders>
              <w:right w:val="single" w:sz="8" w:space="0" w:color="auto"/>
            </w:tcBorders>
            <w:vAlign w:val="center"/>
          </w:tcPr>
          <w:p w14:paraId="21DABAB3"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694" w:type="dxa"/>
            <w:tcBorders>
              <w:left w:val="single" w:sz="8" w:space="0" w:color="auto"/>
              <w:right w:val="single" w:sz="4" w:space="0" w:color="auto"/>
            </w:tcBorders>
            <w:noWrap/>
            <w:tcMar>
              <w:left w:w="28" w:type="dxa"/>
              <w:right w:w="28" w:type="dxa"/>
            </w:tcMar>
            <w:vAlign w:val="center"/>
          </w:tcPr>
          <w:p w14:paraId="5F3938B8"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8</w:t>
            </w:r>
          </w:p>
        </w:tc>
        <w:tc>
          <w:tcPr>
            <w:tcW w:w="708" w:type="dxa"/>
            <w:tcBorders>
              <w:left w:val="single" w:sz="4" w:space="0" w:color="auto"/>
              <w:right w:val="single" w:sz="4" w:space="0" w:color="auto"/>
            </w:tcBorders>
            <w:tcMar>
              <w:left w:w="28" w:type="dxa"/>
              <w:right w:w="28" w:type="dxa"/>
            </w:tcMar>
            <w:vAlign w:val="center"/>
          </w:tcPr>
          <w:p w14:paraId="3141E6ED"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5</w:t>
            </w:r>
          </w:p>
        </w:tc>
        <w:tc>
          <w:tcPr>
            <w:tcW w:w="710" w:type="dxa"/>
            <w:tcBorders>
              <w:left w:val="single" w:sz="4" w:space="0" w:color="auto"/>
              <w:right w:val="single" w:sz="8" w:space="0" w:color="auto"/>
            </w:tcBorders>
            <w:tcMar>
              <w:left w:w="28" w:type="dxa"/>
              <w:right w:w="28" w:type="dxa"/>
            </w:tcMar>
            <w:vAlign w:val="center"/>
          </w:tcPr>
          <w:p w14:paraId="4844E425"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21</w:t>
            </w:r>
          </w:p>
        </w:tc>
        <w:tc>
          <w:tcPr>
            <w:tcW w:w="709" w:type="dxa"/>
            <w:tcBorders>
              <w:left w:val="single" w:sz="8" w:space="0" w:color="auto"/>
              <w:right w:val="single" w:sz="4" w:space="0" w:color="auto"/>
            </w:tcBorders>
            <w:tcMar>
              <w:left w:w="28" w:type="dxa"/>
              <w:right w:w="28" w:type="dxa"/>
            </w:tcMar>
            <w:vAlign w:val="center"/>
          </w:tcPr>
          <w:p w14:paraId="15F13550"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16</w:t>
            </w:r>
          </w:p>
        </w:tc>
        <w:tc>
          <w:tcPr>
            <w:tcW w:w="708" w:type="dxa"/>
            <w:tcBorders>
              <w:left w:val="single" w:sz="4" w:space="0" w:color="auto"/>
              <w:right w:val="single" w:sz="4" w:space="0" w:color="auto"/>
            </w:tcBorders>
            <w:vAlign w:val="center"/>
          </w:tcPr>
          <w:p w14:paraId="6196F7AE"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11</w:t>
            </w:r>
          </w:p>
        </w:tc>
        <w:tc>
          <w:tcPr>
            <w:tcW w:w="709" w:type="dxa"/>
            <w:tcBorders>
              <w:left w:val="single" w:sz="4" w:space="0" w:color="auto"/>
              <w:right w:val="single" w:sz="4" w:space="0" w:color="auto"/>
            </w:tcBorders>
            <w:vAlign w:val="center"/>
          </w:tcPr>
          <w:p w14:paraId="77A8C232"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22</w:t>
            </w:r>
          </w:p>
        </w:tc>
      </w:tr>
      <w:tr w:rsidR="00E978B3" w:rsidRPr="00BF2CF5" w14:paraId="246CABFC" w14:textId="77777777" w:rsidTr="006F6F4E">
        <w:trPr>
          <w:jc w:val="center"/>
        </w:trPr>
        <w:tc>
          <w:tcPr>
            <w:tcW w:w="2845" w:type="dxa"/>
            <w:vAlign w:val="center"/>
          </w:tcPr>
          <w:p w14:paraId="460373FF"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Protein meal daily</w:t>
            </w:r>
          </w:p>
        </w:tc>
        <w:tc>
          <w:tcPr>
            <w:tcW w:w="1559" w:type="dxa"/>
            <w:tcBorders>
              <w:right w:val="single" w:sz="8" w:space="0" w:color="auto"/>
            </w:tcBorders>
            <w:vAlign w:val="center"/>
          </w:tcPr>
          <w:p w14:paraId="0D85E27E"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694" w:type="dxa"/>
            <w:tcBorders>
              <w:left w:val="single" w:sz="8" w:space="0" w:color="auto"/>
              <w:right w:val="single" w:sz="4" w:space="0" w:color="auto"/>
            </w:tcBorders>
            <w:noWrap/>
            <w:tcMar>
              <w:left w:w="28" w:type="dxa"/>
              <w:right w:w="28" w:type="dxa"/>
            </w:tcMar>
            <w:vAlign w:val="center"/>
          </w:tcPr>
          <w:p w14:paraId="644EC1FB"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5</w:t>
            </w:r>
          </w:p>
        </w:tc>
        <w:tc>
          <w:tcPr>
            <w:tcW w:w="708" w:type="dxa"/>
            <w:tcBorders>
              <w:left w:val="single" w:sz="4" w:space="0" w:color="auto"/>
              <w:right w:val="single" w:sz="4" w:space="0" w:color="auto"/>
            </w:tcBorders>
            <w:tcMar>
              <w:left w:w="28" w:type="dxa"/>
              <w:right w:w="28" w:type="dxa"/>
            </w:tcMar>
            <w:vAlign w:val="center"/>
          </w:tcPr>
          <w:p w14:paraId="3C749B97"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3</w:t>
            </w:r>
          </w:p>
        </w:tc>
        <w:tc>
          <w:tcPr>
            <w:tcW w:w="710" w:type="dxa"/>
            <w:tcBorders>
              <w:left w:val="single" w:sz="4" w:space="0" w:color="auto"/>
              <w:right w:val="single" w:sz="8" w:space="0" w:color="auto"/>
            </w:tcBorders>
            <w:tcMar>
              <w:left w:w="28" w:type="dxa"/>
              <w:right w:w="28" w:type="dxa"/>
            </w:tcMar>
            <w:vAlign w:val="center"/>
          </w:tcPr>
          <w:p w14:paraId="6081CECA"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14</w:t>
            </w:r>
          </w:p>
        </w:tc>
        <w:tc>
          <w:tcPr>
            <w:tcW w:w="709" w:type="dxa"/>
            <w:tcBorders>
              <w:left w:val="single" w:sz="8" w:space="0" w:color="auto"/>
              <w:right w:val="single" w:sz="4" w:space="0" w:color="auto"/>
            </w:tcBorders>
            <w:tcMar>
              <w:left w:w="28" w:type="dxa"/>
              <w:right w:w="28" w:type="dxa"/>
            </w:tcMar>
            <w:vAlign w:val="center"/>
          </w:tcPr>
          <w:p w14:paraId="6EE6FA8A"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11</w:t>
            </w:r>
          </w:p>
        </w:tc>
        <w:tc>
          <w:tcPr>
            <w:tcW w:w="708" w:type="dxa"/>
            <w:tcBorders>
              <w:left w:val="single" w:sz="4" w:space="0" w:color="auto"/>
              <w:right w:val="single" w:sz="4" w:space="0" w:color="auto"/>
            </w:tcBorders>
            <w:vAlign w:val="center"/>
          </w:tcPr>
          <w:p w14:paraId="2E267433"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7</w:t>
            </w:r>
          </w:p>
        </w:tc>
        <w:tc>
          <w:tcPr>
            <w:tcW w:w="709" w:type="dxa"/>
            <w:tcBorders>
              <w:left w:val="single" w:sz="4" w:space="0" w:color="auto"/>
              <w:right w:val="single" w:sz="4" w:space="0" w:color="auto"/>
            </w:tcBorders>
            <w:vAlign w:val="center"/>
          </w:tcPr>
          <w:p w14:paraId="144489F1"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17</w:t>
            </w:r>
          </w:p>
        </w:tc>
      </w:tr>
      <w:tr w:rsidR="00E978B3" w:rsidRPr="00BF2CF5" w14:paraId="777F45D8" w14:textId="77777777" w:rsidTr="006F6F4E">
        <w:trPr>
          <w:jc w:val="center"/>
        </w:trPr>
        <w:tc>
          <w:tcPr>
            <w:tcW w:w="2845" w:type="dxa"/>
            <w:vAlign w:val="center"/>
          </w:tcPr>
          <w:p w14:paraId="780E9652"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 xml:space="preserve">Computer / internet </w:t>
            </w:r>
          </w:p>
        </w:tc>
        <w:tc>
          <w:tcPr>
            <w:tcW w:w="1559" w:type="dxa"/>
            <w:tcBorders>
              <w:right w:val="single" w:sz="8" w:space="0" w:color="auto"/>
            </w:tcBorders>
            <w:vAlign w:val="center"/>
          </w:tcPr>
          <w:p w14:paraId="62A9B555"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w:t>
            </w:r>
          </w:p>
        </w:tc>
        <w:tc>
          <w:tcPr>
            <w:tcW w:w="694" w:type="dxa"/>
            <w:tcBorders>
              <w:left w:val="single" w:sz="8" w:space="0" w:color="auto"/>
              <w:right w:val="single" w:sz="4" w:space="0" w:color="auto"/>
            </w:tcBorders>
            <w:noWrap/>
            <w:tcMar>
              <w:left w:w="28" w:type="dxa"/>
              <w:right w:w="28" w:type="dxa"/>
            </w:tcMar>
            <w:vAlign w:val="center"/>
          </w:tcPr>
          <w:p w14:paraId="239E6D4D"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3</w:t>
            </w:r>
          </w:p>
        </w:tc>
        <w:tc>
          <w:tcPr>
            <w:tcW w:w="708" w:type="dxa"/>
            <w:tcBorders>
              <w:left w:val="single" w:sz="4" w:space="0" w:color="auto"/>
              <w:right w:val="single" w:sz="4" w:space="0" w:color="auto"/>
            </w:tcBorders>
            <w:tcMar>
              <w:left w:w="28" w:type="dxa"/>
              <w:right w:w="28" w:type="dxa"/>
            </w:tcMar>
            <w:vAlign w:val="center"/>
          </w:tcPr>
          <w:p w14:paraId="0FD3DA46"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2</w:t>
            </w:r>
          </w:p>
        </w:tc>
        <w:tc>
          <w:tcPr>
            <w:tcW w:w="710" w:type="dxa"/>
            <w:tcBorders>
              <w:left w:val="single" w:sz="4" w:space="0" w:color="auto"/>
              <w:right w:val="single" w:sz="8" w:space="0" w:color="auto"/>
            </w:tcBorders>
            <w:tcMar>
              <w:left w:w="28" w:type="dxa"/>
              <w:right w:w="28" w:type="dxa"/>
            </w:tcMar>
            <w:vAlign w:val="center"/>
          </w:tcPr>
          <w:p w14:paraId="4D6964DA"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10</w:t>
            </w:r>
          </w:p>
        </w:tc>
        <w:tc>
          <w:tcPr>
            <w:tcW w:w="709" w:type="dxa"/>
            <w:tcBorders>
              <w:left w:val="single" w:sz="8" w:space="0" w:color="auto"/>
              <w:right w:val="single" w:sz="4" w:space="0" w:color="auto"/>
            </w:tcBorders>
            <w:tcMar>
              <w:left w:w="28" w:type="dxa"/>
              <w:right w:w="28" w:type="dxa"/>
            </w:tcMar>
            <w:vAlign w:val="center"/>
          </w:tcPr>
          <w:p w14:paraId="5F4EEC97"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7</w:t>
            </w:r>
          </w:p>
        </w:tc>
        <w:tc>
          <w:tcPr>
            <w:tcW w:w="708" w:type="dxa"/>
            <w:tcBorders>
              <w:left w:val="single" w:sz="4" w:space="0" w:color="auto"/>
              <w:right w:val="single" w:sz="4" w:space="0" w:color="auto"/>
            </w:tcBorders>
            <w:vAlign w:val="center"/>
          </w:tcPr>
          <w:p w14:paraId="71D73E2F"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4</w:t>
            </w:r>
          </w:p>
        </w:tc>
        <w:tc>
          <w:tcPr>
            <w:tcW w:w="709" w:type="dxa"/>
            <w:tcBorders>
              <w:left w:val="single" w:sz="4" w:space="0" w:color="auto"/>
              <w:right w:val="single" w:sz="4" w:space="0" w:color="auto"/>
            </w:tcBorders>
            <w:vAlign w:val="center"/>
          </w:tcPr>
          <w:p w14:paraId="69798F67"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11</w:t>
            </w:r>
          </w:p>
        </w:tc>
      </w:tr>
      <w:tr w:rsidR="00E978B3" w:rsidRPr="00BF2CF5" w14:paraId="28CEE4C9" w14:textId="77777777" w:rsidTr="006F6F4E">
        <w:trPr>
          <w:jc w:val="center"/>
        </w:trPr>
        <w:tc>
          <w:tcPr>
            <w:tcW w:w="2845" w:type="dxa"/>
            <w:vAlign w:val="center"/>
          </w:tcPr>
          <w:p w14:paraId="68A77118"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Birthday and other celebrations</w:t>
            </w:r>
          </w:p>
        </w:tc>
        <w:tc>
          <w:tcPr>
            <w:tcW w:w="1559" w:type="dxa"/>
            <w:tcBorders>
              <w:right w:val="single" w:sz="8" w:space="0" w:color="auto"/>
            </w:tcBorders>
            <w:vAlign w:val="center"/>
          </w:tcPr>
          <w:p w14:paraId="7AAA88D8"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 - cost</w:t>
            </w:r>
          </w:p>
        </w:tc>
        <w:tc>
          <w:tcPr>
            <w:tcW w:w="694" w:type="dxa"/>
            <w:tcBorders>
              <w:left w:val="single" w:sz="8" w:space="0" w:color="auto"/>
              <w:right w:val="single" w:sz="4" w:space="0" w:color="auto"/>
            </w:tcBorders>
            <w:noWrap/>
            <w:tcMar>
              <w:left w:w="28" w:type="dxa"/>
              <w:right w:w="28" w:type="dxa"/>
            </w:tcMar>
            <w:vAlign w:val="center"/>
          </w:tcPr>
          <w:p w14:paraId="7B50D295"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4</w:t>
            </w:r>
          </w:p>
        </w:tc>
        <w:tc>
          <w:tcPr>
            <w:tcW w:w="708" w:type="dxa"/>
            <w:tcBorders>
              <w:left w:val="single" w:sz="4" w:space="0" w:color="auto"/>
              <w:right w:val="single" w:sz="4" w:space="0" w:color="auto"/>
            </w:tcBorders>
            <w:tcMar>
              <w:left w:w="28" w:type="dxa"/>
              <w:right w:w="28" w:type="dxa"/>
            </w:tcMar>
            <w:vAlign w:val="center"/>
          </w:tcPr>
          <w:p w14:paraId="66AB91BE"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2</w:t>
            </w:r>
          </w:p>
        </w:tc>
        <w:tc>
          <w:tcPr>
            <w:tcW w:w="710" w:type="dxa"/>
            <w:tcBorders>
              <w:left w:val="single" w:sz="4" w:space="0" w:color="auto"/>
              <w:right w:val="single" w:sz="8" w:space="0" w:color="auto"/>
            </w:tcBorders>
            <w:tcMar>
              <w:left w:w="28" w:type="dxa"/>
              <w:right w:w="28" w:type="dxa"/>
            </w:tcMar>
            <w:vAlign w:val="center"/>
          </w:tcPr>
          <w:p w14:paraId="5F030A5A"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12</w:t>
            </w:r>
          </w:p>
        </w:tc>
        <w:tc>
          <w:tcPr>
            <w:tcW w:w="709" w:type="dxa"/>
            <w:tcBorders>
              <w:left w:val="single" w:sz="8" w:space="0" w:color="auto"/>
              <w:right w:val="single" w:sz="4" w:space="0" w:color="auto"/>
            </w:tcBorders>
            <w:tcMar>
              <w:left w:w="28" w:type="dxa"/>
              <w:right w:w="28" w:type="dxa"/>
            </w:tcMar>
            <w:vAlign w:val="center"/>
          </w:tcPr>
          <w:p w14:paraId="12B100DB"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8</w:t>
            </w:r>
          </w:p>
        </w:tc>
        <w:tc>
          <w:tcPr>
            <w:tcW w:w="708" w:type="dxa"/>
            <w:tcBorders>
              <w:left w:val="single" w:sz="4" w:space="0" w:color="auto"/>
              <w:right w:val="single" w:sz="4" w:space="0" w:color="auto"/>
            </w:tcBorders>
            <w:vAlign w:val="center"/>
          </w:tcPr>
          <w:p w14:paraId="2B7A8316"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5</w:t>
            </w:r>
          </w:p>
        </w:tc>
        <w:tc>
          <w:tcPr>
            <w:tcW w:w="709" w:type="dxa"/>
            <w:tcBorders>
              <w:left w:val="single" w:sz="4" w:space="0" w:color="auto"/>
              <w:right w:val="single" w:sz="4" w:space="0" w:color="auto"/>
            </w:tcBorders>
            <w:vAlign w:val="center"/>
          </w:tcPr>
          <w:p w14:paraId="1603BF4F"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12</w:t>
            </w:r>
          </w:p>
        </w:tc>
      </w:tr>
      <w:tr w:rsidR="00E978B3" w:rsidRPr="00BF2CF5" w14:paraId="66213DC5" w14:textId="77777777" w:rsidTr="006F6F4E">
        <w:trPr>
          <w:jc w:val="center"/>
        </w:trPr>
        <w:tc>
          <w:tcPr>
            <w:tcW w:w="2845" w:type="dxa"/>
            <w:vAlign w:val="center"/>
          </w:tcPr>
          <w:p w14:paraId="242BB782"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Birthday and other celebrations</w:t>
            </w:r>
          </w:p>
        </w:tc>
        <w:tc>
          <w:tcPr>
            <w:tcW w:w="1559" w:type="dxa"/>
            <w:tcBorders>
              <w:right w:val="single" w:sz="8" w:space="0" w:color="auto"/>
            </w:tcBorders>
            <w:vAlign w:val="center"/>
          </w:tcPr>
          <w:p w14:paraId="3C2BAA74"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don't have - other</w:t>
            </w:r>
          </w:p>
        </w:tc>
        <w:tc>
          <w:tcPr>
            <w:tcW w:w="694" w:type="dxa"/>
            <w:tcBorders>
              <w:left w:val="single" w:sz="8" w:space="0" w:color="auto"/>
              <w:right w:val="single" w:sz="4" w:space="0" w:color="auto"/>
            </w:tcBorders>
            <w:noWrap/>
            <w:tcMar>
              <w:left w:w="28" w:type="dxa"/>
              <w:right w:w="28" w:type="dxa"/>
            </w:tcMar>
            <w:vAlign w:val="center"/>
          </w:tcPr>
          <w:p w14:paraId="7236EEC4"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8</w:t>
            </w:r>
          </w:p>
        </w:tc>
        <w:tc>
          <w:tcPr>
            <w:tcW w:w="708" w:type="dxa"/>
            <w:tcBorders>
              <w:left w:val="single" w:sz="4" w:space="0" w:color="auto"/>
              <w:right w:val="single" w:sz="4" w:space="0" w:color="auto"/>
            </w:tcBorders>
            <w:tcMar>
              <w:left w:w="28" w:type="dxa"/>
              <w:right w:w="28" w:type="dxa"/>
            </w:tcMar>
            <w:vAlign w:val="center"/>
          </w:tcPr>
          <w:p w14:paraId="4072D21C"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7</w:t>
            </w:r>
          </w:p>
        </w:tc>
        <w:tc>
          <w:tcPr>
            <w:tcW w:w="710" w:type="dxa"/>
            <w:tcBorders>
              <w:left w:val="single" w:sz="4" w:space="0" w:color="auto"/>
              <w:right w:val="single" w:sz="8" w:space="0" w:color="auto"/>
            </w:tcBorders>
            <w:tcMar>
              <w:left w:w="28" w:type="dxa"/>
              <w:right w:w="28" w:type="dxa"/>
            </w:tcMar>
            <w:vAlign w:val="center"/>
          </w:tcPr>
          <w:p w14:paraId="0FF34E39"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13</w:t>
            </w:r>
          </w:p>
        </w:tc>
        <w:tc>
          <w:tcPr>
            <w:tcW w:w="709" w:type="dxa"/>
            <w:tcBorders>
              <w:left w:val="single" w:sz="8" w:space="0" w:color="auto"/>
              <w:right w:val="single" w:sz="4" w:space="0" w:color="auto"/>
            </w:tcBorders>
            <w:tcMar>
              <w:left w:w="28" w:type="dxa"/>
              <w:right w:w="28" w:type="dxa"/>
            </w:tcMar>
            <w:vAlign w:val="center"/>
          </w:tcPr>
          <w:p w14:paraId="040C9037"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10</w:t>
            </w:r>
          </w:p>
        </w:tc>
        <w:tc>
          <w:tcPr>
            <w:tcW w:w="708" w:type="dxa"/>
            <w:tcBorders>
              <w:left w:val="single" w:sz="4" w:space="0" w:color="auto"/>
              <w:right w:val="single" w:sz="4" w:space="0" w:color="auto"/>
            </w:tcBorders>
            <w:vAlign w:val="center"/>
          </w:tcPr>
          <w:p w14:paraId="71054799"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8</w:t>
            </w:r>
          </w:p>
        </w:tc>
        <w:tc>
          <w:tcPr>
            <w:tcW w:w="709" w:type="dxa"/>
            <w:tcBorders>
              <w:left w:val="single" w:sz="4" w:space="0" w:color="auto"/>
              <w:right w:val="single" w:sz="4" w:space="0" w:color="auto"/>
            </w:tcBorders>
            <w:vAlign w:val="center"/>
          </w:tcPr>
          <w:p w14:paraId="7298AC91"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13</w:t>
            </w:r>
          </w:p>
        </w:tc>
      </w:tr>
      <w:tr w:rsidR="00E978B3" w:rsidRPr="00BF2CF5" w14:paraId="5DB3F9F2" w14:textId="77777777" w:rsidTr="006F6F4E">
        <w:trPr>
          <w:jc w:val="center"/>
        </w:trPr>
        <w:tc>
          <w:tcPr>
            <w:tcW w:w="2845" w:type="dxa"/>
            <w:vAlign w:val="center"/>
          </w:tcPr>
          <w:p w14:paraId="244B9B97"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Unable to fund school trips</w:t>
            </w:r>
          </w:p>
        </w:tc>
        <w:tc>
          <w:tcPr>
            <w:tcW w:w="1559" w:type="dxa"/>
            <w:tcBorders>
              <w:right w:val="single" w:sz="8" w:space="0" w:color="auto"/>
            </w:tcBorders>
            <w:vAlign w:val="center"/>
          </w:tcPr>
          <w:p w14:paraId="039CAE5A"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a lot</w:t>
            </w:r>
          </w:p>
        </w:tc>
        <w:tc>
          <w:tcPr>
            <w:tcW w:w="694" w:type="dxa"/>
            <w:tcBorders>
              <w:left w:val="single" w:sz="8" w:space="0" w:color="auto"/>
              <w:right w:val="single" w:sz="4" w:space="0" w:color="auto"/>
            </w:tcBorders>
            <w:noWrap/>
            <w:tcMar>
              <w:left w:w="28" w:type="dxa"/>
              <w:right w:w="28" w:type="dxa"/>
            </w:tcMar>
            <w:vAlign w:val="center"/>
          </w:tcPr>
          <w:p w14:paraId="2CD9528B"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2</w:t>
            </w:r>
          </w:p>
        </w:tc>
        <w:tc>
          <w:tcPr>
            <w:tcW w:w="708" w:type="dxa"/>
            <w:tcBorders>
              <w:left w:val="single" w:sz="4" w:space="0" w:color="auto"/>
              <w:right w:val="single" w:sz="4" w:space="0" w:color="auto"/>
            </w:tcBorders>
            <w:tcMar>
              <w:left w:w="28" w:type="dxa"/>
              <w:right w:w="28" w:type="dxa"/>
            </w:tcMar>
            <w:vAlign w:val="center"/>
          </w:tcPr>
          <w:p w14:paraId="2840598B"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w:t>
            </w:r>
          </w:p>
        </w:tc>
        <w:tc>
          <w:tcPr>
            <w:tcW w:w="710" w:type="dxa"/>
            <w:tcBorders>
              <w:left w:val="single" w:sz="4" w:space="0" w:color="auto"/>
              <w:right w:val="single" w:sz="8" w:space="0" w:color="auto"/>
            </w:tcBorders>
            <w:tcMar>
              <w:left w:w="28" w:type="dxa"/>
              <w:right w:w="28" w:type="dxa"/>
            </w:tcMar>
            <w:vAlign w:val="center"/>
          </w:tcPr>
          <w:p w14:paraId="47B7E211"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8</w:t>
            </w:r>
          </w:p>
        </w:tc>
        <w:tc>
          <w:tcPr>
            <w:tcW w:w="709" w:type="dxa"/>
            <w:tcBorders>
              <w:left w:val="single" w:sz="8" w:space="0" w:color="auto"/>
              <w:right w:val="single" w:sz="4" w:space="0" w:color="auto"/>
            </w:tcBorders>
            <w:tcMar>
              <w:left w:w="28" w:type="dxa"/>
              <w:right w:w="28" w:type="dxa"/>
            </w:tcMar>
            <w:vAlign w:val="center"/>
          </w:tcPr>
          <w:p w14:paraId="74688555"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4</w:t>
            </w:r>
          </w:p>
        </w:tc>
        <w:tc>
          <w:tcPr>
            <w:tcW w:w="708" w:type="dxa"/>
            <w:tcBorders>
              <w:left w:val="single" w:sz="4" w:space="0" w:color="auto"/>
              <w:right w:val="single" w:sz="4" w:space="0" w:color="auto"/>
            </w:tcBorders>
            <w:vAlign w:val="center"/>
          </w:tcPr>
          <w:p w14:paraId="68D001F1"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2</w:t>
            </w:r>
          </w:p>
        </w:tc>
        <w:tc>
          <w:tcPr>
            <w:tcW w:w="709" w:type="dxa"/>
            <w:tcBorders>
              <w:left w:val="single" w:sz="4" w:space="0" w:color="auto"/>
              <w:right w:val="single" w:sz="4" w:space="0" w:color="auto"/>
            </w:tcBorders>
            <w:vAlign w:val="center"/>
          </w:tcPr>
          <w:p w14:paraId="0EE76254"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8</w:t>
            </w:r>
          </w:p>
        </w:tc>
      </w:tr>
      <w:tr w:rsidR="00E978B3" w:rsidRPr="00BF2CF5" w14:paraId="69B4C1E6" w14:textId="77777777" w:rsidTr="006F6F4E">
        <w:trPr>
          <w:jc w:val="center"/>
        </w:trPr>
        <w:tc>
          <w:tcPr>
            <w:tcW w:w="2845" w:type="dxa"/>
            <w:vAlign w:val="center"/>
          </w:tcPr>
          <w:p w14:paraId="5C88930D"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Had to limit participation in sport</w:t>
            </w:r>
          </w:p>
        </w:tc>
        <w:tc>
          <w:tcPr>
            <w:tcW w:w="1559" w:type="dxa"/>
            <w:tcBorders>
              <w:right w:val="single" w:sz="8" w:space="0" w:color="auto"/>
            </w:tcBorders>
            <w:vAlign w:val="center"/>
          </w:tcPr>
          <w:p w14:paraId="7E7E4744"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a lot</w:t>
            </w:r>
          </w:p>
        </w:tc>
        <w:tc>
          <w:tcPr>
            <w:tcW w:w="694" w:type="dxa"/>
            <w:tcBorders>
              <w:left w:val="single" w:sz="8" w:space="0" w:color="auto"/>
              <w:right w:val="single" w:sz="4" w:space="0" w:color="auto"/>
            </w:tcBorders>
            <w:noWrap/>
            <w:tcMar>
              <w:left w:w="28" w:type="dxa"/>
              <w:right w:w="28" w:type="dxa"/>
            </w:tcMar>
            <w:vAlign w:val="center"/>
          </w:tcPr>
          <w:p w14:paraId="4D80EAF9"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4</w:t>
            </w:r>
          </w:p>
        </w:tc>
        <w:tc>
          <w:tcPr>
            <w:tcW w:w="708" w:type="dxa"/>
            <w:tcBorders>
              <w:left w:val="single" w:sz="4" w:space="0" w:color="auto"/>
              <w:right w:val="single" w:sz="4" w:space="0" w:color="auto"/>
            </w:tcBorders>
            <w:tcMar>
              <w:left w:w="28" w:type="dxa"/>
              <w:right w:w="28" w:type="dxa"/>
            </w:tcMar>
            <w:vAlign w:val="center"/>
          </w:tcPr>
          <w:p w14:paraId="65C32241"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3</w:t>
            </w:r>
          </w:p>
        </w:tc>
        <w:tc>
          <w:tcPr>
            <w:tcW w:w="710" w:type="dxa"/>
            <w:tcBorders>
              <w:left w:val="single" w:sz="4" w:space="0" w:color="auto"/>
              <w:right w:val="single" w:sz="8" w:space="0" w:color="auto"/>
            </w:tcBorders>
            <w:tcMar>
              <w:left w:w="28" w:type="dxa"/>
              <w:right w:w="28" w:type="dxa"/>
            </w:tcMar>
            <w:vAlign w:val="center"/>
          </w:tcPr>
          <w:p w14:paraId="0A06029D"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11</w:t>
            </w:r>
          </w:p>
        </w:tc>
        <w:tc>
          <w:tcPr>
            <w:tcW w:w="709" w:type="dxa"/>
            <w:tcBorders>
              <w:left w:val="single" w:sz="8" w:space="0" w:color="auto"/>
              <w:right w:val="single" w:sz="4" w:space="0" w:color="auto"/>
            </w:tcBorders>
            <w:tcMar>
              <w:left w:w="28" w:type="dxa"/>
              <w:right w:w="28" w:type="dxa"/>
            </w:tcMar>
            <w:vAlign w:val="center"/>
          </w:tcPr>
          <w:p w14:paraId="239F0333"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9</w:t>
            </w:r>
          </w:p>
        </w:tc>
        <w:tc>
          <w:tcPr>
            <w:tcW w:w="708" w:type="dxa"/>
            <w:tcBorders>
              <w:left w:val="single" w:sz="4" w:space="0" w:color="auto"/>
              <w:right w:val="single" w:sz="4" w:space="0" w:color="auto"/>
            </w:tcBorders>
            <w:vAlign w:val="center"/>
          </w:tcPr>
          <w:p w14:paraId="264A7DEA"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7</w:t>
            </w:r>
          </w:p>
        </w:tc>
        <w:tc>
          <w:tcPr>
            <w:tcW w:w="709" w:type="dxa"/>
            <w:tcBorders>
              <w:left w:val="single" w:sz="4" w:space="0" w:color="auto"/>
              <w:right w:val="single" w:sz="4" w:space="0" w:color="auto"/>
            </w:tcBorders>
            <w:vAlign w:val="center"/>
          </w:tcPr>
          <w:p w14:paraId="12CD514D"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11</w:t>
            </w:r>
          </w:p>
        </w:tc>
      </w:tr>
      <w:tr w:rsidR="00E978B3" w:rsidRPr="00BF2CF5" w14:paraId="7B7EF1E7" w14:textId="77777777" w:rsidTr="006F6F4E">
        <w:trPr>
          <w:jc w:val="center"/>
        </w:trPr>
        <w:tc>
          <w:tcPr>
            <w:tcW w:w="2845" w:type="dxa"/>
            <w:vAlign w:val="center"/>
          </w:tcPr>
          <w:p w14:paraId="567F86F8"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Had to go without special interests</w:t>
            </w:r>
          </w:p>
        </w:tc>
        <w:tc>
          <w:tcPr>
            <w:tcW w:w="1559" w:type="dxa"/>
            <w:tcBorders>
              <w:right w:val="single" w:sz="8" w:space="0" w:color="auto"/>
            </w:tcBorders>
            <w:vAlign w:val="center"/>
          </w:tcPr>
          <w:p w14:paraId="7569BFF1"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a lot</w:t>
            </w:r>
          </w:p>
        </w:tc>
        <w:tc>
          <w:tcPr>
            <w:tcW w:w="694" w:type="dxa"/>
            <w:tcBorders>
              <w:left w:val="single" w:sz="8" w:space="0" w:color="auto"/>
              <w:right w:val="single" w:sz="4" w:space="0" w:color="auto"/>
            </w:tcBorders>
            <w:noWrap/>
            <w:tcMar>
              <w:left w:w="28" w:type="dxa"/>
              <w:right w:w="28" w:type="dxa"/>
            </w:tcMar>
            <w:vAlign w:val="center"/>
          </w:tcPr>
          <w:p w14:paraId="74F5774F"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4</w:t>
            </w:r>
          </w:p>
        </w:tc>
        <w:tc>
          <w:tcPr>
            <w:tcW w:w="708" w:type="dxa"/>
            <w:tcBorders>
              <w:left w:val="single" w:sz="4" w:space="0" w:color="auto"/>
              <w:right w:val="single" w:sz="4" w:space="0" w:color="auto"/>
            </w:tcBorders>
            <w:tcMar>
              <w:left w:w="28" w:type="dxa"/>
              <w:right w:w="28" w:type="dxa"/>
            </w:tcMar>
            <w:vAlign w:val="center"/>
          </w:tcPr>
          <w:p w14:paraId="07EF0E29"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3</w:t>
            </w:r>
          </w:p>
        </w:tc>
        <w:tc>
          <w:tcPr>
            <w:tcW w:w="710" w:type="dxa"/>
            <w:tcBorders>
              <w:left w:val="single" w:sz="4" w:space="0" w:color="auto"/>
              <w:right w:val="single" w:sz="8" w:space="0" w:color="auto"/>
            </w:tcBorders>
            <w:tcMar>
              <w:left w:w="28" w:type="dxa"/>
              <w:right w:w="28" w:type="dxa"/>
            </w:tcMar>
            <w:vAlign w:val="center"/>
          </w:tcPr>
          <w:p w14:paraId="78FEE321"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11</w:t>
            </w:r>
          </w:p>
        </w:tc>
        <w:tc>
          <w:tcPr>
            <w:tcW w:w="709" w:type="dxa"/>
            <w:tcBorders>
              <w:left w:val="single" w:sz="8" w:space="0" w:color="auto"/>
              <w:right w:val="single" w:sz="4" w:space="0" w:color="auto"/>
            </w:tcBorders>
            <w:tcMar>
              <w:left w:w="28" w:type="dxa"/>
              <w:right w:w="28" w:type="dxa"/>
            </w:tcMar>
            <w:vAlign w:val="center"/>
          </w:tcPr>
          <w:p w14:paraId="655C5795"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10</w:t>
            </w:r>
          </w:p>
        </w:tc>
        <w:tc>
          <w:tcPr>
            <w:tcW w:w="708" w:type="dxa"/>
            <w:tcBorders>
              <w:left w:val="single" w:sz="4" w:space="0" w:color="auto"/>
              <w:right w:val="single" w:sz="4" w:space="0" w:color="auto"/>
            </w:tcBorders>
            <w:vAlign w:val="center"/>
          </w:tcPr>
          <w:p w14:paraId="2298CCDE"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8</w:t>
            </w:r>
          </w:p>
        </w:tc>
        <w:tc>
          <w:tcPr>
            <w:tcW w:w="709" w:type="dxa"/>
            <w:tcBorders>
              <w:left w:val="single" w:sz="4" w:space="0" w:color="auto"/>
              <w:right w:val="single" w:sz="4" w:space="0" w:color="auto"/>
            </w:tcBorders>
            <w:vAlign w:val="center"/>
          </w:tcPr>
          <w:p w14:paraId="5AF81D0A"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12</w:t>
            </w:r>
          </w:p>
        </w:tc>
      </w:tr>
      <w:tr w:rsidR="00E978B3" w:rsidRPr="00BF2CF5" w14:paraId="33620B6F" w14:textId="77777777" w:rsidTr="006F6F4E">
        <w:trPr>
          <w:jc w:val="center"/>
        </w:trPr>
        <w:tc>
          <w:tcPr>
            <w:tcW w:w="2845" w:type="dxa"/>
            <w:vAlign w:val="center"/>
          </w:tcPr>
          <w:p w14:paraId="501332FD" w14:textId="77777777" w:rsidR="00E978B3" w:rsidRPr="00BF2CF5" w:rsidRDefault="00E978B3" w:rsidP="006F6F4E">
            <w:pPr>
              <w:spacing w:before="40" w:after="40" w:line="240" w:lineRule="auto"/>
              <w:ind w:left="176"/>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Continued to wear worn out / wrong size shoes/clothes</w:t>
            </w:r>
          </w:p>
        </w:tc>
        <w:tc>
          <w:tcPr>
            <w:tcW w:w="1559" w:type="dxa"/>
            <w:tcBorders>
              <w:right w:val="single" w:sz="8" w:space="0" w:color="auto"/>
            </w:tcBorders>
            <w:vAlign w:val="center"/>
          </w:tcPr>
          <w:p w14:paraId="0B97E85C" w14:textId="77777777" w:rsidR="00E978B3" w:rsidRPr="00BF2CF5" w:rsidRDefault="00E978B3" w:rsidP="006F6F4E">
            <w:pPr>
              <w:spacing w:before="40" w:after="40" w:line="240" w:lineRule="auto"/>
              <w:rPr>
                <w:rFonts w:ascii="Arial" w:eastAsia="Times New Roman" w:hAnsi="Arial"/>
                <w:color w:val="000000" w:themeColor="text1"/>
                <w:sz w:val="14"/>
                <w:szCs w:val="14"/>
                <w:lang w:val="en-GB" w:eastAsia="en-GB"/>
              </w:rPr>
            </w:pPr>
            <w:r w:rsidRPr="00BF2CF5">
              <w:rPr>
                <w:rFonts w:ascii="Arial" w:hAnsi="Arial"/>
                <w:color w:val="000000" w:themeColor="text1"/>
                <w:sz w:val="14"/>
                <w:szCs w:val="14"/>
              </w:rPr>
              <w:t>a lot</w:t>
            </w:r>
          </w:p>
        </w:tc>
        <w:tc>
          <w:tcPr>
            <w:tcW w:w="694" w:type="dxa"/>
            <w:tcBorders>
              <w:left w:val="single" w:sz="8" w:space="0" w:color="auto"/>
              <w:right w:val="single" w:sz="4" w:space="0" w:color="auto"/>
            </w:tcBorders>
            <w:noWrap/>
            <w:tcMar>
              <w:left w:w="28" w:type="dxa"/>
              <w:right w:w="28" w:type="dxa"/>
            </w:tcMar>
            <w:vAlign w:val="center"/>
          </w:tcPr>
          <w:p w14:paraId="5DB9B9BB" w14:textId="77777777" w:rsidR="00E978B3" w:rsidRPr="00BF2CF5" w:rsidRDefault="00E978B3" w:rsidP="006F6F4E">
            <w:pPr>
              <w:spacing w:before="40" w:after="40" w:line="240" w:lineRule="auto"/>
              <w:ind w:left="-27" w:right="-40" w:hanging="27"/>
              <w:jc w:val="center"/>
              <w:rPr>
                <w:rFonts w:ascii="Arial" w:eastAsia="Times New Roman" w:hAnsi="Arial"/>
                <w:color w:val="000000" w:themeColor="text1"/>
                <w:sz w:val="14"/>
                <w:szCs w:val="14"/>
                <w:lang w:val="en-GB" w:eastAsia="en-GB"/>
              </w:rPr>
            </w:pPr>
            <w:r>
              <w:rPr>
                <w:rFonts w:ascii="Arial" w:hAnsi="Arial"/>
                <w:sz w:val="14"/>
                <w:szCs w:val="14"/>
              </w:rPr>
              <w:t>2</w:t>
            </w:r>
          </w:p>
        </w:tc>
        <w:tc>
          <w:tcPr>
            <w:tcW w:w="708" w:type="dxa"/>
            <w:tcBorders>
              <w:left w:val="single" w:sz="4" w:space="0" w:color="auto"/>
              <w:right w:val="single" w:sz="4" w:space="0" w:color="auto"/>
            </w:tcBorders>
            <w:tcMar>
              <w:left w:w="28" w:type="dxa"/>
              <w:right w:w="28" w:type="dxa"/>
            </w:tcMar>
            <w:vAlign w:val="center"/>
          </w:tcPr>
          <w:p w14:paraId="3917307F"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1</w:t>
            </w:r>
          </w:p>
        </w:tc>
        <w:tc>
          <w:tcPr>
            <w:tcW w:w="710" w:type="dxa"/>
            <w:tcBorders>
              <w:left w:val="single" w:sz="4" w:space="0" w:color="auto"/>
              <w:right w:val="single" w:sz="8" w:space="0" w:color="auto"/>
            </w:tcBorders>
            <w:tcMar>
              <w:left w:w="28" w:type="dxa"/>
              <w:right w:w="28" w:type="dxa"/>
            </w:tcMar>
            <w:vAlign w:val="center"/>
          </w:tcPr>
          <w:p w14:paraId="49AC51C0"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color w:val="000000"/>
                <w:sz w:val="14"/>
                <w:szCs w:val="14"/>
              </w:rPr>
              <w:t>8</w:t>
            </w:r>
          </w:p>
        </w:tc>
        <w:tc>
          <w:tcPr>
            <w:tcW w:w="709" w:type="dxa"/>
            <w:tcBorders>
              <w:left w:val="single" w:sz="8" w:space="0" w:color="auto"/>
              <w:right w:val="single" w:sz="4" w:space="0" w:color="auto"/>
            </w:tcBorders>
            <w:tcMar>
              <w:left w:w="28" w:type="dxa"/>
              <w:right w:w="28" w:type="dxa"/>
            </w:tcMar>
            <w:vAlign w:val="center"/>
          </w:tcPr>
          <w:p w14:paraId="72C915E1" w14:textId="77777777" w:rsidR="00E978B3" w:rsidRPr="00BF2CF5" w:rsidRDefault="00E978B3" w:rsidP="006F6F4E">
            <w:pPr>
              <w:spacing w:before="40" w:after="40" w:line="240" w:lineRule="auto"/>
              <w:ind w:left="-27" w:firstLine="27"/>
              <w:jc w:val="center"/>
              <w:rPr>
                <w:rFonts w:ascii="Arial" w:eastAsia="Times New Roman" w:hAnsi="Arial"/>
                <w:color w:val="000000" w:themeColor="text1"/>
                <w:sz w:val="14"/>
                <w:szCs w:val="14"/>
                <w:lang w:val="en-GB" w:eastAsia="en-GB"/>
              </w:rPr>
            </w:pPr>
            <w:r>
              <w:rPr>
                <w:rFonts w:ascii="Arial" w:hAnsi="Arial"/>
                <w:sz w:val="14"/>
                <w:szCs w:val="14"/>
              </w:rPr>
              <w:t>5</w:t>
            </w:r>
          </w:p>
        </w:tc>
        <w:tc>
          <w:tcPr>
            <w:tcW w:w="708" w:type="dxa"/>
            <w:tcBorders>
              <w:left w:val="single" w:sz="4" w:space="0" w:color="auto"/>
              <w:right w:val="single" w:sz="4" w:space="0" w:color="auto"/>
            </w:tcBorders>
            <w:vAlign w:val="center"/>
          </w:tcPr>
          <w:p w14:paraId="27593E7E" w14:textId="77777777" w:rsidR="00E978B3" w:rsidRPr="00BF2CF5" w:rsidRDefault="00E978B3" w:rsidP="006F6F4E">
            <w:pPr>
              <w:spacing w:before="40" w:after="40" w:line="240" w:lineRule="auto"/>
              <w:ind w:left="-27" w:firstLine="27"/>
              <w:jc w:val="center"/>
              <w:rPr>
                <w:rFonts w:ascii="Arial" w:hAnsi="Arial"/>
                <w:color w:val="000000" w:themeColor="text1"/>
                <w:sz w:val="14"/>
                <w:szCs w:val="14"/>
              </w:rPr>
            </w:pPr>
            <w:r>
              <w:rPr>
                <w:rFonts w:ascii="Arial" w:hAnsi="Arial"/>
                <w:color w:val="000000"/>
                <w:sz w:val="14"/>
                <w:szCs w:val="14"/>
              </w:rPr>
              <w:t>2</w:t>
            </w:r>
          </w:p>
        </w:tc>
        <w:tc>
          <w:tcPr>
            <w:tcW w:w="709" w:type="dxa"/>
            <w:tcBorders>
              <w:left w:val="single" w:sz="4" w:space="0" w:color="auto"/>
              <w:right w:val="single" w:sz="4" w:space="0" w:color="auto"/>
            </w:tcBorders>
            <w:vAlign w:val="center"/>
          </w:tcPr>
          <w:p w14:paraId="25BF3507" w14:textId="77777777" w:rsidR="00E978B3" w:rsidRPr="00BF2CF5" w:rsidRDefault="00E978B3"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10</w:t>
            </w:r>
          </w:p>
        </w:tc>
      </w:tr>
      <w:tr w:rsidR="00E978B3" w:rsidRPr="00BF2CF5" w14:paraId="1FB76678" w14:textId="77777777" w:rsidTr="006F6F4E">
        <w:trPr>
          <w:jc w:val="center"/>
        </w:trPr>
        <w:tc>
          <w:tcPr>
            <w:tcW w:w="4404" w:type="dxa"/>
            <w:gridSpan w:val="2"/>
            <w:tcBorders>
              <w:right w:val="single" w:sz="8" w:space="0" w:color="auto"/>
            </w:tcBorders>
            <w:vAlign w:val="center"/>
          </w:tcPr>
          <w:p w14:paraId="535D7C83" w14:textId="77777777" w:rsidR="00E978B3" w:rsidRPr="00BF2CF5" w:rsidRDefault="00E978B3" w:rsidP="006F6F4E">
            <w:pPr>
              <w:spacing w:before="40" w:after="40" w:line="240" w:lineRule="auto"/>
              <w:ind w:left="62"/>
              <w:rPr>
                <w:rFonts w:ascii="Arial" w:hAnsi="Arial"/>
                <w:color w:val="000000" w:themeColor="text1"/>
                <w:sz w:val="14"/>
                <w:szCs w:val="14"/>
              </w:rPr>
            </w:pPr>
            <w:r w:rsidRPr="00BF2CF5">
              <w:rPr>
                <w:rFonts w:ascii="Arial" w:hAnsi="Arial"/>
                <w:b/>
                <w:bCs/>
                <w:color w:val="000000" w:themeColor="text1"/>
                <w:sz w:val="14"/>
                <w:szCs w:val="14"/>
              </w:rPr>
              <w:t>Median AHC household income ($ equivalised)</w:t>
            </w:r>
          </w:p>
        </w:tc>
        <w:tc>
          <w:tcPr>
            <w:tcW w:w="694" w:type="dxa"/>
            <w:tcBorders>
              <w:left w:val="single" w:sz="8" w:space="0" w:color="auto"/>
              <w:right w:val="single" w:sz="4" w:space="0" w:color="auto"/>
            </w:tcBorders>
            <w:noWrap/>
            <w:tcMar>
              <w:left w:w="28" w:type="dxa"/>
              <w:right w:w="28" w:type="dxa"/>
            </w:tcMar>
            <w:vAlign w:val="center"/>
          </w:tcPr>
          <w:p w14:paraId="447E899A" w14:textId="77777777" w:rsidR="00E978B3" w:rsidRDefault="00E978B3" w:rsidP="006F6F4E">
            <w:pPr>
              <w:spacing w:before="40" w:after="40" w:line="240" w:lineRule="auto"/>
              <w:ind w:left="-27" w:right="-40" w:hanging="27"/>
              <w:jc w:val="center"/>
              <w:rPr>
                <w:rFonts w:ascii="Arial" w:hAnsi="Arial"/>
                <w:sz w:val="14"/>
                <w:szCs w:val="14"/>
              </w:rPr>
            </w:pPr>
            <w:r>
              <w:rPr>
                <w:rFonts w:ascii="Arial" w:hAnsi="Arial"/>
                <w:color w:val="000000"/>
                <w:sz w:val="14"/>
                <w:szCs w:val="14"/>
              </w:rPr>
              <w:t>35,000</w:t>
            </w:r>
          </w:p>
        </w:tc>
        <w:tc>
          <w:tcPr>
            <w:tcW w:w="708" w:type="dxa"/>
            <w:tcBorders>
              <w:left w:val="single" w:sz="4" w:space="0" w:color="auto"/>
              <w:right w:val="single" w:sz="4" w:space="0" w:color="auto"/>
            </w:tcBorders>
            <w:tcMar>
              <w:left w:w="28" w:type="dxa"/>
              <w:right w:w="28" w:type="dxa"/>
            </w:tcMar>
            <w:vAlign w:val="center"/>
          </w:tcPr>
          <w:p w14:paraId="4571B4E2" w14:textId="77777777" w:rsidR="00E978B3" w:rsidRDefault="00E978B3" w:rsidP="006F6F4E">
            <w:pPr>
              <w:spacing w:before="40" w:after="40" w:line="240" w:lineRule="auto"/>
              <w:ind w:left="-27" w:firstLine="27"/>
              <w:jc w:val="center"/>
              <w:rPr>
                <w:rFonts w:ascii="Arial" w:hAnsi="Arial"/>
                <w:color w:val="000000"/>
                <w:sz w:val="14"/>
                <w:szCs w:val="14"/>
              </w:rPr>
            </w:pPr>
            <w:r>
              <w:rPr>
                <w:rFonts w:ascii="Arial" w:hAnsi="Arial"/>
                <w:color w:val="000000"/>
                <w:sz w:val="14"/>
                <w:szCs w:val="14"/>
              </w:rPr>
              <w:t>38,900</w:t>
            </w:r>
          </w:p>
        </w:tc>
        <w:tc>
          <w:tcPr>
            <w:tcW w:w="710" w:type="dxa"/>
            <w:tcBorders>
              <w:left w:val="single" w:sz="4" w:space="0" w:color="auto"/>
              <w:right w:val="single" w:sz="8" w:space="0" w:color="auto"/>
            </w:tcBorders>
            <w:tcMar>
              <w:left w:w="28" w:type="dxa"/>
              <w:right w:w="28" w:type="dxa"/>
            </w:tcMar>
            <w:vAlign w:val="center"/>
          </w:tcPr>
          <w:p w14:paraId="36351712" w14:textId="77777777" w:rsidR="00E978B3" w:rsidRDefault="00E978B3" w:rsidP="006F6F4E">
            <w:pPr>
              <w:spacing w:before="40" w:after="40" w:line="240" w:lineRule="auto"/>
              <w:ind w:left="-27" w:firstLine="27"/>
              <w:jc w:val="center"/>
              <w:rPr>
                <w:rFonts w:ascii="Arial" w:hAnsi="Arial"/>
                <w:color w:val="000000"/>
                <w:sz w:val="14"/>
                <w:szCs w:val="14"/>
              </w:rPr>
            </w:pPr>
            <w:r>
              <w:rPr>
                <w:rFonts w:ascii="Arial" w:hAnsi="Arial"/>
                <w:color w:val="000000"/>
                <w:sz w:val="14"/>
                <w:szCs w:val="14"/>
              </w:rPr>
              <w:t>18,800</w:t>
            </w:r>
          </w:p>
        </w:tc>
        <w:tc>
          <w:tcPr>
            <w:tcW w:w="709" w:type="dxa"/>
            <w:tcBorders>
              <w:left w:val="single" w:sz="8" w:space="0" w:color="auto"/>
              <w:right w:val="single" w:sz="4" w:space="0" w:color="auto"/>
            </w:tcBorders>
            <w:tcMar>
              <w:left w:w="28" w:type="dxa"/>
              <w:right w:w="28" w:type="dxa"/>
            </w:tcMar>
            <w:vAlign w:val="center"/>
          </w:tcPr>
          <w:p w14:paraId="2DC2E6A1" w14:textId="77777777" w:rsidR="00E978B3" w:rsidRDefault="00E978B3" w:rsidP="006F6F4E">
            <w:pPr>
              <w:spacing w:before="40" w:after="40" w:line="240" w:lineRule="auto"/>
              <w:ind w:left="-27" w:firstLine="27"/>
              <w:jc w:val="center"/>
              <w:rPr>
                <w:rFonts w:ascii="Arial" w:hAnsi="Arial"/>
                <w:sz w:val="14"/>
                <w:szCs w:val="14"/>
              </w:rPr>
            </w:pPr>
            <w:r>
              <w:rPr>
                <w:rFonts w:ascii="Arial" w:hAnsi="Arial"/>
                <w:color w:val="000000"/>
                <w:sz w:val="14"/>
                <w:szCs w:val="14"/>
              </w:rPr>
              <w:t>16,500</w:t>
            </w:r>
          </w:p>
        </w:tc>
        <w:tc>
          <w:tcPr>
            <w:tcW w:w="708" w:type="dxa"/>
            <w:tcBorders>
              <w:left w:val="single" w:sz="4" w:space="0" w:color="auto"/>
              <w:right w:val="single" w:sz="4" w:space="0" w:color="auto"/>
            </w:tcBorders>
            <w:vAlign w:val="center"/>
          </w:tcPr>
          <w:p w14:paraId="29168735" w14:textId="77777777" w:rsidR="00E978B3" w:rsidRDefault="00E978B3" w:rsidP="006F6F4E">
            <w:pPr>
              <w:spacing w:before="40" w:after="40" w:line="240" w:lineRule="auto"/>
              <w:ind w:left="-27" w:firstLine="27"/>
              <w:jc w:val="center"/>
              <w:rPr>
                <w:rFonts w:ascii="Arial" w:hAnsi="Arial"/>
                <w:color w:val="000000"/>
                <w:sz w:val="14"/>
                <w:szCs w:val="14"/>
              </w:rPr>
            </w:pPr>
            <w:r>
              <w:rPr>
                <w:rFonts w:ascii="Arial" w:hAnsi="Arial"/>
                <w:color w:val="000000"/>
                <w:sz w:val="14"/>
                <w:szCs w:val="14"/>
              </w:rPr>
              <w:t>17,300</w:t>
            </w:r>
          </w:p>
        </w:tc>
        <w:tc>
          <w:tcPr>
            <w:tcW w:w="709" w:type="dxa"/>
            <w:tcBorders>
              <w:left w:val="single" w:sz="4" w:space="0" w:color="auto"/>
              <w:right w:val="single" w:sz="4" w:space="0" w:color="auto"/>
            </w:tcBorders>
            <w:vAlign w:val="center"/>
          </w:tcPr>
          <w:p w14:paraId="604DB220" w14:textId="77777777" w:rsidR="00E978B3" w:rsidRDefault="00E978B3" w:rsidP="006F6F4E">
            <w:pPr>
              <w:spacing w:before="40" w:after="40" w:line="240" w:lineRule="auto"/>
              <w:jc w:val="center"/>
              <w:rPr>
                <w:rFonts w:ascii="Arial" w:hAnsi="Arial"/>
                <w:color w:val="000000"/>
                <w:sz w:val="14"/>
                <w:szCs w:val="14"/>
              </w:rPr>
            </w:pPr>
            <w:r>
              <w:rPr>
                <w:rFonts w:ascii="Arial" w:hAnsi="Arial"/>
                <w:color w:val="000000"/>
                <w:sz w:val="14"/>
                <w:szCs w:val="14"/>
              </w:rPr>
              <w:t>15,600</w:t>
            </w:r>
          </w:p>
        </w:tc>
      </w:tr>
    </w:tbl>
    <w:p w14:paraId="59E2D233" w14:textId="77777777" w:rsidR="00E978B3" w:rsidRPr="00BF2CF5" w:rsidRDefault="00E978B3" w:rsidP="00E978B3">
      <w:pPr>
        <w:tabs>
          <w:tab w:val="left" w:pos="5670"/>
        </w:tabs>
        <w:spacing w:before="60" w:after="0" w:line="240" w:lineRule="auto"/>
        <w:rPr>
          <w:rFonts w:ascii="Arial" w:eastAsia="Times New Roman" w:hAnsi="Arial"/>
          <w:color w:val="000000" w:themeColor="text1"/>
          <w:sz w:val="16"/>
          <w:szCs w:val="16"/>
        </w:rPr>
      </w:pPr>
      <w:r w:rsidRPr="00BF2CF5">
        <w:rPr>
          <w:rFonts w:ascii="Arial" w:eastAsia="Times New Roman" w:hAnsi="Arial"/>
          <w:color w:val="000000" w:themeColor="text1"/>
          <w:sz w:val="16"/>
          <w:szCs w:val="16"/>
        </w:rPr>
        <w:t>Notes:</w:t>
      </w:r>
    </w:p>
    <w:p w14:paraId="6DA6C8BD" w14:textId="77777777" w:rsidR="00E978B3" w:rsidRPr="00BF2CF5" w:rsidRDefault="00E978B3">
      <w:pPr>
        <w:numPr>
          <w:ilvl w:val="0"/>
          <w:numId w:val="20"/>
        </w:numPr>
        <w:tabs>
          <w:tab w:val="left" w:pos="5670"/>
        </w:tabs>
        <w:spacing w:before="20" w:after="0" w:line="240" w:lineRule="auto"/>
        <w:ind w:left="568" w:hanging="284"/>
        <w:rPr>
          <w:rFonts w:ascii="Arial" w:eastAsia="Times New Roman" w:hAnsi="Arial"/>
          <w:color w:val="000000" w:themeColor="text1"/>
          <w:sz w:val="16"/>
          <w:szCs w:val="16"/>
        </w:rPr>
      </w:pPr>
      <w:r w:rsidRPr="00BF2CF5">
        <w:rPr>
          <w:rFonts w:ascii="Arial" w:eastAsia="Times New Roman" w:hAnsi="Arial"/>
          <w:color w:val="000000" w:themeColor="text1"/>
          <w:sz w:val="16"/>
          <w:szCs w:val="16"/>
        </w:rPr>
        <w:t>In this report, all cells with original sample sizes of less than 15 are suppressed</w:t>
      </w:r>
      <w:r>
        <w:rPr>
          <w:rFonts w:ascii="Arial" w:eastAsia="Times New Roman" w:hAnsi="Arial"/>
          <w:color w:val="000000" w:themeColor="text1"/>
          <w:sz w:val="16"/>
          <w:szCs w:val="16"/>
        </w:rPr>
        <w:t xml:space="preserve"> (-).</w:t>
      </w:r>
    </w:p>
    <w:p w14:paraId="326FEF2D" w14:textId="77777777" w:rsidR="00E978B3" w:rsidRDefault="00E978B3">
      <w:pPr>
        <w:numPr>
          <w:ilvl w:val="0"/>
          <w:numId w:val="20"/>
        </w:numPr>
        <w:tabs>
          <w:tab w:val="left" w:pos="5670"/>
        </w:tabs>
        <w:spacing w:before="20" w:after="0" w:line="240" w:lineRule="auto"/>
        <w:ind w:left="568" w:hanging="284"/>
        <w:rPr>
          <w:rFonts w:ascii="Arial" w:eastAsia="Times New Roman" w:hAnsi="Arial"/>
          <w:color w:val="000000" w:themeColor="text1"/>
          <w:sz w:val="16"/>
          <w:szCs w:val="16"/>
        </w:rPr>
      </w:pPr>
      <w:r w:rsidRPr="00BF2CF5">
        <w:rPr>
          <w:rFonts w:ascii="Arial" w:eastAsia="Times New Roman" w:hAnsi="Arial"/>
          <w:color w:val="000000" w:themeColor="text1"/>
          <w:sz w:val="16"/>
          <w:szCs w:val="16"/>
        </w:rPr>
        <w:t xml:space="preserve">For all </w:t>
      </w:r>
      <w:r>
        <w:rPr>
          <w:rFonts w:ascii="Arial" w:eastAsia="Times New Roman" w:hAnsi="Arial"/>
          <w:color w:val="000000" w:themeColor="text1"/>
          <w:sz w:val="16"/>
          <w:szCs w:val="16"/>
        </w:rPr>
        <w:t>6</w:t>
      </w:r>
      <w:r w:rsidRPr="00BF2CF5">
        <w:rPr>
          <w:rFonts w:ascii="Arial" w:eastAsia="Times New Roman" w:hAnsi="Arial"/>
          <w:color w:val="000000" w:themeColor="text1"/>
          <w:sz w:val="16"/>
          <w:szCs w:val="16"/>
        </w:rPr>
        <w:t>-17 year olds, 1</w:t>
      </w:r>
      <w:r>
        <w:rPr>
          <w:rFonts w:ascii="Arial" w:eastAsia="Times New Roman" w:hAnsi="Arial"/>
          <w:color w:val="000000" w:themeColor="text1"/>
          <w:sz w:val="16"/>
          <w:szCs w:val="16"/>
        </w:rPr>
        <w:t>4</w:t>
      </w:r>
      <w:r w:rsidRPr="00BF2CF5">
        <w:rPr>
          <w:rFonts w:ascii="Arial" w:eastAsia="Times New Roman" w:hAnsi="Arial"/>
          <w:color w:val="000000" w:themeColor="text1"/>
          <w:sz w:val="16"/>
          <w:szCs w:val="16"/>
        </w:rPr>
        <w:t xml:space="preserve">% </w:t>
      </w:r>
      <w:r w:rsidRPr="0061791D">
        <w:rPr>
          <w:rFonts w:ascii="Arial" w:eastAsia="Times New Roman" w:hAnsi="Arial"/>
          <w:color w:val="000000" w:themeColor="text1"/>
          <w:sz w:val="16"/>
          <w:szCs w:val="16"/>
        </w:rPr>
        <w:t>are in ‘beneficiary’ households</w:t>
      </w:r>
      <w:r w:rsidRPr="00BF2CF5">
        <w:rPr>
          <w:rFonts w:ascii="Arial" w:eastAsia="Times New Roman" w:hAnsi="Arial"/>
          <w:color w:val="000000" w:themeColor="text1"/>
          <w:sz w:val="16"/>
          <w:szCs w:val="16"/>
        </w:rPr>
        <w:t xml:space="preserve"> and 8</w:t>
      </w:r>
      <w:r>
        <w:rPr>
          <w:rFonts w:ascii="Arial" w:eastAsia="Times New Roman" w:hAnsi="Arial"/>
          <w:color w:val="000000" w:themeColor="text1"/>
          <w:sz w:val="16"/>
          <w:szCs w:val="16"/>
        </w:rPr>
        <w:t>6</w:t>
      </w:r>
      <w:r w:rsidRPr="00BF2CF5">
        <w:rPr>
          <w:rFonts w:ascii="Arial" w:eastAsia="Times New Roman" w:hAnsi="Arial"/>
          <w:color w:val="000000" w:themeColor="text1"/>
          <w:sz w:val="16"/>
          <w:szCs w:val="16"/>
        </w:rPr>
        <w:t xml:space="preserve">% in ‘working’ households. The Q1 composition is </w:t>
      </w:r>
      <w:r>
        <w:rPr>
          <w:rFonts w:ascii="Arial" w:eastAsia="Times New Roman" w:hAnsi="Arial"/>
          <w:color w:val="000000" w:themeColor="text1"/>
          <w:sz w:val="16"/>
          <w:szCs w:val="16"/>
        </w:rPr>
        <w:t>41</w:t>
      </w:r>
      <w:r w:rsidRPr="00BF2CF5">
        <w:rPr>
          <w:rFonts w:ascii="Arial" w:eastAsia="Times New Roman" w:hAnsi="Arial"/>
          <w:color w:val="000000" w:themeColor="text1"/>
          <w:sz w:val="16"/>
          <w:szCs w:val="16"/>
        </w:rPr>
        <w:t xml:space="preserve">% and </w:t>
      </w:r>
      <w:r>
        <w:rPr>
          <w:rFonts w:ascii="Arial" w:eastAsia="Times New Roman" w:hAnsi="Arial"/>
          <w:color w:val="000000" w:themeColor="text1"/>
          <w:sz w:val="16"/>
          <w:szCs w:val="16"/>
        </w:rPr>
        <w:t>59</w:t>
      </w:r>
      <w:r w:rsidRPr="00BF2CF5">
        <w:rPr>
          <w:rFonts w:ascii="Arial" w:eastAsia="Times New Roman" w:hAnsi="Arial"/>
          <w:color w:val="000000" w:themeColor="text1"/>
          <w:sz w:val="16"/>
          <w:szCs w:val="16"/>
        </w:rPr>
        <w:t>% respectively.</w:t>
      </w:r>
    </w:p>
    <w:p w14:paraId="3AB04CBB" w14:textId="26AA4B8D" w:rsidR="00E724F1" w:rsidRPr="00E724F1" w:rsidRDefault="00E978B3" w:rsidP="00E724F1">
      <w:pPr>
        <w:numPr>
          <w:ilvl w:val="0"/>
          <w:numId w:val="20"/>
        </w:numPr>
        <w:tabs>
          <w:tab w:val="left" w:pos="5670"/>
        </w:tabs>
        <w:spacing w:before="20" w:after="0" w:line="240" w:lineRule="auto"/>
        <w:ind w:left="568" w:hanging="284"/>
        <w:rPr>
          <w:rFonts w:ascii="Arial" w:eastAsia="Times New Roman" w:hAnsi="Arial"/>
          <w:color w:val="000000" w:themeColor="text1"/>
          <w:sz w:val="16"/>
          <w:szCs w:val="16"/>
        </w:rPr>
      </w:pPr>
      <w:r w:rsidRPr="00B8778C">
        <w:rPr>
          <w:rFonts w:ascii="Arial" w:eastAsia="Times New Roman" w:hAnsi="Arial"/>
          <w:color w:val="000000" w:themeColor="text1"/>
          <w:sz w:val="16"/>
          <w:szCs w:val="16"/>
        </w:rPr>
        <w:t>Main income source</w:t>
      </w:r>
      <w:r w:rsidR="00B8778C" w:rsidRPr="00B8778C">
        <w:rPr>
          <w:rFonts w:ascii="Arial" w:eastAsia="Times New Roman" w:hAnsi="Arial"/>
          <w:color w:val="000000" w:themeColor="text1"/>
          <w:sz w:val="16"/>
          <w:szCs w:val="16"/>
        </w:rPr>
        <w:t xml:space="preserve">: </w:t>
      </w:r>
      <w:r w:rsidR="00B8778C" w:rsidRPr="00B8778C">
        <w:rPr>
          <w:rFonts w:ascii="Arial" w:eastAsia="Times New Roman" w:hAnsi="Arial" w:cs="Times New Roman"/>
          <w:color w:val="000000" w:themeColor="text1"/>
          <w:sz w:val="16"/>
          <w:szCs w:val="16"/>
          <w:lang w:val="en-US"/>
        </w:rPr>
        <w:t xml:space="preserve">households are divided into two groups according to the main source of household income – market or government. Market income is income from salaries and wages, self-employment and investment.  Government income is income from </w:t>
      </w:r>
      <w:r w:rsidR="00B8778C" w:rsidRPr="00B8778C">
        <w:rPr>
          <w:rFonts w:ascii="Arial" w:eastAsia="Times New Roman" w:hAnsi="Arial" w:cs="Times New Roman"/>
          <w:color w:val="000000" w:themeColor="text1"/>
          <w:sz w:val="16"/>
          <w:szCs w:val="16"/>
        </w:rPr>
        <w:t>social welfare benefits, NZS, AS, WFF tax credits, student bursaries, and so on.</w:t>
      </w:r>
      <w:r w:rsidR="00E724F1">
        <w:rPr>
          <w:rFonts w:ascii="Arial" w:eastAsia="Times New Roman" w:hAnsi="Arial" w:cs="Times New Roman"/>
          <w:color w:val="000000" w:themeColor="text1"/>
          <w:sz w:val="16"/>
          <w:szCs w:val="16"/>
        </w:rPr>
        <w:t xml:space="preserve"> </w:t>
      </w:r>
      <w:r w:rsidR="00E724F1" w:rsidRPr="00E724F1">
        <w:rPr>
          <w:rFonts w:ascii="Arial" w:hAnsi="Arial"/>
          <w:sz w:val="16"/>
          <w:szCs w:val="16"/>
        </w:rPr>
        <w:t xml:space="preserve">This is in effect setting the threshold at 50% of total income from all sources (after paying income tax and ACC earner levies). </w:t>
      </w:r>
      <w:r w:rsidR="00E724F1" w:rsidRPr="00E724F1">
        <w:rPr>
          <w:rFonts w:ascii="Arial" w:hAnsi="Arial"/>
          <w:b/>
          <w:bCs/>
          <w:sz w:val="16"/>
          <w:szCs w:val="16"/>
        </w:rPr>
        <w:t>Table A</w:t>
      </w:r>
      <w:r w:rsidR="00A0392C">
        <w:rPr>
          <w:rFonts w:ascii="Arial" w:hAnsi="Arial"/>
          <w:b/>
          <w:bCs/>
          <w:sz w:val="16"/>
          <w:szCs w:val="16"/>
        </w:rPr>
        <w:t>.</w:t>
      </w:r>
      <w:r w:rsidR="00E724F1" w:rsidRPr="00E724F1">
        <w:rPr>
          <w:rFonts w:ascii="Arial" w:hAnsi="Arial"/>
          <w:b/>
          <w:bCs/>
          <w:sz w:val="16"/>
          <w:szCs w:val="16"/>
        </w:rPr>
        <w:t>6.1</w:t>
      </w:r>
      <w:r w:rsidR="00E724F1" w:rsidRPr="00E724F1">
        <w:rPr>
          <w:rFonts w:ascii="Arial" w:hAnsi="Arial"/>
          <w:sz w:val="16"/>
          <w:szCs w:val="16"/>
        </w:rPr>
        <w:t xml:space="preserve"> </w:t>
      </w:r>
      <w:r w:rsidR="00E724F1">
        <w:rPr>
          <w:rFonts w:ascii="Arial" w:hAnsi="Arial"/>
          <w:sz w:val="16"/>
          <w:szCs w:val="16"/>
        </w:rPr>
        <w:t xml:space="preserve">in Appendix 6 </w:t>
      </w:r>
      <w:r w:rsidR="00E724F1" w:rsidRPr="00E724F1">
        <w:rPr>
          <w:rFonts w:ascii="Arial" w:hAnsi="Arial"/>
          <w:sz w:val="16"/>
          <w:szCs w:val="16"/>
        </w:rPr>
        <w:t xml:space="preserve">sets the threshold higher at 80%+ </w:t>
      </w:r>
      <w:r w:rsidR="00A70C82">
        <w:rPr>
          <w:rFonts w:ascii="Arial" w:hAnsi="Arial"/>
          <w:sz w:val="16"/>
          <w:szCs w:val="16"/>
        </w:rPr>
        <w:t>and shows that</w:t>
      </w:r>
      <w:r w:rsidR="00E724F1">
        <w:rPr>
          <w:rFonts w:ascii="Arial" w:hAnsi="Arial"/>
          <w:sz w:val="16"/>
          <w:szCs w:val="16"/>
        </w:rPr>
        <w:t xml:space="preserve"> the high-level findings are unchanged</w:t>
      </w:r>
      <w:r w:rsidR="00A70C82">
        <w:rPr>
          <w:rFonts w:ascii="Arial" w:hAnsi="Arial"/>
          <w:sz w:val="16"/>
          <w:szCs w:val="16"/>
        </w:rPr>
        <w:t xml:space="preserve"> when this higher threshold is used.</w:t>
      </w:r>
    </w:p>
    <w:p w14:paraId="377EC0C9" w14:textId="3278F51E" w:rsidR="001D48C5" w:rsidRDefault="001D48C5">
      <w:pPr>
        <w:spacing w:after="0" w:line="240" w:lineRule="auto"/>
        <w:rPr>
          <w:rFonts w:ascii="Arial Mäori" w:hAnsi="Arial Mäori"/>
          <w:b/>
          <w:bCs/>
          <w:sz w:val="18"/>
          <w:szCs w:val="18"/>
        </w:rPr>
      </w:pPr>
      <w:r>
        <w:rPr>
          <w:rFonts w:ascii="Arial Mäori" w:hAnsi="Arial Mäori"/>
          <w:b/>
          <w:bCs/>
          <w:sz w:val="18"/>
          <w:szCs w:val="18"/>
        </w:rPr>
        <w:br w:type="page"/>
      </w:r>
    </w:p>
    <w:p w14:paraId="41C96334" w14:textId="00C9A064" w:rsidR="002726F4" w:rsidRPr="00580757" w:rsidRDefault="002726F4" w:rsidP="00871C40">
      <w:pPr>
        <w:spacing w:after="0" w:line="240" w:lineRule="auto"/>
        <w:jc w:val="center"/>
        <w:rPr>
          <w:rFonts w:ascii="Arial Mäori" w:hAnsi="Arial Mäori"/>
          <w:b/>
          <w:bCs/>
          <w:color w:val="FF0000"/>
          <w:sz w:val="18"/>
          <w:szCs w:val="18"/>
        </w:rPr>
      </w:pPr>
      <w:r w:rsidRPr="00E12994">
        <w:rPr>
          <w:rFonts w:ascii="Arial Mäori" w:hAnsi="Arial Mäori"/>
          <w:b/>
          <w:bCs/>
          <w:sz w:val="18"/>
          <w:szCs w:val="18"/>
        </w:rPr>
        <w:lastRenderedPageBreak/>
        <w:t>Table</w:t>
      </w:r>
      <w:r w:rsidR="00580757">
        <w:rPr>
          <w:rFonts w:ascii="Arial Mäori" w:hAnsi="Arial Mäori"/>
          <w:b/>
          <w:bCs/>
          <w:sz w:val="18"/>
          <w:szCs w:val="18"/>
        </w:rPr>
        <w:t xml:space="preserve"> E.5</w:t>
      </w:r>
    </w:p>
    <w:p w14:paraId="65EFA611" w14:textId="6E09770A" w:rsidR="002726F4" w:rsidRPr="00E12994" w:rsidRDefault="002726F4" w:rsidP="00B66C77">
      <w:pPr>
        <w:spacing w:after="60" w:line="240" w:lineRule="auto"/>
        <w:jc w:val="center"/>
        <w:rPr>
          <w:rFonts w:ascii="Arial Mäori" w:hAnsi="Arial Mäori"/>
          <w:b/>
          <w:bCs/>
          <w:sz w:val="18"/>
          <w:szCs w:val="18"/>
        </w:rPr>
      </w:pPr>
      <w:r w:rsidRPr="00742277">
        <w:rPr>
          <w:rFonts w:ascii="Arial Mäori" w:hAnsi="Arial Mäori"/>
          <w:b/>
          <w:bCs/>
          <w:sz w:val="18"/>
          <w:szCs w:val="18"/>
        </w:rPr>
        <w:t xml:space="preserve">HH </w:t>
      </w:r>
      <w:r w:rsidR="00E12994" w:rsidRPr="00742277">
        <w:rPr>
          <w:rFonts w:ascii="Arial Mäori" w:hAnsi="Arial Mäori"/>
          <w:b/>
          <w:bCs/>
          <w:sz w:val="18"/>
          <w:szCs w:val="18"/>
        </w:rPr>
        <w:t>l</w:t>
      </w:r>
      <w:r w:rsidRPr="00742277">
        <w:rPr>
          <w:rFonts w:ascii="Arial Mäori" w:hAnsi="Arial Mäori"/>
          <w:b/>
          <w:bCs/>
          <w:sz w:val="18"/>
          <w:szCs w:val="18"/>
        </w:rPr>
        <w:t xml:space="preserve">iquid assets </w:t>
      </w:r>
      <w:r w:rsidR="00E12994" w:rsidRPr="00742277">
        <w:rPr>
          <w:rFonts w:ascii="Arial Mäori" w:hAnsi="Arial Mäori"/>
          <w:b/>
          <w:bCs/>
          <w:sz w:val="18"/>
          <w:szCs w:val="18"/>
        </w:rPr>
        <w:t>&amp;</w:t>
      </w:r>
      <w:r w:rsidR="00871C40" w:rsidRPr="00742277">
        <w:rPr>
          <w:rFonts w:ascii="Arial Mäori" w:hAnsi="Arial Mäori"/>
          <w:b/>
          <w:bCs/>
          <w:sz w:val="18"/>
          <w:szCs w:val="18"/>
        </w:rPr>
        <w:t xml:space="preserve"> consumer durables for </w:t>
      </w:r>
      <w:r w:rsidRPr="00742277">
        <w:rPr>
          <w:rFonts w:ascii="Arial Mäori" w:hAnsi="Arial Mäori"/>
          <w:b/>
          <w:bCs/>
          <w:sz w:val="18"/>
          <w:szCs w:val="18"/>
        </w:rPr>
        <w:t>children (0-17 yrs) in ‘working’ and ‘beneficiary’ households</w:t>
      </w:r>
      <w:r w:rsidR="00E12994" w:rsidRPr="00742277">
        <w:rPr>
          <w:rFonts w:ascii="Arial Mäori" w:hAnsi="Arial Mäori"/>
          <w:b/>
          <w:bCs/>
          <w:sz w:val="18"/>
          <w:szCs w:val="18"/>
        </w:rPr>
        <w:t xml:space="preserve">, </w:t>
      </w:r>
      <w:r w:rsidRPr="00742277">
        <w:rPr>
          <w:rFonts w:ascii="Arial Mäori" w:hAnsi="Arial Mäori"/>
          <w:b/>
          <w:bCs/>
          <w:sz w:val="18"/>
          <w:szCs w:val="18"/>
        </w:rPr>
        <w:t>HES 2023-24</w:t>
      </w:r>
    </w:p>
    <w:tbl>
      <w:tblPr>
        <w:tblW w:w="9067" w:type="dxa"/>
        <w:jc w:val="center"/>
        <w:tblLook w:val="04A0" w:firstRow="1" w:lastRow="0" w:firstColumn="1" w:lastColumn="0" w:noHBand="0" w:noVBand="1"/>
      </w:tblPr>
      <w:tblGrid>
        <w:gridCol w:w="2265"/>
        <w:gridCol w:w="688"/>
        <w:gridCol w:w="687"/>
        <w:gridCol w:w="688"/>
        <w:gridCol w:w="688"/>
        <w:gridCol w:w="645"/>
        <w:gridCol w:w="677"/>
        <w:gridCol w:w="667"/>
        <w:gridCol w:w="645"/>
        <w:gridCol w:w="709"/>
        <w:gridCol w:w="708"/>
      </w:tblGrid>
      <w:tr w:rsidR="002726F4" w:rsidRPr="00C35370" w14:paraId="0DC6864B" w14:textId="77777777" w:rsidTr="006F6F4E">
        <w:trPr>
          <w:trHeight w:val="227"/>
          <w:jc w:val="center"/>
        </w:trPr>
        <w:tc>
          <w:tcPr>
            <w:tcW w:w="2953" w:type="dxa"/>
            <w:gridSpan w:val="2"/>
            <w:vMerge w:val="restart"/>
            <w:tcBorders>
              <w:top w:val="single" w:sz="4" w:space="0" w:color="auto"/>
              <w:left w:val="single" w:sz="4" w:space="0" w:color="auto"/>
              <w:bottom w:val="single" w:sz="4" w:space="0" w:color="000000"/>
              <w:right w:val="single" w:sz="12" w:space="0" w:color="auto"/>
            </w:tcBorders>
            <w:noWrap/>
            <w:vAlign w:val="center"/>
            <w:hideMark/>
          </w:tcPr>
          <w:p w14:paraId="35C2D4C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2063" w:type="dxa"/>
            <w:gridSpan w:val="3"/>
            <w:tcBorders>
              <w:top w:val="single" w:sz="4" w:space="0" w:color="auto"/>
              <w:left w:val="single" w:sz="12" w:space="0" w:color="auto"/>
              <w:bottom w:val="single" w:sz="4" w:space="0" w:color="auto"/>
              <w:right w:val="single" w:sz="12" w:space="0" w:color="auto"/>
            </w:tcBorders>
            <w:vAlign w:val="center"/>
            <w:hideMark/>
          </w:tcPr>
          <w:p w14:paraId="0E68F69D"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ALL aged 0-17 yrs (%)</w:t>
            </w:r>
          </w:p>
        </w:tc>
        <w:tc>
          <w:tcPr>
            <w:tcW w:w="1989" w:type="dxa"/>
            <w:gridSpan w:val="3"/>
            <w:tcBorders>
              <w:top w:val="single" w:sz="4" w:space="0" w:color="auto"/>
              <w:left w:val="single" w:sz="12" w:space="0" w:color="auto"/>
              <w:bottom w:val="single" w:sz="4" w:space="0" w:color="auto"/>
              <w:right w:val="single" w:sz="12" w:space="0" w:color="auto"/>
            </w:tcBorders>
            <w:vAlign w:val="center"/>
          </w:tcPr>
          <w:p w14:paraId="6BC99A3B"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Q1 (AHC) aged 0-17 yrs (%)</w:t>
            </w:r>
          </w:p>
        </w:tc>
        <w:tc>
          <w:tcPr>
            <w:tcW w:w="2062" w:type="dxa"/>
            <w:gridSpan w:val="3"/>
            <w:tcBorders>
              <w:top w:val="single" w:sz="4" w:space="0" w:color="auto"/>
              <w:left w:val="single" w:sz="12" w:space="0" w:color="auto"/>
              <w:bottom w:val="single" w:sz="4" w:space="0" w:color="auto"/>
              <w:right w:val="single" w:sz="4" w:space="0" w:color="auto"/>
            </w:tcBorders>
            <w:vAlign w:val="center"/>
            <w:hideMark/>
          </w:tcPr>
          <w:p w14:paraId="302EC84A"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230E88">
              <w:rPr>
                <w:rFonts w:ascii="Arial Mäori" w:eastAsia="Times New Roman" w:hAnsi="Arial Mäori" w:cs="Times New Roman"/>
                <w:b/>
                <w:bCs/>
                <w:sz w:val="14"/>
                <w:szCs w:val="14"/>
                <w:lang w:eastAsia="en-NZ"/>
              </w:rPr>
              <w:t>Q1 (AHC) aged 0-17 yrs (%) - LA&lt;$2k</w:t>
            </w:r>
          </w:p>
        </w:tc>
      </w:tr>
      <w:tr w:rsidR="002726F4" w:rsidRPr="00C35370" w14:paraId="3ED91682" w14:textId="77777777" w:rsidTr="006F6F4E">
        <w:trPr>
          <w:trHeight w:val="227"/>
          <w:jc w:val="center"/>
        </w:trPr>
        <w:tc>
          <w:tcPr>
            <w:tcW w:w="2953" w:type="dxa"/>
            <w:gridSpan w:val="2"/>
            <w:vMerge/>
            <w:tcBorders>
              <w:top w:val="single" w:sz="4" w:space="0" w:color="auto"/>
              <w:left w:val="single" w:sz="4" w:space="0" w:color="auto"/>
              <w:bottom w:val="single" w:sz="4" w:space="0" w:color="000000"/>
              <w:right w:val="single" w:sz="12" w:space="0" w:color="auto"/>
            </w:tcBorders>
            <w:vAlign w:val="center"/>
            <w:hideMark/>
          </w:tcPr>
          <w:p w14:paraId="141AA2B2" w14:textId="77777777" w:rsidR="002726F4" w:rsidRPr="00C35370" w:rsidRDefault="002726F4" w:rsidP="006F6F4E">
            <w:pPr>
              <w:spacing w:after="0" w:line="240" w:lineRule="auto"/>
              <w:rPr>
                <w:rFonts w:ascii="Arial Mäori" w:eastAsia="Times New Roman" w:hAnsi="Arial Mäori" w:cs="Times New Roman"/>
                <w:sz w:val="14"/>
                <w:szCs w:val="14"/>
                <w:lang w:eastAsia="en-NZ"/>
              </w:rPr>
            </w:pPr>
          </w:p>
        </w:tc>
        <w:tc>
          <w:tcPr>
            <w:tcW w:w="687" w:type="dxa"/>
            <w:vMerge w:val="restart"/>
            <w:tcBorders>
              <w:top w:val="nil"/>
              <w:left w:val="single" w:sz="12" w:space="0" w:color="auto"/>
              <w:bottom w:val="single" w:sz="4" w:space="0" w:color="auto"/>
              <w:right w:val="single" w:sz="4" w:space="0" w:color="auto"/>
            </w:tcBorders>
            <w:vAlign w:val="center"/>
            <w:hideMark/>
          </w:tcPr>
          <w:p w14:paraId="5CE04A06"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All</w:t>
            </w:r>
          </w:p>
        </w:tc>
        <w:tc>
          <w:tcPr>
            <w:tcW w:w="1376" w:type="dxa"/>
            <w:gridSpan w:val="2"/>
            <w:tcBorders>
              <w:top w:val="single" w:sz="4" w:space="0" w:color="auto"/>
              <w:left w:val="nil"/>
              <w:bottom w:val="single" w:sz="4" w:space="0" w:color="auto"/>
              <w:right w:val="single" w:sz="12" w:space="0" w:color="auto"/>
            </w:tcBorders>
            <w:vAlign w:val="center"/>
            <w:hideMark/>
          </w:tcPr>
          <w:p w14:paraId="2384AD56"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Main income source</w:t>
            </w:r>
          </w:p>
        </w:tc>
        <w:tc>
          <w:tcPr>
            <w:tcW w:w="645" w:type="dxa"/>
            <w:vMerge w:val="restart"/>
            <w:tcBorders>
              <w:top w:val="single" w:sz="4" w:space="0" w:color="auto"/>
              <w:left w:val="single" w:sz="12" w:space="0" w:color="auto"/>
              <w:right w:val="single" w:sz="4" w:space="0" w:color="auto"/>
            </w:tcBorders>
            <w:vAlign w:val="center"/>
          </w:tcPr>
          <w:p w14:paraId="33FA77F6"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All</w:t>
            </w:r>
          </w:p>
        </w:tc>
        <w:tc>
          <w:tcPr>
            <w:tcW w:w="1344" w:type="dxa"/>
            <w:gridSpan w:val="2"/>
            <w:tcBorders>
              <w:top w:val="single" w:sz="4" w:space="0" w:color="auto"/>
              <w:left w:val="single" w:sz="4" w:space="0" w:color="auto"/>
              <w:bottom w:val="single" w:sz="4" w:space="0" w:color="auto"/>
              <w:right w:val="single" w:sz="12" w:space="0" w:color="auto"/>
            </w:tcBorders>
            <w:vAlign w:val="center"/>
          </w:tcPr>
          <w:p w14:paraId="2AD8E94B"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Main income source</w:t>
            </w:r>
          </w:p>
        </w:tc>
        <w:tc>
          <w:tcPr>
            <w:tcW w:w="645" w:type="dxa"/>
            <w:vMerge w:val="restart"/>
            <w:tcBorders>
              <w:top w:val="nil"/>
              <w:left w:val="single" w:sz="12" w:space="0" w:color="auto"/>
              <w:bottom w:val="single" w:sz="4" w:space="0" w:color="auto"/>
              <w:right w:val="single" w:sz="4" w:space="0" w:color="auto"/>
            </w:tcBorders>
            <w:vAlign w:val="center"/>
            <w:hideMark/>
          </w:tcPr>
          <w:p w14:paraId="5E7A9C50"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All</w:t>
            </w:r>
          </w:p>
        </w:tc>
        <w:tc>
          <w:tcPr>
            <w:tcW w:w="1417" w:type="dxa"/>
            <w:gridSpan w:val="2"/>
            <w:tcBorders>
              <w:top w:val="single" w:sz="4" w:space="0" w:color="auto"/>
              <w:left w:val="nil"/>
              <w:bottom w:val="single" w:sz="4" w:space="0" w:color="auto"/>
              <w:right w:val="single" w:sz="4" w:space="0" w:color="auto"/>
            </w:tcBorders>
            <w:vAlign w:val="center"/>
            <w:hideMark/>
          </w:tcPr>
          <w:p w14:paraId="20CBA080"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Main income source</w:t>
            </w:r>
          </w:p>
        </w:tc>
      </w:tr>
      <w:tr w:rsidR="002726F4" w:rsidRPr="00C35370" w14:paraId="7BEC5391" w14:textId="77777777" w:rsidTr="006F6F4E">
        <w:trPr>
          <w:trHeight w:val="227"/>
          <w:jc w:val="center"/>
        </w:trPr>
        <w:tc>
          <w:tcPr>
            <w:tcW w:w="2953" w:type="dxa"/>
            <w:gridSpan w:val="2"/>
            <w:vMerge/>
            <w:tcBorders>
              <w:top w:val="single" w:sz="4" w:space="0" w:color="auto"/>
              <w:left w:val="single" w:sz="4" w:space="0" w:color="auto"/>
              <w:bottom w:val="single" w:sz="4" w:space="0" w:color="000000"/>
              <w:right w:val="single" w:sz="12" w:space="0" w:color="auto"/>
            </w:tcBorders>
            <w:vAlign w:val="center"/>
            <w:hideMark/>
          </w:tcPr>
          <w:p w14:paraId="2941420F" w14:textId="77777777" w:rsidR="002726F4" w:rsidRPr="00C35370" w:rsidRDefault="002726F4" w:rsidP="006F6F4E">
            <w:pPr>
              <w:spacing w:after="0" w:line="240" w:lineRule="auto"/>
              <w:rPr>
                <w:rFonts w:ascii="Arial Mäori" w:eastAsia="Times New Roman" w:hAnsi="Arial Mäori" w:cs="Times New Roman"/>
                <w:sz w:val="14"/>
                <w:szCs w:val="14"/>
                <w:lang w:eastAsia="en-NZ"/>
              </w:rPr>
            </w:pPr>
          </w:p>
        </w:tc>
        <w:tc>
          <w:tcPr>
            <w:tcW w:w="687" w:type="dxa"/>
            <w:vMerge/>
            <w:tcBorders>
              <w:top w:val="nil"/>
              <w:left w:val="single" w:sz="12" w:space="0" w:color="auto"/>
              <w:bottom w:val="single" w:sz="4" w:space="0" w:color="auto"/>
              <w:right w:val="single" w:sz="4" w:space="0" w:color="auto"/>
            </w:tcBorders>
            <w:vAlign w:val="center"/>
            <w:hideMark/>
          </w:tcPr>
          <w:p w14:paraId="47900234"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p>
        </w:tc>
        <w:tc>
          <w:tcPr>
            <w:tcW w:w="688" w:type="dxa"/>
            <w:tcBorders>
              <w:top w:val="nil"/>
              <w:left w:val="nil"/>
              <w:bottom w:val="single" w:sz="4" w:space="0" w:color="auto"/>
              <w:right w:val="single" w:sz="4" w:space="0" w:color="auto"/>
            </w:tcBorders>
            <w:vAlign w:val="center"/>
            <w:hideMark/>
          </w:tcPr>
          <w:p w14:paraId="7AB16D0A"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Market</w:t>
            </w:r>
          </w:p>
        </w:tc>
        <w:tc>
          <w:tcPr>
            <w:tcW w:w="688" w:type="dxa"/>
            <w:tcBorders>
              <w:top w:val="nil"/>
              <w:left w:val="nil"/>
              <w:bottom w:val="single" w:sz="4" w:space="0" w:color="auto"/>
              <w:right w:val="single" w:sz="12" w:space="0" w:color="auto"/>
            </w:tcBorders>
            <w:vAlign w:val="center"/>
            <w:hideMark/>
          </w:tcPr>
          <w:p w14:paraId="03B104E9"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Govt</w:t>
            </w:r>
          </w:p>
        </w:tc>
        <w:tc>
          <w:tcPr>
            <w:tcW w:w="645" w:type="dxa"/>
            <w:vMerge/>
            <w:tcBorders>
              <w:left w:val="single" w:sz="12" w:space="0" w:color="auto"/>
              <w:bottom w:val="single" w:sz="4" w:space="0" w:color="auto"/>
              <w:right w:val="single" w:sz="4" w:space="0" w:color="auto"/>
            </w:tcBorders>
          </w:tcPr>
          <w:p w14:paraId="3915FDE4"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p>
        </w:tc>
        <w:tc>
          <w:tcPr>
            <w:tcW w:w="677" w:type="dxa"/>
            <w:tcBorders>
              <w:top w:val="single" w:sz="4" w:space="0" w:color="auto"/>
              <w:left w:val="single" w:sz="4" w:space="0" w:color="auto"/>
              <w:bottom w:val="single" w:sz="4" w:space="0" w:color="auto"/>
              <w:right w:val="single" w:sz="4" w:space="0" w:color="auto"/>
            </w:tcBorders>
            <w:vAlign w:val="center"/>
          </w:tcPr>
          <w:p w14:paraId="1BB9E3DB"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Market</w:t>
            </w:r>
          </w:p>
        </w:tc>
        <w:tc>
          <w:tcPr>
            <w:tcW w:w="667" w:type="dxa"/>
            <w:tcBorders>
              <w:top w:val="single" w:sz="4" w:space="0" w:color="auto"/>
              <w:left w:val="single" w:sz="4" w:space="0" w:color="auto"/>
              <w:bottom w:val="single" w:sz="4" w:space="0" w:color="auto"/>
              <w:right w:val="single" w:sz="12" w:space="0" w:color="auto"/>
            </w:tcBorders>
            <w:vAlign w:val="center"/>
          </w:tcPr>
          <w:p w14:paraId="4566FBBC"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Govt</w:t>
            </w:r>
          </w:p>
        </w:tc>
        <w:tc>
          <w:tcPr>
            <w:tcW w:w="645" w:type="dxa"/>
            <w:vMerge/>
            <w:tcBorders>
              <w:top w:val="nil"/>
              <w:left w:val="single" w:sz="12" w:space="0" w:color="auto"/>
              <w:bottom w:val="single" w:sz="4" w:space="0" w:color="auto"/>
              <w:right w:val="single" w:sz="4" w:space="0" w:color="auto"/>
            </w:tcBorders>
            <w:vAlign w:val="center"/>
            <w:hideMark/>
          </w:tcPr>
          <w:p w14:paraId="1AD43776"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p>
        </w:tc>
        <w:tc>
          <w:tcPr>
            <w:tcW w:w="709" w:type="dxa"/>
            <w:tcBorders>
              <w:top w:val="nil"/>
              <w:left w:val="nil"/>
              <w:bottom w:val="single" w:sz="4" w:space="0" w:color="auto"/>
              <w:right w:val="single" w:sz="4" w:space="0" w:color="auto"/>
            </w:tcBorders>
            <w:vAlign w:val="center"/>
            <w:hideMark/>
          </w:tcPr>
          <w:p w14:paraId="5A606D60"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Market</w:t>
            </w:r>
          </w:p>
        </w:tc>
        <w:tc>
          <w:tcPr>
            <w:tcW w:w="708" w:type="dxa"/>
            <w:tcBorders>
              <w:top w:val="nil"/>
              <w:left w:val="nil"/>
              <w:bottom w:val="single" w:sz="4" w:space="0" w:color="auto"/>
              <w:right w:val="single" w:sz="4" w:space="0" w:color="auto"/>
            </w:tcBorders>
            <w:vAlign w:val="center"/>
            <w:hideMark/>
          </w:tcPr>
          <w:p w14:paraId="4050EEF7"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Govt</w:t>
            </w:r>
          </w:p>
        </w:tc>
      </w:tr>
      <w:tr w:rsidR="002726F4" w:rsidRPr="00C35370" w14:paraId="3CD93667" w14:textId="77777777" w:rsidTr="006F6F4E">
        <w:trPr>
          <w:trHeight w:val="227"/>
          <w:jc w:val="center"/>
        </w:trPr>
        <w:tc>
          <w:tcPr>
            <w:tcW w:w="2953" w:type="dxa"/>
            <w:gridSpan w:val="2"/>
            <w:vMerge/>
            <w:tcBorders>
              <w:top w:val="single" w:sz="4" w:space="0" w:color="auto"/>
              <w:left w:val="single" w:sz="4" w:space="0" w:color="auto"/>
              <w:bottom w:val="single" w:sz="4" w:space="0" w:color="000000"/>
              <w:right w:val="single" w:sz="12" w:space="0" w:color="auto"/>
            </w:tcBorders>
            <w:vAlign w:val="center"/>
            <w:hideMark/>
          </w:tcPr>
          <w:p w14:paraId="344ED9B6" w14:textId="77777777" w:rsidR="002726F4" w:rsidRPr="00C35370" w:rsidRDefault="002726F4" w:rsidP="006F6F4E">
            <w:pPr>
              <w:spacing w:after="0" w:line="240" w:lineRule="auto"/>
              <w:rPr>
                <w:rFonts w:ascii="Arial Mäori" w:eastAsia="Times New Roman" w:hAnsi="Arial Mäori" w:cs="Times New Roman"/>
                <w:sz w:val="14"/>
                <w:szCs w:val="14"/>
                <w:lang w:eastAsia="en-NZ"/>
              </w:rPr>
            </w:pPr>
          </w:p>
        </w:tc>
        <w:tc>
          <w:tcPr>
            <w:tcW w:w="687" w:type="dxa"/>
            <w:tcBorders>
              <w:top w:val="nil"/>
              <w:left w:val="single" w:sz="12" w:space="0" w:color="auto"/>
              <w:bottom w:val="single" w:sz="4" w:space="0" w:color="auto"/>
              <w:right w:val="single" w:sz="4" w:space="0" w:color="auto"/>
            </w:tcBorders>
            <w:noWrap/>
            <w:vAlign w:val="center"/>
            <w:hideMark/>
          </w:tcPr>
          <w:p w14:paraId="5002F4A8"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688" w:type="dxa"/>
            <w:tcBorders>
              <w:top w:val="nil"/>
              <w:left w:val="nil"/>
              <w:bottom w:val="single" w:sz="4" w:space="0" w:color="auto"/>
              <w:right w:val="single" w:sz="4" w:space="0" w:color="auto"/>
            </w:tcBorders>
            <w:noWrap/>
            <w:vAlign w:val="center"/>
            <w:hideMark/>
          </w:tcPr>
          <w:p w14:paraId="1C70AD32"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688" w:type="dxa"/>
            <w:tcBorders>
              <w:top w:val="nil"/>
              <w:left w:val="nil"/>
              <w:bottom w:val="single" w:sz="4" w:space="0" w:color="auto"/>
              <w:right w:val="single" w:sz="12" w:space="0" w:color="auto"/>
            </w:tcBorders>
            <w:noWrap/>
            <w:vAlign w:val="center"/>
            <w:hideMark/>
          </w:tcPr>
          <w:p w14:paraId="29B11AAD"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645" w:type="dxa"/>
            <w:tcBorders>
              <w:top w:val="single" w:sz="4" w:space="0" w:color="auto"/>
              <w:left w:val="single" w:sz="12" w:space="0" w:color="auto"/>
              <w:bottom w:val="single" w:sz="4" w:space="0" w:color="auto"/>
              <w:right w:val="single" w:sz="4" w:space="0" w:color="auto"/>
            </w:tcBorders>
            <w:vAlign w:val="center"/>
          </w:tcPr>
          <w:p w14:paraId="0A592B94"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677" w:type="dxa"/>
            <w:tcBorders>
              <w:top w:val="single" w:sz="4" w:space="0" w:color="auto"/>
              <w:left w:val="single" w:sz="4" w:space="0" w:color="auto"/>
              <w:bottom w:val="single" w:sz="4" w:space="0" w:color="auto"/>
              <w:right w:val="single" w:sz="4" w:space="0" w:color="auto"/>
            </w:tcBorders>
            <w:vAlign w:val="center"/>
          </w:tcPr>
          <w:p w14:paraId="19E9803E"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667" w:type="dxa"/>
            <w:tcBorders>
              <w:top w:val="single" w:sz="4" w:space="0" w:color="auto"/>
              <w:left w:val="single" w:sz="4" w:space="0" w:color="auto"/>
              <w:bottom w:val="single" w:sz="4" w:space="0" w:color="auto"/>
              <w:right w:val="single" w:sz="12" w:space="0" w:color="auto"/>
            </w:tcBorders>
            <w:vAlign w:val="center"/>
          </w:tcPr>
          <w:p w14:paraId="2DE99C32"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645" w:type="dxa"/>
            <w:tcBorders>
              <w:top w:val="nil"/>
              <w:left w:val="single" w:sz="12" w:space="0" w:color="auto"/>
              <w:bottom w:val="single" w:sz="4" w:space="0" w:color="auto"/>
              <w:right w:val="single" w:sz="4" w:space="0" w:color="auto"/>
            </w:tcBorders>
            <w:noWrap/>
            <w:vAlign w:val="center"/>
            <w:hideMark/>
          </w:tcPr>
          <w:p w14:paraId="761A038D"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709" w:type="dxa"/>
            <w:tcBorders>
              <w:top w:val="nil"/>
              <w:left w:val="nil"/>
              <w:bottom w:val="single" w:sz="4" w:space="0" w:color="auto"/>
              <w:right w:val="single" w:sz="4" w:space="0" w:color="auto"/>
            </w:tcBorders>
            <w:noWrap/>
            <w:vAlign w:val="center"/>
            <w:hideMark/>
          </w:tcPr>
          <w:p w14:paraId="5F072CCF"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c>
          <w:tcPr>
            <w:tcW w:w="708" w:type="dxa"/>
            <w:tcBorders>
              <w:top w:val="nil"/>
              <w:left w:val="nil"/>
              <w:bottom w:val="single" w:sz="4" w:space="0" w:color="auto"/>
              <w:right w:val="single" w:sz="4" w:space="0" w:color="auto"/>
            </w:tcBorders>
            <w:noWrap/>
            <w:vAlign w:val="center"/>
            <w:hideMark/>
          </w:tcPr>
          <w:p w14:paraId="314EF351"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2024</w:t>
            </w:r>
          </w:p>
        </w:tc>
      </w:tr>
      <w:tr w:rsidR="002726F4" w:rsidRPr="00C35370" w14:paraId="123EBC65" w14:textId="77777777" w:rsidTr="006F6F4E">
        <w:trPr>
          <w:trHeight w:val="227"/>
          <w:jc w:val="center"/>
        </w:trPr>
        <w:tc>
          <w:tcPr>
            <w:tcW w:w="2953" w:type="dxa"/>
            <w:gridSpan w:val="2"/>
            <w:tcBorders>
              <w:top w:val="nil"/>
              <w:left w:val="single" w:sz="4" w:space="0" w:color="auto"/>
              <w:bottom w:val="single" w:sz="4" w:space="0" w:color="auto"/>
              <w:right w:val="single" w:sz="12" w:space="0" w:color="auto"/>
            </w:tcBorders>
            <w:vAlign w:val="center"/>
            <w:hideMark/>
          </w:tcPr>
          <w:p w14:paraId="7408EE4C" w14:textId="77777777" w:rsidR="002726F4" w:rsidRPr="00C35370" w:rsidRDefault="002726F4" w:rsidP="006F6F4E">
            <w:pPr>
              <w:spacing w:after="0" w:line="240" w:lineRule="auto"/>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Individuals 0-17 (000s)</w:t>
            </w:r>
          </w:p>
        </w:tc>
        <w:tc>
          <w:tcPr>
            <w:tcW w:w="687" w:type="dxa"/>
            <w:tcBorders>
              <w:top w:val="nil"/>
              <w:left w:val="single" w:sz="12" w:space="0" w:color="auto"/>
              <w:bottom w:val="single" w:sz="4" w:space="0" w:color="auto"/>
              <w:right w:val="single" w:sz="4" w:space="0" w:color="auto"/>
            </w:tcBorders>
            <w:noWrap/>
            <w:vAlign w:val="center"/>
            <w:hideMark/>
          </w:tcPr>
          <w:p w14:paraId="15AAD47F"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1,177</w:t>
            </w:r>
          </w:p>
        </w:tc>
        <w:tc>
          <w:tcPr>
            <w:tcW w:w="688" w:type="dxa"/>
            <w:tcBorders>
              <w:top w:val="nil"/>
              <w:left w:val="nil"/>
              <w:bottom w:val="single" w:sz="4" w:space="0" w:color="auto"/>
              <w:right w:val="single" w:sz="4" w:space="0" w:color="auto"/>
            </w:tcBorders>
            <w:noWrap/>
            <w:vAlign w:val="center"/>
            <w:hideMark/>
          </w:tcPr>
          <w:p w14:paraId="55A6BB6A"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1,006</w:t>
            </w:r>
          </w:p>
        </w:tc>
        <w:tc>
          <w:tcPr>
            <w:tcW w:w="688" w:type="dxa"/>
            <w:tcBorders>
              <w:top w:val="nil"/>
              <w:left w:val="nil"/>
              <w:bottom w:val="single" w:sz="4" w:space="0" w:color="auto"/>
              <w:right w:val="single" w:sz="12" w:space="0" w:color="auto"/>
            </w:tcBorders>
            <w:noWrap/>
            <w:vAlign w:val="center"/>
            <w:hideMark/>
          </w:tcPr>
          <w:p w14:paraId="7870C2F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171</w:t>
            </w:r>
          </w:p>
        </w:tc>
        <w:tc>
          <w:tcPr>
            <w:tcW w:w="645" w:type="dxa"/>
            <w:tcBorders>
              <w:top w:val="single" w:sz="4" w:space="0" w:color="auto"/>
              <w:left w:val="single" w:sz="12" w:space="0" w:color="auto"/>
              <w:bottom w:val="single" w:sz="4" w:space="0" w:color="auto"/>
              <w:right w:val="single" w:sz="4" w:space="0" w:color="auto"/>
            </w:tcBorders>
            <w:vAlign w:val="center"/>
          </w:tcPr>
          <w:p w14:paraId="18F3BE4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291</w:t>
            </w:r>
          </w:p>
        </w:tc>
        <w:tc>
          <w:tcPr>
            <w:tcW w:w="677" w:type="dxa"/>
            <w:tcBorders>
              <w:top w:val="single" w:sz="4" w:space="0" w:color="auto"/>
              <w:left w:val="single" w:sz="4" w:space="0" w:color="auto"/>
              <w:bottom w:val="single" w:sz="4" w:space="0" w:color="auto"/>
              <w:right w:val="single" w:sz="4" w:space="0" w:color="auto"/>
            </w:tcBorders>
            <w:vAlign w:val="center"/>
          </w:tcPr>
          <w:p w14:paraId="59D7166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174</w:t>
            </w:r>
          </w:p>
        </w:tc>
        <w:tc>
          <w:tcPr>
            <w:tcW w:w="667" w:type="dxa"/>
            <w:tcBorders>
              <w:top w:val="single" w:sz="4" w:space="0" w:color="auto"/>
              <w:left w:val="single" w:sz="4" w:space="0" w:color="auto"/>
              <w:bottom w:val="single" w:sz="4" w:space="0" w:color="auto"/>
              <w:right w:val="single" w:sz="12" w:space="0" w:color="auto"/>
            </w:tcBorders>
            <w:vAlign w:val="center"/>
          </w:tcPr>
          <w:p w14:paraId="2B82AC1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117</w:t>
            </w:r>
          </w:p>
        </w:tc>
        <w:tc>
          <w:tcPr>
            <w:tcW w:w="645" w:type="dxa"/>
            <w:tcBorders>
              <w:top w:val="nil"/>
              <w:left w:val="single" w:sz="12" w:space="0" w:color="auto"/>
              <w:bottom w:val="single" w:sz="4" w:space="0" w:color="auto"/>
              <w:right w:val="single" w:sz="4" w:space="0" w:color="auto"/>
            </w:tcBorders>
            <w:noWrap/>
            <w:vAlign w:val="center"/>
            <w:hideMark/>
          </w:tcPr>
          <w:p w14:paraId="4F106C7B" w14:textId="77777777" w:rsidR="002726F4" w:rsidRPr="005E52AA" w:rsidRDefault="002726F4" w:rsidP="006F6F4E">
            <w:pPr>
              <w:spacing w:after="0" w:line="240" w:lineRule="auto"/>
              <w:jc w:val="center"/>
              <w:rPr>
                <w:rFonts w:ascii="Arial Mäori" w:eastAsia="Times New Roman" w:hAnsi="Arial Mäori" w:cs="Times New Roman"/>
                <w:sz w:val="14"/>
                <w:szCs w:val="14"/>
                <w:lang w:eastAsia="en-NZ"/>
              </w:rPr>
            </w:pPr>
            <w:r w:rsidRPr="005E52AA">
              <w:rPr>
                <w:rFonts w:ascii="Arial Mäori" w:hAnsi="Arial Mäori"/>
                <w:color w:val="000000"/>
                <w:sz w:val="14"/>
                <w:szCs w:val="14"/>
              </w:rPr>
              <w:t>161</w:t>
            </w:r>
          </w:p>
        </w:tc>
        <w:tc>
          <w:tcPr>
            <w:tcW w:w="709" w:type="dxa"/>
            <w:tcBorders>
              <w:top w:val="nil"/>
              <w:left w:val="nil"/>
              <w:bottom w:val="single" w:sz="4" w:space="0" w:color="auto"/>
              <w:right w:val="single" w:sz="4" w:space="0" w:color="auto"/>
            </w:tcBorders>
            <w:noWrap/>
            <w:vAlign w:val="center"/>
            <w:hideMark/>
          </w:tcPr>
          <w:p w14:paraId="441E9621" w14:textId="77777777" w:rsidR="002726F4" w:rsidRPr="005E52AA" w:rsidRDefault="002726F4" w:rsidP="006F6F4E">
            <w:pPr>
              <w:spacing w:after="0" w:line="240" w:lineRule="auto"/>
              <w:jc w:val="center"/>
              <w:rPr>
                <w:rFonts w:ascii="Arial Mäori" w:eastAsia="Times New Roman" w:hAnsi="Arial Mäori" w:cs="Times New Roman"/>
                <w:sz w:val="14"/>
                <w:szCs w:val="14"/>
                <w:lang w:eastAsia="en-NZ"/>
              </w:rPr>
            </w:pPr>
            <w:r w:rsidRPr="005E52AA">
              <w:rPr>
                <w:rFonts w:ascii="Arial Mäori" w:hAnsi="Arial Mäori"/>
                <w:color w:val="000000"/>
                <w:sz w:val="14"/>
                <w:szCs w:val="14"/>
              </w:rPr>
              <w:t>73</w:t>
            </w:r>
          </w:p>
        </w:tc>
        <w:tc>
          <w:tcPr>
            <w:tcW w:w="708" w:type="dxa"/>
            <w:tcBorders>
              <w:top w:val="nil"/>
              <w:left w:val="nil"/>
              <w:bottom w:val="single" w:sz="4" w:space="0" w:color="auto"/>
              <w:right w:val="single" w:sz="4" w:space="0" w:color="auto"/>
            </w:tcBorders>
            <w:noWrap/>
            <w:vAlign w:val="center"/>
            <w:hideMark/>
          </w:tcPr>
          <w:p w14:paraId="64725BF5" w14:textId="77777777" w:rsidR="002726F4" w:rsidRPr="005E52AA" w:rsidRDefault="002726F4" w:rsidP="006F6F4E">
            <w:pPr>
              <w:spacing w:after="0" w:line="240" w:lineRule="auto"/>
              <w:jc w:val="center"/>
              <w:rPr>
                <w:rFonts w:ascii="Arial Mäori" w:eastAsia="Times New Roman" w:hAnsi="Arial Mäori" w:cs="Times New Roman"/>
                <w:sz w:val="14"/>
                <w:szCs w:val="14"/>
                <w:lang w:eastAsia="en-NZ"/>
              </w:rPr>
            </w:pPr>
            <w:r w:rsidRPr="005E52AA">
              <w:rPr>
                <w:rFonts w:ascii="Arial Mäori" w:hAnsi="Arial Mäori"/>
                <w:color w:val="000000"/>
                <w:sz w:val="14"/>
                <w:szCs w:val="14"/>
              </w:rPr>
              <w:t>88</w:t>
            </w:r>
          </w:p>
        </w:tc>
      </w:tr>
      <w:tr w:rsidR="002726F4" w:rsidRPr="00C35370" w14:paraId="1A093FBE" w14:textId="77777777" w:rsidTr="006F6F4E">
        <w:trPr>
          <w:trHeight w:val="227"/>
          <w:jc w:val="center"/>
        </w:trPr>
        <w:tc>
          <w:tcPr>
            <w:tcW w:w="2953" w:type="dxa"/>
            <w:gridSpan w:val="2"/>
            <w:tcBorders>
              <w:top w:val="nil"/>
              <w:left w:val="single" w:sz="4" w:space="0" w:color="auto"/>
              <w:bottom w:val="single" w:sz="4" w:space="0" w:color="auto"/>
              <w:right w:val="single" w:sz="12" w:space="0" w:color="auto"/>
            </w:tcBorders>
            <w:vAlign w:val="center"/>
            <w:hideMark/>
          </w:tcPr>
          <w:p w14:paraId="0BCE21DF" w14:textId="77777777" w:rsidR="002726F4" w:rsidRPr="00C35370" w:rsidRDefault="002726F4" w:rsidP="006F6F4E">
            <w:pPr>
              <w:spacing w:after="0" w:line="240" w:lineRule="auto"/>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Households with 0-17s (000s)</w:t>
            </w:r>
          </w:p>
        </w:tc>
        <w:tc>
          <w:tcPr>
            <w:tcW w:w="687" w:type="dxa"/>
            <w:tcBorders>
              <w:top w:val="nil"/>
              <w:left w:val="single" w:sz="12" w:space="0" w:color="auto"/>
              <w:bottom w:val="single" w:sz="4" w:space="0" w:color="auto"/>
              <w:right w:val="single" w:sz="4" w:space="0" w:color="auto"/>
            </w:tcBorders>
            <w:noWrap/>
            <w:vAlign w:val="center"/>
            <w:hideMark/>
          </w:tcPr>
          <w:p w14:paraId="7DF61DCF"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641</w:t>
            </w:r>
          </w:p>
        </w:tc>
        <w:tc>
          <w:tcPr>
            <w:tcW w:w="688" w:type="dxa"/>
            <w:tcBorders>
              <w:top w:val="nil"/>
              <w:left w:val="nil"/>
              <w:bottom w:val="single" w:sz="4" w:space="0" w:color="auto"/>
              <w:right w:val="single" w:sz="4" w:space="0" w:color="auto"/>
            </w:tcBorders>
            <w:noWrap/>
            <w:vAlign w:val="center"/>
            <w:hideMark/>
          </w:tcPr>
          <w:p w14:paraId="65E2781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559</w:t>
            </w:r>
          </w:p>
        </w:tc>
        <w:tc>
          <w:tcPr>
            <w:tcW w:w="688" w:type="dxa"/>
            <w:tcBorders>
              <w:top w:val="nil"/>
              <w:left w:val="nil"/>
              <w:bottom w:val="single" w:sz="4" w:space="0" w:color="auto"/>
              <w:right w:val="single" w:sz="12" w:space="0" w:color="auto"/>
            </w:tcBorders>
            <w:noWrap/>
            <w:vAlign w:val="center"/>
            <w:hideMark/>
          </w:tcPr>
          <w:p w14:paraId="3C253DB4"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82</w:t>
            </w:r>
          </w:p>
        </w:tc>
        <w:tc>
          <w:tcPr>
            <w:tcW w:w="645" w:type="dxa"/>
            <w:tcBorders>
              <w:top w:val="single" w:sz="4" w:space="0" w:color="auto"/>
              <w:left w:val="single" w:sz="12" w:space="0" w:color="auto"/>
              <w:bottom w:val="single" w:sz="4" w:space="0" w:color="auto"/>
              <w:right w:val="single" w:sz="4" w:space="0" w:color="auto"/>
            </w:tcBorders>
            <w:vAlign w:val="center"/>
          </w:tcPr>
          <w:p w14:paraId="7BBD033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141</w:t>
            </w:r>
          </w:p>
        </w:tc>
        <w:tc>
          <w:tcPr>
            <w:tcW w:w="677" w:type="dxa"/>
            <w:tcBorders>
              <w:top w:val="single" w:sz="4" w:space="0" w:color="auto"/>
              <w:left w:val="single" w:sz="4" w:space="0" w:color="auto"/>
              <w:bottom w:val="single" w:sz="4" w:space="0" w:color="auto"/>
              <w:right w:val="single" w:sz="4" w:space="0" w:color="auto"/>
            </w:tcBorders>
            <w:vAlign w:val="center"/>
          </w:tcPr>
          <w:p w14:paraId="1D30891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85</w:t>
            </w:r>
          </w:p>
        </w:tc>
        <w:tc>
          <w:tcPr>
            <w:tcW w:w="667" w:type="dxa"/>
            <w:tcBorders>
              <w:top w:val="single" w:sz="4" w:space="0" w:color="auto"/>
              <w:left w:val="single" w:sz="4" w:space="0" w:color="auto"/>
              <w:bottom w:val="single" w:sz="4" w:space="0" w:color="auto"/>
              <w:right w:val="single" w:sz="12" w:space="0" w:color="auto"/>
            </w:tcBorders>
            <w:vAlign w:val="center"/>
          </w:tcPr>
          <w:p w14:paraId="6A079E1A"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56</w:t>
            </w:r>
          </w:p>
        </w:tc>
        <w:tc>
          <w:tcPr>
            <w:tcW w:w="645" w:type="dxa"/>
            <w:tcBorders>
              <w:top w:val="nil"/>
              <w:left w:val="single" w:sz="12" w:space="0" w:color="auto"/>
              <w:bottom w:val="single" w:sz="4" w:space="0" w:color="auto"/>
              <w:right w:val="single" w:sz="4" w:space="0" w:color="auto"/>
            </w:tcBorders>
            <w:noWrap/>
            <w:vAlign w:val="center"/>
            <w:hideMark/>
          </w:tcPr>
          <w:p w14:paraId="4149437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74</w:t>
            </w:r>
          </w:p>
        </w:tc>
        <w:tc>
          <w:tcPr>
            <w:tcW w:w="709" w:type="dxa"/>
            <w:tcBorders>
              <w:top w:val="nil"/>
              <w:left w:val="nil"/>
              <w:bottom w:val="single" w:sz="4" w:space="0" w:color="auto"/>
              <w:right w:val="single" w:sz="4" w:space="0" w:color="auto"/>
            </w:tcBorders>
            <w:noWrap/>
            <w:vAlign w:val="center"/>
            <w:hideMark/>
          </w:tcPr>
          <w:p w14:paraId="32AE9F1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33</w:t>
            </w:r>
          </w:p>
        </w:tc>
        <w:tc>
          <w:tcPr>
            <w:tcW w:w="708" w:type="dxa"/>
            <w:tcBorders>
              <w:top w:val="nil"/>
              <w:left w:val="nil"/>
              <w:bottom w:val="single" w:sz="4" w:space="0" w:color="auto"/>
              <w:right w:val="single" w:sz="4" w:space="0" w:color="auto"/>
            </w:tcBorders>
            <w:noWrap/>
            <w:vAlign w:val="center"/>
            <w:hideMark/>
          </w:tcPr>
          <w:p w14:paraId="70196A2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41</w:t>
            </w:r>
          </w:p>
        </w:tc>
      </w:tr>
      <w:tr w:rsidR="002726F4" w:rsidRPr="00C35370" w14:paraId="195AFBF3" w14:textId="77777777" w:rsidTr="006F6F4E">
        <w:trPr>
          <w:trHeight w:val="227"/>
          <w:jc w:val="center"/>
        </w:trPr>
        <w:tc>
          <w:tcPr>
            <w:tcW w:w="2953" w:type="dxa"/>
            <w:gridSpan w:val="2"/>
            <w:tcBorders>
              <w:top w:val="nil"/>
              <w:left w:val="single" w:sz="4" w:space="0" w:color="auto"/>
              <w:bottom w:val="single" w:sz="4" w:space="0" w:color="auto"/>
              <w:right w:val="single" w:sz="12" w:space="0" w:color="auto"/>
            </w:tcBorders>
            <w:vAlign w:val="center"/>
            <w:hideMark/>
          </w:tcPr>
          <w:p w14:paraId="6FDF2813"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 of all 0-17s</w:t>
            </w:r>
          </w:p>
        </w:tc>
        <w:tc>
          <w:tcPr>
            <w:tcW w:w="687" w:type="dxa"/>
            <w:tcBorders>
              <w:top w:val="nil"/>
              <w:left w:val="single" w:sz="12" w:space="0" w:color="auto"/>
              <w:bottom w:val="single" w:sz="4" w:space="0" w:color="auto"/>
              <w:right w:val="single" w:sz="4" w:space="0" w:color="auto"/>
            </w:tcBorders>
            <w:noWrap/>
            <w:vAlign w:val="center"/>
            <w:hideMark/>
          </w:tcPr>
          <w:p w14:paraId="5F1148C0"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100</w:t>
            </w:r>
          </w:p>
        </w:tc>
        <w:tc>
          <w:tcPr>
            <w:tcW w:w="688" w:type="dxa"/>
            <w:tcBorders>
              <w:top w:val="nil"/>
              <w:left w:val="nil"/>
              <w:bottom w:val="single" w:sz="4" w:space="0" w:color="auto"/>
              <w:right w:val="single" w:sz="4" w:space="0" w:color="auto"/>
            </w:tcBorders>
            <w:noWrap/>
            <w:vAlign w:val="center"/>
            <w:hideMark/>
          </w:tcPr>
          <w:p w14:paraId="3520E4AA"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85</w:t>
            </w:r>
          </w:p>
        </w:tc>
        <w:tc>
          <w:tcPr>
            <w:tcW w:w="688" w:type="dxa"/>
            <w:tcBorders>
              <w:top w:val="nil"/>
              <w:left w:val="nil"/>
              <w:bottom w:val="single" w:sz="4" w:space="0" w:color="auto"/>
              <w:right w:val="single" w:sz="12" w:space="0" w:color="auto"/>
            </w:tcBorders>
            <w:noWrap/>
            <w:vAlign w:val="center"/>
            <w:hideMark/>
          </w:tcPr>
          <w:p w14:paraId="49F10B59"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15</w:t>
            </w:r>
          </w:p>
        </w:tc>
        <w:tc>
          <w:tcPr>
            <w:tcW w:w="645" w:type="dxa"/>
            <w:tcBorders>
              <w:top w:val="single" w:sz="4" w:space="0" w:color="auto"/>
              <w:left w:val="single" w:sz="12" w:space="0" w:color="auto"/>
              <w:bottom w:val="single" w:sz="4" w:space="0" w:color="auto"/>
              <w:right w:val="single" w:sz="4" w:space="0" w:color="auto"/>
            </w:tcBorders>
            <w:vAlign w:val="center"/>
          </w:tcPr>
          <w:p w14:paraId="3F4D3B03"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25</w:t>
            </w:r>
          </w:p>
        </w:tc>
        <w:tc>
          <w:tcPr>
            <w:tcW w:w="677" w:type="dxa"/>
            <w:tcBorders>
              <w:top w:val="single" w:sz="4" w:space="0" w:color="auto"/>
              <w:left w:val="single" w:sz="4" w:space="0" w:color="auto"/>
              <w:bottom w:val="single" w:sz="4" w:space="0" w:color="auto"/>
              <w:right w:val="single" w:sz="4" w:space="0" w:color="auto"/>
            </w:tcBorders>
            <w:vAlign w:val="center"/>
          </w:tcPr>
          <w:p w14:paraId="10DDA83A"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15</w:t>
            </w:r>
          </w:p>
        </w:tc>
        <w:tc>
          <w:tcPr>
            <w:tcW w:w="667" w:type="dxa"/>
            <w:tcBorders>
              <w:top w:val="single" w:sz="4" w:space="0" w:color="auto"/>
              <w:left w:val="single" w:sz="4" w:space="0" w:color="auto"/>
              <w:bottom w:val="single" w:sz="4" w:space="0" w:color="auto"/>
              <w:right w:val="single" w:sz="12" w:space="0" w:color="auto"/>
            </w:tcBorders>
            <w:vAlign w:val="center"/>
          </w:tcPr>
          <w:p w14:paraId="228B6D26"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10</w:t>
            </w:r>
          </w:p>
        </w:tc>
        <w:tc>
          <w:tcPr>
            <w:tcW w:w="645" w:type="dxa"/>
            <w:tcBorders>
              <w:top w:val="nil"/>
              <w:left w:val="single" w:sz="12" w:space="0" w:color="auto"/>
              <w:bottom w:val="single" w:sz="4" w:space="0" w:color="auto"/>
              <w:right w:val="single" w:sz="4" w:space="0" w:color="auto"/>
            </w:tcBorders>
            <w:noWrap/>
            <w:vAlign w:val="center"/>
            <w:hideMark/>
          </w:tcPr>
          <w:p w14:paraId="59E7077F" w14:textId="77777777" w:rsidR="002726F4" w:rsidRPr="00230E88" w:rsidRDefault="002726F4" w:rsidP="006F6F4E">
            <w:pPr>
              <w:spacing w:after="0" w:line="240" w:lineRule="auto"/>
              <w:jc w:val="center"/>
              <w:rPr>
                <w:rFonts w:ascii="Arial Mäori" w:eastAsia="Times New Roman" w:hAnsi="Arial Mäori" w:cs="Times New Roman"/>
                <w:b/>
                <w:bCs/>
                <w:sz w:val="14"/>
                <w:szCs w:val="14"/>
                <w:lang w:eastAsia="en-NZ"/>
              </w:rPr>
            </w:pPr>
            <w:r w:rsidRPr="00230E88">
              <w:rPr>
                <w:rFonts w:ascii="Arial Mäori" w:hAnsi="Arial Mäori"/>
                <w:b/>
                <w:bCs/>
                <w:color w:val="000000"/>
                <w:sz w:val="14"/>
                <w:szCs w:val="14"/>
              </w:rPr>
              <w:t>14</w:t>
            </w:r>
          </w:p>
        </w:tc>
        <w:tc>
          <w:tcPr>
            <w:tcW w:w="709" w:type="dxa"/>
            <w:tcBorders>
              <w:top w:val="nil"/>
              <w:left w:val="nil"/>
              <w:bottom w:val="single" w:sz="4" w:space="0" w:color="auto"/>
              <w:right w:val="single" w:sz="4" w:space="0" w:color="auto"/>
            </w:tcBorders>
            <w:noWrap/>
            <w:vAlign w:val="center"/>
            <w:hideMark/>
          </w:tcPr>
          <w:p w14:paraId="0F1771ED" w14:textId="77777777" w:rsidR="002726F4" w:rsidRPr="00230E88" w:rsidRDefault="002726F4" w:rsidP="006F6F4E">
            <w:pPr>
              <w:spacing w:after="0" w:line="240" w:lineRule="auto"/>
              <w:jc w:val="center"/>
              <w:rPr>
                <w:rFonts w:ascii="Arial Mäori" w:eastAsia="Times New Roman" w:hAnsi="Arial Mäori" w:cs="Times New Roman"/>
                <w:b/>
                <w:bCs/>
                <w:sz w:val="14"/>
                <w:szCs w:val="14"/>
                <w:lang w:eastAsia="en-NZ"/>
              </w:rPr>
            </w:pPr>
            <w:r w:rsidRPr="00230E88">
              <w:rPr>
                <w:rFonts w:ascii="Arial Mäori" w:hAnsi="Arial Mäori"/>
                <w:b/>
                <w:bCs/>
                <w:color w:val="000000"/>
                <w:sz w:val="14"/>
                <w:szCs w:val="14"/>
              </w:rPr>
              <w:t>6</w:t>
            </w:r>
          </w:p>
        </w:tc>
        <w:tc>
          <w:tcPr>
            <w:tcW w:w="708" w:type="dxa"/>
            <w:tcBorders>
              <w:top w:val="nil"/>
              <w:left w:val="nil"/>
              <w:bottom w:val="single" w:sz="4" w:space="0" w:color="auto"/>
              <w:right w:val="single" w:sz="4" w:space="0" w:color="auto"/>
            </w:tcBorders>
            <w:noWrap/>
            <w:vAlign w:val="center"/>
            <w:hideMark/>
          </w:tcPr>
          <w:p w14:paraId="117A3BF6" w14:textId="77777777" w:rsidR="002726F4" w:rsidRPr="00230E88" w:rsidRDefault="002726F4" w:rsidP="006F6F4E">
            <w:pPr>
              <w:spacing w:after="0" w:line="240" w:lineRule="auto"/>
              <w:jc w:val="center"/>
              <w:rPr>
                <w:rFonts w:ascii="Arial Mäori" w:eastAsia="Times New Roman" w:hAnsi="Arial Mäori" w:cs="Times New Roman"/>
                <w:b/>
                <w:bCs/>
                <w:sz w:val="14"/>
                <w:szCs w:val="14"/>
                <w:lang w:eastAsia="en-NZ"/>
              </w:rPr>
            </w:pPr>
            <w:r w:rsidRPr="00230E88">
              <w:rPr>
                <w:rFonts w:ascii="Arial Mäori" w:hAnsi="Arial Mäori"/>
                <w:b/>
                <w:bCs/>
                <w:color w:val="000000"/>
                <w:sz w:val="14"/>
                <w:szCs w:val="14"/>
              </w:rPr>
              <w:t>7</w:t>
            </w:r>
          </w:p>
        </w:tc>
      </w:tr>
      <w:tr w:rsidR="00350845" w:rsidRPr="00C35370" w14:paraId="51CFD112" w14:textId="77777777" w:rsidTr="00F413A0">
        <w:trPr>
          <w:trHeight w:val="227"/>
          <w:jc w:val="center"/>
        </w:trPr>
        <w:tc>
          <w:tcPr>
            <w:tcW w:w="2953" w:type="dxa"/>
            <w:gridSpan w:val="2"/>
            <w:tcBorders>
              <w:top w:val="nil"/>
              <w:left w:val="single" w:sz="4" w:space="0" w:color="auto"/>
              <w:bottom w:val="single" w:sz="4" w:space="0" w:color="auto"/>
              <w:right w:val="single" w:sz="12" w:space="0" w:color="auto"/>
            </w:tcBorders>
            <w:vAlign w:val="center"/>
            <w:hideMark/>
          </w:tcPr>
          <w:p w14:paraId="528059DD" w14:textId="7B230030" w:rsidR="00350845" w:rsidRPr="00C35370" w:rsidRDefault="00350845" w:rsidP="00350845">
            <w:pPr>
              <w:spacing w:after="0" w:line="240" w:lineRule="auto"/>
              <w:rPr>
                <w:rFonts w:ascii="Arial Mäori" w:eastAsia="Times New Roman" w:hAnsi="Arial Mäori" w:cs="Times New Roman"/>
                <w:sz w:val="14"/>
                <w:szCs w:val="14"/>
                <w:lang w:eastAsia="en-NZ"/>
              </w:rPr>
            </w:pPr>
            <w:r>
              <w:rPr>
                <w:rFonts w:ascii="Arial" w:hAnsi="Arial"/>
                <w:color w:val="000000"/>
                <w:sz w:val="14"/>
                <w:szCs w:val="14"/>
              </w:rPr>
              <w:t xml:space="preserve">% of income </w:t>
            </w:r>
            <w:r w:rsidRPr="00F413A0">
              <w:rPr>
                <w:rFonts w:ascii="Arial" w:hAnsi="Arial"/>
                <w:color w:val="000000"/>
                <w:sz w:val="14"/>
                <w:szCs w:val="14"/>
              </w:rPr>
              <w:t>source group (all, mkt, or govt)</w:t>
            </w:r>
          </w:p>
        </w:tc>
        <w:tc>
          <w:tcPr>
            <w:tcW w:w="687" w:type="dxa"/>
            <w:tcBorders>
              <w:top w:val="nil"/>
              <w:left w:val="single" w:sz="12" w:space="0" w:color="auto"/>
              <w:bottom w:val="single" w:sz="4" w:space="0" w:color="auto"/>
              <w:right w:val="single" w:sz="4" w:space="0" w:color="auto"/>
            </w:tcBorders>
            <w:noWrap/>
            <w:vAlign w:val="center"/>
            <w:hideMark/>
          </w:tcPr>
          <w:p w14:paraId="21046328" w14:textId="758FBA15"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100</w:t>
            </w:r>
          </w:p>
        </w:tc>
        <w:tc>
          <w:tcPr>
            <w:tcW w:w="688" w:type="dxa"/>
            <w:tcBorders>
              <w:top w:val="nil"/>
              <w:left w:val="nil"/>
              <w:bottom w:val="single" w:sz="4" w:space="0" w:color="auto"/>
              <w:right w:val="single" w:sz="4" w:space="0" w:color="auto"/>
            </w:tcBorders>
            <w:noWrap/>
            <w:vAlign w:val="center"/>
            <w:hideMark/>
          </w:tcPr>
          <w:p w14:paraId="405CB046" w14:textId="037CF1AF"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100</w:t>
            </w:r>
          </w:p>
        </w:tc>
        <w:tc>
          <w:tcPr>
            <w:tcW w:w="688" w:type="dxa"/>
            <w:tcBorders>
              <w:top w:val="nil"/>
              <w:left w:val="nil"/>
              <w:bottom w:val="single" w:sz="4" w:space="0" w:color="auto"/>
              <w:right w:val="single" w:sz="12" w:space="0" w:color="auto"/>
            </w:tcBorders>
            <w:noWrap/>
            <w:vAlign w:val="center"/>
            <w:hideMark/>
          </w:tcPr>
          <w:p w14:paraId="3EE356DB" w14:textId="069B569A"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100</w:t>
            </w:r>
          </w:p>
        </w:tc>
        <w:tc>
          <w:tcPr>
            <w:tcW w:w="645" w:type="dxa"/>
            <w:tcBorders>
              <w:top w:val="single" w:sz="4" w:space="0" w:color="auto"/>
              <w:left w:val="single" w:sz="12" w:space="0" w:color="auto"/>
              <w:bottom w:val="single" w:sz="4" w:space="0" w:color="auto"/>
              <w:right w:val="single" w:sz="4" w:space="0" w:color="auto"/>
            </w:tcBorders>
            <w:vAlign w:val="center"/>
          </w:tcPr>
          <w:p w14:paraId="3287D8D7" w14:textId="4D99A33C"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25</w:t>
            </w:r>
          </w:p>
        </w:tc>
        <w:tc>
          <w:tcPr>
            <w:tcW w:w="677" w:type="dxa"/>
            <w:tcBorders>
              <w:top w:val="single" w:sz="4" w:space="0" w:color="auto"/>
              <w:left w:val="single" w:sz="4" w:space="0" w:color="auto"/>
              <w:bottom w:val="single" w:sz="4" w:space="0" w:color="auto"/>
              <w:right w:val="single" w:sz="4" w:space="0" w:color="auto"/>
            </w:tcBorders>
            <w:vAlign w:val="center"/>
          </w:tcPr>
          <w:p w14:paraId="20967C4F" w14:textId="2A29BB8A"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17</w:t>
            </w:r>
          </w:p>
        </w:tc>
        <w:tc>
          <w:tcPr>
            <w:tcW w:w="667" w:type="dxa"/>
            <w:tcBorders>
              <w:top w:val="single" w:sz="4" w:space="0" w:color="auto"/>
              <w:left w:val="single" w:sz="4" w:space="0" w:color="auto"/>
              <w:bottom w:val="single" w:sz="4" w:space="0" w:color="auto"/>
              <w:right w:val="single" w:sz="12" w:space="0" w:color="auto"/>
            </w:tcBorders>
            <w:shd w:val="clear" w:color="auto" w:fill="FFFF00"/>
            <w:vAlign w:val="center"/>
          </w:tcPr>
          <w:p w14:paraId="482BB21F" w14:textId="5EDB4486"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68</w:t>
            </w:r>
          </w:p>
        </w:tc>
        <w:tc>
          <w:tcPr>
            <w:tcW w:w="645" w:type="dxa"/>
            <w:tcBorders>
              <w:top w:val="nil"/>
              <w:left w:val="single" w:sz="12" w:space="0" w:color="auto"/>
              <w:bottom w:val="single" w:sz="4" w:space="0" w:color="auto"/>
              <w:right w:val="single" w:sz="4" w:space="0" w:color="auto"/>
            </w:tcBorders>
            <w:noWrap/>
            <w:vAlign w:val="center"/>
            <w:hideMark/>
          </w:tcPr>
          <w:p w14:paraId="4F5D3DC8" w14:textId="74766F91"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14</w:t>
            </w:r>
          </w:p>
        </w:tc>
        <w:tc>
          <w:tcPr>
            <w:tcW w:w="709" w:type="dxa"/>
            <w:tcBorders>
              <w:top w:val="nil"/>
              <w:left w:val="nil"/>
              <w:bottom w:val="single" w:sz="4" w:space="0" w:color="auto"/>
              <w:right w:val="single" w:sz="4" w:space="0" w:color="auto"/>
            </w:tcBorders>
            <w:noWrap/>
            <w:vAlign w:val="center"/>
            <w:hideMark/>
          </w:tcPr>
          <w:p w14:paraId="4717F86C" w14:textId="4EEE12C8"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7</w:t>
            </w:r>
          </w:p>
        </w:tc>
        <w:tc>
          <w:tcPr>
            <w:tcW w:w="708" w:type="dxa"/>
            <w:tcBorders>
              <w:top w:val="nil"/>
              <w:left w:val="nil"/>
              <w:bottom w:val="single" w:sz="4" w:space="0" w:color="auto"/>
              <w:right w:val="single" w:sz="4" w:space="0" w:color="auto"/>
            </w:tcBorders>
            <w:noWrap/>
            <w:vAlign w:val="center"/>
            <w:hideMark/>
          </w:tcPr>
          <w:p w14:paraId="7DA22E1C" w14:textId="7D611934" w:rsidR="00350845" w:rsidRPr="00C35370" w:rsidRDefault="00350845" w:rsidP="00350845">
            <w:pPr>
              <w:spacing w:after="0" w:line="240" w:lineRule="auto"/>
              <w:jc w:val="center"/>
              <w:rPr>
                <w:rFonts w:ascii="Arial Mäori" w:eastAsia="Times New Roman" w:hAnsi="Arial Mäori" w:cs="Times New Roman"/>
                <w:sz w:val="14"/>
                <w:szCs w:val="14"/>
                <w:lang w:eastAsia="en-NZ"/>
              </w:rPr>
            </w:pPr>
            <w:r>
              <w:rPr>
                <w:rFonts w:ascii="Arial" w:hAnsi="Arial"/>
                <w:color w:val="000000"/>
                <w:sz w:val="14"/>
                <w:szCs w:val="14"/>
              </w:rPr>
              <w:t>51</w:t>
            </w:r>
          </w:p>
        </w:tc>
      </w:tr>
      <w:tr w:rsidR="002726F4" w:rsidRPr="00C35370" w14:paraId="43D4FF8E" w14:textId="77777777" w:rsidTr="0051648D">
        <w:trPr>
          <w:trHeight w:val="227"/>
          <w:jc w:val="center"/>
        </w:trPr>
        <w:tc>
          <w:tcPr>
            <w:tcW w:w="2953" w:type="dxa"/>
            <w:gridSpan w:val="2"/>
            <w:tcBorders>
              <w:top w:val="nil"/>
              <w:left w:val="single" w:sz="4" w:space="0" w:color="auto"/>
              <w:bottom w:val="single" w:sz="4" w:space="0" w:color="auto"/>
              <w:right w:val="single" w:sz="12" w:space="0" w:color="auto"/>
            </w:tcBorders>
            <w:vAlign w:val="center"/>
            <w:hideMark/>
          </w:tcPr>
          <w:p w14:paraId="2C9484C5"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Material hardship rate (6+/17 for DEP-17)</w:t>
            </w:r>
          </w:p>
        </w:tc>
        <w:tc>
          <w:tcPr>
            <w:tcW w:w="687" w:type="dxa"/>
            <w:tcBorders>
              <w:top w:val="nil"/>
              <w:left w:val="single" w:sz="12" w:space="0" w:color="auto"/>
              <w:bottom w:val="single" w:sz="4" w:space="0" w:color="auto"/>
              <w:right w:val="single" w:sz="4" w:space="0" w:color="auto"/>
            </w:tcBorders>
            <w:shd w:val="clear" w:color="auto" w:fill="C5E0B3" w:themeFill="accent6" w:themeFillTint="66"/>
            <w:noWrap/>
            <w:vAlign w:val="center"/>
            <w:hideMark/>
          </w:tcPr>
          <w:p w14:paraId="58B63C40"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14</w:t>
            </w:r>
          </w:p>
        </w:tc>
        <w:tc>
          <w:tcPr>
            <w:tcW w:w="688" w:type="dxa"/>
            <w:tcBorders>
              <w:top w:val="nil"/>
              <w:left w:val="nil"/>
              <w:bottom w:val="single" w:sz="4" w:space="0" w:color="auto"/>
              <w:right w:val="single" w:sz="4" w:space="0" w:color="auto"/>
            </w:tcBorders>
            <w:shd w:val="clear" w:color="auto" w:fill="F7CAAC" w:themeFill="accent2" w:themeFillTint="66"/>
            <w:noWrap/>
            <w:vAlign w:val="center"/>
            <w:hideMark/>
          </w:tcPr>
          <w:p w14:paraId="6232566A"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8</w:t>
            </w:r>
          </w:p>
        </w:tc>
        <w:tc>
          <w:tcPr>
            <w:tcW w:w="688" w:type="dxa"/>
            <w:tcBorders>
              <w:top w:val="nil"/>
              <w:left w:val="nil"/>
              <w:bottom w:val="single" w:sz="4" w:space="0" w:color="auto"/>
              <w:right w:val="single" w:sz="12" w:space="0" w:color="auto"/>
            </w:tcBorders>
            <w:shd w:val="clear" w:color="auto" w:fill="B4C6E7" w:themeFill="accent1" w:themeFillTint="66"/>
            <w:noWrap/>
            <w:vAlign w:val="center"/>
            <w:hideMark/>
          </w:tcPr>
          <w:p w14:paraId="402A0151"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44</w:t>
            </w:r>
          </w:p>
        </w:tc>
        <w:tc>
          <w:tcPr>
            <w:tcW w:w="645" w:type="dxa"/>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14:paraId="26814DFA"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29</w:t>
            </w:r>
          </w:p>
        </w:tc>
        <w:tc>
          <w:tcPr>
            <w:tcW w:w="67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49994996"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17</w:t>
            </w:r>
          </w:p>
        </w:tc>
        <w:tc>
          <w:tcPr>
            <w:tcW w:w="667" w:type="dxa"/>
            <w:tcBorders>
              <w:top w:val="single" w:sz="4" w:space="0" w:color="auto"/>
              <w:left w:val="single" w:sz="4" w:space="0" w:color="auto"/>
              <w:bottom w:val="single" w:sz="4" w:space="0" w:color="auto"/>
              <w:right w:val="single" w:sz="12" w:space="0" w:color="auto"/>
            </w:tcBorders>
            <w:shd w:val="clear" w:color="auto" w:fill="B4C6E7" w:themeFill="accent1" w:themeFillTint="66"/>
            <w:vAlign w:val="center"/>
          </w:tcPr>
          <w:p w14:paraId="18A8CA33"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47</w:t>
            </w:r>
          </w:p>
        </w:tc>
        <w:tc>
          <w:tcPr>
            <w:tcW w:w="645" w:type="dxa"/>
            <w:tcBorders>
              <w:top w:val="nil"/>
              <w:left w:val="single" w:sz="12" w:space="0" w:color="auto"/>
              <w:bottom w:val="single" w:sz="4" w:space="0" w:color="auto"/>
              <w:right w:val="single" w:sz="4" w:space="0" w:color="auto"/>
            </w:tcBorders>
            <w:shd w:val="clear" w:color="auto" w:fill="C5E0B3" w:themeFill="accent6" w:themeFillTint="66"/>
            <w:noWrap/>
            <w:vAlign w:val="center"/>
            <w:hideMark/>
          </w:tcPr>
          <w:p w14:paraId="1E61BDAD"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Pr>
                <w:rFonts w:ascii="Arial Mäori" w:hAnsi="Arial Mäori"/>
                <w:b/>
                <w:bCs/>
                <w:color w:val="000000"/>
                <w:sz w:val="14"/>
                <w:szCs w:val="14"/>
              </w:rPr>
              <w:t>41</w:t>
            </w:r>
          </w:p>
        </w:tc>
        <w:tc>
          <w:tcPr>
            <w:tcW w:w="709" w:type="dxa"/>
            <w:tcBorders>
              <w:top w:val="nil"/>
              <w:left w:val="nil"/>
              <w:bottom w:val="single" w:sz="4" w:space="0" w:color="auto"/>
              <w:right w:val="single" w:sz="4" w:space="0" w:color="auto"/>
            </w:tcBorders>
            <w:shd w:val="clear" w:color="auto" w:fill="F7CAAC" w:themeFill="accent2" w:themeFillTint="66"/>
            <w:noWrap/>
            <w:vAlign w:val="center"/>
            <w:hideMark/>
          </w:tcPr>
          <w:p w14:paraId="26B663B3"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Pr>
                <w:rFonts w:ascii="Arial Mäori" w:hAnsi="Arial Mäori"/>
                <w:b/>
                <w:bCs/>
                <w:color w:val="000000"/>
                <w:sz w:val="14"/>
                <w:szCs w:val="14"/>
              </w:rPr>
              <w:t>27</w:t>
            </w:r>
          </w:p>
        </w:tc>
        <w:tc>
          <w:tcPr>
            <w:tcW w:w="708" w:type="dxa"/>
            <w:tcBorders>
              <w:top w:val="nil"/>
              <w:left w:val="nil"/>
              <w:bottom w:val="single" w:sz="4" w:space="0" w:color="auto"/>
              <w:right w:val="single" w:sz="4" w:space="0" w:color="auto"/>
            </w:tcBorders>
            <w:shd w:val="clear" w:color="auto" w:fill="B4C6E7" w:themeFill="accent1" w:themeFillTint="66"/>
            <w:noWrap/>
            <w:vAlign w:val="center"/>
            <w:hideMark/>
          </w:tcPr>
          <w:p w14:paraId="3E1B994D" w14:textId="77777777" w:rsidR="002726F4" w:rsidRPr="00C35370" w:rsidRDefault="002726F4" w:rsidP="006F6F4E">
            <w:pPr>
              <w:spacing w:after="0" w:line="240" w:lineRule="auto"/>
              <w:jc w:val="center"/>
              <w:rPr>
                <w:rFonts w:ascii="Arial Mäori" w:eastAsia="Times New Roman" w:hAnsi="Arial Mäori" w:cs="Times New Roman"/>
                <w:b/>
                <w:bCs/>
                <w:sz w:val="14"/>
                <w:szCs w:val="14"/>
                <w:lang w:eastAsia="en-NZ"/>
              </w:rPr>
            </w:pPr>
            <w:r>
              <w:rPr>
                <w:rFonts w:ascii="Arial Mäori" w:hAnsi="Arial Mäori"/>
                <w:b/>
                <w:bCs/>
                <w:color w:val="000000"/>
                <w:sz w:val="14"/>
                <w:szCs w:val="14"/>
              </w:rPr>
              <w:t>53</w:t>
            </w:r>
          </w:p>
        </w:tc>
      </w:tr>
      <w:tr w:rsidR="002726F4" w:rsidRPr="00C35370" w14:paraId="58D1E0F5" w14:textId="77777777" w:rsidTr="006F6F4E">
        <w:trPr>
          <w:trHeight w:val="227"/>
          <w:jc w:val="center"/>
        </w:trPr>
        <w:tc>
          <w:tcPr>
            <w:tcW w:w="2265" w:type="dxa"/>
            <w:tcBorders>
              <w:top w:val="nil"/>
              <w:left w:val="single" w:sz="4" w:space="0" w:color="auto"/>
              <w:bottom w:val="single" w:sz="4" w:space="0" w:color="auto"/>
              <w:right w:val="single" w:sz="4" w:space="0" w:color="auto"/>
            </w:tcBorders>
            <w:vAlign w:val="center"/>
            <w:hideMark/>
          </w:tcPr>
          <w:p w14:paraId="04FC70F6" w14:textId="77777777" w:rsidR="002726F4" w:rsidRPr="00C35370" w:rsidRDefault="002726F4" w:rsidP="006F6F4E">
            <w:pPr>
              <w:spacing w:after="0" w:line="240" w:lineRule="auto"/>
              <w:rPr>
                <w:rFonts w:ascii="Arial Mäori" w:eastAsia="Times New Roman" w:hAnsi="Arial Mäori" w:cs="Times New Roman"/>
                <w:b/>
                <w:bCs/>
                <w:sz w:val="14"/>
                <w:szCs w:val="14"/>
                <w:lang w:eastAsia="en-NZ"/>
              </w:rPr>
            </w:pPr>
            <w:r w:rsidRPr="00C35370">
              <w:rPr>
                <w:rFonts w:ascii="Arial Mäori" w:eastAsia="Times New Roman" w:hAnsi="Arial Mäori" w:cs="Times New Roman"/>
                <w:b/>
                <w:bCs/>
                <w:sz w:val="14"/>
                <w:szCs w:val="14"/>
                <w:lang w:eastAsia="en-NZ"/>
              </w:rPr>
              <w:t>Incomes and housing costs</w:t>
            </w:r>
          </w:p>
        </w:tc>
        <w:tc>
          <w:tcPr>
            <w:tcW w:w="688" w:type="dxa"/>
            <w:tcBorders>
              <w:top w:val="nil"/>
              <w:left w:val="nil"/>
              <w:bottom w:val="single" w:sz="4" w:space="0" w:color="auto"/>
              <w:right w:val="single" w:sz="12" w:space="0" w:color="auto"/>
            </w:tcBorders>
            <w:vAlign w:val="center"/>
            <w:hideMark/>
          </w:tcPr>
          <w:p w14:paraId="63864569"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87" w:type="dxa"/>
            <w:tcBorders>
              <w:top w:val="nil"/>
              <w:left w:val="single" w:sz="12" w:space="0" w:color="auto"/>
              <w:bottom w:val="single" w:sz="4" w:space="0" w:color="auto"/>
              <w:right w:val="single" w:sz="4" w:space="0" w:color="auto"/>
            </w:tcBorders>
            <w:noWrap/>
            <w:vAlign w:val="center"/>
            <w:hideMark/>
          </w:tcPr>
          <w:p w14:paraId="3121C84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88" w:type="dxa"/>
            <w:tcBorders>
              <w:top w:val="nil"/>
              <w:left w:val="nil"/>
              <w:bottom w:val="single" w:sz="4" w:space="0" w:color="auto"/>
              <w:right w:val="single" w:sz="4" w:space="0" w:color="auto"/>
            </w:tcBorders>
            <w:noWrap/>
            <w:vAlign w:val="center"/>
            <w:hideMark/>
          </w:tcPr>
          <w:p w14:paraId="780C29C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88" w:type="dxa"/>
            <w:tcBorders>
              <w:top w:val="nil"/>
              <w:left w:val="nil"/>
              <w:bottom w:val="single" w:sz="4" w:space="0" w:color="auto"/>
              <w:right w:val="single" w:sz="12" w:space="0" w:color="auto"/>
            </w:tcBorders>
            <w:noWrap/>
            <w:vAlign w:val="center"/>
            <w:hideMark/>
          </w:tcPr>
          <w:p w14:paraId="05AC5C3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45" w:type="dxa"/>
            <w:tcBorders>
              <w:top w:val="single" w:sz="4" w:space="0" w:color="auto"/>
              <w:left w:val="single" w:sz="12" w:space="0" w:color="auto"/>
              <w:bottom w:val="single" w:sz="4" w:space="0" w:color="auto"/>
              <w:right w:val="single" w:sz="4" w:space="0" w:color="auto"/>
            </w:tcBorders>
            <w:vAlign w:val="center"/>
          </w:tcPr>
          <w:p w14:paraId="405978A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77" w:type="dxa"/>
            <w:tcBorders>
              <w:top w:val="single" w:sz="4" w:space="0" w:color="auto"/>
              <w:left w:val="single" w:sz="4" w:space="0" w:color="auto"/>
              <w:bottom w:val="single" w:sz="4" w:space="0" w:color="auto"/>
              <w:right w:val="single" w:sz="4" w:space="0" w:color="auto"/>
            </w:tcBorders>
            <w:vAlign w:val="center"/>
          </w:tcPr>
          <w:p w14:paraId="43756E2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67" w:type="dxa"/>
            <w:tcBorders>
              <w:top w:val="single" w:sz="4" w:space="0" w:color="auto"/>
              <w:left w:val="single" w:sz="4" w:space="0" w:color="auto"/>
              <w:bottom w:val="single" w:sz="4" w:space="0" w:color="auto"/>
              <w:right w:val="single" w:sz="12" w:space="0" w:color="auto"/>
            </w:tcBorders>
            <w:vAlign w:val="center"/>
          </w:tcPr>
          <w:p w14:paraId="0B0F10A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45" w:type="dxa"/>
            <w:tcBorders>
              <w:top w:val="nil"/>
              <w:left w:val="single" w:sz="12" w:space="0" w:color="auto"/>
              <w:bottom w:val="single" w:sz="4" w:space="0" w:color="auto"/>
              <w:right w:val="single" w:sz="4" w:space="0" w:color="auto"/>
            </w:tcBorders>
            <w:noWrap/>
            <w:vAlign w:val="center"/>
            <w:hideMark/>
          </w:tcPr>
          <w:p w14:paraId="5BFEABA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 </w:t>
            </w:r>
          </w:p>
        </w:tc>
        <w:tc>
          <w:tcPr>
            <w:tcW w:w="709" w:type="dxa"/>
            <w:tcBorders>
              <w:top w:val="nil"/>
              <w:left w:val="nil"/>
              <w:bottom w:val="single" w:sz="4" w:space="0" w:color="auto"/>
              <w:right w:val="single" w:sz="4" w:space="0" w:color="auto"/>
            </w:tcBorders>
            <w:noWrap/>
            <w:vAlign w:val="center"/>
            <w:hideMark/>
          </w:tcPr>
          <w:p w14:paraId="540B654E"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 </w:t>
            </w:r>
          </w:p>
        </w:tc>
        <w:tc>
          <w:tcPr>
            <w:tcW w:w="708" w:type="dxa"/>
            <w:tcBorders>
              <w:top w:val="nil"/>
              <w:left w:val="nil"/>
              <w:bottom w:val="single" w:sz="4" w:space="0" w:color="auto"/>
              <w:right w:val="single" w:sz="4" w:space="0" w:color="auto"/>
            </w:tcBorders>
            <w:noWrap/>
            <w:vAlign w:val="center"/>
            <w:hideMark/>
          </w:tcPr>
          <w:p w14:paraId="543A3A0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 </w:t>
            </w:r>
          </w:p>
        </w:tc>
      </w:tr>
      <w:tr w:rsidR="002726F4" w:rsidRPr="00C35370" w14:paraId="3D42AB53" w14:textId="77777777" w:rsidTr="006F6F4E">
        <w:trPr>
          <w:trHeight w:val="227"/>
          <w:jc w:val="center"/>
        </w:trPr>
        <w:tc>
          <w:tcPr>
            <w:tcW w:w="2265" w:type="dxa"/>
            <w:vMerge w:val="restart"/>
            <w:tcBorders>
              <w:top w:val="nil"/>
              <w:left w:val="single" w:sz="4" w:space="0" w:color="auto"/>
              <w:bottom w:val="single" w:sz="4" w:space="0" w:color="auto"/>
              <w:right w:val="single" w:sz="4" w:space="0" w:color="auto"/>
            </w:tcBorders>
            <w:vAlign w:val="center"/>
            <w:hideMark/>
          </w:tcPr>
          <w:p w14:paraId="06B007DA"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AHC income (equivalised)</w:t>
            </w:r>
          </w:p>
        </w:tc>
        <w:tc>
          <w:tcPr>
            <w:tcW w:w="688" w:type="dxa"/>
            <w:tcBorders>
              <w:top w:val="nil"/>
              <w:left w:val="nil"/>
              <w:bottom w:val="single" w:sz="4" w:space="0" w:color="auto"/>
              <w:right w:val="single" w:sz="12" w:space="0" w:color="auto"/>
            </w:tcBorders>
            <w:vAlign w:val="center"/>
            <w:hideMark/>
          </w:tcPr>
          <w:p w14:paraId="2A29D87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Median</w:t>
            </w:r>
          </w:p>
        </w:tc>
        <w:tc>
          <w:tcPr>
            <w:tcW w:w="687" w:type="dxa"/>
            <w:tcBorders>
              <w:top w:val="nil"/>
              <w:left w:val="single" w:sz="12" w:space="0" w:color="auto"/>
              <w:bottom w:val="single" w:sz="4" w:space="0" w:color="auto"/>
              <w:right w:val="single" w:sz="4" w:space="0" w:color="auto"/>
            </w:tcBorders>
            <w:noWrap/>
            <w:vAlign w:val="center"/>
            <w:hideMark/>
          </w:tcPr>
          <w:p w14:paraId="22611AE7"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34,400</w:t>
            </w:r>
          </w:p>
        </w:tc>
        <w:tc>
          <w:tcPr>
            <w:tcW w:w="688" w:type="dxa"/>
            <w:tcBorders>
              <w:top w:val="nil"/>
              <w:left w:val="nil"/>
              <w:bottom w:val="single" w:sz="4" w:space="0" w:color="auto"/>
              <w:right w:val="single" w:sz="4" w:space="0" w:color="auto"/>
            </w:tcBorders>
            <w:noWrap/>
            <w:vAlign w:val="center"/>
            <w:hideMark/>
          </w:tcPr>
          <w:p w14:paraId="0251DE1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38,000</w:t>
            </w:r>
          </w:p>
        </w:tc>
        <w:tc>
          <w:tcPr>
            <w:tcW w:w="688" w:type="dxa"/>
            <w:tcBorders>
              <w:top w:val="nil"/>
              <w:left w:val="nil"/>
              <w:bottom w:val="single" w:sz="4" w:space="0" w:color="auto"/>
              <w:right w:val="single" w:sz="12" w:space="0" w:color="auto"/>
            </w:tcBorders>
            <w:noWrap/>
            <w:vAlign w:val="center"/>
            <w:hideMark/>
          </w:tcPr>
          <w:p w14:paraId="19C11D5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18,800</w:t>
            </w:r>
          </w:p>
        </w:tc>
        <w:tc>
          <w:tcPr>
            <w:tcW w:w="645" w:type="dxa"/>
            <w:tcBorders>
              <w:top w:val="single" w:sz="4" w:space="0" w:color="auto"/>
              <w:left w:val="single" w:sz="12" w:space="0" w:color="auto"/>
              <w:bottom w:val="single" w:sz="4" w:space="0" w:color="auto"/>
              <w:right w:val="single" w:sz="4" w:space="0" w:color="auto"/>
            </w:tcBorders>
            <w:vAlign w:val="center"/>
          </w:tcPr>
          <w:p w14:paraId="208EC94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17,300</w:t>
            </w:r>
          </w:p>
        </w:tc>
        <w:tc>
          <w:tcPr>
            <w:tcW w:w="677" w:type="dxa"/>
            <w:tcBorders>
              <w:top w:val="single" w:sz="4" w:space="0" w:color="auto"/>
              <w:left w:val="single" w:sz="4" w:space="0" w:color="auto"/>
              <w:bottom w:val="single" w:sz="4" w:space="0" w:color="auto"/>
              <w:right w:val="single" w:sz="4" w:space="0" w:color="auto"/>
            </w:tcBorders>
            <w:vAlign w:val="center"/>
          </w:tcPr>
          <w:p w14:paraId="20CB93C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18,000</w:t>
            </w:r>
          </w:p>
        </w:tc>
        <w:tc>
          <w:tcPr>
            <w:tcW w:w="667" w:type="dxa"/>
            <w:tcBorders>
              <w:top w:val="single" w:sz="4" w:space="0" w:color="auto"/>
              <w:left w:val="single" w:sz="4" w:space="0" w:color="auto"/>
              <w:bottom w:val="single" w:sz="4" w:space="0" w:color="auto"/>
              <w:right w:val="single" w:sz="12" w:space="0" w:color="auto"/>
            </w:tcBorders>
            <w:vAlign w:val="center"/>
          </w:tcPr>
          <w:p w14:paraId="3CF06ED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16,500</w:t>
            </w:r>
          </w:p>
        </w:tc>
        <w:tc>
          <w:tcPr>
            <w:tcW w:w="645" w:type="dxa"/>
            <w:tcBorders>
              <w:top w:val="nil"/>
              <w:left w:val="single" w:sz="12" w:space="0" w:color="auto"/>
              <w:bottom w:val="single" w:sz="4" w:space="0" w:color="auto"/>
              <w:right w:val="single" w:sz="4" w:space="0" w:color="auto"/>
            </w:tcBorders>
            <w:noWrap/>
            <w:vAlign w:val="center"/>
            <w:hideMark/>
          </w:tcPr>
          <w:p w14:paraId="6ED80CA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16,500</w:t>
            </w:r>
          </w:p>
        </w:tc>
        <w:tc>
          <w:tcPr>
            <w:tcW w:w="709" w:type="dxa"/>
            <w:tcBorders>
              <w:top w:val="nil"/>
              <w:left w:val="nil"/>
              <w:bottom w:val="single" w:sz="4" w:space="0" w:color="auto"/>
              <w:right w:val="single" w:sz="4" w:space="0" w:color="auto"/>
            </w:tcBorders>
            <w:noWrap/>
            <w:vAlign w:val="center"/>
            <w:hideMark/>
          </w:tcPr>
          <w:p w14:paraId="7169925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18,800</w:t>
            </w:r>
          </w:p>
        </w:tc>
        <w:tc>
          <w:tcPr>
            <w:tcW w:w="708" w:type="dxa"/>
            <w:tcBorders>
              <w:top w:val="nil"/>
              <w:left w:val="nil"/>
              <w:bottom w:val="single" w:sz="4" w:space="0" w:color="auto"/>
              <w:right w:val="single" w:sz="4" w:space="0" w:color="auto"/>
            </w:tcBorders>
            <w:noWrap/>
            <w:vAlign w:val="center"/>
            <w:hideMark/>
          </w:tcPr>
          <w:p w14:paraId="7A201E9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16,200</w:t>
            </w:r>
          </w:p>
        </w:tc>
      </w:tr>
      <w:tr w:rsidR="002726F4" w:rsidRPr="00C35370" w14:paraId="3A7E37A6" w14:textId="77777777" w:rsidTr="006F6F4E">
        <w:trPr>
          <w:trHeight w:val="227"/>
          <w:jc w:val="center"/>
        </w:trPr>
        <w:tc>
          <w:tcPr>
            <w:tcW w:w="2265" w:type="dxa"/>
            <w:vMerge/>
            <w:tcBorders>
              <w:top w:val="nil"/>
              <w:left w:val="single" w:sz="4" w:space="0" w:color="auto"/>
              <w:bottom w:val="single" w:sz="4" w:space="0" w:color="auto"/>
              <w:right w:val="single" w:sz="4" w:space="0" w:color="auto"/>
            </w:tcBorders>
            <w:vAlign w:val="center"/>
            <w:hideMark/>
          </w:tcPr>
          <w:p w14:paraId="41B35D9A"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p>
        </w:tc>
        <w:tc>
          <w:tcPr>
            <w:tcW w:w="688" w:type="dxa"/>
            <w:tcBorders>
              <w:top w:val="nil"/>
              <w:left w:val="nil"/>
              <w:bottom w:val="single" w:sz="4" w:space="0" w:color="auto"/>
              <w:right w:val="single" w:sz="12" w:space="0" w:color="auto"/>
            </w:tcBorders>
            <w:vAlign w:val="center"/>
            <w:hideMark/>
          </w:tcPr>
          <w:p w14:paraId="191ABD9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Mean</w:t>
            </w:r>
          </w:p>
        </w:tc>
        <w:tc>
          <w:tcPr>
            <w:tcW w:w="687" w:type="dxa"/>
            <w:tcBorders>
              <w:top w:val="nil"/>
              <w:left w:val="single" w:sz="12" w:space="0" w:color="auto"/>
              <w:bottom w:val="single" w:sz="4" w:space="0" w:color="auto"/>
              <w:right w:val="single" w:sz="4" w:space="0" w:color="auto"/>
            </w:tcBorders>
            <w:noWrap/>
            <w:vAlign w:val="center"/>
            <w:hideMark/>
          </w:tcPr>
          <w:p w14:paraId="31E8A2E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41,400</w:t>
            </w:r>
          </w:p>
        </w:tc>
        <w:tc>
          <w:tcPr>
            <w:tcW w:w="688" w:type="dxa"/>
            <w:tcBorders>
              <w:top w:val="nil"/>
              <w:left w:val="nil"/>
              <w:bottom w:val="single" w:sz="4" w:space="0" w:color="auto"/>
              <w:right w:val="single" w:sz="4" w:space="0" w:color="auto"/>
            </w:tcBorders>
            <w:noWrap/>
            <w:vAlign w:val="center"/>
            <w:hideMark/>
          </w:tcPr>
          <w:p w14:paraId="44BF19BE"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45,200</w:t>
            </w:r>
          </w:p>
        </w:tc>
        <w:tc>
          <w:tcPr>
            <w:tcW w:w="688" w:type="dxa"/>
            <w:tcBorders>
              <w:top w:val="nil"/>
              <w:left w:val="nil"/>
              <w:bottom w:val="single" w:sz="4" w:space="0" w:color="auto"/>
              <w:right w:val="single" w:sz="12" w:space="0" w:color="auto"/>
            </w:tcBorders>
            <w:noWrap/>
            <w:vAlign w:val="center"/>
            <w:hideMark/>
          </w:tcPr>
          <w:p w14:paraId="724B57FA"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19,400</w:t>
            </w:r>
          </w:p>
        </w:tc>
        <w:tc>
          <w:tcPr>
            <w:tcW w:w="645" w:type="dxa"/>
            <w:tcBorders>
              <w:top w:val="single" w:sz="4" w:space="0" w:color="auto"/>
              <w:left w:val="single" w:sz="12" w:space="0" w:color="auto"/>
              <w:bottom w:val="single" w:sz="4" w:space="0" w:color="auto"/>
              <w:right w:val="single" w:sz="4" w:space="0" w:color="auto"/>
            </w:tcBorders>
            <w:vAlign w:val="center"/>
          </w:tcPr>
          <w:p w14:paraId="4F7AF66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15,400</w:t>
            </w:r>
          </w:p>
        </w:tc>
        <w:tc>
          <w:tcPr>
            <w:tcW w:w="677" w:type="dxa"/>
            <w:tcBorders>
              <w:top w:val="single" w:sz="4" w:space="0" w:color="auto"/>
              <w:left w:val="single" w:sz="4" w:space="0" w:color="auto"/>
              <w:bottom w:val="single" w:sz="4" w:space="0" w:color="auto"/>
              <w:right w:val="single" w:sz="4" w:space="0" w:color="auto"/>
            </w:tcBorders>
            <w:vAlign w:val="center"/>
          </w:tcPr>
          <w:p w14:paraId="3B4A91B9"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15,400</w:t>
            </w:r>
          </w:p>
        </w:tc>
        <w:tc>
          <w:tcPr>
            <w:tcW w:w="667" w:type="dxa"/>
            <w:tcBorders>
              <w:top w:val="single" w:sz="4" w:space="0" w:color="auto"/>
              <w:left w:val="single" w:sz="4" w:space="0" w:color="auto"/>
              <w:bottom w:val="single" w:sz="4" w:space="0" w:color="auto"/>
              <w:right w:val="single" w:sz="12" w:space="0" w:color="auto"/>
            </w:tcBorders>
            <w:vAlign w:val="center"/>
          </w:tcPr>
          <w:p w14:paraId="36C53FA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15,600</w:t>
            </w:r>
          </w:p>
        </w:tc>
        <w:tc>
          <w:tcPr>
            <w:tcW w:w="645" w:type="dxa"/>
            <w:tcBorders>
              <w:top w:val="nil"/>
              <w:left w:val="single" w:sz="12" w:space="0" w:color="auto"/>
              <w:bottom w:val="single" w:sz="4" w:space="0" w:color="auto"/>
              <w:right w:val="single" w:sz="4" w:space="0" w:color="auto"/>
            </w:tcBorders>
            <w:noWrap/>
            <w:vAlign w:val="center"/>
            <w:hideMark/>
          </w:tcPr>
          <w:p w14:paraId="48287EA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15,600</w:t>
            </w:r>
          </w:p>
        </w:tc>
        <w:tc>
          <w:tcPr>
            <w:tcW w:w="709" w:type="dxa"/>
            <w:tcBorders>
              <w:top w:val="nil"/>
              <w:left w:val="nil"/>
              <w:bottom w:val="single" w:sz="4" w:space="0" w:color="auto"/>
              <w:right w:val="single" w:sz="4" w:space="0" w:color="auto"/>
            </w:tcBorders>
            <w:noWrap/>
            <w:vAlign w:val="center"/>
            <w:hideMark/>
          </w:tcPr>
          <w:p w14:paraId="5490A0D7"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15,600</w:t>
            </w:r>
          </w:p>
        </w:tc>
        <w:tc>
          <w:tcPr>
            <w:tcW w:w="708" w:type="dxa"/>
            <w:tcBorders>
              <w:top w:val="nil"/>
              <w:left w:val="nil"/>
              <w:bottom w:val="single" w:sz="4" w:space="0" w:color="auto"/>
              <w:right w:val="single" w:sz="4" w:space="0" w:color="auto"/>
            </w:tcBorders>
            <w:noWrap/>
            <w:vAlign w:val="center"/>
            <w:hideMark/>
          </w:tcPr>
          <w:p w14:paraId="4B774AD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15,500</w:t>
            </w:r>
          </w:p>
        </w:tc>
      </w:tr>
      <w:tr w:rsidR="002726F4" w:rsidRPr="00C35370" w14:paraId="3F07AB5E" w14:textId="77777777" w:rsidTr="006F6F4E">
        <w:trPr>
          <w:trHeight w:val="227"/>
          <w:jc w:val="center"/>
        </w:trPr>
        <w:tc>
          <w:tcPr>
            <w:tcW w:w="2265" w:type="dxa"/>
            <w:vMerge w:val="restart"/>
            <w:tcBorders>
              <w:top w:val="nil"/>
              <w:left w:val="single" w:sz="4" w:space="0" w:color="auto"/>
              <w:bottom w:val="single" w:sz="4" w:space="0" w:color="auto"/>
              <w:right w:val="single" w:sz="4" w:space="0" w:color="auto"/>
            </w:tcBorders>
            <w:vAlign w:val="center"/>
            <w:hideMark/>
          </w:tcPr>
          <w:p w14:paraId="1729C196"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BHC income (equivalised)</w:t>
            </w:r>
          </w:p>
        </w:tc>
        <w:tc>
          <w:tcPr>
            <w:tcW w:w="688" w:type="dxa"/>
            <w:tcBorders>
              <w:top w:val="nil"/>
              <w:left w:val="nil"/>
              <w:bottom w:val="single" w:sz="4" w:space="0" w:color="auto"/>
              <w:right w:val="single" w:sz="12" w:space="0" w:color="auto"/>
            </w:tcBorders>
            <w:vAlign w:val="center"/>
            <w:hideMark/>
          </w:tcPr>
          <w:p w14:paraId="37F448A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Median</w:t>
            </w:r>
          </w:p>
        </w:tc>
        <w:tc>
          <w:tcPr>
            <w:tcW w:w="687" w:type="dxa"/>
            <w:tcBorders>
              <w:top w:val="nil"/>
              <w:left w:val="single" w:sz="12" w:space="0" w:color="auto"/>
              <w:bottom w:val="single" w:sz="4" w:space="0" w:color="auto"/>
              <w:right w:val="single" w:sz="4" w:space="0" w:color="auto"/>
            </w:tcBorders>
            <w:noWrap/>
            <w:vAlign w:val="center"/>
            <w:hideMark/>
          </w:tcPr>
          <w:p w14:paraId="3193C1C7"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47,200</w:t>
            </w:r>
          </w:p>
        </w:tc>
        <w:tc>
          <w:tcPr>
            <w:tcW w:w="688" w:type="dxa"/>
            <w:tcBorders>
              <w:top w:val="nil"/>
              <w:left w:val="nil"/>
              <w:bottom w:val="single" w:sz="4" w:space="0" w:color="auto"/>
              <w:right w:val="single" w:sz="4" w:space="0" w:color="auto"/>
            </w:tcBorders>
            <w:noWrap/>
            <w:vAlign w:val="center"/>
            <w:hideMark/>
          </w:tcPr>
          <w:p w14:paraId="0C7DAEF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51,800</w:t>
            </w:r>
          </w:p>
        </w:tc>
        <w:tc>
          <w:tcPr>
            <w:tcW w:w="688" w:type="dxa"/>
            <w:tcBorders>
              <w:top w:val="nil"/>
              <w:left w:val="nil"/>
              <w:bottom w:val="single" w:sz="4" w:space="0" w:color="auto"/>
              <w:right w:val="single" w:sz="12" w:space="0" w:color="auto"/>
            </w:tcBorders>
            <w:noWrap/>
            <w:vAlign w:val="center"/>
            <w:hideMark/>
          </w:tcPr>
          <w:p w14:paraId="4CAEBC2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29,400</w:t>
            </w:r>
          </w:p>
        </w:tc>
        <w:tc>
          <w:tcPr>
            <w:tcW w:w="645" w:type="dxa"/>
            <w:tcBorders>
              <w:top w:val="single" w:sz="4" w:space="0" w:color="auto"/>
              <w:left w:val="single" w:sz="12" w:space="0" w:color="auto"/>
              <w:bottom w:val="single" w:sz="4" w:space="0" w:color="auto"/>
              <w:right w:val="single" w:sz="4" w:space="0" w:color="auto"/>
            </w:tcBorders>
            <w:vAlign w:val="center"/>
          </w:tcPr>
          <w:p w14:paraId="667536BA"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29,400</w:t>
            </w:r>
          </w:p>
        </w:tc>
        <w:tc>
          <w:tcPr>
            <w:tcW w:w="677" w:type="dxa"/>
            <w:tcBorders>
              <w:top w:val="single" w:sz="4" w:space="0" w:color="auto"/>
              <w:left w:val="single" w:sz="4" w:space="0" w:color="auto"/>
              <w:bottom w:val="single" w:sz="4" w:space="0" w:color="auto"/>
              <w:right w:val="single" w:sz="4" w:space="0" w:color="auto"/>
            </w:tcBorders>
            <w:vAlign w:val="center"/>
          </w:tcPr>
          <w:p w14:paraId="39C1628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30,700</w:t>
            </w:r>
          </w:p>
        </w:tc>
        <w:tc>
          <w:tcPr>
            <w:tcW w:w="667" w:type="dxa"/>
            <w:tcBorders>
              <w:top w:val="single" w:sz="4" w:space="0" w:color="auto"/>
              <w:left w:val="single" w:sz="4" w:space="0" w:color="auto"/>
              <w:bottom w:val="single" w:sz="4" w:space="0" w:color="auto"/>
              <w:right w:val="single" w:sz="12" w:space="0" w:color="auto"/>
            </w:tcBorders>
            <w:vAlign w:val="center"/>
          </w:tcPr>
          <w:p w14:paraId="4AEC95A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26,600</w:t>
            </w:r>
          </w:p>
        </w:tc>
        <w:tc>
          <w:tcPr>
            <w:tcW w:w="645" w:type="dxa"/>
            <w:tcBorders>
              <w:top w:val="nil"/>
              <w:left w:val="single" w:sz="12" w:space="0" w:color="auto"/>
              <w:bottom w:val="single" w:sz="4" w:space="0" w:color="auto"/>
              <w:right w:val="single" w:sz="4" w:space="0" w:color="auto"/>
            </w:tcBorders>
            <w:noWrap/>
            <w:vAlign w:val="center"/>
            <w:hideMark/>
          </w:tcPr>
          <w:p w14:paraId="7136EB2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29,600</w:t>
            </w:r>
          </w:p>
        </w:tc>
        <w:tc>
          <w:tcPr>
            <w:tcW w:w="709" w:type="dxa"/>
            <w:tcBorders>
              <w:top w:val="nil"/>
              <w:left w:val="nil"/>
              <w:bottom w:val="single" w:sz="4" w:space="0" w:color="auto"/>
              <w:right w:val="single" w:sz="4" w:space="0" w:color="auto"/>
            </w:tcBorders>
            <w:noWrap/>
            <w:vAlign w:val="center"/>
            <w:hideMark/>
          </w:tcPr>
          <w:p w14:paraId="62E756A9"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31,000</w:t>
            </w:r>
          </w:p>
        </w:tc>
        <w:tc>
          <w:tcPr>
            <w:tcW w:w="708" w:type="dxa"/>
            <w:tcBorders>
              <w:top w:val="nil"/>
              <w:left w:val="nil"/>
              <w:bottom w:val="single" w:sz="4" w:space="0" w:color="auto"/>
              <w:right w:val="single" w:sz="4" w:space="0" w:color="auto"/>
            </w:tcBorders>
            <w:noWrap/>
            <w:vAlign w:val="center"/>
            <w:hideMark/>
          </w:tcPr>
          <w:p w14:paraId="5FF46D08"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26,100</w:t>
            </w:r>
          </w:p>
        </w:tc>
      </w:tr>
      <w:tr w:rsidR="002726F4" w:rsidRPr="00C35370" w14:paraId="3C50871A" w14:textId="77777777" w:rsidTr="006F6F4E">
        <w:trPr>
          <w:trHeight w:val="227"/>
          <w:jc w:val="center"/>
        </w:trPr>
        <w:tc>
          <w:tcPr>
            <w:tcW w:w="2265" w:type="dxa"/>
            <w:vMerge/>
            <w:tcBorders>
              <w:top w:val="nil"/>
              <w:left w:val="single" w:sz="4" w:space="0" w:color="auto"/>
              <w:bottom w:val="single" w:sz="4" w:space="0" w:color="auto"/>
              <w:right w:val="single" w:sz="4" w:space="0" w:color="auto"/>
            </w:tcBorders>
            <w:vAlign w:val="center"/>
            <w:hideMark/>
          </w:tcPr>
          <w:p w14:paraId="2445F85C"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p>
        </w:tc>
        <w:tc>
          <w:tcPr>
            <w:tcW w:w="688" w:type="dxa"/>
            <w:tcBorders>
              <w:top w:val="nil"/>
              <w:left w:val="nil"/>
              <w:bottom w:val="single" w:sz="4" w:space="0" w:color="auto"/>
              <w:right w:val="single" w:sz="12" w:space="0" w:color="auto"/>
            </w:tcBorders>
            <w:vAlign w:val="center"/>
            <w:hideMark/>
          </w:tcPr>
          <w:p w14:paraId="2B55B8A4"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Mean</w:t>
            </w:r>
          </w:p>
        </w:tc>
        <w:tc>
          <w:tcPr>
            <w:tcW w:w="687" w:type="dxa"/>
            <w:tcBorders>
              <w:top w:val="nil"/>
              <w:left w:val="single" w:sz="12" w:space="0" w:color="auto"/>
              <w:bottom w:val="single" w:sz="4" w:space="0" w:color="auto"/>
              <w:right w:val="single" w:sz="4" w:space="0" w:color="auto"/>
            </w:tcBorders>
            <w:noWrap/>
            <w:vAlign w:val="center"/>
            <w:hideMark/>
          </w:tcPr>
          <w:p w14:paraId="12992F8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55,100</w:t>
            </w:r>
          </w:p>
        </w:tc>
        <w:tc>
          <w:tcPr>
            <w:tcW w:w="688" w:type="dxa"/>
            <w:tcBorders>
              <w:top w:val="nil"/>
              <w:left w:val="nil"/>
              <w:bottom w:val="single" w:sz="4" w:space="0" w:color="auto"/>
              <w:right w:val="single" w:sz="4" w:space="0" w:color="auto"/>
            </w:tcBorders>
            <w:noWrap/>
            <w:vAlign w:val="center"/>
            <w:hideMark/>
          </w:tcPr>
          <w:p w14:paraId="19C1914F"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59,500</w:t>
            </w:r>
          </w:p>
        </w:tc>
        <w:tc>
          <w:tcPr>
            <w:tcW w:w="688" w:type="dxa"/>
            <w:tcBorders>
              <w:top w:val="nil"/>
              <w:left w:val="nil"/>
              <w:bottom w:val="single" w:sz="4" w:space="0" w:color="auto"/>
              <w:right w:val="single" w:sz="12" w:space="0" w:color="auto"/>
            </w:tcBorders>
            <w:noWrap/>
            <w:vAlign w:val="center"/>
            <w:hideMark/>
          </w:tcPr>
          <w:p w14:paraId="31F044D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28,900</w:t>
            </w:r>
          </w:p>
        </w:tc>
        <w:tc>
          <w:tcPr>
            <w:tcW w:w="645" w:type="dxa"/>
            <w:tcBorders>
              <w:top w:val="single" w:sz="4" w:space="0" w:color="auto"/>
              <w:left w:val="single" w:sz="12" w:space="0" w:color="auto"/>
              <w:bottom w:val="single" w:sz="4" w:space="0" w:color="auto"/>
              <w:right w:val="single" w:sz="4" w:space="0" w:color="auto"/>
            </w:tcBorders>
            <w:vAlign w:val="center"/>
          </w:tcPr>
          <w:p w14:paraId="698CB37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29,400</w:t>
            </w:r>
          </w:p>
        </w:tc>
        <w:tc>
          <w:tcPr>
            <w:tcW w:w="677" w:type="dxa"/>
            <w:tcBorders>
              <w:top w:val="single" w:sz="4" w:space="0" w:color="auto"/>
              <w:left w:val="single" w:sz="4" w:space="0" w:color="auto"/>
              <w:bottom w:val="single" w:sz="4" w:space="0" w:color="auto"/>
              <w:right w:val="single" w:sz="4" w:space="0" w:color="auto"/>
            </w:tcBorders>
            <w:vAlign w:val="center"/>
          </w:tcPr>
          <w:p w14:paraId="55CE604E"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31,300</w:t>
            </w:r>
          </w:p>
        </w:tc>
        <w:tc>
          <w:tcPr>
            <w:tcW w:w="667" w:type="dxa"/>
            <w:tcBorders>
              <w:top w:val="single" w:sz="4" w:space="0" w:color="auto"/>
              <w:left w:val="single" w:sz="4" w:space="0" w:color="auto"/>
              <w:bottom w:val="single" w:sz="4" w:space="0" w:color="auto"/>
              <w:right w:val="single" w:sz="12" w:space="0" w:color="auto"/>
            </w:tcBorders>
            <w:vAlign w:val="center"/>
          </w:tcPr>
          <w:p w14:paraId="69517C6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26,500</w:t>
            </w:r>
          </w:p>
        </w:tc>
        <w:tc>
          <w:tcPr>
            <w:tcW w:w="645" w:type="dxa"/>
            <w:tcBorders>
              <w:top w:val="nil"/>
              <w:left w:val="single" w:sz="12" w:space="0" w:color="auto"/>
              <w:bottom w:val="single" w:sz="4" w:space="0" w:color="auto"/>
              <w:right w:val="single" w:sz="4" w:space="0" w:color="auto"/>
            </w:tcBorders>
            <w:noWrap/>
            <w:vAlign w:val="center"/>
            <w:hideMark/>
          </w:tcPr>
          <w:p w14:paraId="761D9297"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28,500</w:t>
            </w:r>
          </w:p>
        </w:tc>
        <w:tc>
          <w:tcPr>
            <w:tcW w:w="709" w:type="dxa"/>
            <w:tcBorders>
              <w:top w:val="nil"/>
              <w:left w:val="nil"/>
              <w:bottom w:val="single" w:sz="4" w:space="0" w:color="auto"/>
              <w:right w:val="single" w:sz="4" w:space="0" w:color="auto"/>
            </w:tcBorders>
            <w:noWrap/>
            <w:vAlign w:val="center"/>
            <w:hideMark/>
          </w:tcPr>
          <w:p w14:paraId="678DA6A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30,700</w:t>
            </w:r>
          </w:p>
        </w:tc>
        <w:tc>
          <w:tcPr>
            <w:tcW w:w="708" w:type="dxa"/>
            <w:tcBorders>
              <w:top w:val="nil"/>
              <w:left w:val="nil"/>
              <w:bottom w:val="single" w:sz="4" w:space="0" w:color="auto"/>
              <w:right w:val="single" w:sz="4" w:space="0" w:color="auto"/>
            </w:tcBorders>
            <w:noWrap/>
            <w:vAlign w:val="center"/>
            <w:hideMark/>
          </w:tcPr>
          <w:p w14:paraId="403E97C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26,700</w:t>
            </w:r>
          </w:p>
        </w:tc>
      </w:tr>
      <w:tr w:rsidR="002726F4" w:rsidRPr="00C35370" w14:paraId="4AE8E23E" w14:textId="77777777" w:rsidTr="006F6F4E">
        <w:trPr>
          <w:trHeight w:val="227"/>
          <w:jc w:val="center"/>
        </w:trPr>
        <w:tc>
          <w:tcPr>
            <w:tcW w:w="2265" w:type="dxa"/>
            <w:vMerge w:val="restart"/>
            <w:tcBorders>
              <w:top w:val="nil"/>
              <w:left w:val="single" w:sz="4" w:space="0" w:color="auto"/>
              <w:bottom w:val="single" w:sz="4" w:space="0" w:color="auto"/>
              <w:right w:val="single" w:sz="4" w:space="0" w:color="auto"/>
            </w:tcBorders>
            <w:vAlign w:val="center"/>
            <w:hideMark/>
          </w:tcPr>
          <w:p w14:paraId="785BCEED"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Housing costs (unequivalised)</w:t>
            </w:r>
          </w:p>
        </w:tc>
        <w:tc>
          <w:tcPr>
            <w:tcW w:w="688" w:type="dxa"/>
            <w:tcBorders>
              <w:top w:val="nil"/>
              <w:left w:val="nil"/>
              <w:bottom w:val="single" w:sz="4" w:space="0" w:color="auto"/>
              <w:right w:val="single" w:sz="12" w:space="0" w:color="auto"/>
            </w:tcBorders>
            <w:vAlign w:val="center"/>
            <w:hideMark/>
          </w:tcPr>
          <w:p w14:paraId="751E5C2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Median</w:t>
            </w:r>
          </w:p>
        </w:tc>
        <w:tc>
          <w:tcPr>
            <w:tcW w:w="687" w:type="dxa"/>
            <w:tcBorders>
              <w:top w:val="nil"/>
              <w:left w:val="single" w:sz="12" w:space="0" w:color="auto"/>
              <w:bottom w:val="single" w:sz="4" w:space="0" w:color="auto"/>
              <w:right w:val="single" w:sz="4" w:space="0" w:color="auto"/>
            </w:tcBorders>
            <w:noWrap/>
            <w:vAlign w:val="center"/>
            <w:hideMark/>
          </w:tcPr>
          <w:p w14:paraId="28C2EA6A"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28,700</w:t>
            </w:r>
          </w:p>
        </w:tc>
        <w:tc>
          <w:tcPr>
            <w:tcW w:w="688" w:type="dxa"/>
            <w:tcBorders>
              <w:top w:val="nil"/>
              <w:left w:val="nil"/>
              <w:bottom w:val="single" w:sz="4" w:space="0" w:color="auto"/>
              <w:right w:val="single" w:sz="4" w:space="0" w:color="auto"/>
            </w:tcBorders>
            <w:noWrap/>
            <w:vAlign w:val="center"/>
            <w:hideMark/>
          </w:tcPr>
          <w:p w14:paraId="58A7A3A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30,400</w:t>
            </w:r>
          </w:p>
        </w:tc>
        <w:tc>
          <w:tcPr>
            <w:tcW w:w="688" w:type="dxa"/>
            <w:tcBorders>
              <w:top w:val="nil"/>
              <w:left w:val="nil"/>
              <w:bottom w:val="single" w:sz="4" w:space="0" w:color="auto"/>
              <w:right w:val="single" w:sz="12" w:space="0" w:color="auto"/>
            </w:tcBorders>
            <w:noWrap/>
            <w:vAlign w:val="center"/>
            <w:hideMark/>
          </w:tcPr>
          <w:p w14:paraId="323EDC0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20,100</w:t>
            </w:r>
          </w:p>
        </w:tc>
        <w:tc>
          <w:tcPr>
            <w:tcW w:w="645" w:type="dxa"/>
            <w:tcBorders>
              <w:top w:val="single" w:sz="4" w:space="0" w:color="auto"/>
              <w:left w:val="single" w:sz="12" w:space="0" w:color="auto"/>
              <w:bottom w:val="single" w:sz="4" w:space="0" w:color="auto"/>
              <w:right w:val="single" w:sz="4" w:space="0" w:color="auto"/>
            </w:tcBorders>
            <w:vAlign w:val="center"/>
          </w:tcPr>
          <w:p w14:paraId="308C74AE"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28,700</w:t>
            </w:r>
          </w:p>
        </w:tc>
        <w:tc>
          <w:tcPr>
            <w:tcW w:w="677" w:type="dxa"/>
            <w:tcBorders>
              <w:top w:val="single" w:sz="4" w:space="0" w:color="auto"/>
              <w:left w:val="single" w:sz="4" w:space="0" w:color="auto"/>
              <w:bottom w:val="single" w:sz="4" w:space="0" w:color="auto"/>
              <w:right w:val="single" w:sz="4" w:space="0" w:color="auto"/>
            </w:tcBorders>
            <w:vAlign w:val="center"/>
          </w:tcPr>
          <w:p w14:paraId="1764F32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32,500</w:t>
            </w:r>
          </w:p>
        </w:tc>
        <w:tc>
          <w:tcPr>
            <w:tcW w:w="667" w:type="dxa"/>
            <w:tcBorders>
              <w:top w:val="single" w:sz="4" w:space="0" w:color="auto"/>
              <w:left w:val="single" w:sz="4" w:space="0" w:color="auto"/>
              <w:bottom w:val="single" w:sz="4" w:space="0" w:color="auto"/>
              <w:right w:val="single" w:sz="12" w:space="0" w:color="auto"/>
            </w:tcBorders>
            <w:vAlign w:val="center"/>
          </w:tcPr>
          <w:p w14:paraId="16D1050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22,400</w:t>
            </w:r>
          </w:p>
        </w:tc>
        <w:tc>
          <w:tcPr>
            <w:tcW w:w="645" w:type="dxa"/>
            <w:tcBorders>
              <w:top w:val="nil"/>
              <w:left w:val="single" w:sz="12" w:space="0" w:color="auto"/>
              <w:bottom w:val="single" w:sz="4" w:space="0" w:color="auto"/>
              <w:right w:val="single" w:sz="4" w:space="0" w:color="auto"/>
            </w:tcBorders>
            <w:noWrap/>
            <w:vAlign w:val="center"/>
            <w:hideMark/>
          </w:tcPr>
          <w:p w14:paraId="6BB97EB4"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28,700</w:t>
            </w:r>
          </w:p>
        </w:tc>
        <w:tc>
          <w:tcPr>
            <w:tcW w:w="709" w:type="dxa"/>
            <w:tcBorders>
              <w:top w:val="nil"/>
              <w:left w:val="nil"/>
              <w:bottom w:val="single" w:sz="4" w:space="0" w:color="auto"/>
              <w:right w:val="single" w:sz="4" w:space="0" w:color="auto"/>
            </w:tcBorders>
            <w:noWrap/>
            <w:vAlign w:val="center"/>
            <w:hideMark/>
          </w:tcPr>
          <w:p w14:paraId="463EB7F3"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32,100</w:t>
            </w:r>
          </w:p>
        </w:tc>
        <w:tc>
          <w:tcPr>
            <w:tcW w:w="708" w:type="dxa"/>
            <w:tcBorders>
              <w:top w:val="nil"/>
              <w:left w:val="nil"/>
              <w:bottom w:val="single" w:sz="4" w:space="0" w:color="auto"/>
              <w:right w:val="single" w:sz="4" w:space="0" w:color="auto"/>
            </w:tcBorders>
            <w:noWrap/>
            <w:vAlign w:val="center"/>
            <w:hideMark/>
          </w:tcPr>
          <w:p w14:paraId="6F23C927"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24,100</w:t>
            </w:r>
          </w:p>
        </w:tc>
      </w:tr>
      <w:tr w:rsidR="002726F4" w:rsidRPr="00C35370" w14:paraId="7DA39C1A" w14:textId="77777777" w:rsidTr="006F6F4E">
        <w:trPr>
          <w:trHeight w:val="227"/>
          <w:jc w:val="center"/>
        </w:trPr>
        <w:tc>
          <w:tcPr>
            <w:tcW w:w="2265" w:type="dxa"/>
            <w:vMerge/>
            <w:tcBorders>
              <w:top w:val="nil"/>
              <w:left w:val="single" w:sz="4" w:space="0" w:color="auto"/>
              <w:bottom w:val="single" w:sz="4" w:space="0" w:color="auto"/>
              <w:right w:val="single" w:sz="4" w:space="0" w:color="auto"/>
            </w:tcBorders>
            <w:vAlign w:val="center"/>
            <w:hideMark/>
          </w:tcPr>
          <w:p w14:paraId="633C2EC7" w14:textId="77777777" w:rsidR="002726F4" w:rsidRPr="00C35370" w:rsidRDefault="002726F4" w:rsidP="006F6F4E">
            <w:pPr>
              <w:spacing w:after="0" w:line="240" w:lineRule="auto"/>
              <w:rPr>
                <w:rFonts w:ascii="Arial Mäori" w:eastAsia="Times New Roman" w:hAnsi="Arial Mäori" w:cs="Times New Roman"/>
                <w:sz w:val="14"/>
                <w:szCs w:val="14"/>
                <w:lang w:eastAsia="en-NZ"/>
              </w:rPr>
            </w:pPr>
          </w:p>
        </w:tc>
        <w:tc>
          <w:tcPr>
            <w:tcW w:w="688" w:type="dxa"/>
            <w:tcBorders>
              <w:top w:val="nil"/>
              <w:left w:val="nil"/>
              <w:bottom w:val="single" w:sz="4" w:space="0" w:color="auto"/>
              <w:right w:val="single" w:sz="12" w:space="0" w:color="auto"/>
            </w:tcBorders>
            <w:vAlign w:val="center"/>
            <w:hideMark/>
          </w:tcPr>
          <w:p w14:paraId="16DB625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Mean</w:t>
            </w:r>
          </w:p>
        </w:tc>
        <w:tc>
          <w:tcPr>
            <w:tcW w:w="687" w:type="dxa"/>
            <w:tcBorders>
              <w:top w:val="nil"/>
              <w:left w:val="single" w:sz="12" w:space="0" w:color="auto"/>
              <w:bottom w:val="single" w:sz="4" w:space="0" w:color="auto"/>
              <w:right w:val="single" w:sz="4" w:space="0" w:color="auto"/>
            </w:tcBorders>
            <w:noWrap/>
            <w:vAlign w:val="center"/>
            <w:hideMark/>
          </w:tcPr>
          <w:p w14:paraId="795923A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31,300</w:t>
            </w:r>
          </w:p>
        </w:tc>
        <w:tc>
          <w:tcPr>
            <w:tcW w:w="688" w:type="dxa"/>
            <w:tcBorders>
              <w:top w:val="nil"/>
              <w:left w:val="nil"/>
              <w:bottom w:val="single" w:sz="4" w:space="0" w:color="auto"/>
              <w:right w:val="single" w:sz="4" w:space="0" w:color="auto"/>
            </w:tcBorders>
            <w:noWrap/>
            <w:vAlign w:val="center"/>
            <w:hideMark/>
          </w:tcPr>
          <w:p w14:paraId="6BB8F13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33,200</w:t>
            </w:r>
          </w:p>
        </w:tc>
        <w:tc>
          <w:tcPr>
            <w:tcW w:w="688" w:type="dxa"/>
            <w:tcBorders>
              <w:top w:val="nil"/>
              <w:left w:val="nil"/>
              <w:bottom w:val="single" w:sz="4" w:space="0" w:color="auto"/>
              <w:right w:val="single" w:sz="12" w:space="0" w:color="auto"/>
            </w:tcBorders>
            <w:noWrap/>
            <w:vAlign w:val="center"/>
            <w:hideMark/>
          </w:tcPr>
          <w:p w14:paraId="310BA6E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20,300</w:t>
            </w:r>
          </w:p>
        </w:tc>
        <w:tc>
          <w:tcPr>
            <w:tcW w:w="645" w:type="dxa"/>
            <w:tcBorders>
              <w:top w:val="single" w:sz="4" w:space="0" w:color="auto"/>
              <w:left w:val="single" w:sz="12" w:space="0" w:color="auto"/>
              <w:bottom w:val="single" w:sz="4" w:space="0" w:color="auto"/>
              <w:right w:val="single" w:sz="4" w:space="0" w:color="auto"/>
            </w:tcBorders>
            <w:vAlign w:val="center"/>
          </w:tcPr>
          <w:p w14:paraId="270DA0A4"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30,400</w:t>
            </w:r>
          </w:p>
        </w:tc>
        <w:tc>
          <w:tcPr>
            <w:tcW w:w="677" w:type="dxa"/>
            <w:tcBorders>
              <w:top w:val="single" w:sz="4" w:space="0" w:color="auto"/>
              <w:left w:val="single" w:sz="4" w:space="0" w:color="auto"/>
              <w:bottom w:val="single" w:sz="4" w:space="0" w:color="auto"/>
              <w:right w:val="single" w:sz="4" w:space="0" w:color="auto"/>
            </w:tcBorders>
            <w:vAlign w:val="center"/>
          </w:tcPr>
          <w:p w14:paraId="50D86F1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36,100</w:t>
            </w:r>
          </w:p>
        </w:tc>
        <w:tc>
          <w:tcPr>
            <w:tcW w:w="667" w:type="dxa"/>
            <w:tcBorders>
              <w:top w:val="single" w:sz="4" w:space="0" w:color="auto"/>
              <w:left w:val="single" w:sz="4" w:space="0" w:color="auto"/>
              <w:bottom w:val="single" w:sz="4" w:space="0" w:color="auto"/>
              <w:right w:val="single" w:sz="12" w:space="0" w:color="auto"/>
            </w:tcBorders>
            <w:vAlign w:val="center"/>
          </w:tcPr>
          <w:p w14:paraId="1A29E7E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21,900</w:t>
            </w:r>
          </w:p>
        </w:tc>
        <w:tc>
          <w:tcPr>
            <w:tcW w:w="645" w:type="dxa"/>
            <w:tcBorders>
              <w:top w:val="nil"/>
              <w:left w:val="single" w:sz="12" w:space="0" w:color="auto"/>
              <w:bottom w:val="single" w:sz="4" w:space="0" w:color="auto"/>
              <w:right w:val="single" w:sz="4" w:space="0" w:color="auto"/>
            </w:tcBorders>
            <w:noWrap/>
            <w:vAlign w:val="center"/>
            <w:hideMark/>
          </w:tcPr>
          <w:p w14:paraId="54B30F2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27,200</w:t>
            </w:r>
          </w:p>
        </w:tc>
        <w:tc>
          <w:tcPr>
            <w:tcW w:w="709" w:type="dxa"/>
            <w:tcBorders>
              <w:top w:val="nil"/>
              <w:left w:val="nil"/>
              <w:bottom w:val="single" w:sz="4" w:space="0" w:color="auto"/>
              <w:right w:val="single" w:sz="4" w:space="0" w:color="auto"/>
            </w:tcBorders>
            <w:noWrap/>
            <w:vAlign w:val="center"/>
            <w:hideMark/>
          </w:tcPr>
          <w:p w14:paraId="7459B491"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32,900</w:t>
            </w:r>
          </w:p>
        </w:tc>
        <w:tc>
          <w:tcPr>
            <w:tcW w:w="708" w:type="dxa"/>
            <w:tcBorders>
              <w:top w:val="nil"/>
              <w:left w:val="nil"/>
              <w:bottom w:val="single" w:sz="4" w:space="0" w:color="auto"/>
              <w:right w:val="single" w:sz="4" w:space="0" w:color="auto"/>
            </w:tcBorders>
            <w:noWrap/>
            <w:vAlign w:val="center"/>
            <w:hideMark/>
          </w:tcPr>
          <w:p w14:paraId="3071179D"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22,400</w:t>
            </w:r>
          </w:p>
        </w:tc>
      </w:tr>
      <w:tr w:rsidR="006708FD" w:rsidRPr="00C35370" w14:paraId="001C1A3D" w14:textId="77777777" w:rsidTr="001A7B7E">
        <w:trPr>
          <w:trHeight w:val="227"/>
          <w:jc w:val="center"/>
        </w:trPr>
        <w:tc>
          <w:tcPr>
            <w:tcW w:w="2953" w:type="dxa"/>
            <w:gridSpan w:val="2"/>
            <w:tcBorders>
              <w:top w:val="nil"/>
              <w:left w:val="single" w:sz="4" w:space="0" w:color="auto"/>
              <w:bottom w:val="single" w:sz="4" w:space="0" w:color="auto"/>
              <w:right w:val="single" w:sz="12" w:space="0" w:color="auto"/>
            </w:tcBorders>
            <w:vAlign w:val="center"/>
            <w:hideMark/>
          </w:tcPr>
          <w:p w14:paraId="44980E42" w14:textId="7EDDB274" w:rsidR="006708FD" w:rsidRPr="00C35370" w:rsidRDefault="006708FD" w:rsidP="006708FD">
            <w:pPr>
              <w:spacing w:after="0" w:line="240" w:lineRule="auto"/>
              <w:rPr>
                <w:rFonts w:ascii="Arial Mäori" w:eastAsia="Times New Roman" w:hAnsi="Arial Mäori" w:cs="Times New Roman"/>
                <w:sz w:val="14"/>
                <w:szCs w:val="14"/>
                <w:lang w:eastAsia="en-NZ"/>
              </w:rPr>
            </w:pPr>
            <w:r w:rsidRPr="00C35370">
              <w:rPr>
                <w:rFonts w:ascii="Arial Mäori" w:eastAsia="Times New Roman" w:hAnsi="Arial Mäori" w:cs="Times New Roman"/>
                <w:b/>
                <w:bCs/>
                <w:sz w:val="14"/>
                <w:szCs w:val="14"/>
                <w:lang w:eastAsia="en-NZ"/>
              </w:rPr>
              <w:t xml:space="preserve">Liquid </w:t>
            </w:r>
            <w:r w:rsidRPr="00E43FD5">
              <w:rPr>
                <w:rFonts w:ascii="Arial Mäori" w:eastAsia="Times New Roman" w:hAnsi="Arial Mäori" w:cs="Times New Roman"/>
                <w:b/>
                <w:bCs/>
                <w:sz w:val="14"/>
                <w:szCs w:val="14"/>
                <w:lang w:eastAsia="en-NZ"/>
              </w:rPr>
              <w:t>assets &amp; consumer durables</w:t>
            </w:r>
            <w:r w:rsidRPr="00C35370">
              <w:rPr>
                <w:rFonts w:ascii="Arial Mäori" w:eastAsia="Times New Roman" w:hAnsi="Arial Mäori" w:cs="Times New Roman"/>
                <w:sz w:val="14"/>
                <w:szCs w:val="14"/>
                <w:lang w:eastAsia="en-NZ"/>
              </w:rPr>
              <w:t> </w:t>
            </w:r>
          </w:p>
        </w:tc>
        <w:tc>
          <w:tcPr>
            <w:tcW w:w="687" w:type="dxa"/>
            <w:tcBorders>
              <w:top w:val="nil"/>
              <w:left w:val="single" w:sz="12" w:space="0" w:color="auto"/>
              <w:bottom w:val="single" w:sz="4" w:space="0" w:color="auto"/>
              <w:right w:val="single" w:sz="4" w:space="0" w:color="auto"/>
            </w:tcBorders>
            <w:noWrap/>
            <w:vAlign w:val="center"/>
            <w:hideMark/>
          </w:tcPr>
          <w:p w14:paraId="1867D0BF"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88" w:type="dxa"/>
            <w:tcBorders>
              <w:top w:val="nil"/>
              <w:left w:val="nil"/>
              <w:bottom w:val="single" w:sz="4" w:space="0" w:color="auto"/>
              <w:right w:val="single" w:sz="4" w:space="0" w:color="auto"/>
            </w:tcBorders>
            <w:noWrap/>
            <w:vAlign w:val="center"/>
            <w:hideMark/>
          </w:tcPr>
          <w:p w14:paraId="61BFEFE6"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88" w:type="dxa"/>
            <w:tcBorders>
              <w:top w:val="nil"/>
              <w:left w:val="nil"/>
              <w:bottom w:val="single" w:sz="4" w:space="0" w:color="auto"/>
              <w:right w:val="single" w:sz="12" w:space="0" w:color="auto"/>
            </w:tcBorders>
            <w:noWrap/>
            <w:vAlign w:val="center"/>
            <w:hideMark/>
          </w:tcPr>
          <w:p w14:paraId="1B633375"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45" w:type="dxa"/>
            <w:tcBorders>
              <w:top w:val="single" w:sz="4" w:space="0" w:color="auto"/>
              <w:left w:val="single" w:sz="12" w:space="0" w:color="auto"/>
              <w:bottom w:val="single" w:sz="4" w:space="0" w:color="auto"/>
              <w:right w:val="single" w:sz="4" w:space="0" w:color="auto"/>
            </w:tcBorders>
            <w:vAlign w:val="center"/>
          </w:tcPr>
          <w:p w14:paraId="47B9CE5E"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77" w:type="dxa"/>
            <w:tcBorders>
              <w:top w:val="single" w:sz="4" w:space="0" w:color="auto"/>
              <w:left w:val="single" w:sz="4" w:space="0" w:color="auto"/>
              <w:bottom w:val="single" w:sz="4" w:space="0" w:color="auto"/>
              <w:right w:val="single" w:sz="4" w:space="0" w:color="auto"/>
            </w:tcBorders>
            <w:vAlign w:val="center"/>
          </w:tcPr>
          <w:p w14:paraId="3E2ED533"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67" w:type="dxa"/>
            <w:tcBorders>
              <w:top w:val="single" w:sz="4" w:space="0" w:color="auto"/>
              <w:left w:val="single" w:sz="4" w:space="0" w:color="auto"/>
              <w:bottom w:val="single" w:sz="4" w:space="0" w:color="auto"/>
              <w:right w:val="single" w:sz="12" w:space="0" w:color="auto"/>
            </w:tcBorders>
            <w:vAlign w:val="center"/>
          </w:tcPr>
          <w:p w14:paraId="25B5D255"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 </w:t>
            </w:r>
          </w:p>
        </w:tc>
        <w:tc>
          <w:tcPr>
            <w:tcW w:w="645" w:type="dxa"/>
            <w:tcBorders>
              <w:top w:val="nil"/>
              <w:left w:val="single" w:sz="12" w:space="0" w:color="auto"/>
              <w:bottom w:val="single" w:sz="4" w:space="0" w:color="auto"/>
              <w:right w:val="single" w:sz="4" w:space="0" w:color="auto"/>
            </w:tcBorders>
            <w:noWrap/>
            <w:vAlign w:val="center"/>
            <w:hideMark/>
          </w:tcPr>
          <w:p w14:paraId="4B52C153" w14:textId="77777777" w:rsidR="006708FD" w:rsidRPr="00C35370" w:rsidRDefault="006708FD"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 </w:t>
            </w:r>
          </w:p>
        </w:tc>
        <w:tc>
          <w:tcPr>
            <w:tcW w:w="709" w:type="dxa"/>
            <w:tcBorders>
              <w:top w:val="nil"/>
              <w:left w:val="nil"/>
              <w:bottom w:val="single" w:sz="4" w:space="0" w:color="auto"/>
              <w:right w:val="single" w:sz="4" w:space="0" w:color="auto"/>
            </w:tcBorders>
            <w:noWrap/>
            <w:vAlign w:val="center"/>
            <w:hideMark/>
          </w:tcPr>
          <w:p w14:paraId="40CF5AB4" w14:textId="77777777" w:rsidR="006708FD" w:rsidRPr="00DB2E9E" w:rsidRDefault="006708FD"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 </w:t>
            </w:r>
          </w:p>
        </w:tc>
        <w:tc>
          <w:tcPr>
            <w:tcW w:w="708" w:type="dxa"/>
            <w:tcBorders>
              <w:top w:val="nil"/>
              <w:left w:val="nil"/>
              <w:bottom w:val="single" w:sz="4" w:space="0" w:color="auto"/>
              <w:right w:val="single" w:sz="4" w:space="0" w:color="auto"/>
            </w:tcBorders>
            <w:noWrap/>
            <w:vAlign w:val="center"/>
            <w:hideMark/>
          </w:tcPr>
          <w:p w14:paraId="6DD78527" w14:textId="77777777" w:rsidR="006708FD" w:rsidRPr="00DB2E9E" w:rsidRDefault="006708FD"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 </w:t>
            </w:r>
          </w:p>
        </w:tc>
      </w:tr>
      <w:tr w:rsidR="002726F4" w:rsidRPr="00C35370" w14:paraId="3E3E46C2" w14:textId="77777777" w:rsidTr="006F6F4E">
        <w:trPr>
          <w:trHeight w:val="227"/>
          <w:jc w:val="center"/>
        </w:trPr>
        <w:tc>
          <w:tcPr>
            <w:tcW w:w="2265" w:type="dxa"/>
            <w:vMerge w:val="restart"/>
            <w:tcBorders>
              <w:top w:val="nil"/>
              <w:left w:val="single" w:sz="4" w:space="0" w:color="auto"/>
              <w:bottom w:val="single" w:sz="4" w:space="0" w:color="auto"/>
              <w:right w:val="single" w:sz="4" w:space="0" w:color="auto"/>
            </w:tcBorders>
            <w:vAlign w:val="center"/>
            <w:hideMark/>
          </w:tcPr>
          <w:p w14:paraId="51274D62"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Liquid assets (equivalised, $)</w:t>
            </w:r>
          </w:p>
        </w:tc>
        <w:tc>
          <w:tcPr>
            <w:tcW w:w="688" w:type="dxa"/>
            <w:tcBorders>
              <w:top w:val="nil"/>
              <w:left w:val="nil"/>
              <w:bottom w:val="single" w:sz="4" w:space="0" w:color="auto"/>
              <w:right w:val="single" w:sz="12" w:space="0" w:color="auto"/>
            </w:tcBorders>
            <w:vAlign w:val="center"/>
            <w:hideMark/>
          </w:tcPr>
          <w:p w14:paraId="6BD07D6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Median</w:t>
            </w:r>
          </w:p>
        </w:tc>
        <w:tc>
          <w:tcPr>
            <w:tcW w:w="687" w:type="dxa"/>
            <w:tcBorders>
              <w:top w:val="nil"/>
              <w:left w:val="single" w:sz="12" w:space="0" w:color="auto"/>
              <w:bottom w:val="single" w:sz="4" w:space="0" w:color="auto"/>
              <w:right w:val="single" w:sz="4" w:space="0" w:color="auto"/>
            </w:tcBorders>
            <w:noWrap/>
            <w:vAlign w:val="center"/>
            <w:hideMark/>
          </w:tcPr>
          <w:p w14:paraId="386871C6"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4,800</w:t>
            </w:r>
          </w:p>
        </w:tc>
        <w:tc>
          <w:tcPr>
            <w:tcW w:w="688" w:type="dxa"/>
            <w:tcBorders>
              <w:top w:val="nil"/>
              <w:left w:val="nil"/>
              <w:bottom w:val="single" w:sz="4" w:space="0" w:color="auto"/>
              <w:right w:val="single" w:sz="4" w:space="0" w:color="auto"/>
            </w:tcBorders>
            <w:noWrap/>
            <w:vAlign w:val="center"/>
            <w:hideMark/>
          </w:tcPr>
          <w:p w14:paraId="19E1952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6,300</w:t>
            </w:r>
          </w:p>
        </w:tc>
        <w:tc>
          <w:tcPr>
            <w:tcW w:w="688" w:type="dxa"/>
            <w:tcBorders>
              <w:top w:val="nil"/>
              <w:left w:val="nil"/>
              <w:bottom w:val="single" w:sz="4" w:space="0" w:color="auto"/>
              <w:right w:val="single" w:sz="12" w:space="0" w:color="auto"/>
            </w:tcBorders>
            <w:noWrap/>
            <w:vAlign w:val="center"/>
            <w:hideMark/>
          </w:tcPr>
          <w:p w14:paraId="7E245D19"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300</w:t>
            </w:r>
          </w:p>
        </w:tc>
        <w:tc>
          <w:tcPr>
            <w:tcW w:w="645" w:type="dxa"/>
            <w:tcBorders>
              <w:top w:val="single" w:sz="4" w:space="0" w:color="auto"/>
              <w:left w:val="single" w:sz="12" w:space="0" w:color="auto"/>
              <w:bottom w:val="single" w:sz="4" w:space="0" w:color="auto"/>
              <w:right w:val="single" w:sz="4" w:space="0" w:color="auto"/>
            </w:tcBorders>
            <w:vAlign w:val="center"/>
          </w:tcPr>
          <w:p w14:paraId="5414770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600</w:t>
            </w:r>
          </w:p>
        </w:tc>
        <w:tc>
          <w:tcPr>
            <w:tcW w:w="677" w:type="dxa"/>
            <w:tcBorders>
              <w:top w:val="single" w:sz="4" w:space="0" w:color="auto"/>
              <w:left w:val="single" w:sz="4" w:space="0" w:color="auto"/>
              <w:bottom w:val="single" w:sz="4" w:space="0" w:color="auto"/>
              <w:right w:val="single" w:sz="4" w:space="0" w:color="auto"/>
            </w:tcBorders>
            <w:vAlign w:val="center"/>
          </w:tcPr>
          <w:p w14:paraId="3028080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1,700</w:t>
            </w:r>
          </w:p>
        </w:tc>
        <w:tc>
          <w:tcPr>
            <w:tcW w:w="667" w:type="dxa"/>
            <w:tcBorders>
              <w:top w:val="single" w:sz="4" w:space="0" w:color="auto"/>
              <w:left w:val="single" w:sz="4" w:space="0" w:color="auto"/>
              <w:bottom w:val="single" w:sz="4" w:space="0" w:color="auto"/>
              <w:right w:val="single" w:sz="12" w:space="0" w:color="auto"/>
            </w:tcBorders>
            <w:vAlign w:val="center"/>
          </w:tcPr>
          <w:p w14:paraId="0AC83036"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200</w:t>
            </w:r>
          </w:p>
        </w:tc>
        <w:tc>
          <w:tcPr>
            <w:tcW w:w="645" w:type="dxa"/>
            <w:tcBorders>
              <w:top w:val="nil"/>
              <w:left w:val="single" w:sz="12" w:space="0" w:color="auto"/>
              <w:bottom w:val="single" w:sz="4" w:space="0" w:color="auto"/>
              <w:right w:val="single" w:sz="4" w:space="0" w:color="auto"/>
            </w:tcBorders>
            <w:noWrap/>
            <w:vAlign w:val="center"/>
            <w:hideMark/>
          </w:tcPr>
          <w:p w14:paraId="3CEE484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100</w:t>
            </w:r>
          </w:p>
        </w:tc>
        <w:tc>
          <w:tcPr>
            <w:tcW w:w="709" w:type="dxa"/>
            <w:tcBorders>
              <w:top w:val="nil"/>
              <w:left w:val="nil"/>
              <w:bottom w:val="single" w:sz="4" w:space="0" w:color="auto"/>
              <w:right w:val="single" w:sz="4" w:space="0" w:color="auto"/>
            </w:tcBorders>
            <w:noWrap/>
            <w:vAlign w:val="center"/>
            <w:hideMark/>
          </w:tcPr>
          <w:p w14:paraId="1C57C2A2"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200</w:t>
            </w:r>
          </w:p>
        </w:tc>
        <w:tc>
          <w:tcPr>
            <w:tcW w:w="708" w:type="dxa"/>
            <w:tcBorders>
              <w:top w:val="nil"/>
              <w:left w:val="nil"/>
              <w:bottom w:val="single" w:sz="4" w:space="0" w:color="auto"/>
              <w:right w:val="single" w:sz="4" w:space="0" w:color="auto"/>
            </w:tcBorders>
            <w:noWrap/>
            <w:vAlign w:val="center"/>
            <w:hideMark/>
          </w:tcPr>
          <w:p w14:paraId="6DD27779"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0</w:t>
            </w:r>
          </w:p>
        </w:tc>
      </w:tr>
      <w:tr w:rsidR="002726F4" w:rsidRPr="00C35370" w14:paraId="3E2D4BFC" w14:textId="77777777" w:rsidTr="006F6F4E">
        <w:trPr>
          <w:trHeight w:val="227"/>
          <w:jc w:val="center"/>
        </w:trPr>
        <w:tc>
          <w:tcPr>
            <w:tcW w:w="2265" w:type="dxa"/>
            <w:vMerge/>
            <w:tcBorders>
              <w:top w:val="nil"/>
              <w:left w:val="single" w:sz="4" w:space="0" w:color="auto"/>
              <w:bottom w:val="single" w:sz="4" w:space="0" w:color="auto"/>
              <w:right w:val="single" w:sz="4" w:space="0" w:color="auto"/>
            </w:tcBorders>
            <w:vAlign w:val="center"/>
            <w:hideMark/>
          </w:tcPr>
          <w:p w14:paraId="762D463B" w14:textId="77777777" w:rsidR="002726F4" w:rsidRPr="00C35370" w:rsidRDefault="002726F4" w:rsidP="006F6F4E">
            <w:pPr>
              <w:spacing w:after="0" w:line="240" w:lineRule="auto"/>
              <w:ind w:left="170" w:firstLineChars="177" w:firstLine="248"/>
              <w:rPr>
                <w:rFonts w:ascii="Arial Mäori" w:eastAsia="Times New Roman" w:hAnsi="Arial Mäori" w:cs="Times New Roman"/>
                <w:sz w:val="14"/>
                <w:szCs w:val="14"/>
                <w:lang w:eastAsia="en-NZ"/>
              </w:rPr>
            </w:pPr>
          </w:p>
        </w:tc>
        <w:tc>
          <w:tcPr>
            <w:tcW w:w="688" w:type="dxa"/>
            <w:tcBorders>
              <w:top w:val="nil"/>
              <w:left w:val="nil"/>
              <w:bottom w:val="single" w:sz="4" w:space="0" w:color="auto"/>
              <w:right w:val="single" w:sz="12" w:space="0" w:color="auto"/>
            </w:tcBorders>
            <w:vAlign w:val="center"/>
            <w:hideMark/>
          </w:tcPr>
          <w:p w14:paraId="41EC49C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Mean</w:t>
            </w:r>
          </w:p>
        </w:tc>
        <w:tc>
          <w:tcPr>
            <w:tcW w:w="687" w:type="dxa"/>
            <w:tcBorders>
              <w:top w:val="nil"/>
              <w:left w:val="single" w:sz="12" w:space="0" w:color="auto"/>
              <w:bottom w:val="single" w:sz="4" w:space="0" w:color="auto"/>
              <w:right w:val="single" w:sz="4" w:space="0" w:color="auto"/>
            </w:tcBorders>
            <w:noWrap/>
            <w:vAlign w:val="center"/>
            <w:hideMark/>
          </w:tcPr>
          <w:p w14:paraId="20D668E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29,800</w:t>
            </w:r>
          </w:p>
        </w:tc>
        <w:tc>
          <w:tcPr>
            <w:tcW w:w="688" w:type="dxa"/>
            <w:tcBorders>
              <w:top w:val="nil"/>
              <w:left w:val="nil"/>
              <w:bottom w:val="single" w:sz="4" w:space="0" w:color="auto"/>
              <w:right w:val="single" w:sz="4" w:space="0" w:color="auto"/>
            </w:tcBorders>
            <w:noWrap/>
            <w:vAlign w:val="center"/>
            <w:hideMark/>
          </w:tcPr>
          <w:p w14:paraId="5C84109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33,100</w:t>
            </w:r>
          </w:p>
        </w:tc>
        <w:tc>
          <w:tcPr>
            <w:tcW w:w="688" w:type="dxa"/>
            <w:tcBorders>
              <w:top w:val="nil"/>
              <w:left w:val="nil"/>
              <w:bottom w:val="single" w:sz="4" w:space="0" w:color="auto"/>
              <w:right w:val="single" w:sz="12" w:space="0" w:color="auto"/>
            </w:tcBorders>
            <w:noWrap/>
            <w:vAlign w:val="center"/>
            <w:hideMark/>
          </w:tcPr>
          <w:p w14:paraId="517CFEB7"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11,100</w:t>
            </w:r>
          </w:p>
        </w:tc>
        <w:tc>
          <w:tcPr>
            <w:tcW w:w="645" w:type="dxa"/>
            <w:tcBorders>
              <w:top w:val="single" w:sz="4" w:space="0" w:color="auto"/>
              <w:left w:val="single" w:sz="12" w:space="0" w:color="auto"/>
              <w:bottom w:val="single" w:sz="4" w:space="0" w:color="auto"/>
              <w:right w:val="single" w:sz="4" w:space="0" w:color="auto"/>
            </w:tcBorders>
            <w:vAlign w:val="center"/>
          </w:tcPr>
          <w:p w14:paraId="4344A379"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10,300</w:t>
            </w:r>
          </w:p>
        </w:tc>
        <w:tc>
          <w:tcPr>
            <w:tcW w:w="677" w:type="dxa"/>
            <w:tcBorders>
              <w:top w:val="single" w:sz="4" w:space="0" w:color="auto"/>
              <w:left w:val="single" w:sz="4" w:space="0" w:color="auto"/>
              <w:bottom w:val="single" w:sz="4" w:space="0" w:color="auto"/>
              <w:right w:val="single" w:sz="4" w:space="0" w:color="auto"/>
            </w:tcBorders>
            <w:vAlign w:val="center"/>
          </w:tcPr>
          <w:p w14:paraId="3B402F8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15,100</w:t>
            </w:r>
          </w:p>
        </w:tc>
        <w:tc>
          <w:tcPr>
            <w:tcW w:w="667" w:type="dxa"/>
            <w:tcBorders>
              <w:top w:val="single" w:sz="4" w:space="0" w:color="auto"/>
              <w:left w:val="single" w:sz="4" w:space="0" w:color="auto"/>
              <w:bottom w:val="single" w:sz="4" w:space="0" w:color="auto"/>
              <w:right w:val="single" w:sz="12" w:space="0" w:color="auto"/>
            </w:tcBorders>
            <w:vAlign w:val="center"/>
          </w:tcPr>
          <w:p w14:paraId="286B1379"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2,700</w:t>
            </w:r>
          </w:p>
        </w:tc>
        <w:tc>
          <w:tcPr>
            <w:tcW w:w="645" w:type="dxa"/>
            <w:tcBorders>
              <w:top w:val="nil"/>
              <w:left w:val="single" w:sz="12" w:space="0" w:color="auto"/>
              <w:bottom w:val="single" w:sz="4" w:space="0" w:color="auto"/>
              <w:right w:val="single" w:sz="4" w:space="0" w:color="auto"/>
            </w:tcBorders>
            <w:noWrap/>
            <w:vAlign w:val="center"/>
            <w:hideMark/>
          </w:tcPr>
          <w:p w14:paraId="2ED6D7DC"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200</w:t>
            </w:r>
          </w:p>
        </w:tc>
        <w:tc>
          <w:tcPr>
            <w:tcW w:w="709" w:type="dxa"/>
            <w:tcBorders>
              <w:top w:val="nil"/>
              <w:left w:val="nil"/>
              <w:bottom w:val="single" w:sz="4" w:space="0" w:color="auto"/>
              <w:right w:val="single" w:sz="4" w:space="0" w:color="auto"/>
            </w:tcBorders>
            <w:noWrap/>
            <w:vAlign w:val="center"/>
            <w:hideMark/>
          </w:tcPr>
          <w:p w14:paraId="0323D0AB"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200</w:t>
            </w:r>
          </w:p>
        </w:tc>
        <w:tc>
          <w:tcPr>
            <w:tcW w:w="708" w:type="dxa"/>
            <w:tcBorders>
              <w:top w:val="nil"/>
              <w:left w:val="nil"/>
              <w:bottom w:val="single" w:sz="4" w:space="0" w:color="auto"/>
              <w:right w:val="single" w:sz="4" w:space="0" w:color="auto"/>
            </w:tcBorders>
            <w:noWrap/>
            <w:vAlign w:val="center"/>
            <w:hideMark/>
          </w:tcPr>
          <w:p w14:paraId="1008D703"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200</w:t>
            </w:r>
          </w:p>
        </w:tc>
      </w:tr>
      <w:tr w:rsidR="002726F4" w:rsidRPr="00C35370" w14:paraId="45F07CE1" w14:textId="77777777" w:rsidTr="006F6F4E">
        <w:trPr>
          <w:trHeight w:val="227"/>
          <w:jc w:val="center"/>
        </w:trPr>
        <w:tc>
          <w:tcPr>
            <w:tcW w:w="2265" w:type="dxa"/>
            <w:vMerge w:val="restart"/>
            <w:tcBorders>
              <w:top w:val="nil"/>
              <w:left w:val="single" w:sz="4" w:space="0" w:color="auto"/>
              <w:bottom w:val="single" w:sz="4" w:space="0" w:color="auto"/>
              <w:right w:val="single" w:sz="4" w:space="0" w:color="auto"/>
            </w:tcBorders>
            <w:vAlign w:val="center"/>
            <w:hideMark/>
          </w:tcPr>
          <w:p w14:paraId="6AC8CE5F" w14:textId="77777777" w:rsidR="002726F4" w:rsidRPr="00C35370" w:rsidRDefault="002726F4" w:rsidP="006F6F4E">
            <w:pPr>
              <w:spacing w:after="0" w:line="240" w:lineRule="auto"/>
              <w:ind w:left="170"/>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Consumer durables (excl vehicles) (unequivalised, $)</w:t>
            </w:r>
          </w:p>
        </w:tc>
        <w:tc>
          <w:tcPr>
            <w:tcW w:w="688" w:type="dxa"/>
            <w:tcBorders>
              <w:top w:val="nil"/>
              <w:left w:val="nil"/>
              <w:bottom w:val="single" w:sz="4" w:space="0" w:color="auto"/>
              <w:right w:val="single" w:sz="12" w:space="0" w:color="auto"/>
            </w:tcBorders>
            <w:vAlign w:val="center"/>
            <w:hideMark/>
          </w:tcPr>
          <w:p w14:paraId="34A20BD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Median</w:t>
            </w:r>
          </w:p>
        </w:tc>
        <w:tc>
          <w:tcPr>
            <w:tcW w:w="687" w:type="dxa"/>
            <w:tcBorders>
              <w:top w:val="nil"/>
              <w:left w:val="single" w:sz="12" w:space="0" w:color="auto"/>
              <w:bottom w:val="single" w:sz="4" w:space="0" w:color="auto"/>
              <w:right w:val="single" w:sz="4" w:space="0" w:color="auto"/>
            </w:tcBorders>
            <w:noWrap/>
            <w:vAlign w:val="center"/>
            <w:hideMark/>
          </w:tcPr>
          <w:p w14:paraId="47AC5420"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40,000</w:t>
            </w:r>
          </w:p>
        </w:tc>
        <w:tc>
          <w:tcPr>
            <w:tcW w:w="688" w:type="dxa"/>
            <w:tcBorders>
              <w:top w:val="nil"/>
              <w:left w:val="nil"/>
              <w:bottom w:val="single" w:sz="4" w:space="0" w:color="auto"/>
              <w:right w:val="single" w:sz="4" w:space="0" w:color="auto"/>
            </w:tcBorders>
            <w:noWrap/>
            <w:vAlign w:val="center"/>
            <w:hideMark/>
          </w:tcPr>
          <w:p w14:paraId="39242B7D"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48,000</w:t>
            </w:r>
          </w:p>
        </w:tc>
        <w:tc>
          <w:tcPr>
            <w:tcW w:w="688" w:type="dxa"/>
            <w:tcBorders>
              <w:top w:val="nil"/>
              <w:left w:val="nil"/>
              <w:bottom w:val="single" w:sz="4" w:space="0" w:color="auto"/>
              <w:right w:val="single" w:sz="12" w:space="0" w:color="auto"/>
            </w:tcBorders>
            <w:noWrap/>
            <w:vAlign w:val="center"/>
            <w:hideMark/>
          </w:tcPr>
          <w:p w14:paraId="3BA52869"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7,500</w:t>
            </w:r>
          </w:p>
        </w:tc>
        <w:tc>
          <w:tcPr>
            <w:tcW w:w="645" w:type="dxa"/>
            <w:tcBorders>
              <w:top w:val="single" w:sz="4" w:space="0" w:color="auto"/>
              <w:left w:val="single" w:sz="12" w:space="0" w:color="auto"/>
              <w:bottom w:val="single" w:sz="4" w:space="0" w:color="auto"/>
              <w:right w:val="single" w:sz="4" w:space="0" w:color="auto"/>
            </w:tcBorders>
            <w:vAlign w:val="center"/>
          </w:tcPr>
          <w:p w14:paraId="4A0C215B"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15,000</w:t>
            </w:r>
          </w:p>
        </w:tc>
        <w:tc>
          <w:tcPr>
            <w:tcW w:w="677" w:type="dxa"/>
            <w:tcBorders>
              <w:top w:val="single" w:sz="4" w:space="0" w:color="auto"/>
              <w:left w:val="single" w:sz="4" w:space="0" w:color="auto"/>
              <w:bottom w:val="single" w:sz="4" w:space="0" w:color="auto"/>
              <w:right w:val="single" w:sz="4" w:space="0" w:color="auto"/>
            </w:tcBorders>
            <w:vAlign w:val="center"/>
          </w:tcPr>
          <w:p w14:paraId="4E687866"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23,000</w:t>
            </w:r>
          </w:p>
        </w:tc>
        <w:tc>
          <w:tcPr>
            <w:tcW w:w="667" w:type="dxa"/>
            <w:tcBorders>
              <w:top w:val="single" w:sz="4" w:space="0" w:color="auto"/>
              <w:left w:val="single" w:sz="4" w:space="0" w:color="auto"/>
              <w:bottom w:val="single" w:sz="4" w:space="0" w:color="auto"/>
              <w:right w:val="single" w:sz="12" w:space="0" w:color="auto"/>
            </w:tcBorders>
            <w:vAlign w:val="center"/>
          </w:tcPr>
          <w:p w14:paraId="18DFC0D1"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7,500</w:t>
            </w:r>
          </w:p>
        </w:tc>
        <w:tc>
          <w:tcPr>
            <w:tcW w:w="645" w:type="dxa"/>
            <w:tcBorders>
              <w:top w:val="nil"/>
              <w:left w:val="single" w:sz="12" w:space="0" w:color="auto"/>
              <w:bottom w:val="single" w:sz="4" w:space="0" w:color="auto"/>
              <w:right w:val="single" w:sz="4" w:space="0" w:color="auto"/>
            </w:tcBorders>
            <w:noWrap/>
            <w:vAlign w:val="center"/>
            <w:hideMark/>
          </w:tcPr>
          <w:p w14:paraId="5AF4CAA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7,500</w:t>
            </w:r>
          </w:p>
        </w:tc>
        <w:tc>
          <w:tcPr>
            <w:tcW w:w="709" w:type="dxa"/>
            <w:tcBorders>
              <w:top w:val="nil"/>
              <w:left w:val="nil"/>
              <w:bottom w:val="single" w:sz="4" w:space="0" w:color="auto"/>
              <w:right w:val="single" w:sz="4" w:space="0" w:color="auto"/>
            </w:tcBorders>
            <w:noWrap/>
            <w:vAlign w:val="center"/>
            <w:hideMark/>
          </w:tcPr>
          <w:p w14:paraId="7C0F0909"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15,000</w:t>
            </w:r>
          </w:p>
        </w:tc>
        <w:tc>
          <w:tcPr>
            <w:tcW w:w="708" w:type="dxa"/>
            <w:tcBorders>
              <w:top w:val="nil"/>
              <w:left w:val="nil"/>
              <w:bottom w:val="single" w:sz="4" w:space="0" w:color="auto"/>
              <w:right w:val="single" w:sz="4" w:space="0" w:color="auto"/>
            </w:tcBorders>
            <w:noWrap/>
            <w:vAlign w:val="center"/>
            <w:hideMark/>
          </w:tcPr>
          <w:p w14:paraId="67DA8A17"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7,500</w:t>
            </w:r>
          </w:p>
        </w:tc>
      </w:tr>
      <w:tr w:rsidR="002726F4" w:rsidRPr="00C35370" w14:paraId="5FAD4BE0" w14:textId="77777777" w:rsidTr="006F6F4E">
        <w:trPr>
          <w:trHeight w:val="227"/>
          <w:jc w:val="center"/>
        </w:trPr>
        <w:tc>
          <w:tcPr>
            <w:tcW w:w="2265" w:type="dxa"/>
            <w:vMerge/>
            <w:tcBorders>
              <w:top w:val="nil"/>
              <w:left w:val="single" w:sz="4" w:space="0" w:color="auto"/>
              <w:bottom w:val="single" w:sz="4" w:space="0" w:color="auto"/>
              <w:right w:val="single" w:sz="4" w:space="0" w:color="auto"/>
            </w:tcBorders>
            <w:vAlign w:val="center"/>
            <w:hideMark/>
          </w:tcPr>
          <w:p w14:paraId="35F3AC7D" w14:textId="77777777" w:rsidR="002726F4" w:rsidRPr="00C35370" w:rsidRDefault="002726F4" w:rsidP="006F6F4E">
            <w:pPr>
              <w:spacing w:after="0" w:line="240" w:lineRule="auto"/>
              <w:ind w:left="170" w:firstLineChars="177" w:firstLine="248"/>
              <w:rPr>
                <w:rFonts w:ascii="Arial Mäori" w:eastAsia="Times New Roman" w:hAnsi="Arial Mäori" w:cs="Times New Roman"/>
                <w:sz w:val="14"/>
                <w:szCs w:val="14"/>
                <w:lang w:eastAsia="en-NZ"/>
              </w:rPr>
            </w:pPr>
          </w:p>
        </w:tc>
        <w:tc>
          <w:tcPr>
            <w:tcW w:w="688" w:type="dxa"/>
            <w:tcBorders>
              <w:top w:val="nil"/>
              <w:left w:val="nil"/>
              <w:bottom w:val="single" w:sz="4" w:space="0" w:color="auto"/>
              <w:right w:val="single" w:sz="12" w:space="0" w:color="auto"/>
            </w:tcBorders>
            <w:vAlign w:val="center"/>
            <w:hideMark/>
          </w:tcPr>
          <w:p w14:paraId="602D0EB3"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Mean</w:t>
            </w:r>
          </w:p>
        </w:tc>
        <w:tc>
          <w:tcPr>
            <w:tcW w:w="687" w:type="dxa"/>
            <w:tcBorders>
              <w:top w:val="nil"/>
              <w:left w:val="single" w:sz="12" w:space="0" w:color="auto"/>
              <w:bottom w:val="single" w:sz="4" w:space="0" w:color="auto"/>
              <w:right w:val="single" w:sz="4" w:space="0" w:color="auto"/>
            </w:tcBorders>
            <w:noWrap/>
            <w:vAlign w:val="center"/>
            <w:hideMark/>
          </w:tcPr>
          <w:p w14:paraId="3B99DA52"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83,800</w:t>
            </w:r>
          </w:p>
        </w:tc>
        <w:tc>
          <w:tcPr>
            <w:tcW w:w="688" w:type="dxa"/>
            <w:tcBorders>
              <w:top w:val="nil"/>
              <w:left w:val="nil"/>
              <w:bottom w:val="single" w:sz="4" w:space="0" w:color="auto"/>
              <w:right w:val="single" w:sz="4" w:space="0" w:color="auto"/>
            </w:tcBorders>
            <w:noWrap/>
            <w:vAlign w:val="center"/>
            <w:hideMark/>
          </w:tcPr>
          <w:p w14:paraId="185947D8"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94,100</w:t>
            </w:r>
          </w:p>
        </w:tc>
        <w:tc>
          <w:tcPr>
            <w:tcW w:w="688" w:type="dxa"/>
            <w:tcBorders>
              <w:top w:val="nil"/>
              <w:left w:val="nil"/>
              <w:bottom w:val="single" w:sz="4" w:space="0" w:color="auto"/>
              <w:right w:val="single" w:sz="12" w:space="0" w:color="auto"/>
            </w:tcBorders>
            <w:noWrap/>
            <w:vAlign w:val="center"/>
            <w:hideMark/>
          </w:tcPr>
          <w:p w14:paraId="3425EAF5"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25,300</w:t>
            </w:r>
          </w:p>
        </w:tc>
        <w:tc>
          <w:tcPr>
            <w:tcW w:w="645" w:type="dxa"/>
            <w:tcBorders>
              <w:top w:val="single" w:sz="4" w:space="0" w:color="auto"/>
              <w:left w:val="single" w:sz="12" w:space="0" w:color="auto"/>
              <w:bottom w:val="single" w:sz="4" w:space="0" w:color="auto"/>
              <w:right w:val="single" w:sz="4" w:space="0" w:color="auto"/>
            </w:tcBorders>
            <w:vAlign w:val="center"/>
          </w:tcPr>
          <w:p w14:paraId="2DB38967"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45,300</w:t>
            </w:r>
          </w:p>
        </w:tc>
        <w:tc>
          <w:tcPr>
            <w:tcW w:w="677" w:type="dxa"/>
            <w:tcBorders>
              <w:top w:val="single" w:sz="4" w:space="0" w:color="auto"/>
              <w:left w:val="single" w:sz="4" w:space="0" w:color="auto"/>
              <w:bottom w:val="single" w:sz="4" w:space="0" w:color="auto"/>
              <w:right w:val="single" w:sz="4" w:space="0" w:color="auto"/>
            </w:tcBorders>
            <w:vAlign w:val="center"/>
          </w:tcPr>
          <w:p w14:paraId="5BAB0A6F"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59,700</w:t>
            </w:r>
          </w:p>
        </w:tc>
        <w:tc>
          <w:tcPr>
            <w:tcW w:w="667" w:type="dxa"/>
            <w:tcBorders>
              <w:top w:val="single" w:sz="4" w:space="0" w:color="auto"/>
              <w:left w:val="single" w:sz="4" w:space="0" w:color="auto"/>
              <w:bottom w:val="single" w:sz="4" w:space="0" w:color="auto"/>
              <w:right w:val="single" w:sz="12" w:space="0" w:color="auto"/>
            </w:tcBorders>
            <w:vAlign w:val="center"/>
          </w:tcPr>
          <w:p w14:paraId="4BBC323E"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sidRPr="00C35370">
              <w:rPr>
                <w:rFonts w:ascii="Arial Mäori" w:eastAsia="Times New Roman" w:hAnsi="Arial Mäori" w:cs="Times New Roman"/>
                <w:sz w:val="14"/>
                <w:szCs w:val="14"/>
                <w:lang w:eastAsia="en-NZ"/>
              </w:rPr>
              <w:t>22,600</w:t>
            </w:r>
          </w:p>
        </w:tc>
        <w:tc>
          <w:tcPr>
            <w:tcW w:w="645" w:type="dxa"/>
            <w:tcBorders>
              <w:top w:val="nil"/>
              <w:left w:val="single" w:sz="12" w:space="0" w:color="auto"/>
              <w:bottom w:val="single" w:sz="4" w:space="0" w:color="auto"/>
              <w:right w:val="single" w:sz="4" w:space="0" w:color="auto"/>
            </w:tcBorders>
            <w:noWrap/>
            <w:vAlign w:val="center"/>
            <w:hideMark/>
          </w:tcPr>
          <w:p w14:paraId="0DE06046" w14:textId="77777777" w:rsidR="002726F4" w:rsidRPr="00C35370" w:rsidRDefault="002726F4" w:rsidP="006F6F4E">
            <w:pPr>
              <w:spacing w:after="0" w:line="240" w:lineRule="auto"/>
              <w:jc w:val="center"/>
              <w:rPr>
                <w:rFonts w:ascii="Arial Mäori" w:eastAsia="Times New Roman" w:hAnsi="Arial Mäori" w:cs="Times New Roman"/>
                <w:sz w:val="14"/>
                <w:szCs w:val="14"/>
                <w:lang w:eastAsia="en-NZ"/>
              </w:rPr>
            </w:pPr>
            <w:r>
              <w:rPr>
                <w:rFonts w:ascii="Arial Mäori" w:hAnsi="Arial Mäori"/>
                <w:color w:val="000000"/>
                <w:sz w:val="14"/>
                <w:szCs w:val="14"/>
              </w:rPr>
              <w:t>25,400</w:t>
            </w:r>
          </w:p>
        </w:tc>
        <w:tc>
          <w:tcPr>
            <w:tcW w:w="709" w:type="dxa"/>
            <w:tcBorders>
              <w:top w:val="nil"/>
              <w:left w:val="nil"/>
              <w:bottom w:val="single" w:sz="4" w:space="0" w:color="auto"/>
              <w:right w:val="single" w:sz="4" w:space="0" w:color="auto"/>
            </w:tcBorders>
            <w:noWrap/>
            <w:vAlign w:val="center"/>
            <w:hideMark/>
          </w:tcPr>
          <w:p w14:paraId="73DA188C"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36,300</w:t>
            </w:r>
          </w:p>
        </w:tc>
        <w:tc>
          <w:tcPr>
            <w:tcW w:w="708" w:type="dxa"/>
            <w:tcBorders>
              <w:top w:val="nil"/>
              <w:left w:val="nil"/>
              <w:bottom w:val="single" w:sz="4" w:space="0" w:color="auto"/>
              <w:right w:val="single" w:sz="4" w:space="0" w:color="auto"/>
            </w:tcBorders>
            <w:noWrap/>
            <w:vAlign w:val="center"/>
            <w:hideMark/>
          </w:tcPr>
          <w:p w14:paraId="10EC98C4" w14:textId="77777777" w:rsidR="002726F4" w:rsidRPr="00DB2E9E" w:rsidRDefault="002726F4" w:rsidP="006F6F4E">
            <w:pPr>
              <w:spacing w:after="0" w:line="240" w:lineRule="auto"/>
              <w:jc w:val="center"/>
              <w:rPr>
                <w:rFonts w:ascii="Arial Mäori" w:eastAsia="Times New Roman" w:hAnsi="Arial Mäori" w:cs="Times New Roman"/>
                <w:sz w:val="14"/>
                <w:szCs w:val="14"/>
                <w:lang w:eastAsia="en-NZ"/>
              </w:rPr>
            </w:pPr>
            <w:r w:rsidRPr="00DB2E9E">
              <w:rPr>
                <w:rFonts w:ascii="Arial Mäori" w:hAnsi="Arial Mäori"/>
                <w:color w:val="000000"/>
                <w:sz w:val="14"/>
                <w:szCs w:val="14"/>
              </w:rPr>
              <w:t>16,400</w:t>
            </w:r>
          </w:p>
        </w:tc>
      </w:tr>
    </w:tbl>
    <w:p w14:paraId="50AB3C94" w14:textId="044A7FE6" w:rsidR="00C016BF" w:rsidRPr="00C016BF" w:rsidRDefault="002726F4" w:rsidP="0015391B">
      <w:pPr>
        <w:spacing w:before="40" w:after="0" w:line="240" w:lineRule="auto"/>
        <w:rPr>
          <w:rFonts w:ascii="Arial Mäori" w:hAnsi="Arial Mäori"/>
          <w:sz w:val="16"/>
          <w:szCs w:val="16"/>
        </w:rPr>
      </w:pPr>
      <w:r w:rsidRPr="00C016BF">
        <w:rPr>
          <w:rFonts w:ascii="Arial Mäori" w:hAnsi="Arial Mäori"/>
          <w:sz w:val="16"/>
          <w:szCs w:val="16"/>
        </w:rPr>
        <w:t>Note</w:t>
      </w:r>
      <w:r w:rsidR="00F413A0">
        <w:rPr>
          <w:rFonts w:ascii="Arial Mäori" w:hAnsi="Arial Mäori"/>
          <w:sz w:val="16"/>
          <w:szCs w:val="16"/>
        </w:rPr>
        <w:t>s</w:t>
      </w:r>
      <w:r w:rsidR="00C016BF" w:rsidRPr="00C016BF">
        <w:rPr>
          <w:rFonts w:ascii="Arial Mäori" w:hAnsi="Arial Mäori"/>
          <w:sz w:val="16"/>
          <w:szCs w:val="16"/>
        </w:rPr>
        <w:t xml:space="preserve"> for Table</w:t>
      </w:r>
      <w:r w:rsidRPr="00C016BF">
        <w:rPr>
          <w:rFonts w:ascii="Arial Mäori" w:hAnsi="Arial Mäori"/>
          <w:sz w:val="16"/>
          <w:szCs w:val="16"/>
        </w:rPr>
        <w:t xml:space="preserve">: </w:t>
      </w:r>
    </w:p>
    <w:p w14:paraId="3F8E1FE5" w14:textId="1B8B3DDA" w:rsidR="002726F4" w:rsidRPr="00F413A0" w:rsidRDefault="002726F4">
      <w:pPr>
        <w:pStyle w:val="ListParagraph"/>
        <w:numPr>
          <w:ilvl w:val="0"/>
          <w:numId w:val="73"/>
        </w:numPr>
        <w:spacing w:before="20" w:after="0" w:line="240" w:lineRule="auto"/>
        <w:ind w:left="426" w:hanging="284"/>
        <w:contextualSpacing w:val="0"/>
        <w:rPr>
          <w:rFonts w:ascii="Arial" w:hAnsi="Arial"/>
          <w:sz w:val="16"/>
          <w:szCs w:val="16"/>
        </w:rPr>
      </w:pPr>
      <w:r w:rsidRPr="00F413A0">
        <w:rPr>
          <w:rFonts w:ascii="Arial" w:hAnsi="Arial"/>
          <w:sz w:val="16"/>
          <w:szCs w:val="16"/>
        </w:rPr>
        <w:t xml:space="preserve">AHC Q1 represents the 20% of individuals having the lowest equivalised household AHC incomes, calculated across the whole population.  As seen in the </w:t>
      </w:r>
      <w:r w:rsidR="00742277">
        <w:rPr>
          <w:rFonts w:ascii="Arial" w:hAnsi="Arial"/>
          <w:sz w:val="16"/>
          <w:szCs w:val="16"/>
        </w:rPr>
        <w:t xml:space="preserve">middle panel of the </w:t>
      </w:r>
      <w:r w:rsidRPr="00F413A0">
        <w:rPr>
          <w:rFonts w:ascii="Arial" w:hAnsi="Arial"/>
          <w:sz w:val="16"/>
          <w:szCs w:val="16"/>
        </w:rPr>
        <w:t>table, 25% of 0-17s are in this group.</w:t>
      </w:r>
    </w:p>
    <w:p w14:paraId="3FA3B868" w14:textId="5A073301" w:rsidR="00F413A0" w:rsidRPr="00F413A0" w:rsidRDefault="00F413A0">
      <w:pPr>
        <w:numPr>
          <w:ilvl w:val="0"/>
          <w:numId w:val="73"/>
        </w:numPr>
        <w:spacing w:before="20" w:after="0" w:line="240" w:lineRule="auto"/>
        <w:ind w:left="426" w:hanging="284"/>
        <w:rPr>
          <w:rFonts w:ascii="Arial" w:eastAsia="Times New Roman" w:hAnsi="Arial"/>
          <w:sz w:val="16"/>
          <w:szCs w:val="16"/>
        </w:rPr>
      </w:pPr>
      <w:r w:rsidRPr="00F413A0">
        <w:rPr>
          <w:rFonts w:ascii="Arial" w:eastAsia="Times New Roman" w:hAnsi="Arial"/>
          <w:sz w:val="16"/>
          <w:szCs w:val="16"/>
        </w:rPr>
        <w:t>The yellow shaded 68% figure says that of all the children in beneficiary households, 68% are in AHC Q1.  By comparison, 17% of children in working households are in this lowest income group.</w:t>
      </w:r>
    </w:p>
    <w:p w14:paraId="06E635DE" w14:textId="77777777" w:rsidR="00F413A0" w:rsidRDefault="00F413A0">
      <w:pPr>
        <w:numPr>
          <w:ilvl w:val="0"/>
          <w:numId w:val="73"/>
        </w:numPr>
        <w:spacing w:before="20" w:after="0" w:line="240" w:lineRule="auto"/>
        <w:ind w:left="426" w:hanging="284"/>
        <w:rPr>
          <w:rFonts w:ascii="Arial" w:eastAsia="Times New Roman" w:hAnsi="Arial"/>
          <w:sz w:val="16"/>
          <w:szCs w:val="16"/>
        </w:rPr>
      </w:pPr>
      <w:r w:rsidRPr="00F413A0">
        <w:rPr>
          <w:rFonts w:ascii="Arial" w:eastAsia="Times New Roman" w:hAnsi="Arial"/>
          <w:sz w:val="16"/>
          <w:szCs w:val="16"/>
        </w:rPr>
        <w:t>In the same way, around half (51%) of children in beneficiary households are in the low income-low assets group, compared with just 7% of children in working households.</w:t>
      </w:r>
    </w:p>
    <w:p w14:paraId="5A006EB3" w14:textId="77777777" w:rsidR="00F413A0" w:rsidRDefault="00F413A0" w:rsidP="00F413A0">
      <w:pPr>
        <w:pStyle w:val="ListParagraph"/>
        <w:spacing w:after="20" w:line="240" w:lineRule="auto"/>
        <w:ind w:left="284"/>
        <w:contextualSpacing w:val="0"/>
        <w:rPr>
          <w:rFonts w:ascii="Arial Mäori" w:hAnsi="Arial Mäori"/>
          <w:sz w:val="16"/>
          <w:szCs w:val="16"/>
        </w:rPr>
      </w:pPr>
    </w:p>
    <w:p w14:paraId="3ABBB215" w14:textId="77777777" w:rsidR="002726F4" w:rsidRPr="00454E7A" w:rsidRDefault="002726F4" w:rsidP="002726F4">
      <w:pPr>
        <w:spacing w:after="0" w:line="240" w:lineRule="auto"/>
        <w:rPr>
          <w:rFonts w:ascii="Arial Mäori" w:hAnsi="Arial Mäori"/>
          <w:sz w:val="16"/>
          <w:szCs w:val="16"/>
        </w:rPr>
      </w:pPr>
    </w:p>
    <w:p w14:paraId="4E1D7F45" w14:textId="77777777" w:rsidR="00232677" w:rsidRDefault="00232677">
      <w:pPr>
        <w:spacing w:after="0" w:line="240" w:lineRule="auto"/>
        <w:rPr>
          <w:rFonts w:ascii="Arial" w:hAnsi="Arial"/>
          <w:b/>
          <w:color w:val="000000" w:themeColor="text1"/>
          <w:sz w:val="24"/>
          <w:szCs w:val="28"/>
        </w:rPr>
      </w:pPr>
      <w:r>
        <w:rPr>
          <w:rFonts w:ascii="Arial" w:hAnsi="Arial"/>
          <w:b/>
          <w:color w:val="000000" w:themeColor="text1"/>
          <w:sz w:val="24"/>
          <w:szCs w:val="28"/>
        </w:rPr>
        <w:br w:type="page"/>
      </w:r>
    </w:p>
    <w:p w14:paraId="36E8AA9F" w14:textId="4E69DBAE" w:rsidR="00215B09" w:rsidRPr="00DC1035" w:rsidRDefault="00215B09" w:rsidP="00215B09">
      <w:pPr>
        <w:spacing w:after="0" w:line="240" w:lineRule="auto"/>
        <w:rPr>
          <w:rFonts w:ascii="Arial" w:hAnsi="Arial"/>
          <w:b/>
          <w:color w:val="000000" w:themeColor="text1"/>
          <w:sz w:val="24"/>
          <w:szCs w:val="28"/>
        </w:rPr>
      </w:pPr>
      <w:r w:rsidRPr="00DC1035">
        <w:rPr>
          <w:rFonts w:ascii="Arial" w:hAnsi="Arial"/>
          <w:b/>
          <w:color w:val="000000" w:themeColor="text1"/>
          <w:sz w:val="24"/>
          <w:szCs w:val="28"/>
        </w:rPr>
        <w:lastRenderedPageBreak/>
        <w:t>Disability status</w:t>
      </w:r>
      <w:r w:rsidR="00B837F8">
        <w:rPr>
          <w:rFonts w:ascii="Arial" w:hAnsi="Arial"/>
          <w:b/>
          <w:color w:val="000000" w:themeColor="text1"/>
          <w:sz w:val="24"/>
          <w:szCs w:val="28"/>
        </w:rPr>
        <w:t xml:space="preserve"> </w:t>
      </w:r>
    </w:p>
    <w:p w14:paraId="16E66843" w14:textId="77777777" w:rsidR="00215B09" w:rsidRPr="0027245E" w:rsidRDefault="00215B09" w:rsidP="00215B09">
      <w:pPr>
        <w:spacing w:after="0" w:line="240" w:lineRule="auto"/>
        <w:rPr>
          <w:rFonts w:ascii="Arial" w:hAnsi="Arial"/>
          <w:b/>
          <w:color w:val="0000FF"/>
          <w:szCs w:val="20"/>
        </w:rPr>
      </w:pPr>
    </w:p>
    <w:p w14:paraId="3610C77A" w14:textId="77777777" w:rsidR="006D2846" w:rsidRPr="006D2846" w:rsidRDefault="00E12BB5" w:rsidP="006D2846">
      <w:pPr>
        <w:spacing w:before="60" w:after="0" w:line="240" w:lineRule="auto"/>
        <w:rPr>
          <w:rFonts w:ascii="Arial" w:hAnsi="Arial"/>
          <w:b/>
          <w:bCs/>
          <w:color w:val="000000" w:themeColor="text1"/>
          <w:szCs w:val="20"/>
        </w:rPr>
      </w:pPr>
      <w:r>
        <w:rPr>
          <w:rFonts w:ascii="Arial" w:hAnsi="Arial"/>
          <w:bCs/>
          <w:color w:val="000000" w:themeColor="text1"/>
          <w:szCs w:val="20"/>
        </w:rPr>
        <w:t>Starting with HES 2019-20,</w:t>
      </w:r>
      <w:r w:rsidRPr="00B24E0E">
        <w:rPr>
          <w:rFonts w:ascii="Arial" w:hAnsi="Arial"/>
          <w:bCs/>
          <w:color w:val="000000" w:themeColor="text1"/>
          <w:szCs w:val="20"/>
        </w:rPr>
        <w:t xml:space="preserve"> disability data </w:t>
      </w:r>
      <w:r>
        <w:rPr>
          <w:rFonts w:ascii="Arial" w:hAnsi="Arial"/>
          <w:bCs/>
          <w:color w:val="000000" w:themeColor="text1"/>
          <w:szCs w:val="20"/>
        </w:rPr>
        <w:t>was</w:t>
      </w:r>
      <w:r w:rsidRPr="00B24E0E">
        <w:rPr>
          <w:rFonts w:ascii="Arial" w:hAnsi="Arial"/>
          <w:bCs/>
          <w:color w:val="000000" w:themeColor="text1"/>
          <w:szCs w:val="20"/>
        </w:rPr>
        <w:t xml:space="preserve"> collected which allows reporting on disability status</w:t>
      </w:r>
      <w:r>
        <w:rPr>
          <w:rFonts w:ascii="Arial" w:hAnsi="Arial"/>
          <w:bCs/>
          <w:color w:val="000000" w:themeColor="text1"/>
          <w:szCs w:val="20"/>
        </w:rPr>
        <w:t xml:space="preserve"> of individuals and their households. For the 2024-25 HILS the definitions were revised in several ways</w:t>
      </w:r>
      <w:r w:rsidR="00C45D9E">
        <w:rPr>
          <w:rFonts w:ascii="Arial" w:hAnsi="Arial"/>
          <w:bCs/>
          <w:color w:val="000000" w:themeColor="text1"/>
          <w:szCs w:val="20"/>
        </w:rPr>
        <w:t xml:space="preserve"> – one of the changes was that </w:t>
      </w:r>
      <w:r w:rsidR="006D2846" w:rsidRPr="006D2846">
        <w:rPr>
          <w:rFonts w:ascii="Arial" w:hAnsi="Arial"/>
          <w:bCs/>
          <w:color w:val="000000" w:themeColor="text1"/>
          <w:szCs w:val="20"/>
        </w:rPr>
        <w:t>the adult questions are now used for 15 to17 year olds whereas the questions used previously were the set used for the 5 to 14 year olds</w:t>
      </w:r>
      <w:r w:rsidR="006D2846" w:rsidRPr="006D2846">
        <w:rPr>
          <w:rFonts w:ascii="Arial" w:hAnsi="Arial"/>
          <w:b/>
          <w:bCs/>
          <w:color w:val="000000" w:themeColor="text1"/>
          <w:szCs w:val="20"/>
        </w:rPr>
        <w:t xml:space="preserve">. </w:t>
      </w:r>
    </w:p>
    <w:p w14:paraId="00993B57" w14:textId="3CC16C7C" w:rsidR="00E12BB5" w:rsidRDefault="00E12BB5" w:rsidP="006D2846">
      <w:pPr>
        <w:spacing w:before="60" w:after="0" w:line="240" w:lineRule="auto"/>
        <w:rPr>
          <w:rFonts w:ascii="Arial" w:hAnsi="Arial"/>
          <w:bCs/>
          <w:color w:val="000000" w:themeColor="text1"/>
          <w:sz w:val="18"/>
          <w:szCs w:val="18"/>
        </w:rPr>
      </w:pPr>
    </w:p>
    <w:p w14:paraId="11862AE3" w14:textId="3FA992BC" w:rsidR="00E12BB5" w:rsidRPr="008C66E4" w:rsidRDefault="00E12BB5" w:rsidP="00E12BB5">
      <w:pPr>
        <w:spacing w:line="240" w:lineRule="auto"/>
        <w:rPr>
          <w:rFonts w:ascii="Arial" w:hAnsi="Arial"/>
          <w:bCs/>
          <w:color w:val="000000" w:themeColor="text1"/>
          <w:szCs w:val="20"/>
        </w:rPr>
      </w:pPr>
      <w:r w:rsidRPr="008C66E4">
        <w:rPr>
          <w:rFonts w:ascii="Arial" w:hAnsi="Arial"/>
          <w:bCs/>
          <w:color w:val="000000" w:themeColor="text1"/>
          <w:szCs w:val="20"/>
        </w:rPr>
        <w:t>The following definitions are used in HILS 2024-25:</w:t>
      </w:r>
    </w:p>
    <w:p w14:paraId="6327F55F" w14:textId="77777777" w:rsidR="00E12BB5" w:rsidRPr="00C45D9E" w:rsidRDefault="00E12BB5">
      <w:pPr>
        <w:pStyle w:val="ListParagraph"/>
        <w:numPr>
          <w:ilvl w:val="0"/>
          <w:numId w:val="40"/>
        </w:numPr>
        <w:spacing w:after="60" w:line="240" w:lineRule="auto"/>
        <w:ind w:left="567" w:hanging="352"/>
        <w:contextualSpacing w:val="0"/>
        <w:rPr>
          <w:rFonts w:ascii="Arial" w:eastAsia="Times New Roman" w:hAnsi="Arial"/>
          <w:color w:val="000000"/>
          <w:sz w:val="18"/>
          <w:szCs w:val="18"/>
          <w:lang w:eastAsia="en-NZ"/>
        </w:rPr>
      </w:pPr>
      <w:r w:rsidRPr="00C45D9E">
        <w:rPr>
          <w:rFonts w:ascii="Arial" w:eastAsia="Times New Roman" w:hAnsi="Arial"/>
          <w:color w:val="000000"/>
          <w:sz w:val="18"/>
          <w:szCs w:val="18"/>
          <w:lang w:eastAsia="en-NZ"/>
        </w:rPr>
        <w:t>Children under 2 years old are not assessed for disability.</w:t>
      </w:r>
    </w:p>
    <w:p w14:paraId="0EFD179E" w14:textId="77777777" w:rsidR="00E12BB5" w:rsidRPr="00C45D9E" w:rsidRDefault="00E12BB5">
      <w:pPr>
        <w:pStyle w:val="ListParagraph"/>
        <w:numPr>
          <w:ilvl w:val="0"/>
          <w:numId w:val="40"/>
        </w:numPr>
        <w:spacing w:after="60" w:line="240" w:lineRule="auto"/>
        <w:ind w:left="567" w:hanging="352"/>
        <w:contextualSpacing w:val="0"/>
        <w:rPr>
          <w:rFonts w:ascii="Arial" w:hAnsi="Arial"/>
          <w:bCs/>
          <w:color w:val="000000" w:themeColor="text1"/>
          <w:sz w:val="18"/>
          <w:szCs w:val="18"/>
        </w:rPr>
      </w:pPr>
      <w:r w:rsidRPr="00C45D9E">
        <w:rPr>
          <w:rFonts w:ascii="Arial" w:hAnsi="Arial"/>
          <w:bCs/>
          <w:color w:val="000000" w:themeColor="text1"/>
          <w:sz w:val="18"/>
          <w:szCs w:val="18"/>
        </w:rPr>
        <w:t xml:space="preserve">People aged 2 to 4 are disabled if they have serious difficulty with at least one of the following: seeing (even with glasses), hearing (even with hearing aids), walking (without the use of equipment or assistance), manual dexterity, communicating, learning, playing, or controlling their own behaviour. </w:t>
      </w:r>
    </w:p>
    <w:p w14:paraId="1E7FB8F4" w14:textId="656636BB" w:rsidR="00E12BB5" w:rsidRPr="00C45D9E" w:rsidRDefault="00E12BB5">
      <w:pPr>
        <w:pStyle w:val="ListParagraph"/>
        <w:numPr>
          <w:ilvl w:val="0"/>
          <w:numId w:val="40"/>
        </w:numPr>
        <w:spacing w:after="60" w:line="240" w:lineRule="auto"/>
        <w:ind w:left="567" w:hanging="352"/>
        <w:contextualSpacing w:val="0"/>
        <w:rPr>
          <w:rFonts w:ascii="Arial" w:hAnsi="Arial"/>
          <w:bCs/>
          <w:color w:val="000000" w:themeColor="text1"/>
          <w:sz w:val="18"/>
          <w:szCs w:val="18"/>
        </w:rPr>
      </w:pPr>
      <w:r w:rsidRPr="00C45D9E">
        <w:rPr>
          <w:rFonts w:ascii="Arial" w:hAnsi="Arial"/>
          <w:bCs/>
          <w:color w:val="000000" w:themeColor="text1"/>
          <w:sz w:val="18"/>
          <w:szCs w:val="18"/>
        </w:rPr>
        <w:t>People aged 5 to</w:t>
      </w:r>
      <w:r w:rsidR="00C45D9E" w:rsidRPr="00C45D9E">
        <w:rPr>
          <w:rFonts w:ascii="Arial" w:hAnsi="Arial"/>
          <w:bCs/>
          <w:color w:val="000000" w:themeColor="text1"/>
          <w:sz w:val="18"/>
          <w:szCs w:val="18"/>
        </w:rPr>
        <w:t xml:space="preserve"> </w:t>
      </w:r>
      <w:r w:rsidRPr="00C45D9E">
        <w:rPr>
          <w:rFonts w:ascii="Arial" w:hAnsi="Arial"/>
          <w:bCs/>
          <w:color w:val="000000" w:themeColor="text1"/>
          <w:sz w:val="18"/>
          <w:szCs w:val="18"/>
        </w:rPr>
        <w:t xml:space="preserve">14 are disabled if they have serious difficulty with at least one of the following: seeing (even with glasses or contact lenses), hearing (even with hearing aids), walking (without the use of equipment or assistance), personal care such as feeding or dressing themselves, communicating, learning, remembering, concentrating, accepting change, controlling their own behaviour, making friends, anxiety, or depression. </w:t>
      </w:r>
    </w:p>
    <w:p w14:paraId="24E73718" w14:textId="77777777" w:rsidR="00E12BB5" w:rsidRPr="00C45D9E" w:rsidRDefault="00E12BB5">
      <w:pPr>
        <w:pStyle w:val="ListParagraph"/>
        <w:numPr>
          <w:ilvl w:val="0"/>
          <w:numId w:val="40"/>
        </w:numPr>
        <w:spacing w:after="60" w:line="240" w:lineRule="auto"/>
        <w:ind w:left="567" w:hanging="352"/>
        <w:contextualSpacing w:val="0"/>
        <w:rPr>
          <w:rFonts w:ascii="Arial" w:hAnsi="Arial"/>
          <w:bCs/>
          <w:color w:val="000000" w:themeColor="text1"/>
          <w:sz w:val="18"/>
          <w:szCs w:val="18"/>
        </w:rPr>
      </w:pPr>
      <w:r w:rsidRPr="00C45D9E">
        <w:rPr>
          <w:rFonts w:ascii="Arial" w:hAnsi="Arial"/>
          <w:bCs/>
          <w:color w:val="000000" w:themeColor="text1"/>
          <w:sz w:val="18"/>
          <w:szCs w:val="18"/>
        </w:rPr>
        <w:t xml:space="preserve">People aged 15 or over are disabled if they have serious difficulty with at least one of the following: seeing (even with glasses or contact lenses), hearing (even with hearing aids), walking (without the use of equipment or assistance), manual dexterity, upper body strength, personal care such as washing and dressing, communicating, remembering or concentrating (due to a long-term condition or health problem), anxiety, or depression.  </w:t>
      </w:r>
    </w:p>
    <w:p w14:paraId="3A5BF0FE" w14:textId="77777777" w:rsidR="00215B09" w:rsidRDefault="00215B09" w:rsidP="00215B09">
      <w:pPr>
        <w:spacing w:after="0" w:line="240" w:lineRule="auto"/>
        <w:rPr>
          <w:rFonts w:ascii="Arial" w:hAnsi="Arial"/>
          <w:b/>
          <w:color w:val="0000FF"/>
          <w:szCs w:val="20"/>
        </w:rPr>
      </w:pPr>
    </w:p>
    <w:p w14:paraId="7EF93594" w14:textId="0A15195D" w:rsidR="00674A3D" w:rsidRPr="00E94BB3" w:rsidRDefault="00674A3D" w:rsidP="00674A3D">
      <w:pPr>
        <w:spacing w:line="240" w:lineRule="auto"/>
        <w:rPr>
          <w:rFonts w:ascii="Arial" w:eastAsia="Times New Roman" w:hAnsi="Arial"/>
          <w:color w:val="000000"/>
          <w:szCs w:val="20"/>
          <w:lang w:eastAsia="en-NZ"/>
        </w:rPr>
      </w:pPr>
      <w:r w:rsidRPr="00E86023">
        <w:rPr>
          <w:rFonts w:ascii="Arial" w:hAnsi="Arial"/>
          <w:b/>
          <w:color w:val="000000" w:themeColor="text1"/>
          <w:szCs w:val="20"/>
        </w:rPr>
        <w:t xml:space="preserve">Table </w:t>
      </w:r>
      <w:r w:rsidR="00C70B60">
        <w:rPr>
          <w:rFonts w:ascii="Arial" w:hAnsi="Arial"/>
          <w:b/>
          <w:color w:val="000000" w:themeColor="text1"/>
          <w:szCs w:val="20"/>
        </w:rPr>
        <w:t>E.</w:t>
      </w:r>
      <w:r w:rsidR="00580757">
        <w:rPr>
          <w:rFonts w:ascii="Arial" w:hAnsi="Arial"/>
          <w:b/>
          <w:color w:val="000000" w:themeColor="text1"/>
          <w:szCs w:val="20"/>
        </w:rPr>
        <w:t>6</w:t>
      </w:r>
      <w:r w:rsidR="00C70B60">
        <w:rPr>
          <w:rFonts w:ascii="Arial" w:hAnsi="Arial"/>
          <w:b/>
          <w:color w:val="000000" w:themeColor="text1"/>
          <w:szCs w:val="20"/>
        </w:rPr>
        <w:t xml:space="preserve"> </w:t>
      </w:r>
      <w:r>
        <w:rPr>
          <w:rFonts w:ascii="Arial" w:hAnsi="Arial"/>
          <w:bCs/>
          <w:color w:val="000000" w:themeColor="text1"/>
          <w:szCs w:val="20"/>
        </w:rPr>
        <w:t xml:space="preserve">reports the material hardship rates for children by their disability status and that of their household. </w:t>
      </w:r>
      <w:r w:rsidRPr="00E86023">
        <w:rPr>
          <w:rFonts w:ascii="Arial" w:hAnsi="Arial"/>
          <w:bCs/>
          <w:color w:val="000000" w:themeColor="text1"/>
          <w:szCs w:val="20"/>
        </w:rPr>
        <w:t>The numbers are drawn directly from Stats NZ’s February 202</w:t>
      </w:r>
      <w:r>
        <w:rPr>
          <w:rFonts w:ascii="Arial" w:hAnsi="Arial"/>
          <w:bCs/>
          <w:color w:val="000000" w:themeColor="text1"/>
          <w:szCs w:val="20"/>
        </w:rPr>
        <w:t xml:space="preserve">6 </w:t>
      </w:r>
      <w:r w:rsidRPr="00E86023">
        <w:rPr>
          <w:rFonts w:ascii="Arial" w:hAnsi="Arial"/>
          <w:bCs/>
          <w:color w:val="000000" w:themeColor="text1"/>
          <w:szCs w:val="20"/>
        </w:rPr>
        <w:t>Child Poverty release</w:t>
      </w:r>
      <w:r>
        <w:rPr>
          <w:rFonts w:ascii="Arial" w:hAnsi="Arial"/>
          <w:bCs/>
          <w:color w:val="000000" w:themeColor="text1"/>
          <w:szCs w:val="20"/>
        </w:rPr>
        <w:t xml:space="preserve"> (</w:t>
      </w:r>
      <w:r w:rsidRPr="00E94BB3">
        <w:rPr>
          <w:rFonts w:ascii="Arial" w:hAnsi="Arial"/>
          <w:bCs/>
          <w:color w:val="000000" w:themeColor="text1"/>
          <w:szCs w:val="20"/>
        </w:rPr>
        <w:t>Tables 3.04 and 8.04), with some rounding.</w:t>
      </w:r>
      <w:r w:rsidRPr="00E94BB3">
        <w:rPr>
          <w:rStyle w:val="FootnoteReference"/>
          <w:rFonts w:ascii="Arial" w:hAnsi="Arial"/>
          <w:bCs/>
          <w:color w:val="000000" w:themeColor="text1"/>
          <w:szCs w:val="20"/>
        </w:rPr>
        <w:footnoteReference w:id="54"/>
      </w:r>
      <w:r w:rsidRPr="00E94BB3">
        <w:rPr>
          <w:rFonts w:ascii="Arial" w:hAnsi="Arial"/>
          <w:bCs/>
          <w:color w:val="000000" w:themeColor="text1"/>
          <w:szCs w:val="20"/>
        </w:rPr>
        <w:t xml:space="preserve"> </w:t>
      </w:r>
    </w:p>
    <w:p w14:paraId="39897B7B" w14:textId="77777777" w:rsidR="00674A3D" w:rsidRPr="00E94BB3" w:rsidRDefault="00674A3D">
      <w:pPr>
        <w:pStyle w:val="ListParagraph"/>
        <w:numPr>
          <w:ilvl w:val="0"/>
          <w:numId w:val="32"/>
        </w:numPr>
        <w:spacing w:line="240" w:lineRule="auto"/>
        <w:ind w:hanging="357"/>
        <w:contextualSpacing w:val="0"/>
        <w:rPr>
          <w:rFonts w:ascii="Arial" w:eastAsia="Times New Roman" w:hAnsi="Arial"/>
          <w:color w:val="000000"/>
          <w:szCs w:val="20"/>
          <w:lang w:eastAsia="en-NZ"/>
        </w:rPr>
      </w:pPr>
      <w:r w:rsidRPr="00E94BB3">
        <w:rPr>
          <w:rFonts w:ascii="Arial" w:eastAsia="Times New Roman" w:hAnsi="Arial"/>
          <w:color w:val="000000"/>
          <w:szCs w:val="20"/>
          <w:lang w:eastAsia="en-NZ"/>
        </w:rPr>
        <w:t>Disabled children are over-represented in the material hardship figures. For example, in the disabled children column, the risk ratio is around 1.9 (21/11), whereas for non-disabled children it is around 0.9 (79/89).</w:t>
      </w:r>
    </w:p>
    <w:p w14:paraId="6A52FC51" w14:textId="77777777" w:rsidR="00674A3D" w:rsidRPr="00E94BB3" w:rsidRDefault="00674A3D">
      <w:pPr>
        <w:pStyle w:val="ListParagraph"/>
        <w:numPr>
          <w:ilvl w:val="0"/>
          <w:numId w:val="32"/>
        </w:numPr>
        <w:spacing w:line="240" w:lineRule="auto"/>
        <w:ind w:hanging="357"/>
        <w:contextualSpacing w:val="0"/>
        <w:rPr>
          <w:rFonts w:ascii="Arial" w:eastAsia="Times New Roman" w:hAnsi="Arial"/>
          <w:color w:val="000000"/>
          <w:szCs w:val="20"/>
          <w:lang w:eastAsia="en-NZ"/>
        </w:rPr>
      </w:pPr>
      <w:r w:rsidRPr="00E94BB3">
        <w:rPr>
          <w:rFonts w:ascii="Arial" w:eastAsia="Times New Roman" w:hAnsi="Arial"/>
          <w:color w:val="000000"/>
          <w:szCs w:val="20"/>
          <w:lang w:eastAsia="en-NZ"/>
        </w:rPr>
        <w:t xml:space="preserve">Around one in five children living in households experiencing material hardship are disabled (21%), one in four for those in severe hardship (25%). </w:t>
      </w:r>
    </w:p>
    <w:p w14:paraId="0CA69914" w14:textId="77777777" w:rsidR="00674A3D" w:rsidRPr="00E94BB3" w:rsidRDefault="00674A3D">
      <w:pPr>
        <w:pStyle w:val="ListParagraph"/>
        <w:numPr>
          <w:ilvl w:val="0"/>
          <w:numId w:val="32"/>
        </w:numPr>
        <w:spacing w:after="0" w:line="240" w:lineRule="auto"/>
        <w:ind w:hanging="357"/>
        <w:contextualSpacing w:val="0"/>
        <w:rPr>
          <w:rFonts w:ascii="Arial" w:eastAsia="Times New Roman" w:hAnsi="Arial"/>
          <w:color w:val="000000"/>
          <w:szCs w:val="20"/>
          <w:lang w:eastAsia="en-NZ"/>
        </w:rPr>
      </w:pPr>
      <w:r w:rsidRPr="00E94BB3">
        <w:rPr>
          <w:rFonts w:ascii="Arial" w:eastAsia="Times New Roman" w:hAnsi="Arial"/>
          <w:color w:val="000000"/>
          <w:szCs w:val="20"/>
          <w:lang w:eastAsia="en-NZ"/>
        </w:rPr>
        <w:t>Almost 60% of children in material hardship come from households with at least one disabled person (a ‘disabled household’), 67% of those experiencing severe hardship.</w:t>
      </w:r>
    </w:p>
    <w:p w14:paraId="6E4B4C16" w14:textId="77777777" w:rsidR="00674A3D" w:rsidRDefault="00674A3D" w:rsidP="00674A3D">
      <w:pPr>
        <w:spacing w:after="0" w:line="240" w:lineRule="auto"/>
        <w:rPr>
          <w:rFonts w:ascii="Arial" w:eastAsia="Times New Roman" w:hAnsi="Arial"/>
          <w:color w:val="000000"/>
          <w:szCs w:val="20"/>
          <w:lang w:eastAsia="en-NZ"/>
        </w:rPr>
      </w:pPr>
    </w:p>
    <w:p w14:paraId="59B2CE31" w14:textId="5BFBE7D7" w:rsidR="00674A3D" w:rsidRPr="00510F5A" w:rsidRDefault="00674A3D" w:rsidP="00674A3D">
      <w:pPr>
        <w:spacing w:after="0" w:line="240" w:lineRule="auto"/>
        <w:jc w:val="center"/>
        <w:rPr>
          <w:rFonts w:ascii="Arial" w:hAnsi="Arial"/>
          <w:b/>
          <w:color w:val="FF0000"/>
          <w:sz w:val="18"/>
          <w:szCs w:val="18"/>
        </w:rPr>
      </w:pPr>
      <w:r w:rsidRPr="00827424">
        <w:rPr>
          <w:rFonts w:ascii="Arial" w:hAnsi="Arial"/>
          <w:b/>
          <w:color w:val="000000" w:themeColor="text1"/>
          <w:sz w:val="18"/>
          <w:szCs w:val="18"/>
        </w:rPr>
        <w:t xml:space="preserve">Table </w:t>
      </w:r>
      <w:r w:rsidR="00C70B60">
        <w:rPr>
          <w:rFonts w:ascii="Arial" w:hAnsi="Arial"/>
          <w:b/>
          <w:color w:val="000000" w:themeColor="text1"/>
          <w:sz w:val="18"/>
          <w:szCs w:val="18"/>
        </w:rPr>
        <w:t>E</w:t>
      </w:r>
      <w:r w:rsidRPr="00827424">
        <w:rPr>
          <w:rFonts w:ascii="Arial" w:hAnsi="Arial"/>
          <w:b/>
          <w:color w:val="000000" w:themeColor="text1"/>
          <w:sz w:val="18"/>
          <w:szCs w:val="18"/>
        </w:rPr>
        <w:t>.</w:t>
      </w:r>
      <w:r w:rsidR="002D236D">
        <w:rPr>
          <w:rFonts w:ascii="Arial" w:hAnsi="Arial"/>
          <w:b/>
          <w:color w:val="000000" w:themeColor="text1"/>
          <w:sz w:val="18"/>
          <w:szCs w:val="18"/>
        </w:rPr>
        <w:t>6</w:t>
      </w:r>
    </w:p>
    <w:p w14:paraId="3B9D24B6" w14:textId="77777777" w:rsidR="00674A3D" w:rsidRDefault="00674A3D" w:rsidP="00674A3D">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MH-18 7+/17 material</w:t>
      </w:r>
      <w:r w:rsidRPr="00827424">
        <w:rPr>
          <w:rFonts w:ascii="Arial" w:hAnsi="Arial"/>
          <w:b/>
          <w:color w:val="000000" w:themeColor="text1"/>
          <w:sz w:val="18"/>
          <w:szCs w:val="18"/>
        </w:rPr>
        <w:t xml:space="preserve"> hardship rates (%)</w:t>
      </w:r>
      <w:r>
        <w:rPr>
          <w:rFonts w:ascii="Arial" w:hAnsi="Arial"/>
          <w:b/>
          <w:color w:val="000000" w:themeColor="text1"/>
          <w:sz w:val="18"/>
          <w:szCs w:val="18"/>
        </w:rPr>
        <w:t xml:space="preserve"> </w:t>
      </w:r>
      <w:r w:rsidRPr="00827424">
        <w:rPr>
          <w:rFonts w:ascii="Arial" w:hAnsi="Arial"/>
          <w:b/>
          <w:color w:val="000000" w:themeColor="text1"/>
          <w:sz w:val="18"/>
          <w:szCs w:val="18"/>
        </w:rPr>
        <w:t xml:space="preserve">for children by disability status,  </w:t>
      </w:r>
    </w:p>
    <w:p w14:paraId="16963E13" w14:textId="77777777" w:rsidR="00674A3D" w:rsidRDefault="00674A3D" w:rsidP="00674A3D">
      <w:pPr>
        <w:spacing w:line="240" w:lineRule="auto"/>
        <w:jc w:val="center"/>
        <w:rPr>
          <w:rFonts w:ascii="Arial" w:hAnsi="Arial"/>
          <w:b/>
          <w:color w:val="000000" w:themeColor="text1"/>
          <w:sz w:val="18"/>
          <w:szCs w:val="18"/>
        </w:rPr>
      </w:pPr>
      <w:r w:rsidRPr="00827424">
        <w:rPr>
          <w:rFonts w:ascii="Arial" w:hAnsi="Arial"/>
          <w:b/>
          <w:color w:val="000000" w:themeColor="text1"/>
          <w:sz w:val="18"/>
          <w:szCs w:val="18"/>
        </w:rPr>
        <w:t>H</w:t>
      </w:r>
      <w:r>
        <w:rPr>
          <w:rFonts w:ascii="Arial" w:hAnsi="Arial"/>
          <w:b/>
          <w:color w:val="000000" w:themeColor="text1"/>
          <w:sz w:val="18"/>
          <w:szCs w:val="18"/>
        </w:rPr>
        <w:t>IL</w:t>
      </w:r>
      <w:r w:rsidRPr="00827424">
        <w:rPr>
          <w:rFonts w:ascii="Arial" w:hAnsi="Arial"/>
          <w:b/>
          <w:color w:val="000000" w:themeColor="text1"/>
          <w:sz w:val="18"/>
          <w:szCs w:val="18"/>
        </w:rPr>
        <w:t>S 202</w:t>
      </w:r>
      <w:r>
        <w:rPr>
          <w:rFonts w:ascii="Arial" w:hAnsi="Arial"/>
          <w:b/>
          <w:color w:val="000000" w:themeColor="text1"/>
          <w:sz w:val="18"/>
          <w:szCs w:val="18"/>
        </w:rPr>
        <w:t>4</w:t>
      </w:r>
      <w:r w:rsidRPr="00827424">
        <w:rPr>
          <w:rFonts w:ascii="Arial" w:hAnsi="Arial"/>
          <w:b/>
          <w:color w:val="000000" w:themeColor="text1"/>
          <w:sz w:val="18"/>
          <w:szCs w:val="18"/>
        </w:rPr>
        <w:t>-2</w:t>
      </w:r>
      <w:r>
        <w:rPr>
          <w:rFonts w:ascii="Arial" w:hAnsi="Arial"/>
          <w:b/>
          <w:color w:val="000000" w:themeColor="text1"/>
          <w:sz w:val="18"/>
          <w:szCs w:val="18"/>
        </w:rPr>
        <w:t>5</w:t>
      </w:r>
    </w:p>
    <w:tbl>
      <w:tblPr>
        <w:tblStyle w:val="TableGrid"/>
        <w:tblW w:w="0" w:type="auto"/>
        <w:jc w:val="center"/>
        <w:tblLook w:val="04A0" w:firstRow="1" w:lastRow="0" w:firstColumn="1" w:lastColumn="0" w:noHBand="0" w:noVBand="1"/>
      </w:tblPr>
      <w:tblGrid>
        <w:gridCol w:w="2705"/>
        <w:gridCol w:w="1134"/>
        <w:gridCol w:w="1144"/>
        <w:gridCol w:w="1549"/>
        <w:gridCol w:w="1843"/>
      </w:tblGrid>
      <w:tr w:rsidR="00674A3D" w14:paraId="0CEF801A" w14:textId="77777777" w:rsidTr="003B2DF4">
        <w:trPr>
          <w:jc w:val="center"/>
        </w:trPr>
        <w:tc>
          <w:tcPr>
            <w:tcW w:w="2705" w:type="dxa"/>
            <w:tcMar>
              <w:left w:w="57" w:type="dxa"/>
              <w:right w:w="57" w:type="dxa"/>
            </w:tcMar>
            <w:vAlign w:val="center"/>
          </w:tcPr>
          <w:p w14:paraId="1CD81E38" w14:textId="77777777" w:rsidR="00674A3D" w:rsidRPr="00827424" w:rsidRDefault="00674A3D" w:rsidP="006A1150">
            <w:pPr>
              <w:spacing w:before="40" w:after="40" w:line="240" w:lineRule="auto"/>
              <w:rPr>
                <w:rFonts w:ascii="Arial" w:hAnsi="Arial"/>
                <w:b/>
                <w:color w:val="000000" w:themeColor="text1"/>
                <w:sz w:val="14"/>
                <w:szCs w:val="14"/>
              </w:rPr>
            </w:pPr>
          </w:p>
        </w:tc>
        <w:tc>
          <w:tcPr>
            <w:tcW w:w="1134" w:type="dxa"/>
            <w:tcMar>
              <w:left w:w="57" w:type="dxa"/>
              <w:right w:w="57" w:type="dxa"/>
            </w:tcMar>
            <w:vAlign w:val="center"/>
          </w:tcPr>
          <w:p w14:paraId="2A0C107A" w14:textId="77777777" w:rsidR="00674A3D" w:rsidRPr="00827424" w:rsidRDefault="00674A3D" w:rsidP="006A1150">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Disabled children</w:t>
            </w:r>
          </w:p>
        </w:tc>
        <w:tc>
          <w:tcPr>
            <w:tcW w:w="1144" w:type="dxa"/>
            <w:tcBorders>
              <w:right w:val="single" w:sz="8" w:space="0" w:color="auto"/>
            </w:tcBorders>
            <w:tcMar>
              <w:left w:w="57" w:type="dxa"/>
              <w:right w:w="57" w:type="dxa"/>
            </w:tcMar>
            <w:vAlign w:val="center"/>
          </w:tcPr>
          <w:p w14:paraId="2BE0F2C3" w14:textId="77777777" w:rsidR="00674A3D" w:rsidRPr="00827424" w:rsidRDefault="00674A3D" w:rsidP="006A1150">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Non-disabled children</w:t>
            </w:r>
          </w:p>
        </w:tc>
        <w:tc>
          <w:tcPr>
            <w:tcW w:w="1549" w:type="dxa"/>
            <w:tcBorders>
              <w:left w:val="single" w:sz="8" w:space="0" w:color="auto"/>
            </w:tcBorders>
            <w:tcMar>
              <w:left w:w="57" w:type="dxa"/>
              <w:right w:w="57" w:type="dxa"/>
            </w:tcMar>
            <w:vAlign w:val="center"/>
          </w:tcPr>
          <w:p w14:paraId="6FCDDF87" w14:textId="77777777" w:rsidR="00674A3D" w:rsidRPr="00827424" w:rsidRDefault="00674A3D" w:rsidP="006A1150">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Children in disabled household</w:t>
            </w:r>
          </w:p>
        </w:tc>
        <w:tc>
          <w:tcPr>
            <w:tcW w:w="1843" w:type="dxa"/>
            <w:tcMar>
              <w:left w:w="57" w:type="dxa"/>
              <w:right w:w="57" w:type="dxa"/>
            </w:tcMar>
            <w:vAlign w:val="center"/>
          </w:tcPr>
          <w:p w14:paraId="48054331" w14:textId="77777777" w:rsidR="00674A3D" w:rsidRPr="00827424" w:rsidRDefault="00674A3D" w:rsidP="006A1150">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Children in non-disabled household</w:t>
            </w:r>
          </w:p>
        </w:tc>
      </w:tr>
      <w:tr w:rsidR="00674A3D" w14:paraId="6C330EA7" w14:textId="77777777" w:rsidTr="003B2DF4">
        <w:trPr>
          <w:jc w:val="center"/>
        </w:trPr>
        <w:tc>
          <w:tcPr>
            <w:tcW w:w="2705" w:type="dxa"/>
            <w:tcMar>
              <w:left w:w="57" w:type="dxa"/>
              <w:right w:w="57" w:type="dxa"/>
            </w:tcMar>
            <w:vAlign w:val="center"/>
          </w:tcPr>
          <w:p w14:paraId="5B121BFE"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Numbers in hardship</w:t>
            </w:r>
          </w:p>
        </w:tc>
        <w:tc>
          <w:tcPr>
            <w:tcW w:w="1134" w:type="dxa"/>
            <w:tcMar>
              <w:left w:w="57" w:type="dxa"/>
              <w:right w:w="57" w:type="dxa"/>
            </w:tcMar>
            <w:vAlign w:val="center"/>
          </w:tcPr>
          <w:p w14:paraId="60C8C21A"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32,000</w:t>
            </w:r>
          </w:p>
        </w:tc>
        <w:tc>
          <w:tcPr>
            <w:tcW w:w="1144" w:type="dxa"/>
            <w:tcBorders>
              <w:right w:val="single" w:sz="8" w:space="0" w:color="auto"/>
            </w:tcBorders>
            <w:tcMar>
              <w:left w:w="57" w:type="dxa"/>
              <w:right w:w="57" w:type="dxa"/>
            </w:tcMar>
            <w:vAlign w:val="center"/>
          </w:tcPr>
          <w:p w14:paraId="10CB4FB1"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121,000</w:t>
            </w:r>
          </w:p>
        </w:tc>
        <w:tc>
          <w:tcPr>
            <w:tcW w:w="1549" w:type="dxa"/>
            <w:tcBorders>
              <w:left w:val="single" w:sz="8" w:space="0" w:color="auto"/>
            </w:tcBorders>
            <w:tcMar>
              <w:left w:w="57" w:type="dxa"/>
              <w:right w:w="57" w:type="dxa"/>
            </w:tcMar>
            <w:vAlign w:val="center"/>
          </w:tcPr>
          <w:p w14:paraId="62BCF085"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100,000</w:t>
            </w:r>
          </w:p>
        </w:tc>
        <w:tc>
          <w:tcPr>
            <w:tcW w:w="1843" w:type="dxa"/>
            <w:tcMar>
              <w:left w:w="57" w:type="dxa"/>
              <w:right w:w="57" w:type="dxa"/>
            </w:tcMar>
            <w:vAlign w:val="center"/>
          </w:tcPr>
          <w:p w14:paraId="05641981"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69,000</w:t>
            </w:r>
          </w:p>
        </w:tc>
      </w:tr>
      <w:tr w:rsidR="00674A3D" w14:paraId="2B857669" w14:textId="77777777" w:rsidTr="003B2DF4">
        <w:trPr>
          <w:jc w:val="center"/>
        </w:trPr>
        <w:tc>
          <w:tcPr>
            <w:tcW w:w="2705" w:type="dxa"/>
            <w:tcMar>
              <w:left w:w="57" w:type="dxa"/>
              <w:right w:w="57" w:type="dxa"/>
            </w:tcMar>
            <w:vAlign w:val="center"/>
          </w:tcPr>
          <w:p w14:paraId="7DC5FD9F"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Hardship rate</w:t>
            </w:r>
          </w:p>
        </w:tc>
        <w:tc>
          <w:tcPr>
            <w:tcW w:w="1134" w:type="dxa"/>
            <w:tcMar>
              <w:left w:w="57" w:type="dxa"/>
              <w:right w:w="57" w:type="dxa"/>
            </w:tcMar>
            <w:vAlign w:val="center"/>
          </w:tcPr>
          <w:p w14:paraId="2F9FBEC3"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27</w:t>
            </w:r>
          </w:p>
        </w:tc>
        <w:tc>
          <w:tcPr>
            <w:tcW w:w="1144" w:type="dxa"/>
            <w:tcBorders>
              <w:right w:val="single" w:sz="8" w:space="0" w:color="auto"/>
            </w:tcBorders>
            <w:tcMar>
              <w:left w:w="57" w:type="dxa"/>
              <w:right w:w="57" w:type="dxa"/>
            </w:tcMar>
            <w:vAlign w:val="center"/>
          </w:tcPr>
          <w:p w14:paraId="1E661E60"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13</w:t>
            </w:r>
          </w:p>
        </w:tc>
        <w:tc>
          <w:tcPr>
            <w:tcW w:w="1549" w:type="dxa"/>
            <w:tcBorders>
              <w:left w:val="single" w:sz="8" w:space="0" w:color="auto"/>
            </w:tcBorders>
            <w:tcMar>
              <w:left w:w="57" w:type="dxa"/>
              <w:right w:w="57" w:type="dxa"/>
            </w:tcMar>
            <w:vAlign w:val="center"/>
          </w:tcPr>
          <w:p w14:paraId="4EA8130E"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28</w:t>
            </w:r>
          </w:p>
        </w:tc>
        <w:tc>
          <w:tcPr>
            <w:tcW w:w="1843" w:type="dxa"/>
            <w:tcMar>
              <w:left w:w="57" w:type="dxa"/>
              <w:right w:w="57" w:type="dxa"/>
            </w:tcMar>
            <w:vAlign w:val="center"/>
          </w:tcPr>
          <w:p w14:paraId="20EFD32F"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8</w:t>
            </w:r>
          </w:p>
        </w:tc>
      </w:tr>
      <w:tr w:rsidR="00674A3D" w14:paraId="0820CFAA" w14:textId="77777777" w:rsidTr="003B2DF4">
        <w:trPr>
          <w:jc w:val="center"/>
        </w:trPr>
        <w:tc>
          <w:tcPr>
            <w:tcW w:w="2705" w:type="dxa"/>
            <w:tcMar>
              <w:left w:w="57" w:type="dxa"/>
              <w:right w:w="57" w:type="dxa"/>
            </w:tcMar>
            <w:vAlign w:val="center"/>
          </w:tcPr>
          <w:p w14:paraId="3A1C66CC"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Proportion of those in hardship</w:t>
            </w:r>
          </w:p>
        </w:tc>
        <w:tc>
          <w:tcPr>
            <w:tcW w:w="1134" w:type="dxa"/>
            <w:tcMar>
              <w:left w:w="57" w:type="dxa"/>
              <w:right w:w="57" w:type="dxa"/>
            </w:tcMar>
            <w:vAlign w:val="center"/>
          </w:tcPr>
          <w:p w14:paraId="6EA072FA"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21</w:t>
            </w:r>
          </w:p>
        </w:tc>
        <w:tc>
          <w:tcPr>
            <w:tcW w:w="1144" w:type="dxa"/>
            <w:tcBorders>
              <w:right w:val="single" w:sz="8" w:space="0" w:color="auto"/>
            </w:tcBorders>
            <w:tcMar>
              <w:left w:w="57" w:type="dxa"/>
              <w:right w:w="57" w:type="dxa"/>
            </w:tcMar>
            <w:vAlign w:val="center"/>
          </w:tcPr>
          <w:p w14:paraId="1C67DCFB"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79</w:t>
            </w:r>
          </w:p>
        </w:tc>
        <w:tc>
          <w:tcPr>
            <w:tcW w:w="1549" w:type="dxa"/>
            <w:tcBorders>
              <w:left w:val="single" w:sz="8" w:space="0" w:color="auto"/>
            </w:tcBorders>
            <w:tcMar>
              <w:left w:w="57" w:type="dxa"/>
              <w:right w:w="57" w:type="dxa"/>
            </w:tcMar>
            <w:vAlign w:val="center"/>
          </w:tcPr>
          <w:p w14:paraId="57953BE9"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59</w:t>
            </w:r>
          </w:p>
        </w:tc>
        <w:tc>
          <w:tcPr>
            <w:tcW w:w="1843" w:type="dxa"/>
            <w:tcMar>
              <w:left w:w="57" w:type="dxa"/>
              <w:right w:w="57" w:type="dxa"/>
            </w:tcMar>
            <w:vAlign w:val="center"/>
          </w:tcPr>
          <w:p w14:paraId="1328325D"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41</w:t>
            </w:r>
          </w:p>
        </w:tc>
      </w:tr>
      <w:tr w:rsidR="00674A3D" w14:paraId="0B80D8F0" w14:textId="77777777" w:rsidTr="003B2DF4">
        <w:trPr>
          <w:jc w:val="center"/>
        </w:trPr>
        <w:tc>
          <w:tcPr>
            <w:tcW w:w="2705" w:type="dxa"/>
            <w:shd w:val="clear" w:color="auto" w:fill="D9D9D9" w:themeFill="background1" w:themeFillShade="D9"/>
            <w:tcMar>
              <w:left w:w="57" w:type="dxa"/>
              <w:right w:w="57" w:type="dxa"/>
            </w:tcMar>
            <w:vAlign w:val="center"/>
          </w:tcPr>
          <w:p w14:paraId="6DCB50DF"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Numbers in severe hardship</w:t>
            </w:r>
          </w:p>
        </w:tc>
        <w:tc>
          <w:tcPr>
            <w:tcW w:w="1134" w:type="dxa"/>
            <w:shd w:val="clear" w:color="auto" w:fill="D9D9D9" w:themeFill="background1" w:themeFillShade="D9"/>
            <w:tcMar>
              <w:left w:w="57" w:type="dxa"/>
              <w:right w:w="57" w:type="dxa"/>
            </w:tcMar>
            <w:vAlign w:val="center"/>
          </w:tcPr>
          <w:p w14:paraId="2BEA69FB"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16,000</w:t>
            </w:r>
          </w:p>
        </w:tc>
        <w:tc>
          <w:tcPr>
            <w:tcW w:w="1144" w:type="dxa"/>
            <w:tcBorders>
              <w:right w:val="single" w:sz="8" w:space="0" w:color="auto"/>
            </w:tcBorders>
            <w:shd w:val="clear" w:color="auto" w:fill="D9D9D9" w:themeFill="background1" w:themeFillShade="D9"/>
            <w:tcMar>
              <w:left w:w="57" w:type="dxa"/>
              <w:right w:w="57" w:type="dxa"/>
            </w:tcMar>
            <w:vAlign w:val="center"/>
          </w:tcPr>
          <w:p w14:paraId="5AF09C79"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49,000</w:t>
            </w:r>
          </w:p>
        </w:tc>
        <w:tc>
          <w:tcPr>
            <w:tcW w:w="1549" w:type="dxa"/>
            <w:tcBorders>
              <w:left w:val="single" w:sz="8" w:space="0" w:color="auto"/>
            </w:tcBorders>
            <w:shd w:val="clear" w:color="auto" w:fill="D9D9D9" w:themeFill="background1" w:themeFillShade="D9"/>
            <w:tcMar>
              <w:left w:w="57" w:type="dxa"/>
              <w:right w:w="57" w:type="dxa"/>
            </w:tcMar>
            <w:vAlign w:val="center"/>
          </w:tcPr>
          <w:p w14:paraId="5BAFA313"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48,000</w:t>
            </w:r>
          </w:p>
        </w:tc>
        <w:tc>
          <w:tcPr>
            <w:tcW w:w="1843" w:type="dxa"/>
            <w:shd w:val="clear" w:color="auto" w:fill="D9D9D9" w:themeFill="background1" w:themeFillShade="D9"/>
            <w:tcMar>
              <w:left w:w="57" w:type="dxa"/>
              <w:right w:w="57" w:type="dxa"/>
            </w:tcMar>
            <w:vAlign w:val="center"/>
          </w:tcPr>
          <w:p w14:paraId="7C0FF6ED"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24,000</w:t>
            </w:r>
          </w:p>
        </w:tc>
      </w:tr>
      <w:tr w:rsidR="00674A3D" w14:paraId="68F36445" w14:textId="77777777" w:rsidTr="003B2DF4">
        <w:trPr>
          <w:jc w:val="center"/>
        </w:trPr>
        <w:tc>
          <w:tcPr>
            <w:tcW w:w="2705" w:type="dxa"/>
            <w:shd w:val="clear" w:color="auto" w:fill="D9D9D9" w:themeFill="background1" w:themeFillShade="D9"/>
            <w:tcMar>
              <w:left w:w="57" w:type="dxa"/>
              <w:right w:w="57" w:type="dxa"/>
            </w:tcMar>
            <w:vAlign w:val="center"/>
          </w:tcPr>
          <w:p w14:paraId="690F25F5"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Severe hardship rate</w:t>
            </w:r>
          </w:p>
        </w:tc>
        <w:tc>
          <w:tcPr>
            <w:tcW w:w="1134" w:type="dxa"/>
            <w:shd w:val="clear" w:color="auto" w:fill="D9D9D9" w:themeFill="background1" w:themeFillShade="D9"/>
            <w:tcMar>
              <w:left w:w="57" w:type="dxa"/>
              <w:right w:w="57" w:type="dxa"/>
            </w:tcMar>
            <w:vAlign w:val="center"/>
          </w:tcPr>
          <w:p w14:paraId="05301FBE"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14</w:t>
            </w:r>
          </w:p>
        </w:tc>
        <w:tc>
          <w:tcPr>
            <w:tcW w:w="1144" w:type="dxa"/>
            <w:tcBorders>
              <w:right w:val="single" w:sz="8" w:space="0" w:color="auto"/>
            </w:tcBorders>
            <w:shd w:val="clear" w:color="auto" w:fill="D9D9D9" w:themeFill="background1" w:themeFillShade="D9"/>
            <w:tcMar>
              <w:left w:w="57" w:type="dxa"/>
              <w:right w:w="57" w:type="dxa"/>
            </w:tcMar>
            <w:vAlign w:val="center"/>
          </w:tcPr>
          <w:p w14:paraId="223E798B"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5</w:t>
            </w:r>
          </w:p>
        </w:tc>
        <w:tc>
          <w:tcPr>
            <w:tcW w:w="1549" w:type="dxa"/>
            <w:tcBorders>
              <w:left w:val="single" w:sz="8" w:space="0" w:color="auto"/>
            </w:tcBorders>
            <w:shd w:val="clear" w:color="auto" w:fill="D9D9D9" w:themeFill="background1" w:themeFillShade="D9"/>
            <w:tcMar>
              <w:left w:w="57" w:type="dxa"/>
              <w:right w:w="57" w:type="dxa"/>
            </w:tcMar>
            <w:vAlign w:val="center"/>
          </w:tcPr>
          <w:p w14:paraId="51C981D7"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13</w:t>
            </w:r>
          </w:p>
        </w:tc>
        <w:tc>
          <w:tcPr>
            <w:tcW w:w="1843" w:type="dxa"/>
            <w:shd w:val="clear" w:color="auto" w:fill="D9D9D9" w:themeFill="background1" w:themeFillShade="D9"/>
            <w:tcMar>
              <w:left w:w="57" w:type="dxa"/>
              <w:right w:w="57" w:type="dxa"/>
            </w:tcMar>
            <w:vAlign w:val="center"/>
          </w:tcPr>
          <w:p w14:paraId="3A8705B9"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3</w:t>
            </w:r>
          </w:p>
        </w:tc>
      </w:tr>
      <w:tr w:rsidR="00674A3D" w14:paraId="285BCDF5" w14:textId="77777777" w:rsidTr="003B2DF4">
        <w:trPr>
          <w:jc w:val="center"/>
        </w:trPr>
        <w:tc>
          <w:tcPr>
            <w:tcW w:w="2705" w:type="dxa"/>
            <w:shd w:val="clear" w:color="auto" w:fill="D9D9D9" w:themeFill="background1" w:themeFillShade="D9"/>
            <w:tcMar>
              <w:left w:w="57" w:type="dxa"/>
              <w:right w:w="57" w:type="dxa"/>
            </w:tcMar>
            <w:vAlign w:val="center"/>
          </w:tcPr>
          <w:p w14:paraId="5C5A91A4"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Proportion of those in severe hardship</w:t>
            </w:r>
          </w:p>
        </w:tc>
        <w:tc>
          <w:tcPr>
            <w:tcW w:w="1134" w:type="dxa"/>
            <w:shd w:val="clear" w:color="auto" w:fill="D9D9D9" w:themeFill="background1" w:themeFillShade="D9"/>
            <w:tcMar>
              <w:left w:w="57" w:type="dxa"/>
              <w:right w:w="57" w:type="dxa"/>
            </w:tcMar>
            <w:vAlign w:val="center"/>
          </w:tcPr>
          <w:p w14:paraId="199233F8"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25</w:t>
            </w:r>
          </w:p>
        </w:tc>
        <w:tc>
          <w:tcPr>
            <w:tcW w:w="1144" w:type="dxa"/>
            <w:tcBorders>
              <w:right w:val="single" w:sz="8" w:space="0" w:color="auto"/>
            </w:tcBorders>
            <w:shd w:val="clear" w:color="auto" w:fill="D9D9D9" w:themeFill="background1" w:themeFillShade="D9"/>
            <w:tcMar>
              <w:left w:w="57" w:type="dxa"/>
              <w:right w:w="57" w:type="dxa"/>
            </w:tcMar>
            <w:vAlign w:val="center"/>
          </w:tcPr>
          <w:p w14:paraId="18E08072"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75</w:t>
            </w:r>
          </w:p>
        </w:tc>
        <w:tc>
          <w:tcPr>
            <w:tcW w:w="1549" w:type="dxa"/>
            <w:tcBorders>
              <w:left w:val="single" w:sz="8" w:space="0" w:color="auto"/>
            </w:tcBorders>
            <w:shd w:val="clear" w:color="auto" w:fill="D9D9D9" w:themeFill="background1" w:themeFillShade="D9"/>
            <w:tcMar>
              <w:left w:w="57" w:type="dxa"/>
              <w:right w:w="57" w:type="dxa"/>
            </w:tcMar>
            <w:vAlign w:val="center"/>
          </w:tcPr>
          <w:p w14:paraId="77AC5699"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67</w:t>
            </w:r>
          </w:p>
        </w:tc>
        <w:tc>
          <w:tcPr>
            <w:tcW w:w="1843" w:type="dxa"/>
            <w:shd w:val="clear" w:color="auto" w:fill="D9D9D9" w:themeFill="background1" w:themeFillShade="D9"/>
            <w:tcMar>
              <w:left w:w="57" w:type="dxa"/>
              <w:right w:w="57" w:type="dxa"/>
            </w:tcMar>
            <w:vAlign w:val="center"/>
          </w:tcPr>
          <w:p w14:paraId="29832CD6" w14:textId="77777777" w:rsidR="00674A3D" w:rsidRDefault="00674A3D" w:rsidP="006A1150">
            <w:pPr>
              <w:spacing w:before="40" w:after="40" w:line="240" w:lineRule="auto"/>
              <w:jc w:val="center"/>
              <w:rPr>
                <w:rFonts w:ascii="Arial" w:hAnsi="Arial"/>
                <w:color w:val="000000"/>
                <w:sz w:val="14"/>
                <w:szCs w:val="14"/>
              </w:rPr>
            </w:pPr>
            <w:r>
              <w:rPr>
                <w:rFonts w:ascii="Arial" w:hAnsi="Arial"/>
                <w:color w:val="000000"/>
                <w:sz w:val="14"/>
                <w:szCs w:val="14"/>
              </w:rPr>
              <w:t>33</w:t>
            </w:r>
          </w:p>
        </w:tc>
      </w:tr>
      <w:tr w:rsidR="00674A3D" w14:paraId="67A600F8" w14:textId="77777777" w:rsidTr="003B2DF4">
        <w:trPr>
          <w:jc w:val="center"/>
        </w:trPr>
        <w:tc>
          <w:tcPr>
            <w:tcW w:w="2705" w:type="dxa"/>
            <w:tcMar>
              <w:left w:w="57" w:type="dxa"/>
              <w:right w:w="57" w:type="dxa"/>
            </w:tcMar>
            <w:vAlign w:val="center"/>
          </w:tcPr>
          <w:p w14:paraId="64F8FD07"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Size of group (#)</w:t>
            </w:r>
          </w:p>
        </w:tc>
        <w:tc>
          <w:tcPr>
            <w:tcW w:w="1134" w:type="dxa"/>
            <w:tcMar>
              <w:left w:w="57" w:type="dxa"/>
              <w:right w:w="57" w:type="dxa"/>
            </w:tcMar>
            <w:vAlign w:val="center"/>
          </w:tcPr>
          <w:p w14:paraId="3F0FEB41"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118,000</w:t>
            </w:r>
          </w:p>
        </w:tc>
        <w:tc>
          <w:tcPr>
            <w:tcW w:w="1144" w:type="dxa"/>
            <w:tcBorders>
              <w:right w:val="single" w:sz="8" w:space="0" w:color="auto"/>
            </w:tcBorders>
            <w:tcMar>
              <w:left w:w="57" w:type="dxa"/>
              <w:right w:w="57" w:type="dxa"/>
            </w:tcMar>
            <w:vAlign w:val="center"/>
          </w:tcPr>
          <w:p w14:paraId="60C1042A"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954,000</w:t>
            </w:r>
          </w:p>
        </w:tc>
        <w:tc>
          <w:tcPr>
            <w:tcW w:w="1549" w:type="dxa"/>
            <w:tcBorders>
              <w:left w:val="single" w:sz="8" w:space="0" w:color="auto"/>
            </w:tcBorders>
            <w:tcMar>
              <w:left w:w="57" w:type="dxa"/>
              <w:right w:w="57" w:type="dxa"/>
            </w:tcMar>
            <w:vAlign w:val="center"/>
          </w:tcPr>
          <w:p w14:paraId="67C99A25"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365,000</w:t>
            </w:r>
          </w:p>
        </w:tc>
        <w:tc>
          <w:tcPr>
            <w:tcW w:w="1843" w:type="dxa"/>
            <w:tcMar>
              <w:left w:w="57" w:type="dxa"/>
              <w:right w:w="57" w:type="dxa"/>
            </w:tcMar>
            <w:vAlign w:val="center"/>
          </w:tcPr>
          <w:p w14:paraId="3C2B63F2" w14:textId="77777777" w:rsidR="00674A3D" w:rsidRPr="00827424"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818,000</w:t>
            </w:r>
          </w:p>
        </w:tc>
      </w:tr>
      <w:tr w:rsidR="00674A3D" w14:paraId="62C6B651" w14:textId="77777777" w:rsidTr="003B2DF4">
        <w:trPr>
          <w:jc w:val="center"/>
        </w:trPr>
        <w:tc>
          <w:tcPr>
            <w:tcW w:w="2705" w:type="dxa"/>
            <w:tcMar>
              <w:left w:w="57" w:type="dxa"/>
              <w:right w:w="57" w:type="dxa"/>
            </w:tcMar>
            <w:vAlign w:val="center"/>
          </w:tcPr>
          <w:p w14:paraId="668023ED" w14:textId="77777777" w:rsidR="00674A3D" w:rsidRPr="000E4031" w:rsidRDefault="00674A3D" w:rsidP="006A1150">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Size of group (%)</w:t>
            </w:r>
          </w:p>
        </w:tc>
        <w:tc>
          <w:tcPr>
            <w:tcW w:w="1134" w:type="dxa"/>
            <w:tcMar>
              <w:left w:w="57" w:type="dxa"/>
              <w:right w:w="57" w:type="dxa"/>
            </w:tcMar>
            <w:vAlign w:val="center"/>
          </w:tcPr>
          <w:p w14:paraId="5CEF2246"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11</w:t>
            </w:r>
          </w:p>
        </w:tc>
        <w:tc>
          <w:tcPr>
            <w:tcW w:w="1144" w:type="dxa"/>
            <w:tcBorders>
              <w:right w:val="single" w:sz="8" w:space="0" w:color="auto"/>
            </w:tcBorders>
            <w:tcMar>
              <w:left w:w="57" w:type="dxa"/>
              <w:right w:w="57" w:type="dxa"/>
            </w:tcMar>
            <w:vAlign w:val="center"/>
          </w:tcPr>
          <w:p w14:paraId="5D02B5D6"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89</w:t>
            </w:r>
          </w:p>
        </w:tc>
        <w:tc>
          <w:tcPr>
            <w:tcW w:w="1549" w:type="dxa"/>
            <w:tcBorders>
              <w:left w:val="single" w:sz="8" w:space="0" w:color="auto"/>
            </w:tcBorders>
            <w:tcMar>
              <w:left w:w="57" w:type="dxa"/>
              <w:right w:w="57" w:type="dxa"/>
            </w:tcMar>
            <w:vAlign w:val="center"/>
          </w:tcPr>
          <w:p w14:paraId="4C06CDD9"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31</w:t>
            </w:r>
          </w:p>
        </w:tc>
        <w:tc>
          <w:tcPr>
            <w:tcW w:w="1843" w:type="dxa"/>
            <w:tcMar>
              <w:left w:w="57" w:type="dxa"/>
              <w:right w:w="57" w:type="dxa"/>
            </w:tcMar>
            <w:vAlign w:val="center"/>
          </w:tcPr>
          <w:p w14:paraId="3C13E861" w14:textId="77777777" w:rsidR="00674A3D" w:rsidRDefault="00674A3D" w:rsidP="006A1150">
            <w:pPr>
              <w:spacing w:before="40" w:after="40" w:line="240" w:lineRule="auto"/>
              <w:jc w:val="center"/>
              <w:rPr>
                <w:rFonts w:ascii="Arial" w:hAnsi="Arial"/>
                <w:bCs/>
                <w:color w:val="000000" w:themeColor="text1"/>
                <w:sz w:val="14"/>
                <w:szCs w:val="14"/>
              </w:rPr>
            </w:pPr>
            <w:r>
              <w:rPr>
                <w:rFonts w:ascii="Arial" w:hAnsi="Arial"/>
                <w:color w:val="000000"/>
                <w:sz w:val="14"/>
                <w:szCs w:val="14"/>
              </w:rPr>
              <w:t>69</w:t>
            </w:r>
          </w:p>
        </w:tc>
      </w:tr>
    </w:tbl>
    <w:p w14:paraId="7C4D1C89" w14:textId="62940326" w:rsidR="00674A3D" w:rsidRPr="0038610A" w:rsidRDefault="00674A3D" w:rsidP="0038610A">
      <w:pPr>
        <w:spacing w:before="60" w:after="0" w:line="240" w:lineRule="auto"/>
        <w:ind w:left="284"/>
        <w:rPr>
          <w:rFonts w:ascii="Arial" w:hAnsi="Arial"/>
          <w:bCs/>
          <w:color w:val="000000" w:themeColor="text1"/>
          <w:sz w:val="16"/>
          <w:szCs w:val="16"/>
        </w:rPr>
      </w:pPr>
      <w:r w:rsidRPr="0038610A">
        <w:rPr>
          <w:rFonts w:ascii="Arial" w:hAnsi="Arial"/>
          <w:bCs/>
          <w:color w:val="000000" w:themeColor="text1"/>
          <w:sz w:val="16"/>
          <w:szCs w:val="16"/>
        </w:rPr>
        <w:t xml:space="preserve">Notes for </w:t>
      </w:r>
      <w:r w:rsidR="00FE2828" w:rsidRPr="0038610A">
        <w:rPr>
          <w:rFonts w:ascii="Arial" w:hAnsi="Arial"/>
          <w:bCs/>
          <w:color w:val="000000" w:themeColor="text1"/>
          <w:sz w:val="16"/>
          <w:szCs w:val="16"/>
        </w:rPr>
        <w:t>table:</w:t>
      </w:r>
    </w:p>
    <w:p w14:paraId="354CAF2D" w14:textId="77777777" w:rsidR="00674A3D" w:rsidRPr="0038610A" w:rsidRDefault="00674A3D">
      <w:pPr>
        <w:pStyle w:val="ListParagraph"/>
        <w:numPr>
          <w:ilvl w:val="0"/>
          <w:numId w:val="59"/>
        </w:numPr>
        <w:spacing w:before="40" w:after="0" w:line="240" w:lineRule="auto"/>
        <w:ind w:left="709" w:hanging="221"/>
        <w:contextualSpacing w:val="0"/>
        <w:rPr>
          <w:rFonts w:ascii="Arial" w:hAnsi="Arial"/>
          <w:bCs/>
          <w:color w:val="000000" w:themeColor="text1"/>
          <w:sz w:val="16"/>
          <w:szCs w:val="16"/>
        </w:rPr>
      </w:pPr>
      <w:r w:rsidRPr="0038610A">
        <w:rPr>
          <w:rFonts w:ascii="Arial" w:hAnsi="Arial"/>
          <w:bCs/>
          <w:color w:val="000000" w:themeColor="text1"/>
          <w:sz w:val="16"/>
          <w:szCs w:val="16"/>
        </w:rPr>
        <w:t>A disabled household is one with at least one disabled person.</w:t>
      </w:r>
    </w:p>
    <w:p w14:paraId="59E9317B" w14:textId="77777777" w:rsidR="00674A3D" w:rsidRPr="0038610A" w:rsidRDefault="00674A3D">
      <w:pPr>
        <w:pStyle w:val="ListParagraph"/>
        <w:numPr>
          <w:ilvl w:val="0"/>
          <w:numId w:val="59"/>
        </w:numPr>
        <w:spacing w:before="40" w:after="0" w:line="240" w:lineRule="auto"/>
        <w:ind w:left="709" w:hanging="221"/>
        <w:contextualSpacing w:val="0"/>
        <w:rPr>
          <w:rFonts w:ascii="Arial" w:hAnsi="Arial"/>
          <w:bCs/>
          <w:color w:val="000000" w:themeColor="text1"/>
          <w:sz w:val="16"/>
          <w:szCs w:val="16"/>
        </w:rPr>
      </w:pPr>
      <w:r w:rsidRPr="0038610A">
        <w:rPr>
          <w:rFonts w:ascii="Arial" w:hAnsi="Arial"/>
          <w:bCs/>
          <w:color w:val="000000" w:themeColor="text1"/>
          <w:sz w:val="16"/>
          <w:szCs w:val="16"/>
        </w:rPr>
        <w:t>Numbers of disabled &amp; non-disabled children relate only to those aged 2 to 17 yrs.</w:t>
      </w:r>
    </w:p>
    <w:p w14:paraId="13133F8A" w14:textId="77777777" w:rsidR="00CF0D05" w:rsidRPr="0038610A" w:rsidRDefault="00674A3D">
      <w:pPr>
        <w:pStyle w:val="ListParagraph"/>
        <w:numPr>
          <w:ilvl w:val="0"/>
          <w:numId w:val="59"/>
        </w:numPr>
        <w:spacing w:before="40" w:after="0" w:line="240" w:lineRule="auto"/>
        <w:ind w:left="709" w:hanging="221"/>
        <w:contextualSpacing w:val="0"/>
        <w:rPr>
          <w:rFonts w:ascii="Arial" w:eastAsia="Times New Roman" w:hAnsi="Arial"/>
          <w:color w:val="000000" w:themeColor="text1"/>
          <w:sz w:val="16"/>
          <w:szCs w:val="16"/>
          <w:lang w:eastAsia="en-NZ"/>
        </w:rPr>
      </w:pPr>
      <w:r w:rsidRPr="0038610A">
        <w:rPr>
          <w:rFonts w:ascii="Arial" w:hAnsi="Arial"/>
          <w:bCs/>
          <w:color w:val="000000" w:themeColor="text1"/>
          <w:sz w:val="16"/>
          <w:szCs w:val="16"/>
        </w:rPr>
        <w:t>Children of all ages are included in the numbers for disabled and non-disabled households.</w:t>
      </w:r>
    </w:p>
    <w:p w14:paraId="1C89C497" w14:textId="77777777" w:rsidR="003A4EA5" w:rsidRPr="00903F0F" w:rsidRDefault="003A4EA5" w:rsidP="003A4EA5">
      <w:pPr>
        <w:spacing w:before="40" w:after="0" w:line="240" w:lineRule="auto"/>
        <w:rPr>
          <w:rFonts w:ascii="Arial" w:hAnsi="Arial"/>
          <w:color w:val="000000" w:themeColor="text1"/>
          <w:sz w:val="16"/>
          <w:szCs w:val="16"/>
        </w:rPr>
      </w:pPr>
    </w:p>
    <w:p w14:paraId="5E51A3E2" w14:textId="7F2DD678" w:rsidR="00BD0AB6" w:rsidRPr="00AE73E1" w:rsidRDefault="003A4EA5" w:rsidP="003A4EA5">
      <w:pPr>
        <w:spacing w:before="40" w:after="0" w:line="240" w:lineRule="auto"/>
        <w:rPr>
          <w:rFonts w:ascii="Arial" w:eastAsia="Times New Roman" w:hAnsi="Arial"/>
          <w:color w:val="0000FF"/>
          <w:sz w:val="18"/>
          <w:szCs w:val="18"/>
          <w:lang w:eastAsia="en-NZ"/>
        </w:rPr>
      </w:pPr>
      <w:r w:rsidRPr="00AE73E1">
        <w:rPr>
          <w:rFonts w:ascii="Arial" w:hAnsi="Arial"/>
          <w:sz w:val="18"/>
          <w:szCs w:val="18"/>
        </w:rPr>
        <w:t xml:space="preserve">See also </w:t>
      </w:r>
      <w:hyperlink r:id="rId41" w:history="1">
        <w:r w:rsidR="00CF0D05" w:rsidRPr="00AE73E1">
          <w:rPr>
            <w:rStyle w:val="Hyperlink"/>
            <w:rFonts w:ascii="Arial" w:eastAsia="Times New Roman" w:hAnsi="Arial"/>
            <w:sz w:val="18"/>
            <w:szCs w:val="18"/>
            <w:lang w:eastAsia="en-NZ"/>
          </w:rPr>
          <w:t>https://www.whaikaha.govt.nz/news/news/disabled-children-still-more-likely-to-live-in-material-hardship</w:t>
        </w:r>
      </w:hyperlink>
    </w:p>
    <w:p w14:paraId="35F6FF17" w14:textId="4258E12A" w:rsidR="00FC709B" w:rsidRPr="002900D3" w:rsidRDefault="00FC709B" w:rsidP="006024D9">
      <w:pPr>
        <w:spacing w:after="60" w:line="240" w:lineRule="auto"/>
        <w:rPr>
          <w:rFonts w:ascii="Arial" w:eastAsia="Times New Roman" w:hAnsi="Arial"/>
          <w:color w:val="000000" w:themeColor="text1"/>
          <w:szCs w:val="20"/>
          <w:lang w:eastAsia="en-NZ"/>
        </w:rPr>
      </w:pPr>
      <w:r w:rsidRPr="002900D3">
        <w:rPr>
          <w:rFonts w:ascii="Arial" w:eastAsia="Times New Roman" w:hAnsi="Arial"/>
          <w:color w:val="000000" w:themeColor="text1"/>
          <w:szCs w:val="20"/>
          <w:lang w:eastAsia="en-NZ"/>
        </w:rPr>
        <w:t xml:space="preserve">While disabled children and children in disabled households are over-represented in </w:t>
      </w:r>
      <w:r w:rsidR="00ED3DE4" w:rsidRPr="002900D3">
        <w:rPr>
          <w:rFonts w:ascii="Arial" w:eastAsia="Times New Roman" w:hAnsi="Arial"/>
          <w:color w:val="000000" w:themeColor="text1"/>
          <w:szCs w:val="20"/>
          <w:lang w:eastAsia="en-NZ"/>
        </w:rPr>
        <w:t>MH</w:t>
      </w:r>
      <w:r w:rsidRPr="002900D3">
        <w:rPr>
          <w:rFonts w:ascii="Arial" w:eastAsia="Times New Roman" w:hAnsi="Arial"/>
          <w:color w:val="000000" w:themeColor="text1"/>
          <w:szCs w:val="20"/>
          <w:lang w:eastAsia="en-NZ"/>
        </w:rPr>
        <w:t xml:space="preserve">, they </w:t>
      </w:r>
      <w:r w:rsidR="00BD0AB6" w:rsidRPr="002900D3">
        <w:rPr>
          <w:rFonts w:ascii="Arial" w:eastAsia="Times New Roman" w:hAnsi="Arial"/>
          <w:color w:val="000000" w:themeColor="text1"/>
          <w:szCs w:val="20"/>
          <w:lang w:eastAsia="en-NZ"/>
        </w:rPr>
        <w:t xml:space="preserve">differ from most other groups who are over-represented in MH in that they </w:t>
      </w:r>
      <w:r w:rsidRPr="002900D3">
        <w:rPr>
          <w:rFonts w:ascii="Arial" w:eastAsia="Times New Roman" w:hAnsi="Arial"/>
          <w:color w:val="000000" w:themeColor="text1"/>
          <w:szCs w:val="20"/>
          <w:lang w:eastAsia="en-NZ"/>
        </w:rPr>
        <w:t xml:space="preserve">are found in </w:t>
      </w:r>
      <w:r w:rsidR="00B52419">
        <w:rPr>
          <w:rFonts w:ascii="Arial" w:eastAsia="Times New Roman" w:hAnsi="Arial"/>
          <w:color w:val="000000" w:themeColor="text1"/>
          <w:szCs w:val="20"/>
          <w:lang w:eastAsia="en-NZ"/>
        </w:rPr>
        <w:t>reasonably even</w:t>
      </w:r>
      <w:r w:rsidRPr="002900D3">
        <w:rPr>
          <w:rFonts w:ascii="Arial" w:eastAsia="Times New Roman" w:hAnsi="Arial"/>
          <w:color w:val="000000" w:themeColor="text1"/>
          <w:szCs w:val="20"/>
          <w:lang w:eastAsia="en-NZ"/>
        </w:rPr>
        <w:t xml:space="preserve"> </w:t>
      </w:r>
      <w:r w:rsidRPr="002900D3">
        <w:rPr>
          <w:rFonts w:ascii="Arial" w:eastAsia="Times New Roman" w:hAnsi="Arial"/>
          <w:color w:val="000000" w:themeColor="text1"/>
          <w:szCs w:val="20"/>
          <w:lang w:eastAsia="en-NZ"/>
        </w:rPr>
        <w:lastRenderedPageBreak/>
        <w:t xml:space="preserve">numbers across the whole material wellbeing spectrum. This is shown in </w:t>
      </w:r>
      <w:r w:rsidRPr="002900D3">
        <w:rPr>
          <w:rFonts w:ascii="Arial" w:eastAsia="Times New Roman" w:hAnsi="Arial"/>
          <w:b/>
          <w:bCs/>
          <w:color w:val="000000" w:themeColor="text1"/>
          <w:szCs w:val="20"/>
          <w:lang w:eastAsia="en-NZ"/>
        </w:rPr>
        <w:t xml:space="preserve">Table </w:t>
      </w:r>
      <w:r w:rsidR="00C70B60" w:rsidRPr="002900D3">
        <w:rPr>
          <w:rFonts w:ascii="Arial" w:eastAsia="Times New Roman" w:hAnsi="Arial"/>
          <w:b/>
          <w:bCs/>
          <w:color w:val="000000" w:themeColor="text1"/>
          <w:szCs w:val="20"/>
          <w:lang w:eastAsia="en-NZ"/>
        </w:rPr>
        <w:t>E</w:t>
      </w:r>
      <w:r w:rsidRPr="002900D3">
        <w:rPr>
          <w:rFonts w:ascii="Arial" w:eastAsia="Times New Roman" w:hAnsi="Arial"/>
          <w:b/>
          <w:bCs/>
          <w:color w:val="000000" w:themeColor="text1"/>
          <w:szCs w:val="20"/>
          <w:lang w:eastAsia="en-NZ"/>
        </w:rPr>
        <w:t>.</w:t>
      </w:r>
      <w:r w:rsidR="002D236D">
        <w:rPr>
          <w:rFonts w:ascii="Arial" w:eastAsia="Times New Roman" w:hAnsi="Arial"/>
          <w:b/>
          <w:bCs/>
          <w:color w:val="000000" w:themeColor="text1"/>
          <w:szCs w:val="20"/>
          <w:lang w:eastAsia="en-NZ"/>
        </w:rPr>
        <w:t>7</w:t>
      </w:r>
      <w:r w:rsidRPr="002900D3">
        <w:rPr>
          <w:rFonts w:ascii="Arial" w:eastAsia="Times New Roman" w:hAnsi="Arial"/>
          <w:color w:val="000000" w:themeColor="text1"/>
          <w:szCs w:val="20"/>
          <w:lang w:eastAsia="en-NZ"/>
        </w:rPr>
        <w:t xml:space="preserve"> and </w:t>
      </w:r>
      <w:r w:rsidRPr="002900D3">
        <w:rPr>
          <w:rFonts w:ascii="Arial" w:eastAsia="Times New Roman" w:hAnsi="Arial"/>
          <w:b/>
          <w:bCs/>
          <w:color w:val="000000" w:themeColor="text1"/>
          <w:szCs w:val="20"/>
          <w:lang w:eastAsia="en-NZ"/>
        </w:rPr>
        <w:t xml:space="preserve">Figure </w:t>
      </w:r>
      <w:r w:rsidR="00C70B60" w:rsidRPr="002900D3">
        <w:rPr>
          <w:rFonts w:ascii="Arial" w:eastAsia="Times New Roman" w:hAnsi="Arial"/>
          <w:b/>
          <w:bCs/>
          <w:color w:val="000000" w:themeColor="text1"/>
          <w:szCs w:val="20"/>
          <w:lang w:eastAsia="en-NZ"/>
        </w:rPr>
        <w:t>E</w:t>
      </w:r>
      <w:r w:rsidRPr="002900D3">
        <w:rPr>
          <w:rFonts w:ascii="Arial" w:eastAsia="Times New Roman" w:hAnsi="Arial"/>
          <w:b/>
          <w:bCs/>
          <w:color w:val="000000" w:themeColor="text1"/>
          <w:szCs w:val="20"/>
          <w:lang w:eastAsia="en-NZ"/>
        </w:rPr>
        <w:t>.</w:t>
      </w:r>
      <w:r w:rsidR="00580757">
        <w:rPr>
          <w:rFonts w:ascii="Arial" w:eastAsia="Times New Roman" w:hAnsi="Arial"/>
          <w:b/>
          <w:bCs/>
          <w:color w:val="000000" w:themeColor="text1"/>
          <w:szCs w:val="20"/>
          <w:lang w:eastAsia="en-NZ"/>
        </w:rPr>
        <w:t>1</w:t>
      </w:r>
      <w:r w:rsidRPr="002900D3">
        <w:rPr>
          <w:rFonts w:ascii="Arial" w:eastAsia="Times New Roman" w:hAnsi="Arial"/>
          <w:color w:val="000000" w:themeColor="text1"/>
          <w:szCs w:val="20"/>
          <w:lang w:eastAsia="en-NZ"/>
        </w:rPr>
        <w:t xml:space="preserve"> below, using the material wellbeing index (MWI). They show the distribution </w:t>
      </w:r>
      <w:r w:rsidR="00580757">
        <w:rPr>
          <w:rFonts w:ascii="Arial" w:eastAsia="Times New Roman" w:hAnsi="Arial"/>
          <w:color w:val="000000" w:themeColor="text1"/>
          <w:szCs w:val="20"/>
          <w:lang w:eastAsia="en-NZ"/>
        </w:rPr>
        <w:t xml:space="preserve">across the material wellbeing spectrum </w:t>
      </w:r>
      <w:r w:rsidRPr="002900D3">
        <w:rPr>
          <w:rFonts w:ascii="Arial" w:eastAsia="Times New Roman" w:hAnsi="Arial"/>
          <w:color w:val="000000" w:themeColor="text1"/>
          <w:szCs w:val="20"/>
          <w:lang w:eastAsia="en-NZ"/>
        </w:rPr>
        <w:t>of all children, and that of disabled children (11% of children) and children in a household with a disabled member (</w:t>
      </w:r>
      <w:r w:rsidR="004F3BB3">
        <w:rPr>
          <w:rFonts w:ascii="Arial" w:eastAsia="Times New Roman" w:hAnsi="Arial"/>
          <w:color w:val="000000" w:themeColor="text1"/>
          <w:szCs w:val="20"/>
          <w:lang w:eastAsia="en-NZ"/>
        </w:rPr>
        <w:t>31</w:t>
      </w:r>
      <w:r w:rsidRPr="002900D3">
        <w:rPr>
          <w:rFonts w:ascii="Arial" w:eastAsia="Times New Roman" w:hAnsi="Arial"/>
          <w:color w:val="000000" w:themeColor="text1"/>
          <w:szCs w:val="20"/>
          <w:lang w:eastAsia="en-NZ"/>
        </w:rPr>
        <w:t>% of children). MWI level 1 is the hardship zone and level 6 is the highest material wellbeing level.</w:t>
      </w:r>
    </w:p>
    <w:p w14:paraId="5FA4D531" w14:textId="59775EDD" w:rsidR="00FC709B" w:rsidRPr="002900D3" w:rsidRDefault="00790861">
      <w:pPr>
        <w:pStyle w:val="ListParagraph"/>
        <w:numPr>
          <w:ilvl w:val="0"/>
          <w:numId w:val="44"/>
        </w:numPr>
        <w:spacing w:after="60" w:line="240" w:lineRule="auto"/>
        <w:contextualSpacing w:val="0"/>
        <w:rPr>
          <w:rFonts w:ascii="Arial" w:eastAsia="Times New Roman" w:hAnsi="Arial"/>
          <w:color w:val="000000" w:themeColor="text1"/>
          <w:szCs w:val="20"/>
          <w:lang w:eastAsia="en-NZ"/>
        </w:rPr>
      </w:pPr>
      <w:r w:rsidRPr="002900D3">
        <w:rPr>
          <w:rFonts w:ascii="Arial" w:eastAsia="Times New Roman" w:hAnsi="Arial"/>
          <w:color w:val="000000" w:themeColor="text1"/>
          <w:szCs w:val="20"/>
          <w:lang w:eastAsia="en-NZ"/>
        </w:rPr>
        <w:t xml:space="preserve">The light grey columns in </w:t>
      </w:r>
      <w:r w:rsidRPr="002900D3">
        <w:rPr>
          <w:rFonts w:ascii="Arial" w:eastAsia="Times New Roman" w:hAnsi="Arial"/>
          <w:b/>
          <w:bCs/>
          <w:color w:val="000000" w:themeColor="text1"/>
          <w:szCs w:val="20"/>
          <w:lang w:eastAsia="en-NZ"/>
        </w:rPr>
        <w:t xml:space="preserve">Figure </w:t>
      </w:r>
      <w:r w:rsidR="00C70B60" w:rsidRPr="002900D3">
        <w:rPr>
          <w:rFonts w:ascii="Arial" w:eastAsia="Times New Roman" w:hAnsi="Arial"/>
          <w:b/>
          <w:bCs/>
          <w:color w:val="000000" w:themeColor="text1"/>
          <w:szCs w:val="20"/>
          <w:lang w:eastAsia="en-NZ"/>
        </w:rPr>
        <w:t>E</w:t>
      </w:r>
      <w:r w:rsidRPr="002900D3">
        <w:rPr>
          <w:rFonts w:ascii="Arial" w:eastAsia="Times New Roman" w:hAnsi="Arial"/>
          <w:b/>
          <w:bCs/>
          <w:color w:val="000000" w:themeColor="text1"/>
          <w:szCs w:val="20"/>
          <w:lang w:eastAsia="en-NZ"/>
        </w:rPr>
        <w:t>.1</w:t>
      </w:r>
      <w:r w:rsidRPr="002900D3">
        <w:rPr>
          <w:rFonts w:ascii="Arial" w:eastAsia="Times New Roman" w:hAnsi="Arial"/>
          <w:color w:val="000000" w:themeColor="text1"/>
          <w:szCs w:val="20"/>
          <w:lang w:eastAsia="en-NZ"/>
        </w:rPr>
        <w:t xml:space="preserve"> show how all children are distributed across the MWI levels. The coloured columns show the distribution of disabled children and children in disabled households.</w:t>
      </w:r>
    </w:p>
    <w:p w14:paraId="2B3C7B50" w14:textId="6163E4D5" w:rsidR="00790861" w:rsidRPr="002900D3" w:rsidRDefault="00790861">
      <w:pPr>
        <w:pStyle w:val="ListParagraph"/>
        <w:numPr>
          <w:ilvl w:val="0"/>
          <w:numId w:val="44"/>
        </w:numPr>
        <w:spacing w:after="0" w:line="240" w:lineRule="auto"/>
        <w:ind w:left="714" w:hanging="357"/>
        <w:contextualSpacing w:val="0"/>
        <w:rPr>
          <w:rFonts w:ascii="Arial" w:eastAsia="Times New Roman" w:hAnsi="Arial"/>
          <w:color w:val="000000" w:themeColor="text1"/>
          <w:szCs w:val="20"/>
          <w:lang w:eastAsia="en-NZ"/>
        </w:rPr>
      </w:pPr>
      <w:r w:rsidRPr="002900D3">
        <w:rPr>
          <w:rFonts w:ascii="Arial" w:eastAsia="Times New Roman" w:hAnsi="Arial"/>
          <w:color w:val="000000" w:themeColor="text1"/>
          <w:szCs w:val="20"/>
          <w:lang w:eastAsia="en-NZ"/>
        </w:rPr>
        <w:t>While there is clear over-representation in the hardship zone</w:t>
      </w:r>
      <w:r w:rsidR="00FB33D3" w:rsidRPr="002900D3">
        <w:rPr>
          <w:rFonts w:ascii="Arial" w:eastAsia="Times New Roman" w:hAnsi="Arial"/>
          <w:color w:val="000000" w:themeColor="text1"/>
          <w:szCs w:val="20"/>
          <w:lang w:eastAsia="en-NZ"/>
        </w:rPr>
        <w:t xml:space="preserve"> (Level 1)</w:t>
      </w:r>
      <w:r w:rsidRPr="002900D3">
        <w:rPr>
          <w:rFonts w:ascii="Arial" w:eastAsia="Times New Roman" w:hAnsi="Arial"/>
          <w:color w:val="000000" w:themeColor="text1"/>
          <w:szCs w:val="20"/>
          <w:lang w:eastAsia="en-NZ"/>
        </w:rPr>
        <w:t>,</w:t>
      </w:r>
      <w:r w:rsidR="00FB33D3" w:rsidRPr="002900D3">
        <w:rPr>
          <w:rFonts w:ascii="Arial" w:eastAsia="Times New Roman" w:hAnsi="Arial"/>
          <w:color w:val="000000" w:themeColor="text1"/>
          <w:szCs w:val="20"/>
          <w:lang w:eastAsia="en-NZ"/>
        </w:rPr>
        <w:t xml:space="preserve"> and to some degree in Level 2 (‘near hardship’),</w:t>
      </w:r>
      <w:r w:rsidRPr="002900D3">
        <w:rPr>
          <w:rFonts w:ascii="Arial" w:eastAsia="Times New Roman" w:hAnsi="Arial"/>
          <w:color w:val="000000" w:themeColor="text1"/>
          <w:szCs w:val="20"/>
          <w:lang w:eastAsia="en-NZ"/>
        </w:rPr>
        <w:t xml:space="preserve"> </w:t>
      </w:r>
      <w:r w:rsidR="002B3C33">
        <w:rPr>
          <w:rFonts w:ascii="Arial" w:eastAsia="Times New Roman" w:hAnsi="Arial"/>
          <w:color w:val="000000" w:themeColor="text1"/>
          <w:szCs w:val="20"/>
          <w:lang w:eastAsia="en-NZ"/>
        </w:rPr>
        <w:t xml:space="preserve">almost </w:t>
      </w:r>
      <w:r w:rsidR="00FB33D3" w:rsidRPr="002900D3">
        <w:rPr>
          <w:rFonts w:ascii="Arial" w:eastAsia="Times New Roman" w:hAnsi="Arial"/>
          <w:color w:val="000000" w:themeColor="text1"/>
          <w:szCs w:val="20"/>
          <w:lang w:eastAsia="en-NZ"/>
        </w:rPr>
        <w:t>4</w:t>
      </w:r>
      <w:r w:rsidRPr="002900D3">
        <w:rPr>
          <w:rFonts w:ascii="Arial" w:eastAsia="Times New Roman" w:hAnsi="Arial"/>
          <w:color w:val="000000" w:themeColor="text1"/>
          <w:szCs w:val="20"/>
          <w:lang w:eastAsia="en-NZ"/>
        </w:rPr>
        <w:t xml:space="preserve">0% of disabled children are found in </w:t>
      </w:r>
      <w:r w:rsidR="00FB33D3" w:rsidRPr="002900D3">
        <w:rPr>
          <w:rFonts w:ascii="Arial" w:eastAsia="Times New Roman" w:hAnsi="Arial"/>
          <w:color w:val="000000" w:themeColor="text1"/>
          <w:szCs w:val="20"/>
          <w:lang w:eastAsia="en-NZ"/>
        </w:rPr>
        <w:t xml:space="preserve">three better-off levels. </w:t>
      </w:r>
      <w:r w:rsidR="002B3C33">
        <w:rPr>
          <w:rFonts w:ascii="Arial" w:eastAsia="Times New Roman" w:hAnsi="Arial"/>
          <w:color w:val="000000" w:themeColor="text1"/>
          <w:szCs w:val="20"/>
          <w:lang w:eastAsia="en-NZ"/>
        </w:rPr>
        <w:t>54</w:t>
      </w:r>
      <w:r w:rsidR="00FB33D3" w:rsidRPr="002900D3">
        <w:rPr>
          <w:rFonts w:ascii="Arial" w:eastAsia="Times New Roman" w:hAnsi="Arial"/>
          <w:color w:val="000000" w:themeColor="text1"/>
          <w:szCs w:val="20"/>
          <w:lang w:eastAsia="en-NZ"/>
        </w:rPr>
        <w:t>% are in Levels 3 to 6, well clear of the Level 1 hardship zone.</w:t>
      </w:r>
    </w:p>
    <w:p w14:paraId="29C8BD13" w14:textId="77777777" w:rsidR="00FC709B" w:rsidRPr="00E10EB2" w:rsidRDefault="00FC709B" w:rsidP="00FC709B">
      <w:pPr>
        <w:spacing w:after="0" w:line="240" w:lineRule="auto"/>
        <w:jc w:val="center"/>
        <w:rPr>
          <w:rFonts w:ascii="Arial" w:hAnsi="Arial"/>
          <w:b/>
          <w:bCs/>
          <w:color w:val="0000FF"/>
          <w:sz w:val="14"/>
          <w:szCs w:val="14"/>
        </w:rPr>
      </w:pPr>
    </w:p>
    <w:p w14:paraId="25B37B6B" w14:textId="55CA4809" w:rsidR="002900D3" w:rsidRPr="005B6E05" w:rsidRDefault="002900D3" w:rsidP="002900D3">
      <w:pPr>
        <w:spacing w:after="0" w:line="240" w:lineRule="auto"/>
        <w:jc w:val="center"/>
        <w:rPr>
          <w:rFonts w:ascii="Arial" w:hAnsi="Arial"/>
          <w:b/>
          <w:bCs/>
          <w:color w:val="000000" w:themeColor="text1"/>
          <w:sz w:val="18"/>
          <w:szCs w:val="20"/>
        </w:rPr>
      </w:pPr>
      <w:r w:rsidRPr="002900D3">
        <w:rPr>
          <w:rFonts w:ascii="Arial" w:hAnsi="Arial"/>
          <w:b/>
          <w:bCs/>
          <w:color w:val="000000" w:themeColor="text1"/>
          <w:sz w:val="18"/>
          <w:szCs w:val="20"/>
        </w:rPr>
        <w:t>Table E</w:t>
      </w:r>
      <w:r w:rsidR="00580757">
        <w:rPr>
          <w:rFonts w:ascii="Arial" w:hAnsi="Arial"/>
          <w:b/>
          <w:bCs/>
          <w:color w:val="000000" w:themeColor="text1"/>
          <w:sz w:val="18"/>
          <w:szCs w:val="20"/>
        </w:rPr>
        <w:t>.</w:t>
      </w:r>
      <w:r w:rsidR="002D236D">
        <w:rPr>
          <w:rFonts w:ascii="Arial" w:hAnsi="Arial"/>
          <w:b/>
          <w:bCs/>
          <w:color w:val="000000" w:themeColor="text1"/>
          <w:sz w:val="18"/>
          <w:szCs w:val="20"/>
        </w:rPr>
        <w:t>7</w:t>
      </w:r>
    </w:p>
    <w:p w14:paraId="6CD6B724" w14:textId="77777777" w:rsidR="002900D3" w:rsidRPr="002900D3" w:rsidRDefault="002900D3" w:rsidP="002900D3">
      <w:pPr>
        <w:spacing w:after="0" w:line="240" w:lineRule="auto"/>
        <w:jc w:val="center"/>
        <w:rPr>
          <w:rFonts w:ascii="Arial" w:eastAsia="Times New Roman" w:hAnsi="Arial"/>
          <w:b/>
          <w:color w:val="000000" w:themeColor="text1"/>
          <w:sz w:val="18"/>
          <w:szCs w:val="18"/>
        </w:rPr>
      </w:pPr>
      <w:r w:rsidRPr="002900D3">
        <w:rPr>
          <w:rFonts w:ascii="Arial" w:eastAsia="Times New Roman" w:hAnsi="Arial"/>
          <w:b/>
          <w:color w:val="000000" w:themeColor="text1"/>
          <w:sz w:val="18"/>
          <w:szCs w:val="18"/>
        </w:rPr>
        <w:t>Distribution of children across the full material wellbeing spectrum,</w:t>
      </w:r>
    </w:p>
    <w:p w14:paraId="1D013AE8" w14:textId="1CA13957" w:rsidR="002900D3" w:rsidRPr="002900D3" w:rsidRDefault="002900D3" w:rsidP="002900D3">
      <w:pPr>
        <w:spacing w:line="240" w:lineRule="auto"/>
        <w:jc w:val="center"/>
        <w:rPr>
          <w:rFonts w:ascii="Arial" w:hAnsi="Arial"/>
          <w:b/>
          <w:bCs/>
          <w:color w:val="000000" w:themeColor="text1"/>
          <w:sz w:val="18"/>
          <w:szCs w:val="20"/>
        </w:rPr>
      </w:pPr>
      <w:r w:rsidRPr="002900D3">
        <w:rPr>
          <w:rFonts w:ascii="Arial" w:hAnsi="Arial"/>
          <w:b/>
          <w:bCs/>
          <w:color w:val="000000" w:themeColor="text1"/>
          <w:sz w:val="18"/>
          <w:szCs w:val="20"/>
        </w:rPr>
        <w:t xml:space="preserve"> with 6 groupings using MWI scores, HILS 2024-25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5"/>
        <w:gridCol w:w="581"/>
        <w:gridCol w:w="411"/>
        <w:gridCol w:w="489"/>
        <w:gridCol w:w="489"/>
        <w:gridCol w:w="489"/>
        <w:gridCol w:w="489"/>
        <w:gridCol w:w="595"/>
        <w:gridCol w:w="508"/>
      </w:tblGrid>
      <w:tr w:rsidR="002900D3" w:rsidRPr="005B6E05" w14:paraId="683B3C60" w14:textId="77777777" w:rsidTr="005C46EF">
        <w:trPr>
          <w:jc w:val="center"/>
        </w:trPr>
        <w:tc>
          <w:tcPr>
            <w:tcW w:w="3555" w:type="dxa"/>
          </w:tcPr>
          <w:p w14:paraId="533D978B" w14:textId="77777777" w:rsidR="002900D3" w:rsidRPr="005B6E05" w:rsidRDefault="002900D3" w:rsidP="005C46EF">
            <w:pPr>
              <w:spacing w:before="30" w:after="30" w:line="240" w:lineRule="auto"/>
              <w:jc w:val="right"/>
              <w:rPr>
                <w:rFonts w:ascii="Arial" w:hAnsi="Arial"/>
                <w:color w:val="000000" w:themeColor="text1"/>
                <w:sz w:val="14"/>
                <w:szCs w:val="14"/>
              </w:rPr>
            </w:pPr>
            <w:r w:rsidRPr="005B6E05">
              <w:rPr>
                <w:rFonts w:ascii="Arial" w:hAnsi="Arial"/>
                <w:color w:val="000000" w:themeColor="text1"/>
                <w:sz w:val="14"/>
                <w:szCs w:val="14"/>
              </w:rPr>
              <w:t xml:space="preserve">MWI level  (6=highest material wellbeing) </w:t>
            </w:r>
            <w:r w:rsidRPr="005B6E05">
              <w:rPr>
                <w:rFonts w:ascii="Arial" w:hAnsi="Arial"/>
                <w:b/>
                <w:bCs/>
                <w:color w:val="000000" w:themeColor="text1"/>
                <w:sz w:val="16"/>
                <w:szCs w:val="16"/>
              </w:rPr>
              <w:t>→</w:t>
            </w:r>
          </w:p>
        </w:tc>
        <w:tc>
          <w:tcPr>
            <w:tcW w:w="581" w:type="dxa"/>
            <w:vAlign w:val="center"/>
          </w:tcPr>
          <w:p w14:paraId="7CEB9159"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1</w:t>
            </w:r>
          </w:p>
        </w:tc>
        <w:tc>
          <w:tcPr>
            <w:tcW w:w="411" w:type="dxa"/>
            <w:vAlign w:val="center"/>
          </w:tcPr>
          <w:p w14:paraId="74340C13"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2</w:t>
            </w:r>
          </w:p>
        </w:tc>
        <w:tc>
          <w:tcPr>
            <w:tcW w:w="489" w:type="dxa"/>
            <w:vAlign w:val="center"/>
          </w:tcPr>
          <w:p w14:paraId="0BC021C7"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3</w:t>
            </w:r>
          </w:p>
        </w:tc>
        <w:tc>
          <w:tcPr>
            <w:tcW w:w="489" w:type="dxa"/>
            <w:vAlign w:val="center"/>
          </w:tcPr>
          <w:p w14:paraId="64DC7FEB"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4</w:t>
            </w:r>
          </w:p>
        </w:tc>
        <w:tc>
          <w:tcPr>
            <w:tcW w:w="489" w:type="dxa"/>
            <w:vAlign w:val="center"/>
          </w:tcPr>
          <w:p w14:paraId="7A245626"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5</w:t>
            </w:r>
          </w:p>
        </w:tc>
        <w:tc>
          <w:tcPr>
            <w:tcW w:w="489" w:type="dxa"/>
            <w:tcBorders>
              <w:right w:val="single" w:sz="8" w:space="0" w:color="auto"/>
            </w:tcBorders>
            <w:vAlign w:val="center"/>
          </w:tcPr>
          <w:p w14:paraId="5F09F2B4"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6</w:t>
            </w:r>
          </w:p>
        </w:tc>
        <w:tc>
          <w:tcPr>
            <w:tcW w:w="1103" w:type="dxa"/>
            <w:gridSpan w:val="2"/>
            <w:tcBorders>
              <w:left w:val="single" w:sz="8" w:space="0" w:color="auto"/>
            </w:tcBorders>
          </w:tcPr>
          <w:p w14:paraId="1BB0C9D2" w14:textId="77777777" w:rsidR="002900D3" w:rsidRPr="005B6E05" w:rsidRDefault="002900D3" w:rsidP="005C46EF">
            <w:pPr>
              <w:spacing w:before="30" w:after="30" w:line="240" w:lineRule="auto"/>
              <w:jc w:val="center"/>
              <w:rPr>
                <w:rFonts w:ascii="Arial" w:hAnsi="Arial"/>
                <w:b/>
                <w:bCs/>
                <w:color w:val="000000" w:themeColor="text1"/>
                <w:sz w:val="14"/>
                <w:szCs w:val="14"/>
              </w:rPr>
            </w:pPr>
            <w:r w:rsidRPr="005B6E05">
              <w:rPr>
                <w:rFonts w:ascii="Arial" w:hAnsi="Arial"/>
                <w:b/>
                <w:bCs/>
                <w:color w:val="000000" w:themeColor="text1"/>
                <w:sz w:val="14"/>
                <w:szCs w:val="14"/>
              </w:rPr>
              <w:t>Size of group</w:t>
            </w:r>
          </w:p>
        </w:tc>
      </w:tr>
      <w:tr w:rsidR="002900D3" w:rsidRPr="005B6E05" w14:paraId="17BE2AE3" w14:textId="77777777" w:rsidTr="005C46EF">
        <w:trPr>
          <w:jc w:val="center"/>
        </w:trPr>
        <w:tc>
          <w:tcPr>
            <w:tcW w:w="3555" w:type="dxa"/>
          </w:tcPr>
          <w:p w14:paraId="43882CD4" w14:textId="77777777" w:rsidR="002900D3" w:rsidRPr="005B6E05" w:rsidRDefault="002900D3" w:rsidP="005C46EF">
            <w:pPr>
              <w:spacing w:before="30" w:after="30" w:line="240" w:lineRule="auto"/>
              <w:rPr>
                <w:rFonts w:ascii="Arial" w:hAnsi="Arial"/>
                <w:b/>
                <w:bCs/>
                <w:color w:val="000000" w:themeColor="text1"/>
                <w:sz w:val="14"/>
                <w:szCs w:val="14"/>
              </w:rPr>
            </w:pPr>
          </w:p>
        </w:tc>
        <w:tc>
          <w:tcPr>
            <w:tcW w:w="581" w:type="dxa"/>
            <w:vAlign w:val="center"/>
          </w:tcPr>
          <w:p w14:paraId="5A2CA7D1" w14:textId="77777777" w:rsidR="002900D3" w:rsidRPr="005B6E05" w:rsidRDefault="002900D3" w:rsidP="005C46EF">
            <w:pPr>
              <w:spacing w:before="30" w:after="30" w:line="240" w:lineRule="auto"/>
              <w:ind w:left="-120" w:right="-78"/>
              <w:jc w:val="center"/>
              <w:rPr>
                <w:rFonts w:ascii="Arial" w:hAnsi="Arial"/>
                <w:color w:val="000000" w:themeColor="text1"/>
                <w:sz w:val="14"/>
                <w:szCs w:val="14"/>
              </w:rPr>
            </w:pPr>
            <w:r>
              <w:rPr>
                <w:rFonts w:ascii="Arial" w:hAnsi="Arial"/>
                <w:color w:val="000000"/>
                <w:sz w:val="14"/>
                <w:szCs w:val="14"/>
              </w:rPr>
              <w:t>0-11</w:t>
            </w:r>
          </w:p>
        </w:tc>
        <w:tc>
          <w:tcPr>
            <w:tcW w:w="411" w:type="dxa"/>
            <w:vAlign w:val="center"/>
          </w:tcPr>
          <w:p w14:paraId="7E2EDEDB" w14:textId="77777777" w:rsidR="002900D3" w:rsidRPr="005B6E05" w:rsidRDefault="002900D3" w:rsidP="005C46EF">
            <w:pPr>
              <w:spacing w:before="30" w:after="30" w:line="240" w:lineRule="auto"/>
              <w:ind w:left="-120" w:right="-78"/>
              <w:jc w:val="center"/>
              <w:rPr>
                <w:rFonts w:ascii="Arial" w:hAnsi="Arial"/>
                <w:color w:val="000000" w:themeColor="text1"/>
                <w:sz w:val="14"/>
                <w:szCs w:val="14"/>
              </w:rPr>
            </w:pPr>
            <w:r>
              <w:rPr>
                <w:rFonts w:ascii="Arial" w:hAnsi="Arial"/>
                <w:color w:val="000000"/>
                <w:sz w:val="14"/>
                <w:szCs w:val="14"/>
              </w:rPr>
              <w:t>13-17</w:t>
            </w:r>
          </w:p>
        </w:tc>
        <w:tc>
          <w:tcPr>
            <w:tcW w:w="489" w:type="dxa"/>
            <w:vAlign w:val="center"/>
          </w:tcPr>
          <w:p w14:paraId="672860E8" w14:textId="77777777" w:rsidR="002900D3" w:rsidRPr="005B6E05" w:rsidRDefault="002900D3" w:rsidP="005C46EF">
            <w:pPr>
              <w:spacing w:before="30" w:after="30" w:line="240" w:lineRule="auto"/>
              <w:ind w:left="-120" w:right="-78"/>
              <w:jc w:val="center"/>
              <w:rPr>
                <w:rFonts w:ascii="Arial" w:hAnsi="Arial"/>
                <w:color w:val="000000" w:themeColor="text1"/>
                <w:sz w:val="14"/>
                <w:szCs w:val="14"/>
              </w:rPr>
            </w:pPr>
            <w:r>
              <w:rPr>
                <w:rFonts w:ascii="Arial" w:hAnsi="Arial"/>
                <w:color w:val="000000"/>
                <w:sz w:val="14"/>
                <w:szCs w:val="14"/>
              </w:rPr>
              <w:t>18-23</w:t>
            </w:r>
          </w:p>
        </w:tc>
        <w:tc>
          <w:tcPr>
            <w:tcW w:w="489" w:type="dxa"/>
            <w:vAlign w:val="center"/>
          </w:tcPr>
          <w:p w14:paraId="131A8D1C" w14:textId="77777777" w:rsidR="002900D3" w:rsidRPr="005B6E05" w:rsidRDefault="002900D3" w:rsidP="005C46EF">
            <w:pPr>
              <w:spacing w:before="30" w:after="30" w:line="240" w:lineRule="auto"/>
              <w:ind w:left="-120" w:right="-78"/>
              <w:jc w:val="center"/>
              <w:rPr>
                <w:rFonts w:ascii="Arial" w:hAnsi="Arial"/>
                <w:color w:val="000000" w:themeColor="text1"/>
                <w:sz w:val="14"/>
                <w:szCs w:val="14"/>
              </w:rPr>
            </w:pPr>
            <w:r>
              <w:rPr>
                <w:rFonts w:ascii="Arial" w:hAnsi="Arial"/>
                <w:color w:val="000000"/>
                <w:sz w:val="14"/>
                <w:szCs w:val="14"/>
              </w:rPr>
              <w:t>24-29</w:t>
            </w:r>
          </w:p>
        </w:tc>
        <w:tc>
          <w:tcPr>
            <w:tcW w:w="489" w:type="dxa"/>
            <w:vAlign w:val="center"/>
          </w:tcPr>
          <w:p w14:paraId="7CA42311" w14:textId="77777777" w:rsidR="002900D3" w:rsidRPr="005B6E05" w:rsidRDefault="002900D3" w:rsidP="005C46EF">
            <w:pPr>
              <w:spacing w:before="30" w:after="30" w:line="240" w:lineRule="auto"/>
              <w:ind w:left="-120" w:right="-78"/>
              <w:jc w:val="center"/>
              <w:rPr>
                <w:rFonts w:ascii="Arial" w:hAnsi="Arial"/>
                <w:color w:val="000000" w:themeColor="text1"/>
                <w:sz w:val="14"/>
                <w:szCs w:val="14"/>
              </w:rPr>
            </w:pPr>
            <w:r>
              <w:rPr>
                <w:rFonts w:ascii="Arial" w:hAnsi="Arial"/>
                <w:color w:val="000000"/>
                <w:sz w:val="14"/>
                <w:szCs w:val="14"/>
              </w:rPr>
              <w:t>30-33</w:t>
            </w:r>
          </w:p>
        </w:tc>
        <w:tc>
          <w:tcPr>
            <w:tcW w:w="489" w:type="dxa"/>
            <w:tcBorders>
              <w:right w:val="single" w:sz="8" w:space="0" w:color="auto"/>
            </w:tcBorders>
            <w:vAlign w:val="center"/>
          </w:tcPr>
          <w:p w14:paraId="3FE23059" w14:textId="77777777" w:rsidR="002900D3" w:rsidRPr="005B6E05" w:rsidRDefault="002900D3" w:rsidP="005C46EF">
            <w:pPr>
              <w:spacing w:before="30" w:after="30" w:line="240" w:lineRule="auto"/>
              <w:ind w:left="-120" w:right="-78"/>
              <w:jc w:val="center"/>
              <w:rPr>
                <w:rFonts w:ascii="Arial" w:hAnsi="Arial"/>
                <w:color w:val="000000" w:themeColor="text1"/>
                <w:sz w:val="14"/>
                <w:szCs w:val="14"/>
              </w:rPr>
            </w:pPr>
            <w:r>
              <w:rPr>
                <w:rFonts w:ascii="Arial" w:hAnsi="Arial"/>
                <w:color w:val="000000"/>
                <w:sz w:val="14"/>
                <w:szCs w:val="14"/>
              </w:rPr>
              <w:t>34-35</w:t>
            </w:r>
          </w:p>
        </w:tc>
        <w:tc>
          <w:tcPr>
            <w:tcW w:w="595" w:type="dxa"/>
            <w:tcBorders>
              <w:left w:val="single" w:sz="8" w:space="0" w:color="auto"/>
            </w:tcBorders>
            <w:vAlign w:val="center"/>
          </w:tcPr>
          <w:p w14:paraId="636592D5" w14:textId="77777777" w:rsidR="002900D3" w:rsidRPr="005B6E05" w:rsidRDefault="002900D3" w:rsidP="005C46EF">
            <w:pPr>
              <w:spacing w:before="30" w:after="30" w:line="240" w:lineRule="auto"/>
              <w:jc w:val="center"/>
              <w:rPr>
                <w:rFonts w:ascii="Arial" w:hAnsi="Arial"/>
                <w:color w:val="000000" w:themeColor="text1"/>
                <w:sz w:val="14"/>
                <w:szCs w:val="14"/>
              </w:rPr>
            </w:pPr>
            <w:r w:rsidRPr="005B6E05">
              <w:rPr>
                <w:rFonts w:ascii="Arial" w:eastAsia="Times New Roman" w:hAnsi="Arial"/>
                <w:color w:val="000000" w:themeColor="text1"/>
                <w:sz w:val="14"/>
                <w:szCs w:val="14"/>
              </w:rPr>
              <w:t>000s</w:t>
            </w:r>
          </w:p>
        </w:tc>
        <w:tc>
          <w:tcPr>
            <w:tcW w:w="508" w:type="dxa"/>
            <w:vAlign w:val="center"/>
          </w:tcPr>
          <w:p w14:paraId="4ABEE0AD" w14:textId="77777777" w:rsidR="002900D3" w:rsidRPr="005B6E05" w:rsidRDefault="002900D3" w:rsidP="005C46EF">
            <w:pPr>
              <w:spacing w:before="30" w:after="30" w:line="240" w:lineRule="auto"/>
              <w:jc w:val="center"/>
              <w:rPr>
                <w:rFonts w:ascii="Arial" w:hAnsi="Arial"/>
                <w:color w:val="000000" w:themeColor="text1"/>
                <w:sz w:val="14"/>
                <w:szCs w:val="14"/>
              </w:rPr>
            </w:pPr>
            <w:r w:rsidRPr="005B6E05">
              <w:rPr>
                <w:rFonts w:ascii="Arial" w:eastAsia="Times New Roman" w:hAnsi="Arial"/>
                <w:color w:val="000000" w:themeColor="text1"/>
                <w:sz w:val="14"/>
                <w:szCs w:val="14"/>
              </w:rPr>
              <w:t>%</w:t>
            </w:r>
          </w:p>
        </w:tc>
      </w:tr>
      <w:tr w:rsidR="002900D3" w:rsidRPr="005B6E05" w14:paraId="3F255E4B" w14:textId="77777777" w:rsidTr="005C46EF">
        <w:trPr>
          <w:jc w:val="center"/>
        </w:trPr>
        <w:tc>
          <w:tcPr>
            <w:tcW w:w="3555" w:type="dxa"/>
            <w:vAlign w:val="center"/>
          </w:tcPr>
          <w:p w14:paraId="757FF85D" w14:textId="77777777" w:rsidR="002900D3" w:rsidRPr="005B6E05" w:rsidRDefault="002900D3" w:rsidP="005C46EF">
            <w:pPr>
              <w:spacing w:before="30" w:after="30" w:line="240" w:lineRule="auto"/>
              <w:rPr>
                <w:rFonts w:ascii="Arial" w:hAnsi="Arial"/>
                <w:b/>
                <w:bCs/>
                <w:color w:val="000000" w:themeColor="text1"/>
                <w:sz w:val="14"/>
                <w:szCs w:val="14"/>
              </w:rPr>
            </w:pPr>
            <w:r>
              <w:rPr>
                <w:rFonts w:ascii="Arial" w:hAnsi="Arial"/>
                <w:color w:val="000000"/>
                <w:sz w:val="14"/>
                <w:szCs w:val="14"/>
              </w:rPr>
              <w:t>All children (0-17 yrs)</w:t>
            </w:r>
          </w:p>
        </w:tc>
        <w:tc>
          <w:tcPr>
            <w:tcW w:w="581" w:type="dxa"/>
            <w:vAlign w:val="center"/>
          </w:tcPr>
          <w:p w14:paraId="496806F0"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14</w:t>
            </w:r>
          </w:p>
        </w:tc>
        <w:tc>
          <w:tcPr>
            <w:tcW w:w="411" w:type="dxa"/>
            <w:vAlign w:val="center"/>
          </w:tcPr>
          <w:p w14:paraId="36DF0878"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12</w:t>
            </w:r>
          </w:p>
        </w:tc>
        <w:tc>
          <w:tcPr>
            <w:tcW w:w="489" w:type="dxa"/>
            <w:vAlign w:val="center"/>
          </w:tcPr>
          <w:p w14:paraId="2554B0EC"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18</w:t>
            </w:r>
          </w:p>
        </w:tc>
        <w:tc>
          <w:tcPr>
            <w:tcW w:w="489" w:type="dxa"/>
            <w:vAlign w:val="center"/>
          </w:tcPr>
          <w:p w14:paraId="3D141298"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23</w:t>
            </w:r>
          </w:p>
        </w:tc>
        <w:tc>
          <w:tcPr>
            <w:tcW w:w="489" w:type="dxa"/>
            <w:vAlign w:val="center"/>
          </w:tcPr>
          <w:p w14:paraId="461A2849"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19</w:t>
            </w:r>
          </w:p>
        </w:tc>
        <w:tc>
          <w:tcPr>
            <w:tcW w:w="489" w:type="dxa"/>
            <w:tcBorders>
              <w:right w:val="single" w:sz="8" w:space="0" w:color="auto"/>
            </w:tcBorders>
            <w:vAlign w:val="center"/>
          </w:tcPr>
          <w:p w14:paraId="748854E7"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12</w:t>
            </w:r>
          </w:p>
        </w:tc>
        <w:tc>
          <w:tcPr>
            <w:tcW w:w="595" w:type="dxa"/>
            <w:tcBorders>
              <w:left w:val="single" w:sz="8" w:space="0" w:color="auto"/>
            </w:tcBorders>
            <w:vAlign w:val="center"/>
          </w:tcPr>
          <w:p w14:paraId="2D2E20B3"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1,185</w:t>
            </w:r>
          </w:p>
        </w:tc>
        <w:tc>
          <w:tcPr>
            <w:tcW w:w="508" w:type="dxa"/>
            <w:vAlign w:val="center"/>
          </w:tcPr>
          <w:p w14:paraId="5DA93364"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100</w:t>
            </w:r>
          </w:p>
        </w:tc>
      </w:tr>
      <w:tr w:rsidR="002900D3" w:rsidRPr="005B6E05" w14:paraId="14F6494F" w14:textId="77777777" w:rsidTr="005C46EF">
        <w:trPr>
          <w:jc w:val="center"/>
        </w:trPr>
        <w:tc>
          <w:tcPr>
            <w:tcW w:w="3555" w:type="dxa"/>
            <w:vAlign w:val="center"/>
          </w:tcPr>
          <w:p w14:paraId="179F2A5B" w14:textId="77777777" w:rsidR="002900D3" w:rsidRPr="005B6E05" w:rsidRDefault="002900D3" w:rsidP="005C46EF">
            <w:pPr>
              <w:spacing w:before="30" w:after="30" w:line="240" w:lineRule="auto"/>
              <w:rPr>
                <w:rFonts w:ascii="Arial" w:hAnsi="Arial"/>
                <w:b/>
                <w:bCs/>
                <w:color w:val="000000" w:themeColor="text1"/>
                <w:sz w:val="14"/>
                <w:szCs w:val="14"/>
              </w:rPr>
            </w:pPr>
            <w:r>
              <w:rPr>
                <w:rFonts w:ascii="Arial" w:hAnsi="Arial"/>
                <w:color w:val="000000"/>
                <w:sz w:val="14"/>
                <w:szCs w:val="14"/>
              </w:rPr>
              <w:t> </w:t>
            </w:r>
          </w:p>
        </w:tc>
        <w:tc>
          <w:tcPr>
            <w:tcW w:w="581" w:type="dxa"/>
            <w:vAlign w:val="center"/>
          </w:tcPr>
          <w:p w14:paraId="5028A6FF"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411" w:type="dxa"/>
            <w:vAlign w:val="center"/>
          </w:tcPr>
          <w:p w14:paraId="429B587B"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489" w:type="dxa"/>
            <w:vAlign w:val="center"/>
          </w:tcPr>
          <w:p w14:paraId="5C9E4A56"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489" w:type="dxa"/>
            <w:vAlign w:val="center"/>
          </w:tcPr>
          <w:p w14:paraId="3F96B569"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489" w:type="dxa"/>
            <w:vAlign w:val="center"/>
          </w:tcPr>
          <w:p w14:paraId="13BA53C4"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489" w:type="dxa"/>
            <w:tcBorders>
              <w:right w:val="single" w:sz="8" w:space="0" w:color="auto"/>
            </w:tcBorders>
            <w:vAlign w:val="center"/>
          </w:tcPr>
          <w:p w14:paraId="6E2C38C7"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595" w:type="dxa"/>
            <w:tcBorders>
              <w:left w:val="single" w:sz="8" w:space="0" w:color="auto"/>
            </w:tcBorders>
            <w:vAlign w:val="center"/>
          </w:tcPr>
          <w:p w14:paraId="318B1B70"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c>
          <w:tcPr>
            <w:tcW w:w="508" w:type="dxa"/>
            <w:vAlign w:val="center"/>
          </w:tcPr>
          <w:p w14:paraId="40A855F4"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 </w:t>
            </w:r>
          </w:p>
        </w:tc>
      </w:tr>
      <w:tr w:rsidR="002900D3" w:rsidRPr="005B6E05" w14:paraId="0C85031D" w14:textId="77777777" w:rsidTr="005C46EF">
        <w:trPr>
          <w:jc w:val="center"/>
        </w:trPr>
        <w:tc>
          <w:tcPr>
            <w:tcW w:w="3555" w:type="dxa"/>
            <w:vAlign w:val="center"/>
          </w:tcPr>
          <w:p w14:paraId="4767231B" w14:textId="77777777" w:rsidR="002900D3" w:rsidRPr="005B6E05" w:rsidRDefault="002900D3" w:rsidP="005C46EF">
            <w:pPr>
              <w:spacing w:before="30" w:after="30" w:line="240" w:lineRule="auto"/>
              <w:rPr>
                <w:rFonts w:ascii="Arial" w:hAnsi="Arial"/>
                <w:color w:val="000000" w:themeColor="text1"/>
                <w:sz w:val="14"/>
                <w:szCs w:val="14"/>
              </w:rPr>
            </w:pPr>
            <w:r>
              <w:rPr>
                <w:rFonts w:ascii="Arial" w:hAnsi="Arial"/>
                <w:color w:val="000000"/>
                <w:sz w:val="14"/>
                <w:szCs w:val="14"/>
              </w:rPr>
              <w:t>Disabled children</w:t>
            </w:r>
          </w:p>
        </w:tc>
        <w:tc>
          <w:tcPr>
            <w:tcW w:w="581" w:type="dxa"/>
            <w:vAlign w:val="center"/>
          </w:tcPr>
          <w:p w14:paraId="5ABAA09E"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27</w:t>
            </w:r>
          </w:p>
        </w:tc>
        <w:tc>
          <w:tcPr>
            <w:tcW w:w="411" w:type="dxa"/>
            <w:vAlign w:val="center"/>
          </w:tcPr>
          <w:p w14:paraId="44B0B71F"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18</w:t>
            </w:r>
          </w:p>
        </w:tc>
        <w:tc>
          <w:tcPr>
            <w:tcW w:w="489" w:type="dxa"/>
            <w:vAlign w:val="center"/>
          </w:tcPr>
          <w:p w14:paraId="4A6E056A"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17</w:t>
            </w:r>
          </w:p>
        </w:tc>
        <w:tc>
          <w:tcPr>
            <w:tcW w:w="489" w:type="dxa"/>
            <w:vAlign w:val="center"/>
          </w:tcPr>
          <w:p w14:paraId="79D29596"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17</w:t>
            </w:r>
          </w:p>
        </w:tc>
        <w:tc>
          <w:tcPr>
            <w:tcW w:w="489" w:type="dxa"/>
            <w:vAlign w:val="center"/>
          </w:tcPr>
          <w:p w14:paraId="1EC192C8"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13</w:t>
            </w:r>
          </w:p>
        </w:tc>
        <w:tc>
          <w:tcPr>
            <w:tcW w:w="489" w:type="dxa"/>
            <w:tcBorders>
              <w:right w:val="single" w:sz="8" w:space="0" w:color="auto"/>
            </w:tcBorders>
            <w:vAlign w:val="center"/>
          </w:tcPr>
          <w:p w14:paraId="0328BCBB"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7</w:t>
            </w:r>
          </w:p>
        </w:tc>
        <w:tc>
          <w:tcPr>
            <w:tcW w:w="595" w:type="dxa"/>
            <w:tcBorders>
              <w:left w:val="single" w:sz="8" w:space="0" w:color="auto"/>
            </w:tcBorders>
            <w:vAlign w:val="center"/>
          </w:tcPr>
          <w:p w14:paraId="4CDCFCA4"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120</w:t>
            </w:r>
          </w:p>
        </w:tc>
        <w:tc>
          <w:tcPr>
            <w:tcW w:w="508" w:type="dxa"/>
            <w:vAlign w:val="center"/>
          </w:tcPr>
          <w:p w14:paraId="54D50DF3"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10</w:t>
            </w:r>
          </w:p>
        </w:tc>
      </w:tr>
      <w:tr w:rsidR="002900D3" w:rsidRPr="005B6E05" w14:paraId="4490155F" w14:textId="77777777" w:rsidTr="005C46EF">
        <w:trPr>
          <w:jc w:val="center"/>
        </w:trPr>
        <w:tc>
          <w:tcPr>
            <w:tcW w:w="3555" w:type="dxa"/>
            <w:vAlign w:val="center"/>
          </w:tcPr>
          <w:p w14:paraId="65D52F39" w14:textId="77777777" w:rsidR="002900D3" w:rsidRPr="005B6E05" w:rsidRDefault="002900D3" w:rsidP="005C46EF">
            <w:pPr>
              <w:spacing w:before="30" w:after="30" w:line="240" w:lineRule="auto"/>
              <w:rPr>
                <w:rFonts w:ascii="Arial" w:hAnsi="Arial"/>
                <w:color w:val="000000" w:themeColor="text1"/>
                <w:sz w:val="14"/>
                <w:szCs w:val="14"/>
              </w:rPr>
            </w:pPr>
            <w:r>
              <w:rPr>
                <w:rFonts w:ascii="Arial" w:hAnsi="Arial"/>
                <w:color w:val="000000"/>
                <w:sz w:val="14"/>
                <w:szCs w:val="14"/>
              </w:rPr>
              <w:t>Non-disabled children</w:t>
            </w:r>
          </w:p>
        </w:tc>
        <w:tc>
          <w:tcPr>
            <w:tcW w:w="581" w:type="dxa"/>
            <w:vAlign w:val="center"/>
          </w:tcPr>
          <w:p w14:paraId="3E8186AF"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13</w:t>
            </w:r>
          </w:p>
        </w:tc>
        <w:tc>
          <w:tcPr>
            <w:tcW w:w="411" w:type="dxa"/>
            <w:vAlign w:val="center"/>
          </w:tcPr>
          <w:p w14:paraId="0A18AD69"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12</w:t>
            </w:r>
          </w:p>
        </w:tc>
        <w:tc>
          <w:tcPr>
            <w:tcW w:w="489" w:type="dxa"/>
            <w:vAlign w:val="center"/>
          </w:tcPr>
          <w:p w14:paraId="6FC153B5"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18</w:t>
            </w:r>
          </w:p>
        </w:tc>
        <w:tc>
          <w:tcPr>
            <w:tcW w:w="489" w:type="dxa"/>
            <w:vAlign w:val="center"/>
          </w:tcPr>
          <w:p w14:paraId="66B53A4B"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24</w:t>
            </w:r>
          </w:p>
        </w:tc>
        <w:tc>
          <w:tcPr>
            <w:tcW w:w="489" w:type="dxa"/>
            <w:vAlign w:val="center"/>
          </w:tcPr>
          <w:p w14:paraId="518A2CAE"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20</w:t>
            </w:r>
          </w:p>
        </w:tc>
        <w:tc>
          <w:tcPr>
            <w:tcW w:w="489" w:type="dxa"/>
            <w:tcBorders>
              <w:right w:val="single" w:sz="8" w:space="0" w:color="auto"/>
            </w:tcBorders>
            <w:vAlign w:val="center"/>
          </w:tcPr>
          <w:p w14:paraId="3CE0FC75"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13</w:t>
            </w:r>
          </w:p>
        </w:tc>
        <w:tc>
          <w:tcPr>
            <w:tcW w:w="595" w:type="dxa"/>
            <w:tcBorders>
              <w:left w:val="single" w:sz="8" w:space="0" w:color="auto"/>
            </w:tcBorders>
            <w:vAlign w:val="center"/>
          </w:tcPr>
          <w:p w14:paraId="1E41E7E7"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955</w:t>
            </w:r>
          </w:p>
        </w:tc>
        <w:tc>
          <w:tcPr>
            <w:tcW w:w="508" w:type="dxa"/>
            <w:vAlign w:val="center"/>
          </w:tcPr>
          <w:p w14:paraId="616A42C3"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81</w:t>
            </w:r>
          </w:p>
        </w:tc>
      </w:tr>
      <w:tr w:rsidR="002900D3" w:rsidRPr="005B6E05" w14:paraId="6455FCEA" w14:textId="77777777" w:rsidTr="005C46EF">
        <w:trPr>
          <w:jc w:val="center"/>
        </w:trPr>
        <w:tc>
          <w:tcPr>
            <w:tcW w:w="3555" w:type="dxa"/>
            <w:vAlign w:val="center"/>
          </w:tcPr>
          <w:p w14:paraId="6690B1E1" w14:textId="77777777" w:rsidR="002900D3" w:rsidRPr="005B6E05" w:rsidRDefault="002900D3" w:rsidP="005C46EF">
            <w:pPr>
              <w:spacing w:before="30" w:after="30" w:line="240" w:lineRule="auto"/>
              <w:rPr>
                <w:rFonts w:ascii="Arial" w:hAnsi="Arial"/>
                <w:color w:val="000000" w:themeColor="text1"/>
                <w:sz w:val="14"/>
                <w:szCs w:val="14"/>
              </w:rPr>
            </w:pPr>
            <w:r>
              <w:rPr>
                <w:rFonts w:ascii="Arial" w:hAnsi="Arial"/>
                <w:color w:val="000000"/>
                <w:sz w:val="14"/>
                <w:szCs w:val="14"/>
              </w:rPr>
              <w:t>Children in households with a disabled member</w:t>
            </w:r>
          </w:p>
        </w:tc>
        <w:tc>
          <w:tcPr>
            <w:tcW w:w="581" w:type="dxa"/>
            <w:vAlign w:val="center"/>
          </w:tcPr>
          <w:p w14:paraId="5804F2CF"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27</w:t>
            </w:r>
          </w:p>
        </w:tc>
        <w:tc>
          <w:tcPr>
            <w:tcW w:w="411" w:type="dxa"/>
            <w:vAlign w:val="center"/>
          </w:tcPr>
          <w:p w14:paraId="50E3C285"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17</w:t>
            </w:r>
          </w:p>
        </w:tc>
        <w:tc>
          <w:tcPr>
            <w:tcW w:w="489" w:type="dxa"/>
            <w:vAlign w:val="center"/>
          </w:tcPr>
          <w:p w14:paraId="4CAA418E"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17</w:t>
            </w:r>
          </w:p>
        </w:tc>
        <w:tc>
          <w:tcPr>
            <w:tcW w:w="489" w:type="dxa"/>
            <w:vAlign w:val="center"/>
          </w:tcPr>
          <w:p w14:paraId="3AA1CB3D"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18</w:t>
            </w:r>
          </w:p>
        </w:tc>
        <w:tc>
          <w:tcPr>
            <w:tcW w:w="489" w:type="dxa"/>
            <w:vAlign w:val="center"/>
          </w:tcPr>
          <w:p w14:paraId="6BFEB727"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13</w:t>
            </w:r>
          </w:p>
        </w:tc>
        <w:tc>
          <w:tcPr>
            <w:tcW w:w="489" w:type="dxa"/>
            <w:tcBorders>
              <w:right w:val="single" w:sz="8" w:space="0" w:color="auto"/>
            </w:tcBorders>
            <w:vAlign w:val="center"/>
          </w:tcPr>
          <w:p w14:paraId="25C544C3"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8</w:t>
            </w:r>
          </w:p>
        </w:tc>
        <w:tc>
          <w:tcPr>
            <w:tcW w:w="595" w:type="dxa"/>
            <w:tcBorders>
              <w:left w:val="single" w:sz="8" w:space="0" w:color="auto"/>
            </w:tcBorders>
            <w:vAlign w:val="center"/>
          </w:tcPr>
          <w:p w14:paraId="1BEBAE68"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365</w:t>
            </w:r>
          </w:p>
        </w:tc>
        <w:tc>
          <w:tcPr>
            <w:tcW w:w="508" w:type="dxa"/>
            <w:vAlign w:val="center"/>
          </w:tcPr>
          <w:p w14:paraId="3B8E7CC9"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31</w:t>
            </w:r>
          </w:p>
        </w:tc>
      </w:tr>
      <w:tr w:rsidR="002900D3" w:rsidRPr="005B6E05" w14:paraId="5E4B8553" w14:textId="77777777" w:rsidTr="005C46EF">
        <w:trPr>
          <w:jc w:val="center"/>
        </w:trPr>
        <w:tc>
          <w:tcPr>
            <w:tcW w:w="3555" w:type="dxa"/>
            <w:vAlign w:val="center"/>
          </w:tcPr>
          <w:p w14:paraId="51D48B4D" w14:textId="77777777" w:rsidR="002900D3" w:rsidRPr="005B6E05" w:rsidRDefault="002900D3" w:rsidP="005C46EF">
            <w:pPr>
              <w:spacing w:before="30" w:after="30" w:line="240" w:lineRule="auto"/>
              <w:rPr>
                <w:rFonts w:ascii="Arial" w:hAnsi="Arial"/>
                <w:color w:val="000000" w:themeColor="text1"/>
                <w:sz w:val="14"/>
                <w:szCs w:val="14"/>
              </w:rPr>
            </w:pPr>
            <w:r>
              <w:rPr>
                <w:rFonts w:ascii="Arial" w:hAnsi="Arial"/>
                <w:color w:val="000000"/>
                <w:sz w:val="14"/>
                <w:szCs w:val="14"/>
              </w:rPr>
              <w:t>Children in households without a disabled member</w:t>
            </w:r>
          </w:p>
        </w:tc>
        <w:tc>
          <w:tcPr>
            <w:tcW w:w="581" w:type="dxa"/>
            <w:vAlign w:val="center"/>
          </w:tcPr>
          <w:p w14:paraId="61F0F132"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9</w:t>
            </w:r>
          </w:p>
        </w:tc>
        <w:tc>
          <w:tcPr>
            <w:tcW w:w="411" w:type="dxa"/>
            <w:vAlign w:val="center"/>
          </w:tcPr>
          <w:p w14:paraId="7361FE67"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10</w:t>
            </w:r>
          </w:p>
        </w:tc>
        <w:tc>
          <w:tcPr>
            <w:tcW w:w="489" w:type="dxa"/>
            <w:vAlign w:val="center"/>
          </w:tcPr>
          <w:p w14:paraId="11699D32"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18</w:t>
            </w:r>
          </w:p>
        </w:tc>
        <w:tc>
          <w:tcPr>
            <w:tcW w:w="489" w:type="dxa"/>
            <w:vAlign w:val="center"/>
          </w:tcPr>
          <w:p w14:paraId="1BC050AC"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26</w:t>
            </w:r>
          </w:p>
        </w:tc>
        <w:tc>
          <w:tcPr>
            <w:tcW w:w="489" w:type="dxa"/>
            <w:vAlign w:val="center"/>
          </w:tcPr>
          <w:p w14:paraId="3BE3913B"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22</w:t>
            </w:r>
          </w:p>
        </w:tc>
        <w:tc>
          <w:tcPr>
            <w:tcW w:w="489" w:type="dxa"/>
            <w:tcBorders>
              <w:right w:val="single" w:sz="8" w:space="0" w:color="auto"/>
            </w:tcBorders>
            <w:vAlign w:val="center"/>
          </w:tcPr>
          <w:p w14:paraId="2447477F"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15</w:t>
            </w:r>
          </w:p>
        </w:tc>
        <w:tc>
          <w:tcPr>
            <w:tcW w:w="595" w:type="dxa"/>
            <w:tcBorders>
              <w:left w:val="single" w:sz="8" w:space="0" w:color="auto"/>
            </w:tcBorders>
            <w:vAlign w:val="center"/>
          </w:tcPr>
          <w:p w14:paraId="5D8E9C6A"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820</w:t>
            </w:r>
          </w:p>
        </w:tc>
        <w:tc>
          <w:tcPr>
            <w:tcW w:w="508" w:type="dxa"/>
            <w:vAlign w:val="center"/>
          </w:tcPr>
          <w:p w14:paraId="43138113" w14:textId="77777777" w:rsidR="002900D3" w:rsidRPr="005B6E05" w:rsidRDefault="002900D3" w:rsidP="005C46EF">
            <w:pPr>
              <w:spacing w:before="30" w:after="30" w:line="240" w:lineRule="auto"/>
              <w:jc w:val="center"/>
              <w:rPr>
                <w:rFonts w:ascii="Arial" w:hAnsi="Arial"/>
                <w:color w:val="000000" w:themeColor="text1"/>
                <w:sz w:val="14"/>
                <w:szCs w:val="14"/>
              </w:rPr>
            </w:pPr>
            <w:r>
              <w:rPr>
                <w:rFonts w:ascii="Arial" w:hAnsi="Arial"/>
                <w:color w:val="000000"/>
                <w:sz w:val="14"/>
                <w:szCs w:val="14"/>
              </w:rPr>
              <w:t>69</w:t>
            </w:r>
          </w:p>
        </w:tc>
      </w:tr>
    </w:tbl>
    <w:p w14:paraId="1246AFAD" w14:textId="77777777" w:rsidR="002900D3" w:rsidRPr="00F113EF" w:rsidRDefault="002900D3" w:rsidP="002900D3"/>
    <w:p w14:paraId="7DF5EDFC" w14:textId="14E1A14A" w:rsidR="00FC709B" w:rsidRDefault="00FC709B" w:rsidP="00FC709B">
      <w:pPr>
        <w:spacing w:after="0" w:line="240" w:lineRule="auto"/>
        <w:jc w:val="center"/>
        <w:rPr>
          <w:noProof/>
        </w:rPr>
      </w:pPr>
      <w:r w:rsidRPr="002B3C33">
        <w:rPr>
          <w:rFonts w:ascii="Arial" w:eastAsia="Times New Roman" w:hAnsi="Arial"/>
          <w:b/>
          <w:color w:val="000000" w:themeColor="text1"/>
          <w:sz w:val="18"/>
          <w:szCs w:val="18"/>
        </w:rPr>
        <w:t xml:space="preserve">Figure </w:t>
      </w:r>
      <w:r w:rsidR="00C70B60" w:rsidRPr="002B3C33">
        <w:rPr>
          <w:rFonts w:ascii="Arial" w:eastAsia="Times New Roman" w:hAnsi="Arial"/>
          <w:b/>
          <w:color w:val="000000" w:themeColor="text1"/>
          <w:sz w:val="18"/>
          <w:szCs w:val="18"/>
        </w:rPr>
        <w:t>E</w:t>
      </w:r>
      <w:r w:rsidRPr="002B3C33">
        <w:rPr>
          <w:rFonts w:ascii="Arial" w:eastAsia="Times New Roman" w:hAnsi="Arial"/>
          <w:b/>
          <w:color w:val="000000" w:themeColor="text1"/>
          <w:sz w:val="18"/>
          <w:szCs w:val="18"/>
        </w:rPr>
        <w:t>.</w:t>
      </w:r>
      <w:r w:rsidR="009854F9" w:rsidRPr="002B3C33">
        <w:rPr>
          <w:rFonts w:ascii="Arial" w:eastAsia="Times New Roman" w:hAnsi="Arial"/>
          <w:b/>
          <w:color w:val="000000" w:themeColor="text1"/>
          <w:sz w:val="18"/>
          <w:szCs w:val="18"/>
        </w:rPr>
        <w:t>1</w:t>
      </w:r>
    </w:p>
    <w:p w14:paraId="5EB7CAEA" w14:textId="1EA1B8B7" w:rsidR="00FC709B" w:rsidRPr="002B3C33" w:rsidRDefault="002900D3" w:rsidP="00FC709B">
      <w:pPr>
        <w:spacing w:after="0" w:line="240" w:lineRule="auto"/>
        <w:jc w:val="center"/>
        <w:rPr>
          <w:rFonts w:ascii="Arial" w:eastAsia="Times New Roman" w:hAnsi="Arial"/>
          <w:b/>
          <w:color w:val="000000" w:themeColor="text1"/>
          <w:sz w:val="18"/>
          <w:szCs w:val="18"/>
        </w:rPr>
      </w:pPr>
      <w:r w:rsidRPr="002B3C33">
        <w:rPr>
          <w:noProof/>
          <w:color w:val="000000" w:themeColor="text1"/>
        </w:rPr>
        <w:drawing>
          <wp:anchor distT="0" distB="0" distL="114300" distR="114300" simplePos="0" relativeHeight="252975104" behindDoc="0" locked="0" layoutInCell="1" allowOverlap="1" wp14:anchorId="47F270BA" wp14:editId="044E699B">
            <wp:simplePos x="0" y="0"/>
            <wp:positionH relativeFrom="margin">
              <wp:align>center</wp:align>
            </wp:positionH>
            <wp:positionV relativeFrom="paragraph">
              <wp:posOffset>172085</wp:posOffset>
            </wp:positionV>
            <wp:extent cx="3152775" cy="2012950"/>
            <wp:effectExtent l="0" t="0" r="9525" b="6350"/>
            <wp:wrapTopAndBottom/>
            <wp:docPr id="267286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86306"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52775" cy="2012950"/>
                    </a:xfrm>
                    <a:prstGeom prst="rect">
                      <a:avLst/>
                    </a:prstGeom>
                  </pic:spPr>
                </pic:pic>
              </a:graphicData>
            </a:graphic>
            <wp14:sizeRelH relativeFrom="page">
              <wp14:pctWidth>0</wp14:pctWidth>
            </wp14:sizeRelH>
            <wp14:sizeRelV relativeFrom="page">
              <wp14:pctHeight>0</wp14:pctHeight>
            </wp14:sizeRelV>
          </wp:anchor>
        </w:drawing>
      </w:r>
      <w:r w:rsidR="00FC709B" w:rsidRPr="002B3C33">
        <w:rPr>
          <w:rFonts w:ascii="Arial" w:eastAsia="Times New Roman" w:hAnsi="Arial"/>
          <w:b/>
          <w:color w:val="000000" w:themeColor="text1"/>
          <w:sz w:val="18"/>
          <w:szCs w:val="18"/>
        </w:rPr>
        <w:t>Distribution of disabled children &amp; children in disabled HHs across the full material wellbeing spectrum</w:t>
      </w:r>
    </w:p>
    <w:p w14:paraId="50D58796" w14:textId="77777777" w:rsidR="00580757" w:rsidRPr="00E86988" w:rsidRDefault="00580757" w:rsidP="00580757">
      <w:pPr>
        <w:spacing w:before="60" w:after="0" w:line="240" w:lineRule="auto"/>
        <w:ind w:left="2127" w:right="1797"/>
        <w:rPr>
          <w:rFonts w:ascii="Arial" w:hAnsi="Arial"/>
          <w:color w:val="000000" w:themeColor="text1"/>
          <w:sz w:val="16"/>
          <w:szCs w:val="18"/>
        </w:rPr>
      </w:pPr>
      <w:r w:rsidRPr="00E86988">
        <w:rPr>
          <w:rFonts w:ascii="Arial" w:hAnsi="Arial"/>
          <w:color w:val="000000" w:themeColor="text1"/>
          <w:sz w:val="16"/>
          <w:szCs w:val="18"/>
        </w:rPr>
        <w:t>Reading note for the chart:</w:t>
      </w:r>
    </w:p>
    <w:p w14:paraId="0584E2F6" w14:textId="3DD9082F" w:rsidR="002F713C" w:rsidRPr="00E86988" w:rsidRDefault="00580757">
      <w:pPr>
        <w:pStyle w:val="ListParagraph"/>
        <w:numPr>
          <w:ilvl w:val="0"/>
          <w:numId w:val="78"/>
        </w:numPr>
        <w:spacing w:before="20" w:after="0" w:line="240" w:lineRule="auto"/>
        <w:ind w:left="2410" w:right="1797" w:hanging="207"/>
        <w:rPr>
          <w:rFonts w:ascii="Arial" w:hAnsi="Arial"/>
          <w:color w:val="000000" w:themeColor="text1"/>
          <w:sz w:val="16"/>
          <w:szCs w:val="18"/>
        </w:rPr>
      </w:pPr>
      <w:r w:rsidRPr="00E86988">
        <w:rPr>
          <w:rFonts w:ascii="Arial" w:hAnsi="Arial"/>
          <w:color w:val="000000" w:themeColor="text1"/>
          <w:sz w:val="16"/>
          <w:szCs w:val="18"/>
        </w:rPr>
        <w:t xml:space="preserve">The vertical bars represent the distribution across the material wellbeing spectrum. of all children, disabled children and children in disabled households. </w:t>
      </w:r>
      <w:r w:rsidR="00E51C1A">
        <w:rPr>
          <w:rFonts w:ascii="Arial" w:hAnsi="Arial"/>
          <w:color w:val="000000" w:themeColor="text1"/>
          <w:sz w:val="16"/>
          <w:szCs w:val="18"/>
        </w:rPr>
        <w:t>Each colour adds to 100% across the MWI levels.</w:t>
      </w:r>
      <w:r w:rsidR="006D65C0">
        <w:rPr>
          <w:rFonts w:ascii="Arial" w:hAnsi="Arial"/>
          <w:color w:val="000000" w:themeColor="text1"/>
          <w:sz w:val="16"/>
          <w:szCs w:val="18"/>
        </w:rPr>
        <w:t xml:space="preserve"> </w:t>
      </w:r>
      <w:r w:rsidRPr="00E86988">
        <w:rPr>
          <w:rFonts w:ascii="Arial" w:hAnsi="Arial"/>
          <w:color w:val="000000" w:themeColor="text1"/>
          <w:sz w:val="16"/>
          <w:szCs w:val="18"/>
        </w:rPr>
        <w:t>They are not rates of hardship.</w:t>
      </w:r>
    </w:p>
    <w:p w14:paraId="7D1A6E5D" w14:textId="74E0E45A" w:rsidR="00D3671D" w:rsidRDefault="00D3671D" w:rsidP="00237593">
      <w:pPr>
        <w:spacing w:before="240" w:after="0" w:line="240" w:lineRule="auto"/>
        <w:rPr>
          <w:rFonts w:ascii="Arial" w:hAnsi="Arial"/>
          <w:b/>
          <w:bCs/>
          <w:color w:val="0000FF"/>
        </w:rPr>
      </w:pPr>
    </w:p>
    <w:p w14:paraId="18D0C78D" w14:textId="0A3217A5" w:rsidR="002B3C33" w:rsidRDefault="002B3C33">
      <w:pPr>
        <w:spacing w:after="0" w:line="240" w:lineRule="auto"/>
        <w:rPr>
          <w:rFonts w:ascii="Arial" w:hAnsi="Arial"/>
          <w:b/>
          <w:bCs/>
          <w:color w:val="0000FF"/>
        </w:rPr>
      </w:pPr>
      <w:r>
        <w:rPr>
          <w:rFonts w:ascii="Arial" w:hAnsi="Arial"/>
          <w:b/>
          <w:bCs/>
          <w:color w:val="0000FF"/>
        </w:rPr>
        <w:br w:type="page"/>
      </w:r>
    </w:p>
    <w:p w14:paraId="5749EB13" w14:textId="2A274711" w:rsidR="00FE40A3" w:rsidRPr="00DA2AE7" w:rsidRDefault="00FE40A3" w:rsidP="00FE40A3">
      <w:pPr>
        <w:spacing w:after="0" w:line="240" w:lineRule="auto"/>
        <w:ind w:right="-44"/>
        <w:rPr>
          <w:rFonts w:ascii="Arial" w:hAnsi="Arial"/>
          <w:color w:val="FF0000"/>
          <w:sz w:val="16"/>
          <w:szCs w:val="16"/>
        </w:rPr>
      </w:pPr>
      <w:r w:rsidRPr="003464D4">
        <w:rPr>
          <w:rFonts w:ascii="Arial" w:hAnsi="Arial"/>
          <w:b/>
          <w:bCs/>
          <w:color w:val="000000" w:themeColor="text1"/>
          <w:sz w:val="24"/>
          <w:szCs w:val="24"/>
        </w:rPr>
        <w:lastRenderedPageBreak/>
        <w:t xml:space="preserve">Material hardship in the ‘early </w:t>
      </w:r>
      <w:r w:rsidR="00D85BC9" w:rsidRPr="003464D4">
        <w:rPr>
          <w:rFonts w:ascii="Arial" w:hAnsi="Arial"/>
          <w:b/>
          <w:bCs/>
          <w:color w:val="000000" w:themeColor="text1"/>
          <w:sz w:val="24"/>
          <w:szCs w:val="24"/>
        </w:rPr>
        <w:t>years’</w:t>
      </w:r>
      <w:r w:rsidR="003464D4">
        <w:rPr>
          <w:rFonts w:ascii="Arial" w:hAnsi="Arial"/>
          <w:b/>
          <w:bCs/>
          <w:color w:val="000000" w:themeColor="text1"/>
          <w:sz w:val="24"/>
          <w:szCs w:val="24"/>
        </w:rPr>
        <w:t xml:space="preserve"> </w:t>
      </w:r>
    </w:p>
    <w:p w14:paraId="49CC0DFF" w14:textId="77777777" w:rsidR="00FE40A3" w:rsidRPr="00BA48ED" w:rsidRDefault="00FE40A3" w:rsidP="00FE40A3">
      <w:pPr>
        <w:spacing w:after="0" w:line="240" w:lineRule="auto"/>
        <w:ind w:right="-44"/>
        <w:rPr>
          <w:rFonts w:ascii="Arial" w:hAnsi="Arial"/>
          <w:color w:val="000000" w:themeColor="text1"/>
          <w:szCs w:val="20"/>
        </w:rPr>
      </w:pPr>
    </w:p>
    <w:p w14:paraId="3441BE2A" w14:textId="77777777" w:rsidR="00FE40A3" w:rsidRPr="00BA48ED" w:rsidRDefault="00FE40A3" w:rsidP="00FE40A3">
      <w:pPr>
        <w:spacing w:after="0" w:line="240" w:lineRule="auto"/>
        <w:ind w:right="-44"/>
        <w:rPr>
          <w:rFonts w:ascii="Arial" w:hAnsi="Arial"/>
          <w:color w:val="000000" w:themeColor="text1"/>
          <w:szCs w:val="20"/>
        </w:rPr>
      </w:pPr>
      <w:r w:rsidRPr="00BA48ED">
        <w:rPr>
          <w:rFonts w:ascii="Arial" w:hAnsi="Arial"/>
          <w:color w:val="000000" w:themeColor="text1"/>
          <w:szCs w:val="20"/>
        </w:rPr>
        <w:t xml:space="preserve">There is widespread acknowledgment of the critical importance of the material, social, emotional and nurturing contexts in the early years of a child’s life for outcomes later in childhood and in adulthood. One area of public policy interest is how younger children are faring in terms of material wellbeing. </w:t>
      </w:r>
    </w:p>
    <w:p w14:paraId="59291285" w14:textId="77777777" w:rsidR="00FE40A3" w:rsidRPr="00BA48ED" w:rsidRDefault="00FE40A3" w:rsidP="00FE40A3">
      <w:pPr>
        <w:spacing w:after="0" w:line="240" w:lineRule="auto"/>
        <w:ind w:right="-44"/>
        <w:rPr>
          <w:rFonts w:ascii="Arial" w:hAnsi="Arial"/>
          <w:color w:val="000000" w:themeColor="text1"/>
          <w:szCs w:val="20"/>
        </w:rPr>
      </w:pPr>
    </w:p>
    <w:p w14:paraId="17B85A2D" w14:textId="76E60879" w:rsidR="00FE40A3" w:rsidRPr="00BA48ED" w:rsidRDefault="00FE40A3" w:rsidP="00FE40A3">
      <w:pPr>
        <w:spacing w:after="0" w:line="240" w:lineRule="auto"/>
        <w:ind w:right="-44"/>
        <w:rPr>
          <w:rFonts w:ascii="Arial" w:hAnsi="Arial"/>
          <w:color w:val="000000" w:themeColor="text1"/>
          <w:szCs w:val="20"/>
        </w:rPr>
      </w:pPr>
      <w:r w:rsidRPr="00BA48ED">
        <w:rPr>
          <w:rFonts w:ascii="Arial" w:hAnsi="Arial"/>
          <w:b/>
          <w:bCs/>
          <w:color w:val="000000" w:themeColor="text1"/>
          <w:szCs w:val="20"/>
        </w:rPr>
        <w:t xml:space="preserve">Table </w:t>
      </w:r>
      <w:r w:rsidR="00C70B60" w:rsidRPr="00BA48ED">
        <w:rPr>
          <w:rFonts w:ascii="Arial" w:hAnsi="Arial"/>
          <w:b/>
          <w:bCs/>
          <w:color w:val="000000" w:themeColor="text1"/>
          <w:szCs w:val="20"/>
        </w:rPr>
        <w:t>E</w:t>
      </w:r>
      <w:r w:rsidR="009854F9" w:rsidRPr="00BA48ED">
        <w:rPr>
          <w:rFonts w:ascii="Arial" w:hAnsi="Arial"/>
          <w:b/>
          <w:bCs/>
          <w:color w:val="000000" w:themeColor="text1"/>
          <w:szCs w:val="20"/>
        </w:rPr>
        <w:t>.</w:t>
      </w:r>
      <w:r w:rsidR="00190CF1">
        <w:rPr>
          <w:rFonts w:ascii="Arial" w:hAnsi="Arial"/>
          <w:b/>
          <w:bCs/>
          <w:color w:val="000000" w:themeColor="text1"/>
          <w:szCs w:val="20"/>
        </w:rPr>
        <w:t>8</w:t>
      </w:r>
      <w:r w:rsidR="00BA48ED">
        <w:rPr>
          <w:rFonts w:ascii="Arial" w:hAnsi="Arial"/>
          <w:b/>
          <w:bCs/>
          <w:color w:val="000000" w:themeColor="text1"/>
          <w:szCs w:val="20"/>
        </w:rPr>
        <w:t>a</w:t>
      </w:r>
      <w:r w:rsidRPr="00BA48ED">
        <w:rPr>
          <w:rFonts w:ascii="Arial" w:hAnsi="Arial"/>
          <w:color w:val="000000" w:themeColor="text1"/>
          <w:szCs w:val="20"/>
        </w:rPr>
        <w:t xml:space="preserve"> </w:t>
      </w:r>
      <w:r w:rsidR="00300232">
        <w:rPr>
          <w:rFonts w:ascii="Arial" w:hAnsi="Arial"/>
          <w:color w:val="000000" w:themeColor="text1"/>
          <w:szCs w:val="20"/>
        </w:rPr>
        <w:t xml:space="preserve">uses the HILS 2024-25 dataset to </w:t>
      </w:r>
      <w:r w:rsidRPr="00BA48ED">
        <w:rPr>
          <w:rFonts w:ascii="Arial" w:hAnsi="Arial"/>
          <w:color w:val="000000" w:themeColor="text1"/>
          <w:szCs w:val="20"/>
        </w:rPr>
        <w:t>reports on the material hardship rates for under 5s and under 7s using different hardship thresholds. The</w:t>
      </w:r>
      <w:r w:rsidR="0018054D" w:rsidRPr="00BA48ED">
        <w:rPr>
          <w:rFonts w:ascii="Arial" w:hAnsi="Arial"/>
          <w:color w:val="000000" w:themeColor="text1"/>
          <w:szCs w:val="20"/>
        </w:rPr>
        <w:t xml:space="preserve"> </w:t>
      </w:r>
      <w:r w:rsidR="00300232">
        <w:rPr>
          <w:rFonts w:ascii="Arial" w:hAnsi="Arial"/>
          <w:color w:val="000000" w:themeColor="text1"/>
          <w:szCs w:val="20"/>
        </w:rPr>
        <w:t>MH-18</w:t>
      </w:r>
      <w:r w:rsidRPr="00BA48ED">
        <w:rPr>
          <w:rFonts w:ascii="Arial" w:hAnsi="Arial"/>
          <w:color w:val="000000" w:themeColor="text1"/>
          <w:szCs w:val="20"/>
        </w:rPr>
        <w:t xml:space="preserve"> </w:t>
      </w:r>
      <w:r w:rsidR="00300232">
        <w:rPr>
          <w:rFonts w:ascii="Arial" w:hAnsi="Arial"/>
          <w:color w:val="000000" w:themeColor="text1"/>
          <w:szCs w:val="20"/>
        </w:rPr>
        <w:t>7</w:t>
      </w:r>
      <w:r w:rsidRPr="00BA48ED">
        <w:rPr>
          <w:rFonts w:ascii="Arial" w:hAnsi="Arial"/>
          <w:color w:val="000000" w:themeColor="text1"/>
          <w:szCs w:val="20"/>
        </w:rPr>
        <w:t xml:space="preserve">+/17 threshold is the one used by Stats NZ for the standard material hardship rate </w:t>
      </w:r>
      <w:r w:rsidR="0018054D" w:rsidRPr="00BA48ED">
        <w:rPr>
          <w:rFonts w:ascii="Arial" w:hAnsi="Arial"/>
          <w:color w:val="000000" w:themeColor="text1"/>
          <w:szCs w:val="20"/>
        </w:rPr>
        <w:t>for</w:t>
      </w:r>
      <w:r w:rsidRPr="00BA48ED">
        <w:rPr>
          <w:rFonts w:ascii="Arial" w:hAnsi="Arial"/>
          <w:color w:val="000000" w:themeColor="text1"/>
          <w:szCs w:val="20"/>
        </w:rPr>
        <w:t xml:space="preserve"> their </w:t>
      </w:r>
      <w:r w:rsidR="0018054D" w:rsidRPr="00BA48ED">
        <w:rPr>
          <w:rFonts w:ascii="Arial" w:hAnsi="Arial"/>
          <w:color w:val="000000" w:themeColor="text1"/>
          <w:szCs w:val="20"/>
        </w:rPr>
        <w:t>H</w:t>
      </w:r>
      <w:r w:rsidR="00300232">
        <w:rPr>
          <w:rFonts w:ascii="Arial" w:hAnsi="Arial"/>
          <w:color w:val="000000" w:themeColor="text1"/>
          <w:szCs w:val="20"/>
        </w:rPr>
        <w:t>ILS</w:t>
      </w:r>
      <w:r w:rsidR="0018054D" w:rsidRPr="00BA48ED">
        <w:rPr>
          <w:rFonts w:ascii="Arial" w:hAnsi="Arial"/>
          <w:color w:val="000000" w:themeColor="text1"/>
          <w:szCs w:val="20"/>
        </w:rPr>
        <w:t xml:space="preserve">-based </w:t>
      </w:r>
      <w:r w:rsidRPr="00BA48ED">
        <w:rPr>
          <w:rFonts w:ascii="Arial" w:hAnsi="Arial"/>
          <w:color w:val="000000" w:themeColor="text1"/>
          <w:szCs w:val="20"/>
        </w:rPr>
        <w:t>reporting under the CPRA. For both groups (under 5s and under 7s), the same pattern is evident for each of the three material hardship levels</w:t>
      </w:r>
      <w:r w:rsidR="00300232">
        <w:rPr>
          <w:rFonts w:ascii="Arial" w:hAnsi="Arial"/>
          <w:color w:val="000000" w:themeColor="text1"/>
          <w:szCs w:val="20"/>
        </w:rPr>
        <w:t xml:space="preserve"> shown</w:t>
      </w:r>
      <w:r w:rsidRPr="00BA48ED">
        <w:rPr>
          <w:rFonts w:ascii="Arial" w:hAnsi="Arial"/>
          <w:color w:val="000000" w:themeColor="text1"/>
          <w:szCs w:val="20"/>
        </w:rPr>
        <w:t>:</w:t>
      </w:r>
    </w:p>
    <w:p w14:paraId="4848947E" w14:textId="0C77C66E" w:rsidR="00D85BC9" w:rsidRPr="00D85BC9" w:rsidRDefault="00D85BC9">
      <w:pPr>
        <w:numPr>
          <w:ilvl w:val="0"/>
          <w:numId w:val="91"/>
        </w:numPr>
        <w:spacing w:before="60" w:after="0" w:line="240" w:lineRule="auto"/>
        <w:ind w:left="714" w:right="-45" w:hanging="357"/>
        <w:rPr>
          <w:rFonts w:ascii="Arial" w:hAnsi="Arial"/>
          <w:color w:val="000000" w:themeColor="text1"/>
          <w:szCs w:val="20"/>
        </w:rPr>
      </w:pPr>
      <w:r w:rsidRPr="00D85BC9">
        <w:rPr>
          <w:rFonts w:ascii="Arial" w:hAnsi="Arial"/>
          <w:color w:val="000000" w:themeColor="text1"/>
          <w:szCs w:val="20"/>
        </w:rPr>
        <w:t>under-5s and under-7s in households where all children are in these groups (ie no age 5-17s / 7-17s</w:t>
      </w:r>
      <w:r w:rsidR="00185EE9">
        <w:rPr>
          <w:rFonts w:ascii="Arial" w:hAnsi="Arial"/>
          <w:color w:val="000000" w:themeColor="text1"/>
          <w:szCs w:val="20"/>
        </w:rPr>
        <w:t xml:space="preserve"> in the household</w:t>
      </w:r>
      <w:r w:rsidRPr="00D85BC9">
        <w:rPr>
          <w:rFonts w:ascii="Arial" w:hAnsi="Arial"/>
          <w:color w:val="000000" w:themeColor="text1"/>
          <w:szCs w:val="20"/>
        </w:rPr>
        <w:t>) have the lowest hardship rate (10-1</w:t>
      </w:r>
      <w:r w:rsidR="00300232">
        <w:rPr>
          <w:rFonts w:ascii="Arial" w:hAnsi="Arial"/>
          <w:color w:val="000000" w:themeColor="text1"/>
          <w:szCs w:val="20"/>
        </w:rPr>
        <w:t>2</w:t>
      </w:r>
      <w:r w:rsidRPr="00D85BC9">
        <w:rPr>
          <w:rFonts w:ascii="Arial" w:hAnsi="Arial"/>
          <w:color w:val="000000" w:themeColor="text1"/>
          <w:szCs w:val="20"/>
        </w:rPr>
        <w:t xml:space="preserve">% for </w:t>
      </w:r>
      <w:r>
        <w:rPr>
          <w:rFonts w:ascii="Arial" w:hAnsi="Arial"/>
          <w:color w:val="000000" w:themeColor="text1"/>
          <w:szCs w:val="20"/>
        </w:rPr>
        <w:t>7</w:t>
      </w:r>
      <w:r w:rsidRPr="00D85BC9">
        <w:rPr>
          <w:rFonts w:ascii="Arial" w:hAnsi="Arial"/>
          <w:color w:val="000000" w:themeColor="text1"/>
          <w:szCs w:val="20"/>
        </w:rPr>
        <w:t>+/17)</w:t>
      </w:r>
    </w:p>
    <w:p w14:paraId="23758B27" w14:textId="72508C2F" w:rsidR="00D85BC9" w:rsidRPr="00D85BC9" w:rsidRDefault="00D85BC9">
      <w:pPr>
        <w:numPr>
          <w:ilvl w:val="0"/>
          <w:numId w:val="91"/>
        </w:numPr>
        <w:spacing w:before="60" w:after="0" w:line="240" w:lineRule="auto"/>
        <w:ind w:left="714" w:right="-45" w:hanging="357"/>
        <w:rPr>
          <w:rFonts w:ascii="Arial" w:hAnsi="Arial"/>
          <w:color w:val="000000" w:themeColor="text1"/>
          <w:szCs w:val="20"/>
        </w:rPr>
      </w:pPr>
      <w:r w:rsidRPr="00D85BC9">
        <w:rPr>
          <w:rFonts w:ascii="Arial" w:hAnsi="Arial"/>
          <w:color w:val="000000" w:themeColor="text1"/>
          <w:szCs w:val="20"/>
        </w:rPr>
        <w:t>those in households with older children have the highest rate (</w:t>
      </w:r>
      <w:r w:rsidR="00300232">
        <w:rPr>
          <w:rFonts w:ascii="Arial" w:hAnsi="Arial"/>
          <w:color w:val="000000" w:themeColor="text1"/>
          <w:szCs w:val="20"/>
        </w:rPr>
        <w:t>20</w:t>
      </w:r>
      <w:r w:rsidRPr="00D85BC9">
        <w:rPr>
          <w:rFonts w:ascii="Arial" w:hAnsi="Arial"/>
          <w:color w:val="000000" w:themeColor="text1"/>
          <w:szCs w:val="20"/>
        </w:rPr>
        <w:t>-</w:t>
      </w:r>
      <w:r w:rsidR="00300232">
        <w:rPr>
          <w:rFonts w:ascii="Arial" w:hAnsi="Arial"/>
          <w:color w:val="000000" w:themeColor="text1"/>
          <w:szCs w:val="20"/>
        </w:rPr>
        <w:t>21</w:t>
      </w:r>
      <w:r w:rsidRPr="00D85BC9">
        <w:rPr>
          <w:rFonts w:ascii="Arial" w:hAnsi="Arial"/>
          <w:color w:val="000000" w:themeColor="text1"/>
          <w:szCs w:val="20"/>
        </w:rPr>
        <w:t xml:space="preserve">% for </w:t>
      </w:r>
      <w:r w:rsidR="00300232">
        <w:rPr>
          <w:rFonts w:ascii="Arial" w:hAnsi="Arial"/>
          <w:color w:val="000000" w:themeColor="text1"/>
          <w:szCs w:val="20"/>
        </w:rPr>
        <w:t>7</w:t>
      </w:r>
      <w:r w:rsidRPr="00D85BC9">
        <w:rPr>
          <w:rFonts w:ascii="Arial" w:hAnsi="Arial"/>
          <w:color w:val="000000" w:themeColor="text1"/>
          <w:szCs w:val="20"/>
        </w:rPr>
        <w:t xml:space="preserve">+/17) – this could be because they are more likely to be in larger families which on average have higher hardship rates (eg in the 2023-24 HES those with 4+ children have a hardship rate of </w:t>
      </w:r>
      <w:r w:rsidR="00B51257">
        <w:rPr>
          <w:rFonts w:ascii="Arial" w:hAnsi="Arial"/>
          <w:color w:val="000000" w:themeColor="text1"/>
          <w:szCs w:val="20"/>
        </w:rPr>
        <w:t>33</w:t>
      </w:r>
      <w:r w:rsidRPr="00D85BC9">
        <w:rPr>
          <w:rFonts w:ascii="Arial" w:hAnsi="Arial"/>
          <w:color w:val="000000" w:themeColor="text1"/>
          <w:szCs w:val="20"/>
        </w:rPr>
        <w:t>% compared with all children at 14%</w:t>
      </w:r>
      <w:r w:rsidR="00B51257">
        <w:rPr>
          <w:rFonts w:ascii="Arial" w:hAnsi="Arial"/>
          <w:color w:val="000000" w:themeColor="text1"/>
          <w:szCs w:val="20"/>
        </w:rPr>
        <w:t xml:space="preserve"> and 10% for those with 1-2 children</w:t>
      </w:r>
      <w:r w:rsidRPr="00D85BC9">
        <w:rPr>
          <w:rFonts w:ascii="Arial" w:hAnsi="Arial"/>
          <w:color w:val="000000" w:themeColor="text1"/>
          <w:szCs w:val="20"/>
        </w:rPr>
        <w:t xml:space="preserve"> - see Table E.</w:t>
      </w:r>
      <w:r w:rsidR="00B51257">
        <w:rPr>
          <w:rFonts w:ascii="Arial" w:hAnsi="Arial"/>
          <w:color w:val="000000" w:themeColor="text1"/>
          <w:szCs w:val="20"/>
        </w:rPr>
        <w:t>3a</w:t>
      </w:r>
      <w:r w:rsidRPr="00D85BC9">
        <w:rPr>
          <w:rFonts w:ascii="Arial" w:hAnsi="Arial"/>
          <w:color w:val="000000" w:themeColor="text1"/>
          <w:szCs w:val="20"/>
        </w:rPr>
        <w:t>)</w:t>
      </w:r>
    </w:p>
    <w:p w14:paraId="6F6827CA" w14:textId="145CA5FE" w:rsidR="00D85BC9" w:rsidRPr="00D85BC9" w:rsidRDefault="00D85BC9">
      <w:pPr>
        <w:numPr>
          <w:ilvl w:val="0"/>
          <w:numId w:val="91"/>
        </w:numPr>
        <w:spacing w:before="60" w:after="0" w:line="240" w:lineRule="auto"/>
        <w:ind w:left="714" w:right="-45" w:hanging="357"/>
        <w:rPr>
          <w:rFonts w:ascii="Arial" w:hAnsi="Arial"/>
          <w:color w:val="000000" w:themeColor="text1"/>
          <w:szCs w:val="20"/>
        </w:rPr>
      </w:pPr>
      <w:r w:rsidRPr="00D85BC9">
        <w:rPr>
          <w:rFonts w:ascii="Arial" w:hAnsi="Arial"/>
          <w:color w:val="000000" w:themeColor="text1"/>
          <w:szCs w:val="20"/>
        </w:rPr>
        <w:t>the overall rate for both ‘early years’ groups is much the same as the overall hardship rate for all children aged 0-17 yrs (14%).</w:t>
      </w:r>
    </w:p>
    <w:p w14:paraId="117E458C" w14:textId="77777777" w:rsidR="00A22A11" w:rsidRDefault="00A22A11" w:rsidP="007B30D8">
      <w:pPr>
        <w:spacing w:after="0" w:line="240" w:lineRule="auto"/>
        <w:ind w:right="-45"/>
        <w:rPr>
          <w:rFonts w:ascii="Arial" w:hAnsi="Arial"/>
          <w:b/>
          <w:bCs/>
          <w:color w:val="000000" w:themeColor="text1"/>
          <w:szCs w:val="20"/>
        </w:rPr>
      </w:pPr>
    </w:p>
    <w:p w14:paraId="71435B06" w14:textId="71DFF5B4" w:rsidR="00FE40A3" w:rsidRDefault="007B30D8" w:rsidP="007B30D8">
      <w:pPr>
        <w:spacing w:after="0" w:line="240" w:lineRule="auto"/>
        <w:ind w:right="-45"/>
        <w:rPr>
          <w:rFonts w:ascii="Arial" w:hAnsi="Arial"/>
          <w:bCs/>
          <w:color w:val="000000" w:themeColor="text1"/>
          <w:szCs w:val="20"/>
        </w:rPr>
      </w:pPr>
      <w:r>
        <w:rPr>
          <w:rFonts w:ascii="Arial" w:hAnsi="Arial"/>
          <w:bCs/>
          <w:color w:val="000000" w:themeColor="text1"/>
          <w:szCs w:val="20"/>
        </w:rPr>
        <w:t xml:space="preserve">The same pattern is found in </w:t>
      </w:r>
      <w:r w:rsidRPr="007B30D8">
        <w:rPr>
          <w:rFonts w:ascii="Arial" w:hAnsi="Arial"/>
          <w:b/>
          <w:color w:val="000000" w:themeColor="text1"/>
          <w:szCs w:val="20"/>
        </w:rPr>
        <w:t>Table E.</w:t>
      </w:r>
      <w:r w:rsidR="00190CF1">
        <w:rPr>
          <w:rFonts w:ascii="Arial" w:hAnsi="Arial"/>
          <w:b/>
          <w:color w:val="000000" w:themeColor="text1"/>
          <w:szCs w:val="20"/>
        </w:rPr>
        <w:t>8</w:t>
      </w:r>
      <w:r w:rsidRPr="007B30D8">
        <w:rPr>
          <w:rFonts w:ascii="Arial" w:hAnsi="Arial"/>
          <w:b/>
          <w:color w:val="000000" w:themeColor="text1"/>
          <w:szCs w:val="20"/>
        </w:rPr>
        <w:t>b</w:t>
      </w:r>
      <w:r>
        <w:rPr>
          <w:rFonts w:ascii="Arial" w:hAnsi="Arial"/>
          <w:bCs/>
          <w:color w:val="000000" w:themeColor="text1"/>
          <w:szCs w:val="20"/>
        </w:rPr>
        <w:t xml:space="preserve"> using the HES 2022-23 and 2023-24 datasets.</w:t>
      </w:r>
    </w:p>
    <w:p w14:paraId="26570BE5" w14:textId="77777777" w:rsidR="007B30D8" w:rsidRDefault="007B30D8" w:rsidP="007B30D8">
      <w:pPr>
        <w:spacing w:after="0" w:line="240" w:lineRule="auto"/>
        <w:ind w:right="-45"/>
        <w:rPr>
          <w:rFonts w:ascii="Arial" w:hAnsi="Arial"/>
          <w:bCs/>
          <w:color w:val="000000" w:themeColor="text1"/>
          <w:szCs w:val="20"/>
        </w:rPr>
      </w:pPr>
    </w:p>
    <w:p w14:paraId="09F015C9" w14:textId="5A807B23" w:rsidR="007B30D8" w:rsidRPr="00BA48ED" w:rsidRDefault="007B30D8" w:rsidP="007B30D8">
      <w:pPr>
        <w:spacing w:after="0" w:line="240" w:lineRule="auto"/>
        <w:ind w:right="-45"/>
        <w:rPr>
          <w:rFonts w:ascii="Arial" w:hAnsi="Arial"/>
          <w:bCs/>
          <w:color w:val="000000" w:themeColor="text1"/>
          <w:szCs w:val="20"/>
        </w:rPr>
      </w:pPr>
      <w:r w:rsidRPr="00BA48ED">
        <w:rPr>
          <w:rFonts w:ascii="Arial" w:hAnsi="Arial"/>
          <w:bCs/>
          <w:color w:val="000000" w:themeColor="text1"/>
          <w:szCs w:val="20"/>
        </w:rPr>
        <w:t xml:space="preserve">There is no evidence </w:t>
      </w:r>
      <w:r>
        <w:rPr>
          <w:rFonts w:ascii="Arial" w:hAnsi="Arial"/>
          <w:bCs/>
          <w:color w:val="000000" w:themeColor="text1"/>
          <w:szCs w:val="20"/>
        </w:rPr>
        <w:t xml:space="preserve">here </w:t>
      </w:r>
      <w:r w:rsidRPr="00BA48ED">
        <w:rPr>
          <w:rFonts w:ascii="Arial" w:hAnsi="Arial"/>
          <w:bCs/>
          <w:color w:val="000000" w:themeColor="text1"/>
          <w:szCs w:val="20"/>
        </w:rPr>
        <w:t xml:space="preserve">of the ‘early years’ groups being in greater material hardship than older </w:t>
      </w:r>
      <w:r w:rsidRPr="00BA48ED">
        <w:rPr>
          <w:rFonts w:ascii="Arial" w:hAnsi="Arial"/>
          <w:color w:val="000000" w:themeColor="text1"/>
          <w:szCs w:val="20"/>
        </w:rPr>
        <w:t>c</w:t>
      </w:r>
      <w:r w:rsidRPr="00BA48ED">
        <w:rPr>
          <w:rFonts w:ascii="Arial" w:hAnsi="Arial"/>
          <w:bCs/>
          <w:color w:val="000000" w:themeColor="text1"/>
          <w:szCs w:val="20"/>
        </w:rPr>
        <w:t>hildren.</w:t>
      </w:r>
    </w:p>
    <w:p w14:paraId="312DE318" w14:textId="39409ECB" w:rsidR="005D35E5" w:rsidRPr="005D35E5" w:rsidRDefault="005D35E5" w:rsidP="005D35E5">
      <w:pPr>
        <w:pStyle w:val="ListParagraph"/>
        <w:spacing w:before="20" w:after="0" w:line="240" w:lineRule="auto"/>
        <w:ind w:left="0"/>
        <w:contextualSpacing w:val="0"/>
        <w:jc w:val="center"/>
        <w:rPr>
          <w:rFonts w:ascii="Arial" w:hAnsi="Arial"/>
          <w:color w:val="000000" w:themeColor="text1"/>
          <w:sz w:val="16"/>
          <w:szCs w:val="16"/>
        </w:rPr>
      </w:pPr>
      <w:r w:rsidRPr="005D35E5">
        <w:rPr>
          <w:rFonts w:ascii="Arial" w:eastAsia="Times New Roman" w:hAnsi="Arial"/>
          <w:b/>
          <w:color w:val="000000" w:themeColor="text1"/>
          <w:sz w:val="18"/>
          <w:szCs w:val="18"/>
        </w:rPr>
        <w:t>Table E.</w:t>
      </w:r>
      <w:r w:rsidR="00190CF1">
        <w:rPr>
          <w:rFonts w:ascii="Arial" w:eastAsia="Times New Roman" w:hAnsi="Arial"/>
          <w:b/>
          <w:color w:val="000000" w:themeColor="text1"/>
          <w:sz w:val="18"/>
          <w:szCs w:val="18"/>
        </w:rPr>
        <w:t>8</w:t>
      </w:r>
      <w:r w:rsidR="001172F7">
        <w:rPr>
          <w:rFonts w:ascii="Arial" w:eastAsia="Times New Roman" w:hAnsi="Arial"/>
          <w:b/>
          <w:color w:val="000000" w:themeColor="text1"/>
          <w:sz w:val="18"/>
          <w:szCs w:val="18"/>
        </w:rPr>
        <w:t>a</w:t>
      </w:r>
    </w:p>
    <w:p w14:paraId="486DDFBE" w14:textId="77777777" w:rsidR="005D35E5" w:rsidRPr="00BF2CF5" w:rsidRDefault="005D35E5" w:rsidP="005D35E5">
      <w:pPr>
        <w:spacing w:after="0" w:line="240" w:lineRule="auto"/>
        <w:jc w:val="center"/>
        <w:rPr>
          <w:rFonts w:ascii="Arial" w:hAnsi="Arial"/>
          <w:b/>
          <w:bCs/>
          <w:color w:val="000000" w:themeColor="text1"/>
          <w:sz w:val="18"/>
          <w:szCs w:val="18"/>
        </w:rPr>
      </w:pPr>
      <w:r w:rsidRPr="00BF2CF5">
        <w:rPr>
          <w:rFonts w:ascii="Arial" w:hAnsi="Arial"/>
          <w:b/>
          <w:bCs/>
          <w:color w:val="000000" w:themeColor="text1"/>
          <w:sz w:val="18"/>
          <w:szCs w:val="18"/>
        </w:rPr>
        <w:t xml:space="preserve">Material hardship for younger children: </w:t>
      </w:r>
    </w:p>
    <w:p w14:paraId="3A2D5590" w14:textId="77777777" w:rsidR="005D35E5" w:rsidRPr="00BF2CF5" w:rsidRDefault="005D35E5" w:rsidP="005D35E5">
      <w:pPr>
        <w:spacing w:line="240" w:lineRule="auto"/>
        <w:jc w:val="center"/>
        <w:rPr>
          <w:rFonts w:ascii="Arial" w:hAnsi="Arial"/>
          <w:b/>
          <w:bCs/>
          <w:color w:val="000000" w:themeColor="text1"/>
          <w:sz w:val="18"/>
          <w:szCs w:val="18"/>
        </w:rPr>
      </w:pPr>
      <w:r w:rsidRPr="002C3BAC">
        <w:rPr>
          <w:rFonts w:ascii="Arial" w:hAnsi="Arial"/>
          <w:b/>
          <w:bCs/>
          <w:color w:val="000000" w:themeColor="text1"/>
          <w:sz w:val="18"/>
          <w:szCs w:val="18"/>
        </w:rPr>
        <w:t>H</w:t>
      </w:r>
      <w:r>
        <w:rPr>
          <w:rFonts w:ascii="Arial" w:hAnsi="Arial"/>
          <w:b/>
          <w:bCs/>
          <w:color w:val="000000" w:themeColor="text1"/>
          <w:sz w:val="18"/>
          <w:szCs w:val="18"/>
        </w:rPr>
        <w:t>IL</w:t>
      </w:r>
      <w:r w:rsidRPr="002C3BAC">
        <w:rPr>
          <w:rFonts w:ascii="Arial" w:hAnsi="Arial"/>
          <w:b/>
          <w:bCs/>
          <w:color w:val="000000" w:themeColor="text1"/>
          <w:sz w:val="18"/>
          <w:szCs w:val="18"/>
        </w:rPr>
        <w:t>S</w:t>
      </w:r>
      <w:r>
        <w:rPr>
          <w:rFonts w:ascii="Arial" w:hAnsi="Arial"/>
          <w:b/>
          <w:bCs/>
          <w:color w:val="000000" w:themeColor="text1"/>
          <w:sz w:val="18"/>
          <w:szCs w:val="18"/>
        </w:rPr>
        <w:t xml:space="preserve"> </w:t>
      </w:r>
      <w:r w:rsidRPr="002C3BAC">
        <w:rPr>
          <w:rFonts w:ascii="Arial" w:hAnsi="Arial"/>
          <w:b/>
          <w:bCs/>
          <w:color w:val="000000" w:themeColor="text1"/>
          <w:sz w:val="18"/>
          <w:szCs w:val="18"/>
        </w:rPr>
        <w:t>202</w:t>
      </w:r>
      <w:r>
        <w:rPr>
          <w:rFonts w:ascii="Arial" w:hAnsi="Arial"/>
          <w:b/>
          <w:bCs/>
          <w:color w:val="000000" w:themeColor="text1"/>
          <w:sz w:val="18"/>
          <w:szCs w:val="18"/>
        </w:rPr>
        <w:t>4</w:t>
      </w:r>
      <w:r w:rsidRPr="002C3BAC">
        <w:rPr>
          <w:rFonts w:ascii="Arial" w:hAnsi="Arial"/>
          <w:b/>
          <w:bCs/>
          <w:color w:val="000000" w:themeColor="text1"/>
          <w:sz w:val="18"/>
          <w:szCs w:val="18"/>
        </w:rPr>
        <w:t>-2</w:t>
      </w:r>
      <w:r>
        <w:rPr>
          <w:rFonts w:ascii="Arial" w:hAnsi="Arial"/>
          <w:b/>
          <w:bCs/>
          <w:color w:val="000000" w:themeColor="text1"/>
          <w:sz w:val="18"/>
          <w:szCs w:val="18"/>
        </w:rPr>
        <w:t>5</w:t>
      </w:r>
    </w:p>
    <w:tbl>
      <w:tblPr>
        <w:tblStyle w:val="TableGrid"/>
        <w:tblW w:w="0" w:type="auto"/>
        <w:jc w:val="center"/>
        <w:tblLayout w:type="fixed"/>
        <w:tblLook w:val="04A0" w:firstRow="1" w:lastRow="0" w:firstColumn="1" w:lastColumn="0" w:noHBand="0" w:noVBand="1"/>
      </w:tblPr>
      <w:tblGrid>
        <w:gridCol w:w="2547"/>
        <w:gridCol w:w="779"/>
        <w:gridCol w:w="780"/>
        <w:gridCol w:w="709"/>
        <w:gridCol w:w="850"/>
        <w:gridCol w:w="780"/>
        <w:gridCol w:w="780"/>
        <w:gridCol w:w="850"/>
      </w:tblGrid>
      <w:tr w:rsidR="005D35E5" w:rsidRPr="00BF2CF5" w14:paraId="4A461CDE" w14:textId="77777777" w:rsidTr="006F6F4E">
        <w:trPr>
          <w:jc w:val="center"/>
        </w:trPr>
        <w:tc>
          <w:tcPr>
            <w:tcW w:w="2547" w:type="dxa"/>
            <w:vAlign w:val="center"/>
          </w:tcPr>
          <w:p w14:paraId="78385179" w14:textId="77777777" w:rsidR="005D35E5" w:rsidRPr="00BF2CF5" w:rsidRDefault="005D35E5" w:rsidP="006F6F4E">
            <w:pPr>
              <w:spacing w:before="40" w:after="40" w:line="240" w:lineRule="auto"/>
              <w:rPr>
                <w:rFonts w:ascii="Arial" w:hAnsi="Arial"/>
                <w:color w:val="000000" w:themeColor="text1"/>
                <w:sz w:val="14"/>
                <w:szCs w:val="14"/>
              </w:rPr>
            </w:pPr>
          </w:p>
        </w:tc>
        <w:tc>
          <w:tcPr>
            <w:tcW w:w="2268" w:type="dxa"/>
            <w:gridSpan w:val="3"/>
            <w:tcBorders>
              <w:right w:val="single" w:sz="8" w:space="0" w:color="auto"/>
            </w:tcBorders>
          </w:tcPr>
          <w:p w14:paraId="239A78D5" w14:textId="77777777" w:rsidR="005D35E5" w:rsidRPr="00BF2CF5" w:rsidRDefault="005D35E5" w:rsidP="006F6F4E">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Material Hardship (rates, %)</w:t>
            </w:r>
          </w:p>
        </w:tc>
        <w:tc>
          <w:tcPr>
            <w:tcW w:w="2410" w:type="dxa"/>
            <w:gridSpan w:val="3"/>
            <w:tcBorders>
              <w:left w:val="single" w:sz="8" w:space="0" w:color="auto"/>
              <w:right w:val="single" w:sz="8" w:space="0" w:color="auto"/>
            </w:tcBorders>
          </w:tcPr>
          <w:p w14:paraId="781A502D" w14:textId="77777777" w:rsidR="005D35E5" w:rsidRPr="00BF2CF5" w:rsidRDefault="005D35E5" w:rsidP="006F6F4E">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Material Hardship (numbers)</w:t>
            </w:r>
          </w:p>
        </w:tc>
        <w:tc>
          <w:tcPr>
            <w:tcW w:w="850" w:type="dxa"/>
            <w:vMerge w:val="restart"/>
            <w:tcBorders>
              <w:left w:val="single" w:sz="8" w:space="0" w:color="auto"/>
            </w:tcBorders>
            <w:vAlign w:val="center"/>
          </w:tcPr>
          <w:p w14:paraId="2482D585" w14:textId="77777777" w:rsidR="005D35E5" w:rsidRPr="00BF2CF5" w:rsidRDefault="005D35E5" w:rsidP="006F6F4E">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Total numbers</w:t>
            </w:r>
          </w:p>
        </w:tc>
      </w:tr>
      <w:tr w:rsidR="005D35E5" w:rsidRPr="00BF2CF5" w14:paraId="27CDEF65" w14:textId="77777777" w:rsidTr="006F6F4E">
        <w:trPr>
          <w:jc w:val="center"/>
        </w:trPr>
        <w:tc>
          <w:tcPr>
            <w:tcW w:w="2547" w:type="dxa"/>
            <w:vAlign w:val="center"/>
          </w:tcPr>
          <w:p w14:paraId="7ECE4A69" w14:textId="77777777" w:rsidR="005D35E5" w:rsidRPr="00BF2CF5" w:rsidRDefault="005D35E5" w:rsidP="006F6F4E">
            <w:pPr>
              <w:spacing w:before="40" w:after="40" w:line="240" w:lineRule="auto"/>
              <w:rPr>
                <w:rFonts w:ascii="Arial" w:hAnsi="Arial"/>
                <w:color w:val="000000" w:themeColor="text1"/>
                <w:sz w:val="14"/>
                <w:szCs w:val="14"/>
              </w:rPr>
            </w:pPr>
          </w:p>
        </w:tc>
        <w:tc>
          <w:tcPr>
            <w:tcW w:w="779" w:type="dxa"/>
            <w:vAlign w:val="center"/>
          </w:tcPr>
          <w:p w14:paraId="4B098F36" w14:textId="77777777" w:rsidR="005D35E5" w:rsidRPr="00BF2CF5" w:rsidRDefault="005D35E5" w:rsidP="006F6F4E">
            <w:pPr>
              <w:spacing w:before="40" w:after="40" w:line="240" w:lineRule="auto"/>
              <w:jc w:val="center"/>
              <w:rPr>
                <w:rFonts w:ascii="Arial" w:hAnsi="Arial"/>
                <w:b/>
                <w:bCs/>
                <w:color w:val="000000" w:themeColor="text1"/>
                <w:sz w:val="14"/>
                <w:szCs w:val="14"/>
              </w:rPr>
            </w:pPr>
            <w:r>
              <w:rPr>
                <w:rFonts w:ascii="Arial" w:hAnsi="Arial"/>
                <w:b/>
                <w:bCs/>
                <w:color w:val="000000"/>
                <w:sz w:val="14"/>
                <w:szCs w:val="14"/>
              </w:rPr>
              <w:t xml:space="preserve">6+ </w:t>
            </w:r>
          </w:p>
        </w:tc>
        <w:tc>
          <w:tcPr>
            <w:tcW w:w="780" w:type="dxa"/>
            <w:vAlign w:val="center"/>
          </w:tcPr>
          <w:p w14:paraId="48C7E834" w14:textId="77777777" w:rsidR="005D35E5" w:rsidRPr="00BF2CF5" w:rsidRDefault="005D35E5" w:rsidP="006F6F4E">
            <w:pPr>
              <w:spacing w:before="40" w:after="40" w:line="240" w:lineRule="auto"/>
              <w:jc w:val="center"/>
              <w:rPr>
                <w:rFonts w:ascii="Arial" w:hAnsi="Arial"/>
                <w:b/>
                <w:bCs/>
                <w:color w:val="000000" w:themeColor="text1"/>
                <w:sz w:val="14"/>
                <w:szCs w:val="14"/>
              </w:rPr>
            </w:pPr>
            <w:r>
              <w:rPr>
                <w:rFonts w:ascii="Arial" w:hAnsi="Arial"/>
                <w:b/>
                <w:bCs/>
                <w:color w:val="000000"/>
                <w:sz w:val="14"/>
                <w:szCs w:val="14"/>
              </w:rPr>
              <w:t xml:space="preserve">7+ </w:t>
            </w:r>
          </w:p>
        </w:tc>
        <w:tc>
          <w:tcPr>
            <w:tcW w:w="709" w:type="dxa"/>
            <w:tcBorders>
              <w:right w:val="single" w:sz="8" w:space="0" w:color="auto"/>
            </w:tcBorders>
            <w:vAlign w:val="center"/>
          </w:tcPr>
          <w:p w14:paraId="3823E7B6" w14:textId="77777777" w:rsidR="005D35E5" w:rsidRPr="00BF2CF5" w:rsidRDefault="005D35E5" w:rsidP="006F6F4E">
            <w:pPr>
              <w:spacing w:before="40" w:after="40" w:line="240" w:lineRule="auto"/>
              <w:jc w:val="center"/>
              <w:rPr>
                <w:rFonts w:ascii="Arial" w:hAnsi="Arial"/>
                <w:b/>
                <w:bCs/>
                <w:color w:val="000000" w:themeColor="text1"/>
                <w:sz w:val="14"/>
                <w:szCs w:val="14"/>
              </w:rPr>
            </w:pPr>
            <w:r>
              <w:rPr>
                <w:rFonts w:ascii="Arial" w:hAnsi="Arial"/>
                <w:b/>
                <w:bCs/>
                <w:color w:val="000000"/>
                <w:sz w:val="14"/>
                <w:szCs w:val="14"/>
              </w:rPr>
              <w:t xml:space="preserve">10+ </w:t>
            </w:r>
          </w:p>
        </w:tc>
        <w:tc>
          <w:tcPr>
            <w:tcW w:w="850" w:type="dxa"/>
            <w:tcBorders>
              <w:left w:val="single" w:sz="8" w:space="0" w:color="auto"/>
            </w:tcBorders>
            <w:vAlign w:val="center"/>
          </w:tcPr>
          <w:p w14:paraId="547CFC45" w14:textId="77777777" w:rsidR="005D35E5" w:rsidRPr="00BF2CF5" w:rsidRDefault="005D35E5" w:rsidP="006F6F4E">
            <w:pPr>
              <w:spacing w:before="40" w:after="40" w:line="240" w:lineRule="auto"/>
              <w:jc w:val="center"/>
              <w:rPr>
                <w:rFonts w:ascii="Arial" w:hAnsi="Arial"/>
                <w:b/>
                <w:bCs/>
                <w:color w:val="000000" w:themeColor="text1"/>
                <w:sz w:val="14"/>
                <w:szCs w:val="14"/>
              </w:rPr>
            </w:pPr>
            <w:r>
              <w:rPr>
                <w:rFonts w:ascii="Arial" w:hAnsi="Arial"/>
                <w:b/>
                <w:bCs/>
                <w:color w:val="000000"/>
                <w:sz w:val="14"/>
                <w:szCs w:val="14"/>
              </w:rPr>
              <w:t xml:space="preserve">6+ </w:t>
            </w:r>
          </w:p>
        </w:tc>
        <w:tc>
          <w:tcPr>
            <w:tcW w:w="780" w:type="dxa"/>
            <w:vAlign w:val="center"/>
          </w:tcPr>
          <w:p w14:paraId="59E6C406" w14:textId="77777777" w:rsidR="005D35E5" w:rsidRPr="00BF2CF5" w:rsidRDefault="005D35E5" w:rsidP="006F6F4E">
            <w:pPr>
              <w:spacing w:before="40" w:after="40" w:line="240" w:lineRule="auto"/>
              <w:jc w:val="center"/>
              <w:rPr>
                <w:rFonts w:ascii="Arial" w:hAnsi="Arial"/>
                <w:b/>
                <w:bCs/>
                <w:color w:val="000000" w:themeColor="text1"/>
                <w:sz w:val="14"/>
                <w:szCs w:val="14"/>
              </w:rPr>
            </w:pPr>
            <w:r>
              <w:rPr>
                <w:rFonts w:ascii="Arial" w:hAnsi="Arial"/>
                <w:b/>
                <w:bCs/>
                <w:color w:val="000000"/>
                <w:sz w:val="14"/>
                <w:szCs w:val="14"/>
              </w:rPr>
              <w:t xml:space="preserve">7+ </w:t>
            </w:r>
          </w:p>
        </w:tc>
        <w:tc>
          <w:tcPr>
            <w:tcW w:w="780" w:type="dxa"/>
            <w:tcBorders>
              <w:right w:val="single" w:sz="8" w:space="0" w:color="auto"/>
            </w:tcBorders>
            <w:vAlign w:val="center"/>
          </w:tcPr>
          <w:p w14:paraId="04FAF5AC" w14:textId="77777777" w:rsidR="005D35E5" w:rsidRPr="00BF2CF5" w:rsidRDefault="005D35E5" w:rsidP="006F6F4E">
            <w:pPr>
              <w:spacing w:before="40" w:after="40" w:line="240" w:lineRule="auto"/>
              <w:jc w:val="center"/>
              <w:rPr>
                <w:rFonts w:ascii="Arial" w:hAnsi="Arial"/>
                <w:b/>
                <w:bCs/>
                <w:color w:val="000000" w:themeColor="text1"/>
                <w:sz w:val="14"/>
                <w:szCs w:val="14"/>
              </w:rPr>
            </w:pPr>
            <w:r>
              <w:rPr>
                <w:rFonts w:ascii="Arial" w:hAnsi="Arial"/>
                <w:b/>
                <w:bCs/>
                <w:color w:val="000000"/>
                <w:sz w:val="14"/>
                <w:szCs w:val="14"/>
              </w:rPr>
              <w:t xml:space="preserve">10+ </w:t>
            </w:r>
          </w:p>
        </w:tc>
        <w:tc>
          <w:tcPr>
            <w:tcW w:w="850" w:type="dxa"/>
            <w:vMerge/>
            <w:tcBorders>
              <w:left w:val="single" w:sz="8" w:space="0" w:color="auto"/>
            </w:tcBorders>
            <w:vAlign w:val="center"/>
          </w:tcPr>
          <w:p w14:paraId="2AAF72A5" w14:textId="77777777" w:rsidR="005D35E5" w:rsidRPr="00BF2CF5" w:rsidRDefault="005D35E5" w:rsidP="006F6F4E">
            <w:pPr>
              <w:spacing w:before="40" w:after="40" w:line="240" w:lineRule="auto"/>
              <w:jc w:val="center"/>
              <w:rPr>
                <w:rFonts w:ascii="Arial" w:hAnsi="Arial"/>
                <w:b/>
                <w:bCs/>
                <w:color w:val="000000" w:themeColor="text1"/>
                <w:sz w:val="14"/>
                <w:szCs w:val="14"/>
              </w:rPr>
            </w:pPr>
          </w:p>
        </w:tc>
      </w:tr>
      <w:tr w:rsidR="005D35E5" w:rsidRPr="00BF2CF5" w14:paraId="3B670DF2" w14:textId="77777777" w:rsidTr="006F6F4E">
        <w:trPr>
          <w:jc w:val="center"/>
        </w:trPr>
        <w:tc>
          <w:tcPr>
            <w:tcW w:w="2547" w:type="dxa"/>
            <w:vAlign w:val="center"/>
          </w:tcPr>
          <w:p w14:paraId="2265CC29" w14:textId="77777777" w:rsidR="005D35E5" w:rsidRPr="00BF2CF5" w:rsidRDefault="005D35E5" w:rsidP="006F6F4E">
            <w:pPr>
              <w:spacing w:before="40" w:after="40" w:line="240" w:lineRule="auto"/>
              <w:rPr>
                <w:rFonts w:ascii="Arial" w:hAnsi="Arial"/>
                <w:b/>
                <w:bCs/>
                <w:color w:val="000000" w:themeColor="text1"/>
                <w:sz w:val="14"/>
                <w:szCs w:val="14"/>
              </w:rPr>
            </w:pPr>
            <w:r w:rsidRPr="00BF2CF5">
              <w:rPr>
                <w:rFonts w:ascii="Arial" w:hAnsi="Arial"/>
                <w:b/>
                <w:bCs/>
                <w:color w:val="000000" w:themeColor="text1"/>
                <w:sz w:val="14"/>
                <w:szCs w:val="14"/>
              </w:rPr>
              <w:t>Age-groups</w:t>
            </w:r>
          </w:p>
        </w:tc>
        <w:tc>
          <w:tcPr>
            <w:tcW w:w="779" w:type="dxa"/>
          </w:tcPr>
          <w:p w14:paraId="36560BE6" w14:textId="77777777" w:rsidR="005D35E5" w:rsidRPr="00BF2CF5" w:rsidRDefault="005D35E5" w:rsidP="006F6F4E">
            <w:pPr>
              <w:spacing w:before="40" w:after="40" w:line="240" w:lineRule="auto"/>
              <w:rPr>
                <w:rFonts w:ascii="Arial" w:hAnsi="Arial"/>
                <w:color w:val="000000" w:themeColor="text1"/>
                <w:sz w:val="14"/>
                <w:szCs w:val="14"/>
              </w:rPr>
            </w:pPr>
          </w:p>
        </w:tc>
        <w:tc>
          <w:tcPr>
            <w:tcW w:w="780" w:type="dxa"/>
            <w:vAlign w:val="center"/>
          </w:tcPr>
          <w:p w14:paraId="1E134994" w14:textId="77777777" w:rsidR="005D35E5" w:rsidRPr="00BF2CF5" w:rsidRDefault="005D35E5" w:rsidP="006F6F4E">
            <w:pPr>
              <w:spacing w:before="40" w:after="40" w:line="240" w:lineRule="auto"/>
              <w:rPr>
                <w:rFonts w:ascii="Arial" w:hAnsi="Arial"/>
                <w:color w:val="000000" w:themeColor="text1"/>
                <w:sz w:val="14"/>
                <w:szCs w:val="14"/>
              </w:rPr>
            </w:pPr>
          </w:p>
        </w:tc>
        <w:tc>
          <w:tcPr>
            <w:tcW w:w="709" w:type="dxa"/>
            <w:tcBorders>
              <w:right w:val="single" w:sz="8" w:space="0" w:color="auto"/>
            </w:tcBorders>
            <w:vAlign w:val="center"/>
          </w:tcPr>
          <w:p w14:paraId="64FA7021" w14:textId="77777777" w:rsidR="005D35E5" w:rsidRPr="00BF2CF5" w:rsidRDefault="005D35E5" w:rsidP="006F6F4E">
            <w:pPr>
              <w:spacing w:before="40" w:after="40" w:line="240" w:lineRule="auto"/>
              <w:rPr>
                <w:rFonts w:ascii="Arial" w:hAnsi="Arial"/>
                <w:color w:val="000000" w:themeColor="text1"/>
                <w:sz w:val="14"/>
                <w:szCs w:val="14"/>
              </w:rPr>
            </w:pPr>
          </w:p>
        </w:tc>
        <w:tc>
          <w:tcPr>
            <w:tcW w:w="850" w:type="dxa"/>
            <w:tcBorders>
              <w:left w:val="single" w:sz="8" w:space="0" w:color="auto"/>
            </w:tcBorders>
          </w:tcPr>
          <w:p w14:paraId="76AC991F" w14:textId="77777777" w:rsidR="005D35E5" w:rsidRPr="00BF2CF5" w:rsidRDefault="005D35E5" w:rsidP="006F6F4E">
            <w:pPr>
              <w:spacing w:before="40" w:after="40" w:line="240" w:lineRule="auto"/>
              <w:rPr>
                <w:rFonts w:ascii="Arial" w:hAnsi="Arial"/>
                <w:color w:val="000000" w:themeColor="text1"/>
                <w:sz w:val="14"/>
                <w:szCs w:val="14"/>
              </w:rPr>
            </w:pPr>
          </w:p>
        </w:tc>
        <w:tc>
          <w:tcPr>
            <w:tcW w:w="780" w:type="dxa"/>
            <w:vAlign w:val="center"/>
          </w:tcPr>
          <w:p w14:paraId="567B331F" w14:textId="77777777" w:rsidR="005D35E5" w:rsidRPr="00BF2CF5" w:rsidRDefault="005D35E5" w:rsidP="006F6F4E">
            <w:pPr>
              <w:spacing w:before="40" w:after="40" w:line="240" w:lineRule="auto"/>
              <w:rPr>
                <w:rFonts w:ascii="Arial" w:hAnsi="Arial"/>
                <w:color w:val="000000" w:themeColor="text1"/>
                <w:sz w:val="14"/>
                <w:szCs w:val="14"/>
              </w:rPr>
            </w:pPr>
          </w:p>
        </w:tc>
        <w:tc>
          <w:tcPr>
            <w:tcW w:w="780" w:type="dxa"/>
            <w:tcBorders>
              <w:right w:val="single" w:sz="8" w:space="0" w:color="auto"/>
            </w:tcBorders>
            <w:vAlign w:val="center"/>
          </w:tcPr>
          <w:p w14:paraId="4F6505A7" w14:textId="77777777" w:rsidR="005D35E5" w:rsidRPr="00BF2CF5" w:rsidRDefault="005D35E5" w:rsidP="006F6F4E">
            <w:pPr>
              <w:spacing w:before="40" w:after="40" w:line="240" w:lineRule="auto"/>
              <w:rPr>
                <w:rFonts w:ascii="Arial" w:hAnsi="Arial"/>
                <w:color w:val="000000" w:themeColor="text1"/>
                <w:sz w:val="14"/>
                <w:szCs w:val="14"/>
              </w:rPr>
            </w:pPr>
          </w:p>
        </w:tc>
        <w:tc>
          <w:tcPr>
            <w:tcW w:w="850" w:type="dxa"/>
            <w:tcBorders>
              <w:left w:val="single" w:sz="8" w:space="0" w:color="auto"/>
            </w:tcBorders>
            <w:vAlign w:val="center"/>
          </w:tcPr>
          <w:p w14:paraId="7196A5E4" w14:textId="77777777" w:rsidR="005D35E5" w:rsidRPr="00BF2CF5" w:rsidRDefault="005D35E5" w:rsidP="006F6F4E">
            <w:pPr>
              <w:spacing w:before="40" w:after="40" w:line="240" w:lineRule="auto"/>
              <w:rPr>
                <w:rFonts w:ascii="Arial" w:hAnsi="Arial"/>
                <w:color w:val="000000" w:themeColor="text1"/>
                <w:sz w:val="14"/>
                <w:szCs w:val="14"/>
              </w:rPr>
            </w:pPr>
          </w:p>
        </w:tc>
      </w:tr>
      <w:tr w:rsidR="005D35E5" w:rsidRPr="00BF2CF5" w14:paraId="23900150" w14:textId="77777777" w:rsidTr="006F6F4E">
        <w:trPr>
          <w:jc w:val="center"/>
        </w:trPr>
        <w:tc>
          <w:tcPr>
            <w:tcW w:w="2547" w:type="dxa"/>
            <w:vAlign w:val="center"/>
          </w:tcPr>
          <w:p w14:paraId="7B8EC8F7"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0-17</w:t>
            </w:r>
          </w:p>
        </w:tc>
        <w:tc>
          <w:tcPr>
            <w:tcW w:w="779" w:type="dxa"/>
            <w:vAlign w:val="center"/>
          </w:tcPr>
          <w:p w14:paraId="2FC09395"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18</w:t>
            </w:r>
          </w:p>
        </w:tc>
        <w:tc>
          <w:tcPr>
            <w:tcW w:w="780" w:type="dxa"/>
            <w:vAlign w:val="center"/>
          </w:tcPr>
          <w:p w14:paraId="09EA8BAE" w14:textId="6A042A52"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14</w:t>
            </w:r>
          </w:p>
        </w:tc>
        <w:tc>
          <w:tcPr>
            <w:tcW w:w="709" w:type="dxa"/>
            <w:tcBorders>
              <w:right w:val="single" w:sz="8" w:space="0" w:color="auto"/>
            </w:tcBorders>
            <w:vAlign w:val="center"/>
          </w:tcPr>
          <w:p w14:paraId="05FD4FCE"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6</w:t>
            </w:r>
          </w:p>
        </w:tc>
        <w:tc>
          <w:tcPr>
            <w:tcW w:w="850" w:type="dxa"/>
            <w:tcBorders>
              <w:left w:val="single" w:sz="8" w:space="0" w:color="auto"/>
            </w:tcBorders>
            <w:vAlign w:val="center"/>
          </w:tcPr>
          <w:p w14:paraId="61EB5126"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216,000</w:t>
            </w:r>
          </w:p>
        </w:tc>
        <w:tc>
          <w:tcPr>
            <w:tcW w:w="780" w:type="dxa"/>
            <w:vAlign w:val="center"/>
          </w:tcPr>
          <w:p w14:paraId="1B950B4E"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169,000</w:t>
            </w:r>
          </w:p>
        </w:tc>
        <w:tc>
          <w:tcPr>
            <w:tcW w:w="780" w:type="dxa"/>
            <w:tcBorders>
              <w:right w:val="single" w:sz="8" w:space="0" w:color="auto"/>
            </w:tcBorders>
            <w:vAlign w:val="center"/>
          </w:tcPr>
          <w:p w14:paraId="3FDF6369"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71,000</w:t>
            </w:r>
          </w:p>
        </w:tc>
        <w:tc>
          <w:tcPr>
            <w:tcW w:w="850" w:type="dxa"/>
            <w:tcBorders>
              <w:left w:val="single" w:sz="8" w:space="0" w:color="auto"/>
            </w:tcBorders>
            <w:vAlign w:val="center"/>
          </w:tcPr>
          <w:p w14:paraId="77F59632"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1,183,000</w:t>
            </w:r>
          </w:p>
        </w:tc>
      </w:tr>
      <w:tr w:rsidR="005D35E5" w:rsidRPr="00BF2CF5" w14:paraId="6CD5FBBF" w14:textId="77777777" w:rsidTr="006F6F4E">
        <w:trPr>
          <w:jc w:val="center"/>
        </w:trPr>
        <w:tc>
          <w:tcPr>
            <w:tcW w:w="2547" w:type="dxa"/>
            <w:vAlign w:val="center"/>
          </w:tcPr>
          <w:p w14:paraId="668F2B5C"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0-4 (all)</w:t>
            </w:r>
          </w:p>
        </w:tc>
        <w:tc>
          <w:tcPr>
            <w:tcW w:w="779" w:type="dxa"/>
            <w:vAlign w:val="center"/>
          </w:tcPr>
          <w:p w14:paraId="1D7F4556"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19</w:t>
            </w:r>
          </w:p>
        </w:tc>
        <w:tc>
          <w:tcPr>
            <w:tcW w:w="780" w:type="dxa"/>
            <w:vAlign w:val="center"/>
          </w:tcPr>
          <w:p w14:paraId="3693B0B6"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c>
          <w:tcPr>
            <w:tcW w:w="709" w:type="dxa"/>
            <w:tcBorders>
              <w:right w:val="single" w:sz="8" w:space="0" w:color="auto"/>
            </w:tcBorders>
            <w:vAlign w:val="center"/>
          </w:tcPr>
          <w:p w14:paraId="5AEEFFFF"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6</w:t>
            </w:r>
          </w:p>
        </w:tc>
        <w:tc>
          <w:tcPr>
            <w:tcW w:w="850" w:type="dxa"/>
            <w:tcBorders>
              <w:left w:val="single" w:sz="8" w:space="0" w:color="auto"/>
            </w:tcBorders>
            <w:vAlign w:val="center"/>
          </w:tcPr>
          <w:p w14:paraId="1DDFB739"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57,000</w:t>
            </w:r>
          </w:p>
        </w:tc>
        <w:tc>
          <w:tcPr>
            <w:tcW w:w="780" w:type="dxa"/>
            <w:vAlign w:val="center"/>
          </w:tcPr>
          <w:p w14:paraId="2A84DA87"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45,000</w:t>
            </w:r>
          </w:p>
        </w:tc>
        <w:tc>
          <w:tcPr>
            <w:tcW w:w="780" w:type="dxa"/>
            <w:tcBorders>
              <w:right w:val="single" w:sz="8" w:space="0" w:color="auto"/>
            </w:tcBorders>
            <w:vAlign w:val="center"/>
          </w:tcPr>
          <w:p w14:paraId="45C03832"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19,000</w:t>
            </w:r>
          </w:p>
        </w:tc>
        <w:tc>
          <w:tcPr>
            <w:tcW w:w="850" w:type="dxa"/>
            <w:tcBorders>
              <w:left w:val="single" w:sz="8" w:space="0" w:color="auto"/>
            </w:tcBorders>
            <w:vAlign w:val="center"/>
          </w:tcPr>
          <w:p w14:paraId="7A38B71E"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298,000</w:t>
            </w:r>
          </w:p>
        </w:tc>
      </w:tr>
      <w:tr w:rsidR="005D35E5" w:rsidRPr="00BF2CF5" w14:paraId="7407088C" w14:textId="77777777" w:rsidTr="006F6F4E">
        <w:trPr>
          <w:jc w:val="center"/>
        </w:trPr>
        <w:tc>
          <w:tcPr>
            <w:tcW w:w="2547" w:type="dxa"/>
            <w:vAlign w:val="center"/>
          </w:tcPr>
          <w:p w14:paraId="6827C658"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0-4 (with siblings aged 5+)</w:t>
            </w:r>
          </w:p>
        </w:tc>
        <w:tc>
          <w:tcPr>
            <w:tcW w:w="779" w:type="dxa"/>
            <w:vAlign w:val="center"/>
          </w:tcPr>
          <w:p w14:paraId="58F116D4"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24</w:t>
            </w:r>
          </w:p>
        </w:tc>
        <w:tc>
          <w:tcPr>
            <w:tcW w:w="780" w:type="dxa"/>
            <w:vAlign w:val="center"/>
          </w:tcPr>
          <w:p w14:paraId="34059C55"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20</w:t>
            </w:r>
          </w:p>
        </w:tc>
        <w:tc>
          <w:tcPr>
            <w:tcW w:w="709" w:type="dxa"/>
            <w:tcBorders>
              <w:right w:val="single" w:sz="8" w:space="0" w:color="auto"/>
            </w:tcBorders>
            <w:vAlign w:val="center"/>
          </w:tcPr>
          <w:p w14:paraId="564B3022"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9</w:t>
            </w:r>
          </w:p>
        </w:tc>
        <w:tc>
          <w:tcPr>
            <w:tcW w:w="850" w:type="dxa"/>
            <w:tcBorders>
              <w:left w:val="single" w:sz="8" w:space="0" w:color="auto"/>
            </w:tcBorders>
            <w:vAlign w:val="center"/>
          </w:tcPr>
          <w:p w14:paraId="1D827E97"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34,000</w:t>
            </w:r>
          </w:p>
        </w:tc>
        <w:tc>
          <w:tcPr>
            <w:tcW w:w="780" w:type="dxa"/>
            <w:vAlign w:val="center"/>
          </w:tcPr>
          <w:p w14:paraId="323F3276"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28,000</w:t>
            </w:r>
          </w:p>
        </w:tc>
        <w:tc>
          <w:tcPr>
            <w:tcW w:w="780" w:type="dxa"/>
            <w:tcBorders>
              <w:right w:val="single" w:sz="8" w:space="0" w:color="auto"/>
            </w:tcBorders>
            <w:vAlign w:val="center"/>
          </w:tcPr>
          <w:p w14:paraId="3D7F96E9"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12,000</w:t>
            </w:r>
          </w:p>
        </w:tc>
        <w:tc>
          <w:tcPr>
            <w:tcW w:w="850" w:type="dxa"/>
            <w:tcBorders>
              <w:left w:val="single" w:sz="8" w:space="0" w:color="auto"/>
            </w:tcBorders>
            <w:vAlign w:val="center"/>
          </w:tcPr>
          <w:p w14:paraId="62CD2B67"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138,000</w:t>
            </w:r>
          </w:p>
        </w:tc>
      </w:tr>
      <w:tr w:rsidR="005D35E5" w:rsidRPr="00BF2CF5" w14:paraId="77D7DAB9" w14:textId="77777777" w:rsidTr="006F6F4E">
        <w:trPr>
          <w:jc w:val="center"/>
        </w:trPr>
        <w:tc>
          <w:tcPr>
            <w:tcW w:w="2547" w:type="dxa"/>
            <w:vAlign w:val="center"/>
          </w:tcPr>
          <w:p w14:paraId="4CDFE5E9"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0-4 only (with no siblings aged 5+)</w:t>
            </w:r>
          </w:p>
        </w:tc>
        <w:tc>
          <w:tcPr>
            <w:tcW w:w="779" w:type="dxa"/>
            <w:vAlign w:val="center"/>
          </w:tcPr>
          <w:p w14:paraId="4483E9A5"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c>
          <w:tcPr>
            <w:tcW w:w="780" w:type="dxa"/>
            <w:vAlign w:val="center"/>
          </w:tcPr>
          <w:p w14:paraId="13A73C28"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10</w:t>
            </w:r>
          </w:p>
        </w:tc>
        <w:tc>
          <w:tcPr>
            <w:tcW w:w="709" w:type="dxa"/>
            <w:tcBorders>
              <w:right w:val="single" w:sz="8" w:space="0" w:color="auto"/>
            </w:tcBorders>
            <w:vAlign w:val="center"/>
          </w:tcPr>
          <w:p w14:paraId="11BB7C83"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4</w:t>
            </w:r>
          </w:p>
        </w:tc>
        <w:tc>
          <w:tcPr>
            <w:tcW w:w="850" w:type="dxa"/>
            <w:tcBorders>
              <w:left w:val="single" w:sz="8" w:space="0" w:color="auto"/>
            </w:tcBorders>
            <w:vAlign w:val="center"/>
          </w:tcPr>
          <w:p w14:paraId="60A466FC"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24,000</w:t>
            </w:r>
          </w:p>
        </w:tc>
        <w:tc>
          <w:tcPr>
            <w:tcW w:w="780" w:type="dxa"/>
            <w:vAlign w:val="center"/>
          </w:tcPr>
          <w:p w14:paraId="1E0FB0A2"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17,000</w:t>
            </w:r>
          </w:p>
        </w:tc>
        <w:tc>
          <w:tcPr>
            <w:tcW w:w="780" w:type="dxa"/>
            <w:tcBorders>
              <w:right w:val="single" w:sz="8" w:space="0" w:color="auto"/>
            </w:tcBorders>
            <w:vAlign w:val="center"/>
          </w:tcPr>
          <w:p w14:paraId="5AF7FD95"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7,000</w:t>
            </w:r>
          </w:p>
        </w:tc>
        <w:tc>
          <w:tcPr>
            <w:tcW w:w="850" w:type="dxa"/>
            <w:tcBorders>
              <w:left w:val="single" w:sz="8" w:space="0" w:color="auto"/>
            </w:tcBorders>
            <w:vAlign w:val="center"/>
          </w:tcPr>
          <w:p w14:paraId="76C828F3"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160,000</w:t>
            </w:r>
          </w:p>
        </w:tc>
      </w:tr>
      <w:tr w:rsidR="005D35E5" w:rsidRPr="00BF2CF5" w14:paraId="29AF140D" w14:textId="77777777" w:rsidTr="006F6F4E">
        <w:trPr>
          <w:jc w:val="center"/>
        </w:trPr>
        <w:tc>
          <w:tcPr>
            <w:tcW w:w="2547" w:type="dxa"/>
            <w:vAlign w:val="center"/>
          </w:tcPr>
          <w:p w14:paraId="2EEEF381"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0-6 (all)</w:t>
            </w:r>
          </w:p>
        </w:tc>
        <w:tc>
          <w:tcPr>
            <w:tcW w:w="779" w:type="dxa"/>
            <w:vAlign w:val="center"/>
          </w:tcPr>
          <w:p w14:paraId="20005EED"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19</w:t>
            </w:r>
          </w:p>
        </w:tc>
        <w:tc>
          <w:tcPr>
            <w:tcW w:w="780" w:type="dxa"/>
            <w:vAlign w:val="center"/>
          </w:tcPr>
          <w:p w14:paraId="49467361"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c>
          <w:tcPr>
            <w:tcW w:w="709" w:type="dxa"/>
            <w:tcBorders>
              <w:right w:val="single" w:sz="8" w:space="0" w:color="auto"/>
            </w:tcBorders>
            <w:vAlign w:val="center"/>
          </w:tcPr>
          <w:p w14:paraId="2EC51C71"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6</w:t>
            </w:r>
          </w:p>
        </w:tc>
        <w:tc>
          <w:tcPr>
            <w:tcW w:w="850" w:type="dxa"/>
            <w:tcBorders>
              <w:left w:val="single" w:sz="8" w:space="0" w:color="auto"/>
            </w:tcBorders>
            <w:vAlign w:val="center"/>
          </w:tcPr>
          <w:p w14:paraId="5AE0EA79"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80,000</w:t>
            </w:r>
          </w:p>
        </w:tc>
        <w:tc>
          <w:tcPr>
            <w:tcW w:w="780" w:type="dxa"/>
            <w:vAlign w:val="center"/>
          </w:tcPr>
          <w:p w14:paraId="0190127B"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64,000</w:t>
            </w:r>
          </w:p>
        </w:tc>
        <w:tc>
          <w:tcPr>
            <w:tcW w:w="780" w:type="dxa"/>
            <w:tcBorders>
              <w:right w:val="single" w:sz="8" w:space="0" w:color="auto"/>
            </w:tcBorders>
            <w:vAlign w:val="center"/>
          </w:tcPr>
          <w:p w14:paraId="0F21A917"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27,000</w:t>
            </w:r>
          </w:p>
        </w:tc>
        <w:tc>
          <w:tcPr>
            <w:tcW w:w="850" w:type="dxa"/>
            <w:tcBorders>
              <w:left w:val="single" w:sz="8" w:space="0" w:color="auto"/>
            </w:tcBorders>
            <w:vAlign w:val="center"/>
          </w:tcPr>
          <w:p w14:paraId="196097DF"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424,000</w:t>
            </w:r>
          </w:p>
        </w:tc>
      </w:tr>
      <w:tr w:rsidR="005D35E5" w:rsidRPr="00BF2CF5" w14:paraId="4223A52B" w14:textId="77777777" w:rsidTr="006F6F4E">
        <w:trPr>
          <w:jc w:val="center"/>
        </w:trPr>
        <w:tc>
          <w:tcPr>
            <w:tcW w:w="2547" w:type="dxa"/>
            <w:vAlign w:val="center"/>
          </w:tcPr>
          <w:p w14:paraId="3CA1043D"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0-6 (with siblings aged 7+)</w:t>
            </w:r>
          </w:p>
        </w:tc>
        <w:tc>
          <w:tcPr>
            <w:tcW w:w="779" w:type="dxa"/>
            <w:vAlign w:val="center"/>
          </w:tcPr>
          <w:p w14:paraId="082C5B43"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25</w:t>
            </w:r>
          </w:p>
        </w:tc>
        <w:tc>
          <w:tcPr>
            <w:tcW w:w="780" w:type="dxa"/>
            <w:vAlign w:val="center"/>
          </w:tcPr>
          <w:p w14:paraId="28B5D2E3"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21</w:t>
            </w:r>
          </w:p>
        </w:tc>
        <w:tc>
          <w:tcPr>
            <w:tcW w:w="709" w:type="dxa"/>
            <w:tcBorders>
              <w:right w:val="single" w:sz="8" w:space="0" w:color="auto"/>
            </w:tcBorders>
            <w:vAlign w:val="center"/>
          </w:tcPr>
          <w:p w14:paraId="6268151F"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9</w:t>
            </w:r>
          </w:p>
        </w:tc>
        <w:tc>
          <w:tcPr>
            <w:tcW w:w="850" w:type="dxa"/>
            <w:tcBorders>
              <w:left w:val="single" w:sz="8" w:space="0" w:color="auto"/>
            </w:tcBorders>
            <w:vAlign w:val="center"/>
          </w:tcPr>
          <w:p w14:paraId="4DFF2B1D"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41,000</w:t>
            </w:r>
          </w:p>
        </w:tc>
        <w:tc>
          <w:tcPr>
            <w:tcW w:w="780" w:type="dxa"/>
            <w:vAlign w:val="center"/>
          </w:tcPr>
          <w:p w14:paraId="5125E41B"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34,000</w:t>
            </w:r>
          </w:p>
        </w:tc>
        <w:tc>
          <w:tcPr>
            <w:tcW w:w="780" w:type="dxa"/>
            <w:tcBorders>
              <w:right w:val="single" w:sz="8" w:space="0" w:color="auto"/>
            </w:tcBorders>
            <w:vAlign w:val="center"/>
          </w:tcPr>
          <w:p w14:paraId="35ACC137"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15,000</w:t>
            </w:r>
          </w:p>
        </w:tc>
        <w:tc>
          <w:tcPr>
            <w:tcW w:w="850" w:type="dxa"/>
            <w:tcBorders>
              <w:left w:val="single" w:sz="8" w:space="0" w:color="auto"/>
            </w:tcBorders>
            <w:vAlign w:val="center"/>
          </w:tcPr>
          <w:p w14:paraId="3F7D39EA"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164,000</w:t>
            </w:r>
          </w:p>
        </w:tc>
      </w:tr>
      <w:tr w:rsidR="005D35E5" w:rsidRPr="00BF2CF5" w14:paraId="2474EF64" w14:textId="77777777" w:rsidTr="006F6F4E">
        <w:trPr>
          <w:jc w:val="center"/>
        </w:trPr>
        <w:tc>
          <w:tcPr>
            <w:tcW w:w="2547" w:type="dxa"/>
            <w:vAlign w:val="center"/>
          </w:tcPr>
          <w:p w14:paraId="6C843052" w14:textId="77777777" w:rsidR="005D35E5" w:rsidRPr="00BF2CF5" w:rsidRDefault="005D35E5" w:rsidP="006F6F4E">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0-6 only (with no siblings aged 7+)</w:t>
            </w:r>
          </w:p>
        </w:tc>
        <w:tc>
          <w:tcPr>
            <w:tcW w:w="779" w:type="dxa"/>
            <w:vAlign w:val="center"/>
          </w:tcPr>
          <w:p w14:paraId="263EA17E"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c>
          <w:tcPr>
            <w:tcW w:w="780" w:type="dxa"/>
            <w:vAlign w:val="center"/>
          </w:tcPr>
          <w:p w14:paraId="4BC6213C"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12</w:t>
            </w:r>
          </w:p>
        </w:tc>
        <w:tc>
          <w:tcPr>
            <w:tcW w:w="709" w:type="dxa"/>
            <w:tcBorders>
              <w:right w:val="single" w:sz="8" w:space="0" w:color="auto"/>
            </w:tcBorders>
            <w:vAlign w:val="center"/>
          </w:tcPr>
          <w:p w14:paraId="0AF5D90F"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5</w:t>
            </w:r>
          </w:p>
        </w:tc>
        <w:tc>
          <w:tcPr>
            <w:tcW w:w="850" w:type="dxa"/>
            <w:tcBorders>
              <w:left w:val="single" w:sz="8" w:space="0" w:color="auto"/>
            </w:tcBorders>
            <w:vAlign w:val="center"/>
          </w:tcPr>
          <w:p w14:paraId="1494DB42"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39,000</w:t>
            </w:r>
          </w:p>
        </w:tc>
        <w:tc>
          <w:tcPr>
            <w:tcW w:w="780" w:type="dxa"/>
            <w:vAlign w:val="center"/>
          </w:tcPr>
          <w:p w14:paraId="2DAC3F68"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30,000</w:t>
            </w:r>
          </w:p>
        </w:tc>
        <w:tc>
          <w:tcPr>
            <w:tcW w:w="780" w:type="dxa"/>
            <w:tcBorders>
              <w:right w:val="single" w:sz="8" w:space="0" w:color="auto"/>
            </w:tcBorders>
            <w:vAlign w:val="center"/>
          </w:tcPr>
          <w:p w14:paraId="440936BF"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12,000</w:t>
            </w:r>
          </w:p>
        </w:tc>
        <w:tc>
          <w:tcPr>
            <w:tcW w:w="850" w:type="dxa"/>
            <w:tcBorders>
              <w:left w:val="single" w:sz="8" w:space="0" w:color="auto"/>
            </w:tcBorders>
            <w:vAlign w:val="center"/>
          </w:tcPr>
          <w:p w14:paraId="30861F8B" w14:textId="77777777" w:rsidR="005D35E5" w:rsidRPr="00BF2CF5" w:rsidRDefault="005D35E5" w:rsidP="006F6F4E">
            <w:pPr>
              <w:spacing w:before="40" w:after="40" w:line="240" w:lineRule="auto"/>
              <w:jc w:val="center"/>
              <w:rPr>
                <w:rFonts w:ascii="Arial" w:hAnsi="Arial"/>
                <w:color w:val="000000" w:themeColor="text1"/>
                <w:sz w:val="14"/>
                <w:szCs w:val="14"/>
              </w:rPr>
            </w:pPr>
            <w:r>
              <w:rPr>
                <w:rFonts w:ascii="Arial" w:hAnsi="Arial"/>
                <w:color w:val="000000"/>
                <w:sz w:val="14"/>
                <w:szCs w:val="14"/>
              </w:rPr>
              <w:t>260,000</w:t>
            </w:r>
          </w:p>
        </w:tc>
      </w:tr>
    </w:tbl>
    <w:p w14:paraId="35108547" w14:textId="13368576" w:rsidR="005D35E5" w:rsidRPr="00BF2CF5" w:rsidRDefault="005D35E5" w:rsidP="005D35E5">
      <w:pPr>
        <w:spacing w:before="60" w:after="0" w:line="240" w:lineRule="auto"/>
        <w:ind w:left="426"/>
        <w:rPr>
          <w:rFonts w:ascii="Arial" w:hAnsi="Arial"/>
          <w:color w:val="000000" w:themeColor="text1"/>
          <w:sz w:val="16"/>
          <w:szCs w:val="16"/>
        </w:rPr>
      </w:pPr>
      <w:r w:rsidRPr="00BF2CF5">
        <w:rPr>
          <w:rFonts w:ascii="Arial" w:hAnsi="Arial"/>
          <w:color w:val="000000" w:themeColor="text1"/>
          <w:sz w:val="16"/>
          <w:szCs w:val="16"/>
        </w:rPr>
        <w:t>Note for table:</w:t>
      </w:r>
    </w:p>
    <w:p w14:paraId="55D5C63D" w14:textId="5F5D8091" w:rsidR="005D35E5" w:rsidRPr="00021B0F" w:rsidRDefault="005D35E5">
      <w:pPr>
        <w:pStyle w:val="ListParagraph"/>
        <w:numPr>
          <w:ilvl w:val="0"/>
          <w:numId w:val="55"/>
        </w:numPr>
        <w:spacing w:before="20" w:after="0" w:line="240" w:lineRule="auto"/>
        <w:ind w:left="851" w:hanging="142"/>
        <w:contextualSpacing w:val="0"/>
        <w:rPr>
          <w:rFonts w:ascii="Arial" w:hAnsi="Arial"/>
          <w:color w:val="000000" w:themeColor="text1"/>
          <w:sz w:val="16"/>
          <w:szCs w:val="16"/>
        </w:rPr>
      </w:pPr>
      <w:r w:rsidRPr="00BF2CF5">
        <w:rPr>
          <w:rFonts w:ascii="Arial" w:hAnsi="Arial"/>
          <w:color w:val="000000" w:themeColor="text1"/>
          <w:sz w:val="16"/>
          <w:szCs w:val="16"/>
        </w:rPr>
        <w:t xml:space="preserve">The </w:t>
      </w:r>
      <w:r>
        <w:rPr>
          <w:rFonts w:ascii="Arial" w:hAnsi="Arial"/>
          <w:color w:val="000000" w:themeColor="text1"/>
          <w:sz w:val="16"/>
          <w:szCs w:val="16"/>
        </w:rPr>
        <w:t>MH</w:t>
      </w:r>
      <w:r w:rsidRPr="00BF2CF5">
        <w:rPr>
          <w:rFonts w:ascii="Arial" w:hAnsi="Arial"/>
          <w:color w:val="000000" w:themeColor="text1"/>
          <w:sz w:val="16"/>
          <w:szCs w:val="16"/>
        </w:rPr>
        <w:t>-1</w:t>
      </w:r>
      <w:r>
        <w:rPr>
          <w:rFonts w:ascii="Arial" w:hAnsi="Arial"/>
          <w:color w:val="000000" w:themeColor="text1"/>
          <w:sz w:val="16"/>
          <w:szCs w:val="16"/>
        </w:rPr>
        <w:t>8</w:t>
      </w:r>
      <w:r w:rsidRPr="00BF2CF5">
        <w:rPr>
          <w:rFonts w:ascii="Arial" w:hAnsi="Arial"/>
          <w:color w:val="000000" w:themeColor="text1"/>
          <w:sz w:val="16"/>
          <w:szCs w:val="16"/>
        </w:rPr>
        <w:t xml:space="preserve"> material hardship index is used - </w:t>
      </w:r>
      <w:r w:rsidR="00021B0F">
        <w:rPr>
          <w:rFonts w:ascii="Arial" w:hAnsi="Arial"/>
          <w:color w:val="000000" w:themeColor="text1"/>
          <w:sz w:val="16"/>
          <w:szCs w:val="16"/>
        </w:rPr>
        <w:t>the material hardship (MH)</w:t>
      </w:r>
      <w:r w:rsidR="00021B0F" w:rsidRPr="005D35E5">
        <w:rPr>
          <w:rFonts w:ascii="Arial" w:hAnsi="Arial"/>
          <w:color w:val="000000" w:themeColor="text1"/>
          <w:sz w:val="16"/>
          <w:szCs w:val="16"/>
        </w:rPr>
        <w:t xml:space="preserve"> threshold </w:t>
      </w:r>
      <w:r w:rsidR="00021B0F">
        <w:rPr>
          <w:rFonts w:ascii="Arial" w:hAnsi="Arial"/>
          <w:color w:val="000000" w:themeColor="text1"/>
          <w:sz w:val="16"/>
          <w:szCs w:val="16"/>
        </w:rPr>
        <w:t>is</w:t>
      </w:r>
      <w:r w:rsidR="00021B0F" w:rsidRPr="005D35E5">
        <w:rPr>
          <w:rFonts w:ascii="Arial" w:hAnsi="Arial"/>
          <w:color w:val="000000" w:themeColor="text1"/>
          <w:sz w:val="16"/>
          <w:szCs w:val="16"/>
        </w:rPr>
        <w:t xml:space="preserve"> ‘</w:t>
      </w:r>
      <w:r w:rsidR="00021B0F">
        <w:rPr>
          <w:rFonts w:ascii="Arial" w:hAnsi="Arial"/>
          <w:color w:val="000000" w:themeColor="text1"/>
          <w:sz w:val="16"/>
          <w:szCs w:val="16"/>
        </w:rPr>
        <w:t>7</w:t>
      </w:r>
      <w:r w:rsidR="00021B0F" w:rsidRPr="005D35E5">
        <w:rPr>
          <w:rFonts w:ascii="Arial" w:hAnsi="Arial"/>
          <w:color w:val="000000" w:themeColor="text1"/>
          <w:sz w:val="16"/>
          <w:szCs w:val="16"/>
        </w:rPr>
        <w:t xml:space="preserve">+’ </w:t>
      </w:r>
      <w:r w:rsidR="00021B0F">
        <w:rPr>
          <w:rFonts w:ascii="Arial" w:hAnsi="Arial"/>
          <w:color w:val="000000" w:themeColor="text1"/>
          <w:sz w:val="16"/>
          <w:szCs w:val="16"/>
        </w:rPr>
        <w:t>(ie</w:t>
      </w:r>
      <w:r w:rsidR="00021B0F" w:rsidRPr="005D35E5">
        <w:rPr>
          <w:rFonts w:ascii="Arial" w:hAnsi="Arial"/>
          <w:color w:val="000000" w:themeColor="text1"/>
          <w:sz w:val="16"/>
          <w:szCs w:val="16"/>
        </w:rPr>
        <w:t xml:space="preserve"> </w:t>
      </w:r>
      <w:r w:rsidR="00021B0F">
        <w:rPr>
          <w:rFonts w:ascii="Arial" w:hAnsi="Arial"/>
          <w:color w:val="000000" w:themeColor="text1"/>
          <w:sz w:val="16"/>
          <w:szCs w:val="16"/>
        </w:rPr>
        <w:t>7</w:t>
      </w:r>
      <w:r w:rsidR="00021B0F" w:rsidRPr="005D35E5">
        <w:rPr>
          <w:rFonts w:ascii="Arial" w:hAnsi="Arial"/>
          <w:color w:val="000000" w:themeColor="text1"/>
          <w:sz w:val="16"/>
          <w:szCs w:val="16"/>
        </w:rPr>
        <w:t>+/1</w:t>
      </w:r>
      <w:r w:rsidR="00021B0F">
        <w:rPr>
          <w:rFonts w:ascii="Arial" w:hAnsi="Arial"/>
          <w:color w:val="000000" w:themeColor="text1"/>
          <w:sz w:val="16"/>
          <w:szCs w:val="16"/>
        </w:rPr>
        <w:t>8), and 10+ for severe MH.</w:t>
      </w:r>
    </w:p>
    <w:p w14:paraId="559B4502" w14:textId="77777777" w:rsidR="00E7113A" w:rsidRDefault="00E7113A" w:rsidP="000A4949">
      <w:pPr>
        <w:spacing w:after="0" w:line="240" w:lineRule="auto"/>
        <w:ind w:right="-45"/>
        <w:jc w:val="center"/>
        <w:rPr>
          <w:rFonts w:ascii="Arial" w:eastAsia="Times New Roman" w:hAnsi="Arial"/>
          <w:b/>
          <w:color w:val="000000" w:themeColor="text1"/>
          <w:sz w:val="18"/>
          <w:szCs w:val="18"/>
        </w:rPr>
      </w:pPr>
    </w:p>
    <w:p w14:paraId="14D33EA7" w14:textId="56AF3774" w:rsidR="000A4949" w:rsidRPr="008241D6" w:rsidRDefault="000A4949" w:rsidP="000A4949">
      <w:pPr>
        <w:spacing w:after="0" w:line="240" w:lineRule="auto"/>
        <w:ind w:right="-45"/>
        <w:jc w:val="center"/>
        <w:rPr>
          <w:rFonts w:ascii="Arial" w:eastAsia="Times New Roman" w:hAnsi="Arial"/>
          <w:bCs/>
          <w:color w:val="000000" w:themeColor="text1"/>
          <w:sz w:val="18"/>
          <w:szCs w:val="18"/>
        </w:rPr>
      </w:pPr>
      <w:r w:rsidRPr="008241D6">
        <w:rPr>
          <w:rFonts w:ascii="Arial" w:eastAsia="Times New Roman" w:hAnsi="Arial"/>
          <w:b/>
          <w:color w:val="000000" w:themeColor="text1"/>
          <w:sz w:val="18"/>
          <w:szCs w:val="18"/>
        </w:rPr>
        <w:t>Table E.</w:t>
      </w:r>
      <w:r w:rsidR="00190CF1">
        <w:rPr>
          <w:rFonts w:ascii="Arial" w:eastAsia="Times New Roman" w:hAnsi="Arial"/>
          <w:b/>
          <w:color w:val="000000" w:themeColor="text1"/>
          <w:sz w:val="18"/>
          <w:szCs w:val="18"/>
        </w:rPr>
        <w:t>8</w:t>
      </w:r>
      <w:r w:rsidR="001172F7" w:rsidRPr="008241D6">
        <w:rPr>
          <w:rFonts w:ascii="Arial" w:eastAsia="Times New Roman" w:hAnsi="Arial"/>
          <w:b/>
          <w:color w:val="000000" w:themeColor="text1"/>
          <w:sz w:val="18"/>
          <w:szCs w:val="18"/>
        </w:rPr>
        <w:t>b</w:t>
      </w:r>
    </w:p>
    <w:p w14:paraId="071741A5" w14:textId="77777777" w:rsidR="000A4949" w:rsidRPr="008241D6" w:rsidRDefault="000A4949" w:rsidP="000A4949">
      <w:pPr>
        <w:spacing w:after="0" w:line="240" w:lineRule="auto"/>
        <w:jc w:val="center"/>
        <w:rPr>
          <w:rFonts w:ascii="Arial" w:hAnsi="Arial"/>
          <w:b/>
          <w:bCs/>
          <w:color w:val="000000" w:themeColor="text1"/>
          <w:sz w:val="18"/>
          <w:szCs w:val="18"/>
        </w:rPr>
      </w:pPr>
      <w:r w:rsidRPr="008241D6">
        <w:rPr>
          <w:rFonts w:ascii="Arial" w:hAnsi="Arial"/>
          <w:b/>
          <w:bCs/>
          <w:color w:val="000000" w:themeColor="text1"/>
          <w:sz w:val="18"/>
          <w:szCs w:val="18"/>
        </w:rPr>
        <w:t xml:space="preserve">Material hardship for younger children: </w:t>
      </w:r>
    </w:p>
    <w:p w14:paraId="223E1A87" w14:textId="64C32E31" w:rsidR="000A4949" w:rsidRPr="00BF2CF5" w:rsidRDefault="000A4949" w:rsidP="000A4949">
      <w:pPr>
        <w:spacing w:line="240" w:lineRule="auto"/>
        <w:jc w:val="center"/>
        <w:rPr>
          <w:rFonts w:ascii="Arial" w:hAnsi="Arial"/>
          <w:b/>
          <w:bCs/>
          <w:color w:val="000000" w:themeColor="text1"/>
          <w:sz w:val="18"/>
          <w:szCs w:val="18"/>
        </w:rPr>
      </w:pPr>
      <w:r w:rsidRPr="008241D6">
        <w:rPr>
          <w:rFonts w:ascii="Arial" w:hAnsi="Arial"/>
          <w:b/>
          <w:bCs/>
          <w:color w:val="000000" w:themeColor="text1"/>
          <w:sz w:val="18"/>
          <w:szCs w:val="18"/>
        </w:rPr>
        <w:t xml:space="preserve">Two year average for HES-Admin years (2022-23 &amp; 2023-24) </w:t>
      </w:r>
    </w:p>
    <w:tbl>
      <w:tblPr>
        <w:tblStyle w:val="TableGrid"/>
        <w:tblW w:w="0" w:type="auto"/>
        <w:jc w:val="center"/>
        <w:tblLayout w:type="fixed"/>
        <w:tblLook w:val="04A0" w:firstRow="1" w:lastRow="0" w:firstColumn="1" w:lastColumn="0" w:noHBand="0" w:noVBand="1"/>
      </w:tblPr>
      <w:tblGrid>
        <w:gridCol w:w="2547"/>
        <w:gridCol w:w="779"/>
        <w:gridCol w:w="780"/>
        <w:gridCol w:w="709"/>
        <w:gridCol w:w="850"/>
        <w:gridCol w:w="780"/>
        <w:gridCol w:w="780"/>
        <w:gridCol w:w="850"/>
      </w:tblGrid>
      <w:tr w:rsidR="000A4949" w:rsidRPr="00BF2CF5" w14:paraId="2E0E6D56" w14:textId="77777777" w:rsidTr="009D3401">
        <w:trPr>
          <w:jc w:val="center"/>
        </w:trPr>
        <w:tc>
          <w:tcPr>
            <w:tcW w:w="2547" w:type="dxa"/>
            <w:vAlign w:val="center"/>
          </w:tcPr>
          <w:p w14:paraId="438C80BD" w14:textId="77777777" w:rsidR="000A4949" w:rsidRPr="00BF2CF5" w:rsidRDefault="000A4949" w:rsidP="009D3401">
            <w:pPr>
              <w:spacing w:before="40" w:after="40" w:line="240" w:lineRule="auto"/>
              <w:rPr>
                <w:rFonts w:ascii="Arial" w:hAnsi="Arial"/>
                <w:color w:val="000000" w:themeColor="text1"/>
                <w:sz w:val="14"/>
                <w:szCs w:val="14"/>
              </w:rPr>
            </w:pPr>
          </w:p>
        </w:tc>
        <w:tc>
          <w:tcPr>
            <w:tcW w:w="2268" w:type="dxa"/>
            <w:gridSpan w:val="3"/>
            <w:tcBorders>
              <w:right w:val="single" w:sz="8" w:space="0" w:color="auto"/>
            </w:tcBorders>
          </w:tcPr>
          <w:p w14:paraId="0033A862"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Material Hardship (rates, %)</w:t>
            </w:r>
          </w:p>
        </w:tc>
        <w:tc>
          <w:tcPr>
            <w:tcW w:w="2410" w:type="dxa"/>
            <w:gridSpan w:val="3"/>
            <w:tcBorders>
              <w:left w:val="single" w:sz="8" w:space="0" w:color="auto"/>
              <w:right w:val="single" w:sz="8" w:space="0" w:color="auto"/>
            </w:tcBorders>
          </w:tcPr>
          <w:p w14:paraId="58CF6349"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Material Hardship (numbers)</w:t>
            </w:r>
          </w:p>
        </w:tc>
        <w:tc>
          <w:tcPr>
            <w:tcW w:w="850" w:type="dxa"/>
            <w:vMerge w:val="restart"/>
            <w:tcBorders>
              <w:left w:val="single" w:sz="8" w:space="0" w:color="auto"/>
            </w:tcBorders>
            <w:vAlign w:val="center"/>
          </w:tcPr>
          <w:p w14:paraId="2720BD64"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Total numbers</w:t>
            </w:r>
          </w:p>
        </w:tc>
      </w:tr>
      <w:tr w:rsidR="000A4949" w:rsidRPr="00BF2CF5" w14:paraId="55899BAD" w14:textId="77777777" w:rsidTr="009D3401">
        <w:trPr>
          <w:jc w:val="center"/>
        </w:trPr>
        <w:tc>
          <w:tcPr>
            <w:tcW w:w="2547" w:type="dxa"/>
            <w:vAlign w:val="center"/>
          </w:tcPr>
          <w:p w14:paraId="7A854512" w14:textId="77777777" w:rsidR="000A4949" w:rsidRPr="00BF2CF5" w:rsidRDefault="000A4949" w:rsidP="009D3401">
            <w:pPr>
              <w:spacing w:before="40" w:after="40" w:line="240" w:lineRule="auto"/>
              <w:rPr>
                <w:rFonts w:ascii="Arial" w:hAnsi="Arial"/>
                <w:color w:val="000000" w:themeColor="text1"/>
                <w:sz w:val="14"/>
                <w:szCs w:val="14"/>
              </w:rPr>
            </w:pPr>
          </w:p>
        </w:tc>
        <w:tc>
          <w:tcPr>
            <w:tcW w:w="779" w:type="dxa"/>
          </w:tcPr>
          <w:p w14:paraId="65B7B2A8"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 xml:space="preserve">5+ </w:t>
            </w:r>
          </w:p>
        </w:tc>
        <w:tc>
          <w:tcPr>
            <w:tcW w:w="780" w:type="dxa"/>
            <w:vAlign w:val="center"/>
          </w:tcPr>
          <w:p w14:paraId="534DBF41"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 xml:space="preserve">6+ </w:t>
            </w:r>
          </w:p>
        </w:tc>
        <w:tc>
          <w:tcPr>
            <w:tcW w:w="709" w:type="dxa"/>
            <w:tcBorders>
              <w:right w:val="single" w:sz="8" w:space="0" w:color="auto"/>
            </w:tcBorders>
            <w:vAlign w:val="center"/>
          </w:tcPr>
          <w:p w14:paraId="68AF13DA"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 xml:space="preserve">9+ </w:t>
            </w:r>
          </w:p>
        </w:tc>
        <w:tc>
          <w:tcPr>
            <w:tcW w:w="850" w:type="dxa"/>
            <w:tcBorders>
              <w:left w:val="single" w:sz="8" w:space="0" w:color="auto"/>
            </w:tcBorders>
          </w:tcPr>
          <w:p w14:paraId="1F9979F9"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 xml:space="preserve">5+ </w:t>
            </w:r>
          </w:p>
        </w:tc>
        <w:tc>
          <w:tcPr>
            <w:tcW w:w="780" w:type="dxa"/>
            <w:vAlign w:val="center"/>
          </w:tcPr>
          <w:p w14:paraId="5DE90EE3"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6+</w:t>
            </w:r>
          </w:p>
        </w:tc>
        <w:tc>
          <w:tcPr>
            <w:tcW w:w="780" w:type="dxa"/>
            <w:tcBorders>
              <w:right w:val="single" w:sz="8" w:space="0" w:color="auto"/>
            </w:tcBorders>
            <w:vAlign w:val="center"/>
          </w:tcPr>
          <w:p w14:paraId="50ECF49A" w14:textId="77777777" w:rsidR="000A4949" w:rsidRPr="00BF2CF5" w:rsidRDefault="000A4949" w:rsidP="009D3401">
            <w:pPr>
              <w:spacing w:before="40" w:after="40" w:line="240" w:lineRule="auto"/>
              <w:jc w:val="center"/>
              <w:rPr>
                <w:rFonts w:ascii="Arial" w:hAnsi="Arial"/>
                <w:b/>
                <w:bCs/>
                <w:color w:val="000000" w:themeColor="text1"/>
                <w:sz w:val="14"/>
                <w:szCs w:val="14"/>
              </w:rPr>
            </w:pPr>
            <w:r w:rsidRPr="00BF2CF5">
              <w:rPr>
                <w:rFonts w:ascii="Arial" w:hAnsi="Arial"/>
                <w:b/>
                <w:bCs/>
                <w:color w:val="000000" w:themeColor="text1"/>
                <w:sz w:val="14"/>
                <w:szCs w:val="14"/>
              </w:rPr>
              <w:t xml:space="preserve"> 9+</w:t>
            </w:r>
          </w:p>
        </w:tc>
        <w:tc>
          <w:tcPr>
            <w:tcW w:w="850" w:type="dxa"/>
            <w:vMerge/>
            <w:tcBorders>
              <w:left w:val="single" w:sz="8" w:space="0" w:color="auto"/>
            </w:tcBorders>
            <w:vAlign w:val="center"/>
          </w:tcPr>
          <w:p w14:paraId="2D70A57E" w14:textId="77777777" w:rsidR="000A4949" w:rsidRPr="00BF2CF5" w:rsidRDefault="000A4949" w:rsidP="009D3401">
            <w:pPr>
              <w:spacing w:before="40" w:after="40" w:line="240" w:lineRule="auto"/>
              <w:jc w:val="center"/>
              <w:rPr>
                <w:rFonts w:ascii="Arial" w:hAnsi="Arial"/>
                <w:b/>
                <w:bCs/>
                <w:color w:val="000000" w:themeColor="text1"/>
                <w:sz w:val="14"/>
                <w:szCs w:val="14"/>
              </w:rPr>
            </w:pPr>
          </w:p>
        </w:tc>
      </w:tr>
      <w:tr w:rsidR="000A4949" w:rsidRPr="00BF2CF5" w14:paraId="4C8FBBC9" w14:textId="77777777" w:rsidTr="009D3401">
        <w:trPr>
          <w:jc w:val="center"/>
        </w:trPr>
        <w:tc>
          <w:tcPr>
            <w:tcW w:w="2547" w:type="dxa"/>
            <w:vAlign w:val="center"/>
          </w:tcPr>
          <w:p w14:paraId="1B2631F0" w14:textId="77777777" w:rsidR="000A4949" w:rsidRPr="00BF2CF5" w:rsidRDefault="000A4949" w:rsidP="009D3401">
            <w:pPr>
              <w:spacing w:before="40" w:after="40" w:line="240" w:lineRule="auto"/>
              <w:rPr>
                <w:rFonts w:ascii="Arial" w:hAnsi="Arial"/>
                <w:b/>
                <w:bCs/>
                <w:color w:val="000000" w:themeColor="text1"/>
                <w:sz w:val="14"/>
                <w:szCs w:val="14"/>
              </w:rPr>
            </w:pPr>
            <w:r w:rsidRPr="00BF2CF5">
              <w:rPr>
                <w:rFonts w:ascii="Arial" w:hAnsi="Arial"/>
                <w:b/>
                <w:bCs/>
                <w:color w:val="000000" w:themeColor="text1"/>
                <w:sz w:val="14"/>
                <w:szCs w:val="14"/>
              </w:rPr>
              <w:t>Age-groups</w:t>
            </w:r>
          </w:p>
        </w:tc>
        <w:tc>
          <w:tcPr>
            <w:tcW w:w="779" w:type="dxa"/>
          </w:tcPr>
          <w:p w14:paraId="235681DB" w14:textId="77777777" w:rsidR="000A4949" w:rsidRPr="00BF2CF5" w:rsidRDefault="000A4949" w:rsidP="009D3401">
            <w:pPr>
              <w:spacing w:before="40" w:after="40" w:line="240" w:lineRule="auto"/>
              <w:rPr>
                <w:rFonts w:ascii="Arial" w:hAnsi="Arial"/>
                <w:color w:val="000000" w:themeColor="text1"/>
                <w:sz w:val="14"/>
                <w:szCs w:val="14"/>
              </w:rPr>
            </w:pPr>
          </w:p>
        </w:tc>
        <w:tc>
          <w:tcPr>
            <w:tcW w:w="780" w:type="dxa"/>
            <w:vAlign w:val="center"/>
          </w:tcPr>
          <w:p w14:paraId="48C074D7" w14:textId="77777777" w:rsidR="000A4949" w:rsidRPr="00BF2CF5" w:rsidRDefault="000A4949" w:rsidP="009D3401">
            <w:pPr>
              <w:spacing w:before="40" w:after="40" w:line="240" w:lineRule="auto"/>
              <w:rPr>
                <w:rFonts w:ascii="Arial" w:hAnsi="Arial"/>
                <w:color w:val="000000" w:themeColor="text1"/>
                <w:sz w:val="14"/>
                <w:szCs w:val="14"/>
              </w:rPr>
            </w:pPr>
          </w:p>
        </w:tc>
        <w:tc>
          <w:tcPr>
            <w:tcW w:w="709" w:type="dxa"/>
            <w:tcBorders>
              <w:right w:val="single" w:sz="8" w:space="0" w:color="auto"/>
            </w:tcBorders>
            <w:vAlign w:val="center"/>
          </w:tcPr>
          <w:p w14:paraId="1A4F447C" w14:textId="77777777" w:rsidR="000A4949" w:rsidRPr="00BF2CF5" w:rsidRDefault="000A4949" w:rsidP="009D3401">
            <w:pPr>
              <w:spacing w:before="40" w:after="40" w:line="240" w:lineRule="auto"/>
              <w:rPr>
                <w:rFonts w:ascii="Arial" w:hAnsi="Arial"/>
                <w:color w:val="000000" w:themeColor="text1"/>
                <w:sz w:val="14"/>
                <w:szCs w:val="14"/>
              </w:rPr>
            </w:pPr>
          </w:p>
        </w:tc>
        <w:tc>
          <w:tcPr>
            <w:tcW w:w="850" w:type="dxa"/>
            <w:tcBorders>
              <w:left w:val="single" w:sz="8" w:space="0" w:color="auto"/>
            </w:tcBorders>
          </w:tcPr>
          <w:p w14:paraId="6E02FD7F" w14:textId="77777777" w:rsidR="000A4949" w:rsidRPr="00BF2CF5" w:rsidRDefault="000A4949" w:rsidP="009D3401">
            <w:pPr>
              <w:spacing w:before="40" w:after="40" w:line="240" w:lineRule="auto"/>
              <w:rPr>
                <w:rFonts w:ascii="Arial" w:hAnsi="Arial"/>
                <w:color w:val="000000" w:themeColor="text1"/>
                <w:sz w:val="14"/>
                <w:szCs w:val="14"/>
              </w:rPr>
            </w:pPr>
          </w:p>
        </w:tc>
        <w:tc>
          <w:tcPr>
            <w:tcW w:w="780" w:type="dxa"/>
            <w:vAlign w:val="center"/>
          </w:tcPr>
          <w:p w14:paraId="03C3D0AD" w14:textId="77777777" w:rsidR="000A4949" w:rsidRPr="00BF2CF5" w:rsidRDefault="000A4949" w:rsidP="009D3401">
            <w:pPr>
              <w:spacing w:before="40" w:after="40" w:line="240" w:lineRule="auto"/>
              <w:rPr>
                <w:rFonts w:ascii="Arial" w:hAnsi="Arial"/>
                <w:color w:val="000000" w:themeColor="text1"/>
                <w:sz w:val="14"/>
                <w:szCs w:val="14"/>
              </w:rPr>
            </w:pPr>
          </w:p>
        </w:tc>
        <w:tc>
          <w:tcPr>
            <w:tcW w:w="780" w:type="dxa"/>
            <w:tcBorders>
              <w:right w:val="single" w:sz="8" w:space="0" w:color="auto"/>
            </w:tcBorders>
            <w:vAlign w:val="center"/>
          </w:tcPr>
          <w:p w14:paraId="0A2920BE" w14:textId="77777777" w:rsidR="000A4949" w:rsidRPr="00BF2CF5" w:rsidRDefault="000A4949" w:rsidP="009D3401">
            <w:pPr>
              <w:spacing w:before="40" w:after="40" w:line="240" w:lineRule="auto"/>
              <w:rPr>
                <w:rFonts w:ascii="Arial" w:hAnsi="Arial"/>
                <w:color w:val="000000" w:themeColor="text1"/>
                <w:sz w:val="14"/>
                <w:szCs w:val="14"/>
              </w:rPr>
            </w:pPr>
          </w:p>
        </w:tc>
        <w:tc>
          <w:tcPr>
            <w:tcW w:w="850" w:type="dxa"/>
            <w:tcBorders>
              <w:left w:val="single" w:sz="8" w:space="0" w:color="auto"/>
            </w:tcBorders>
            <w:vAlign w:val="center"/>
          </w:tcPr>
          <w:p w14:paraId="66D9CCB9" w14:textId="77777777" w:rsidR="000A4949" w:rsidRPr="00BF2CF5" w:rsidRDefault="000A4949" w:rsidP="009D3401">
            <w:pPr>
              <w:spacing w:before="40" w:after="40" w:line="240" w:lineRule="auto"/>
              <w:rPr>
                <w:rFonts w:ascii="Arial" w:hAnsi="Arial"/>
                <w:color w:val="000000" w:themeColor="text1"/>
                <w:sz w:val="14"/>
                <w:szCs w:val="14"/>
              </w:rPr>
            </w:pPr>
          </w:p>
        </w:tc>
      </w:tr>
      <w:tr w:rsidR="000A4949" w:rsidRPr="00BF2CF5" w14:paraId="2AAFB65B" w14:textId="77777777" w:rsidTr="009D3401">
        <w:trPr>
          <w:jc w:val="center"/>
        </w:trPr>
        <w:tc>
          <w:tcPr>
            <w:tcW w:w="2547" w:type="dxa"/>
            <w:vAlign w:val="center"/>
          </w:tcPr>
          <w:p w14:paraId="4123DB0C"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0-17</w:t>
            </w:r>
          </w:p>
        </w:tc>
        <w:tc>
          <w:tcPr>
            <w:tcW w:w="779" w:type="dxa"/>
            <w:vAlign w:val="center"/>
          </w:tcPr>
          <w:p w14:paraId="17972AB6"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17</w:t>
            </w:r>
          </w:p>
        </w:tc>
        <w:tc>
          <w:tcPr>
            <w:tcW w:w="780" w:type="dxa"/>
            <w:vAlign w:val="center"/>
          </w:tcPr>
          <w:p w14:paraId="1D4E494F"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13</w:t>
            </w:r>
          </w:p>
        </w:tc>
        <w:tc>
          <w:tcPr>
            <w:tcW w:w="709" w:type="dxa"/>
            <w:tcBorders>
              <w:right w:val="single" w:sz="8" w:space="0" w:color="auto"/>
            </w:tcBorders>
            <w:vAlign w:val="center"/>
          </w:tcPr>
          <w:p w14:paraId="5F5F1039"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6</w:t>
            </w:r>
          </w:p>
        </w:tc>
        <w:tc>
          <w:tcPr>
            <w:tcW w:w="850" w:type="dxa"/>
            <w:tcBorders>
              <w:left w:val="single" w:sz="8" w:space="0" w:color="auto"/>
            </w:tcBorders>
            <w:vAlign w:val="center"/>
          </w:tcPr>
          <w:p w14:paraId="5CFE4135"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202,000</w:t>
            </w:r>
          </w:p>
        </w:tc>
        <w:tc>
          <w:tcPr>
            <w:tcW w:w="780" w:type="dxa"/>
            <w:vAlign w:val="center"/>
          </w:tcPr>
          <w:p w14:paraId="21187AAD"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152,000</w:t>
            </w:r>
          </w:p>
        </w:tc>
        <w:tc>
          <w:tcPr>
            <w:tcW w:w="780" w:type="dxa"/>
            <w:tcBorders>
              <w:right w:val="single" w:sz="8" w:space="0" w:color="auto"/>
            </w:tcBorders>
            <w:vAlign w:val="center"/>
          </w:tcPr>
          <w:p w14:paraId="43271251"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64,000</w:t>
            </w:r>
          </w:p>
        </w:tc>
        <w:tc>
          <w:tcPr>
            <w:tcW w:w="850" w:type="dxa"/>
            <w:tcBorders>
              <w:left w:val="single" w:sz="8" w:space="0" w:color="auto"/>
            </w:tcBorders>
            <w:vAlign w:val="center"/>
          </w:tcPr>
          <w:p w14:paraId="4CF6949A"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1,163,000</w:t>
            </w:r>
          </w:p>
        </w:tc>
      </w:tr>
      <w:tr w:rsidR="000A4949" w:rsidRPr="00BF2CF5" w14:paraId="1E3D14B2" w14:textId="77777777" w:rsidTr="009D3401">
        <w:trPr>
          <w:jc w:val="center"/>
        </w:trPr>
        <w:tc>
          <w:tcPr>
            <w:tcW w:w="2547" w:type="dxa"/>
            <w:vAlign w:val="center"/>
          </w:tcPr>
          <w:p w14:paraId="31F395CE"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0-4 (all)</w:t>
            </w:r>
          </w:p>
        </w:tc>
        <w:tc>
          <w:tcPr>
            <w:tcW w:w="779" w:type="dxa"/>
            <w:vAlign w:val="center"/>
          </w:tcPr>
          <w:p w14:paraId="68C6C405"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18</w:t>
            </w:r>
          </w:p>
        </w:tc>
        <w:tc>
          <w:tcPr>
            <w:tcW w:w="780" w:type="dxa"/>
            <w:vAlign w:val="center"/>
          </w:tcPr>
          <w:p w14:paraId="2C5AD8E5"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14</w:t>
            </w:r>
          </w:p>
        </w:tc>
        <w:tc>
          <w:tcPr>
            <w:tcW w:w="709" w:type="dxa"/>
            <w:tcBorders>
              <w:right w:val="single" w:sz="8" w:space="0" w:color="auto"/>
            </w:tcBorders>
            <w:vAlign w:val="center"/>
          </w:tcPr>
          <w:p w14:paraId="343FA44E"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6</w:t>
            </w:r>
          </w:p>
        </w:tc>
        <w:tc>
          <w:tcPr>
            <w:tcW w:w="850" w:type="dxa"/>
            <w:tcBorders>
              <w:left w:val="single" w:sz="8" w:space="0" w:color="auto"/>
            </w:tcBorders>
            <w:vAlign w:val="center"/>
          </w:tcPr>
          <w:p w14:paraId="088F1962"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55,000</w:t>
            </w:r>
          </w:p>
        </w:tc>
        <w:tc>
          <w:tcPr>
            <w:tcW w:w="780" w:type="dxa"/>
            <w:vAlign w:val="center"/>
          </w:tcPr>
          <w:p w14:paraId="74CD7E4B"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41,000</w:t>
            </w:r>
          </w:p>
        </w:tc>
        <w:tc>
          <w:tcPr>
            <w:tcW w:w="780" w:type="dxa"/>
            <w:tcBorders>
              <w:right w:val="single" w:sz="8" w:space="0" w:color="auto"/>
            </w:tcBorders>
            <w:vAlign w:val="center"/>
          </w:tcPr>
          <w:p w14:paraId="0A72FE35"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17,000</w:t>
            </w:r>
          </w:p>
        </w:tc>
        <w:tc>
          <w:tcPr>
            <w:tcW w:w="850" w:type="dxa"/>
            <w:tcBorders>
              <w:left w:val="single" w:sz="8" w:space="0" w:color="auto"/>
            </w:tcBorders>
            <w:vAlign w:val="center"/>
          </w:tcPr>
          <w:p w14:paraId="788EED93"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300,000</w:t>
            </w:r>
          </w:p>
        </w:tc>
      </w:tr>
      <w:tr w:rsidR="000A4949" w:rsidRPr="00BF2CF5" w14:paraId="55B848C5" w14:textId="77777777" w:rsidTr="009D3401">
        <w:trPr>
          <w:jc w:val="center"/>
        </w:trPr>
        <w:tc>
          <w:tcPr>
            <w:tcW w:w="2547" w:type="dxa"/>
            <w:vAlign w:val="center"/>
          </w:tcPr>
          <w:p w14:paraId="284FA08C"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0-4 (with siblings aged 5+)</w:t>
            </w:r>
          </w:p>
        </w:tc>
        <w:tc>
          <w:tcPr>
            <w:tcW w:w="779" w:type="dxa"/>
            <w:vAlign w:val="center"/>
          </w:tcPr>
          <w:p w14:paraId="11CED0F6"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22</w:t>
            </w:r>
          </w:p>
        </w:tc>
        <w:tc>
          <w:tcPr>
            <w:tcW w:w="780" w:type="dxa"/>
            <w:vAlign w:val="center"/>
          </w:tcPr>
          <w:p w14:paraId="46332663"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18</w:t>
            </w:r>
          </w:p>
        </w:tc>
        <w:tc>
          <w:tcPr>
            <w:tcW w:w="709" w:type="dxa"/>
            <w:tcBorders>
              <w:right w:val="single" w:sz="8" w:space="0" w:color="auto"/>
            </w:tcBorders>
            <w:vAlign w:val="center"/>
          </w:tcPr>
          <w:p w14:paraId="33548692"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8</w:t>
            </w:r>
          </w:p>
        </w:tc>
        <w:tc>
          <w:tcPr>
            <w:tcW w:w="850" w:type="dxa"/>
            <w:tcBorders>
              <w:left w:val="single" w:sz="8" w:space="0" w:color="auto"/>
            </w:tcBorders>
            <w:vAlign w:val="center"/>
          </w:tcPr>
          <w:p w14:paraId="4CBB6A60"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29,000</w:t>
            </w:r>
          </w:p>
        </w:tc>
        <w:tc>
          <w:tcPr>
            <w:tcW w:w="780" w:type="dxa"/>
            <w:vAlign w:val="center"/>
          </w:tcPr>
          <w:p w14:paraId="4CECCED3"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24,000</w:t>
            </w:r>
          </w:p>
        </w:tc>
        <w:tc>
          <w:tcPr>
            <w:tcW w:w="780" w:type="dxa"/>
            <w:tcBorders>
              <w:right w:val="single" w:sz="8" w:space="0" w:color="auto"/>
            </w:tcBorders>
            <w:vAlign w:val="center"/>
          </w:tcPr>
          <w:p w14:paraId="33C74859"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10,000</w:t>
            </w:r>
          </w:p>
        </w:tc>
        <w:tc>
          <w:tcPr>
            <w:tcW w:w="850" w:type="dxa"/>
            <w:tcBorders>
              <w:left w:val="single" w:sz="8" w:space="0" w:color="auto"/>
            </w:tcBorders>
            <w:vAlign w:val="center"/>
          </w:tcPr>
          <w:p w14:paraId="7F2F540C"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132,000</w:t>
            </w:r>
          </w:p>
        </w:tc>
      </w:tr>
      <w:tr w:rsidR="000A4949" w:rsidRPr="00BF2CF5" w14:paraId="78F3C7D7" w14:textId="77777777" w:rsidTr="009D3401">
        <w:trPr>
          <w:jc w:val="center"/>
        </w:trPr>
        <w:tc>
          <w:tcPr>
            <w:tcW w:w="2547" w:type="dxa"/>
            <w:vAlign w:val="center"/>
          </w:tcPr>
          <w:p w14:paraId="19CC8383"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0-4 only (with no siblings aged 5+)</w:t>
            </w:r>
          </w:p>
        </w:tc>
        <w:tc>
          <w:tcPr>
            <w:tcW w:w="779" w:type="dxa"/>
            <w:vAlign w:val="center"/>
          </w:tcPr>
          <w:p w14:paraId="55DDF92D"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c>
          <w:tcPr>
            <w:tcW w:w="780" w:type="dxa"/>
            <w:vAlign w:val="center"/>
          </w:tcPr>
          <w:p w14:paraId="3FAD2337"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10</w:t>
            </w:r>
          </w:p>
        </w:tc>
        <w:tc>
          <w:tcPr>
            <w:tcW w:w="709" w:type="dxa"/>
            <w:tcBorders>
              <w:right w:val="single" w:sz="8" w:space="0" w:color="auto"/>
            </w:tcBorders>
            <w:vAlign w:val="center"/>
          </w:tcPr>
          <w:p w14:paraId="702CD616"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4</w:t>
            </w:r>
          </w:p>
        </w:tc>
        <w:tc>
          <w:tcPr>
            <w:tcW w:w="850" w:type="dxa"/>
            <w:tcBorders>
              <w:left w:val="single" w:sz="8" w:space="0" w:color="auto"/>
            </w:tcBorders>
            <w:vAlign w:val="center"/>
          </w:tcPr>
          <w:p w14:paraId="031DF36C"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25,000</w:t>
            </w:r>
          </w:p>
        </w:tc>
        <w:tc>
          <w:tcPr>
            <w:tcW w:w="780" w:type="dxa"/>
            <w:vAlign w:val="center"/>
          </w:tcPr>
          <w:p w14:paraId="2F10193A"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17,000</w:t>
            </w:r>
          </w:p>
        </w:tc>
        <w:tc>
          <w:tcPr>
            <w:tcW w:w="780" w:type="dxa"/>
            <w:tcBorders>
              <w:right w:val="single" w:sz="8" w:space="0" w:color="auto"/>
            </w:tcBorders>
            <w:vAlign w:val="center"/>
          </w:tcPr>
          <w:p w14:paraId="17A4993F"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7,000</w:t>
            </w:r>
          </w:p>
        </w:tc>
        <w:tc>
          <w:tcPr>
            <w:tcW w:w="850" w:type="dxa"/>
            <w:tcBorders>
              <w:left w:val="single" w:sz="8" w:space="0" w:color="auto"/>
            </w:tcBorders>
            <w:vAlign w:val="center"/>
          </w:tcPr>
          <w:p w14:paraId="2097C1D5"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164,000</w:t>
            </w:r>
          </w:p>
        </w:tc>
      </w:tr>
      <w:tr w:rsidR="000A4949" w:rsidRPr="00BF2CF5" w14:paraId="2DD33C99" w14:textId="77777777" w:rsidTr="009D3401">
        <w:trPr>
          <w:jc w:val="center"/>
        </w:trPr>
        <w:tc>
          <w:tcPr>
            <w:tcW w:w="2547" w:type="dxa"/>
            <w:vAlign w:val="center"/>
          </w:tcPr>
          <w:p w14:paraId="3B467D8A"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0-6 (all)</w:t>
            </w:r>
          </w:p>
        </w:tc>
        <w:tc>
          <w:tcPr>
            <w:tcW w:w="779" w:type="dxa"/>
            <w:vAlign w:val="center"/>
          </w:tcPr>
          <w:p w14:paraId="1A4AE97B"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18</w:t>
            </w:r>
          </w:p>
        </w:tc>
        <w:tc>
          <w:tcPr>
            <w:tcW w:w="780" w:type="dxa"/>
            <w:vAlign w:val="center"/>
          </w:tcPr>
          <w:p w14:paraId="46EBDF10"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14</w:t>
            </w:r>
          </w:p>
        </w:tc>
        <w:tc>
          <w:tcPr>
            <w:tcW w:w="709" w:type="dxa"/>
            <w:tcBorders>
              <w:right w:val="single" w:sz="8" w:space="0" w:color="auto"/>
            </w:tcBorders>
            <w:vAlign w:val="center"/>
          </w:tcPr>
          <w:p w14:paraId="61D9384F"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6</w:t>
            </w:r>
          </w:p>
        </w:tc>
        <w:tc>
          <w:tcPr>
            <w:tcW w:w="850" w:type="dxa"/>
            <w:tcBorders>
              <w:left w:val="single" w:sz="8" w:space="0" w:color="auto"/>
            </w:tcBorders>
            <w:vAlign w:val="center"/>
          </w:tcPr>
          <w:p w14:paraId="6552242F"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78,000</w:t>
            </w:r>
          </w:p>
        </w:tc>
        <w:tc>
          <w:tcPr>
            <w:tcW w:w="780" w:type="dxa"/>
            <w:vAlign w:val="center"/>
          </w:tcPr>
          <w:p w14:paraId="1B431816"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59,000</w:t>
            </w:r>
          </w:p>
        </w:tc>
        <w:tc>
          <w:tcPr>
            <w:tcW w:w="780" w:type="dxa"/>
            <w:tcBorders>
              <w:right w:val="single" w:sz="8" w:space="0" w:color="auto"/>
            </w:tcBorders>
            <w:vAlign w:val="center"/>
          </w:tcPr>
          <w:p w14:paraId="77FFC4E1"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24,000</w:t>
            </w:r>
          </w:p>
        </w:tc>
        <w:tc>
          <w:tcPr>
            <w:tcW w:w="850" w:type="dxa"/>
            <w:tcBorders>
              <w:left w:val="single" w:sz="8" w:space="0" w:color="auto"/>
            </w:tcBorders>
            <w:vAlign w:val="center"/>
          </w:tcPr>
          <w:p w14:paraId="2A30D11E"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428,000</w:t>
            </w:r>
          </w:p>
        </w:tc>
      </w:tr>
      <w:tr w:rsidR="000A4949" w:rsidRPr="00BF2CF5" w14:paraId="5B9BADC6" w14:textId="77777777" w:rsidTr="009D3401">
        <w:trPr>
          <w:jc w:val="center"/>
        </w:trPr>
        <w:tc>
          <w:tcPr>
            <w:tcW w:w="2547" w:type="dxa"/>
            <w:vAlign w:val="center"/>
          </w:tcPr>
          <w:p w14:paraId="1BC8851D"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0-6 (with siblings aged 7+)</w:t>
            </w:r>
          </w:p>
        </w:tc>
        <w:tc>
          <w:tcPr>
            <w:tcW w:w="779" w:type="dxa"/>
            <w:vAlign w:val="center"/>
          </w:tcPr>
          <w:p w14:paraId="76A7609B"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24</w:t>
            </w:r>
          </w:p>
        </w:tc>
        <w:tc>
          <w:tcPr>
            <w:tcW w:w="780" w:type="dxa"/>
            <w:vAlign w:val="center"/>
          </w:tcPr>
          <w:p w14:paraId="0E32078F"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19</w:t>
            </w:r>
          </w:p>
        </w:tc>
        <w:tc>
          <w:tcPr>
            <w:tcW w:w="709" w:type="dxa"/>
            <w:tcBorders>
              <w:right w:val="single" w:sz="8" w:space="0" w:color="auto"/>
            </w:tcBorders>
            <w:vAlign w:val="center"/>
          </w:tcPr>
          <w:p w14:paraId="3058A622"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8</w:t>
            </w:r>
          </w:p>
        </w:tc>
        <w:tc>
          <w:tcPr>
            <w:tcW w:w="850" w:type="dxa"/>
            <w:tcBorders>
              <w:left w:val="single" w:sz="8" w:space="0" w:color="auto"/>
            </w:tcBorders>
            <w:vAlign w:val="center"/>
          </w:tcPr>
          <w:p w14:paraId="53EA2E22"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38,000</w:t>
            </w:r>
          </w:p>
        </w:tc>
        <w:tc>
          <w:tcPr>
            <w:tcW w:w="780" w:type="dxa"/>
            <w:vAlign w:val="center"/>
          </w:tcPr>
          <w:p w14:paraId="59F8A8A4"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31,000</w:t>
            </w:r>
          </w:p>
        </w:tc>
        <w:tc>
          <w:tcPr>
            <w:tcW w:w="780" w:type="dxa"/>
            <w:tcBorders>
              <w:right w:val="single" w:sz="8" w:space="0" w:color="auto"/>
            </w:tcBorders>
            <w:vAlign w:val="center"/>
          </w:tcPr>
          <w:p w14:paraId="336A70B3"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12,000</w:t>
            </w:r>
          </w:p>
        </w:tc>
        <w:tc>
          <w:tcPr>
            <w:tcW w:w="850" w:type="dxa"/>
            <w:tcBorders>
              <w:left w:val="single" w:sz="8" w:space="0" w:color="auto"/>
            </w:tcBorders>
            <w:vAlign w:val="center"/>
          </w:tcPr>
          <w:p w14:paraId="157243B2"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162,000</w:t>
            </w:r>
          </w:p>
        </w:tc>
      </w:tr>
      <w:tr w:rsidR="000A4949" w:rsidRPr="00BF2CF5" w14:paraId="191D49D5" w14:textId="77777777" w:rsidTr="009D3401">
        <w:trPr>
          <w:jc w:val="center"/>
        </w:trPr>
        <w:tc>
          <w:tcPr>
            <w:tcW w:w="2547" w:type="dxa"/>
            <w:vAlign w:val="center"/>
          </w:tcPr>
          <w:p w14:paraId="7E6661EA" w14:textId="77777777" w:rsidR="000A4949" w:rsidRPr="00BF2CF5" w:rsidRDefault="000A4949" w:rsidP="009D3401">
            <w:pPr>
              <w:spacing w:before="40" w:after="40" w:line="240" w:lineRule="auto"/>
              <w:ind w:left="174"/>
              <w:rPr>
                <w:rFonts w:ascii="Arial" w:hAnsi="Arial"/>
                <w:color w:val="000000" w:themeColor="text1"/>
                <w:sz w:val="14"/>
                <w:szCs w:val="14"/>
              </w:rPr>
            </w:pPr>
            <w:r w:rsidRPr="00BF2CF5">
              <w:rPr>
                <w:rFonts w:ascii="Arial" w:hAnsi="Arial"/>
                <w:color w:val="000000" w:themeColor="text1"/>
                <w:sz w:val="14"/>
                <w:szCs w:val="14"/>
              </w:rPr>
              <w:t>0-6 only (with no siblings aged 7+)</w:t>
            </w:r>
          </w:p>
        </w:tc>
        <w:tc>
          <w:tcPr>
            <w:tcW w:w="779" w:type="dxa"/>
            <w:vAlign w:val="center"/>
          </w:tcPr>
          <w:p w14:paraId="38C737CF"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15</w:t>
            </w:r>
          </w:p>
        </w:tc>
        <w:tc>
          <w:tcPr>
            <w:tcW w:w="780" w:type="dxa"/>
            <w:vAlign w:val="center"/>
          </w:tcPr>
          <w:p w14:paraId="4DB4C5F5"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11</w:t>
            </w:r>
          </w:p>
        </w:tc>
        <w:tc>
          <w:tcPr>
            <w:tcW w:w="709" w:type="dxa"/>
            <w:tcBorders>
              <w:right w:val="single" w:sz="8" w:space="0" w:color="auto"/>
            </w:tcBorders>
            <w:vAlign w:val="center"/>
          </w:tcPr>
          <w:p w14:paraId="2B1B25F7"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4</w:t>
            </w:r>
          </w:p>
        </w:tc>
        <w:tc>
          <w:tcPr>
            <w:tcW w:w="850" w:type="dxa"/>
            <w:tcBorders>
              <w:left w:val="single" w:sz="8" w:space="0" w:color="auto"/>
            </w:tcBorders>
            <w:vAlign w:val="center"/>
          </w:tcPr>
          <w:p w14:paraId="4B8C4607"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40,000</w:t>
            </w:r>
          </w:p>
        </w:tc>
        <w:tc>
          <w:tcPr>
            <w:tcW w:w="780" w:type="dxa"/>
            <w:vAlign w:val="center"/>
          </w:tcPr>
          <w:p w14:paraId="5F675774"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28,000</w:t>
            </w:r>
          </w:p>
        </w:tc>
        <w:tc>
          <w:tcPr>
            <w:tcW w:w="780" w:type="dxa"/>
            <w:tcBorders>
              <w:right w:val="single" w:sz="8" w:space="0" w:color="auto"/>
            </w:tcBorders>
            <w:vAlign w:val="center"/>
          </w:tcPr>
          <w:p w14:paraId="1A92DFF9"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12,000</w:t>
            </w:r>
          </w:p>
        </w:tc>
        <w:tc>
          <w:tcPr>
            <w:tcW w:w="850" w:type="dxa"/>
            <w:tcBorders>
              <w:left w:val="single" w:sz="8" w:space="0" w:color="auto"/>
            </w:tcBorders>
            <w:vAlign w:val="center"/>
          </w:tcPr>
          <w:p w14:paraId="0FA71D57" w14:textId="77777777" w:rsidR="000A4949" w:rsidRPr="00BF2CF5" w:rsidRDefault="000A4949" w:rsidP="009D3401">
            <w:pPr>
              <w:spacing w:before="40" w:after="40" w:line="240" w:lineRule="auto"/>
              <w:jc w:val="center"/>
              <w:rPr>
                <w:rFonts w:ascii="Arial" w:hAnsi="Arial"/>
                <w:color w:val="000000" w:themeColor="text1"/>
                <w:sz w:val="14"/>
                <w:szCs w:val="14"/>
              </w:rPr>
            </w:pPr>
            <w:r>
              <w:rPr>
                <w:rFonts w:ascii="Arial" w:hAnsi="Arial"/>
                <w:color w:val="000000"/>
                <w:sz w:val="14"/>
                <w:szCs w:val="14"/>
              </w:rPr>
              <w:t>266,000</w:t>
            </w:r>
          </w:p>
        </w:tc>
      </w:tr>
    </w:tbl>
    <w:p w14:paraId="13A61ED6" w14:textId="77777777" w:rsidR="000A4949" w:rsidRPr="00BF2CF5" w:rsidRDefault="000A4949" w:rsidP="000A4949">
      <w:pPr>
        <w:spacing w:before="60" w:after="0" w:line="240" w:lineRule="auto"/>
        <w:ind w:left="426"/>
        <w:rPr>
          <w:rFonts w:ascii="Arial" w:hAnsi="Arial"/>
          <w:color w:val="000000" w:themeColor="text1"/>
          <w:sz w:val="16"/>
          <w:szCs w:val="16"/>
        </w:rPr>
      </w:pPr>
      <w:r w:rsidRPr="00BF2CF5">
        <w:rPr>
          <w:rFonts w:ascii="Arial" w:hAnsi="Arial"/>
          <w:color w:val="000000" w:themeColor="text1"/>
          <w:sz w:val="16"/>
          <w:szCs w:val="16"/>
        </w:rPr>
        <w:t>Notes for table:</w:t>
      </w:r>
    </w:p>
    <w:p w14:paraId="66F9C2E5" w14:textId="67E857D8" w:rsidR="000A4949" w:rsidRPr="00BF2CF5" w:rsidRDefault="000A4949">
      <w:pPr>
        <w:pStyle w:val="ListParagraph"/>
        <w:numPr>
          <w:ilvl w:val="0"/>
          <w:numId w:val="55"/>
        </w:numPr>
        <w:spacing w:before="20" w:after="0" w:line="240" w:lineRule="auto"/>
        <w:ind w:left="851" w:hanging="142"/>
        <w:contextualSpacing w:val="0"/>
        <w:rPr>
          <w:rFonts w:ascii="Arial" w:hAnsi="Arial"/>
          <w:color w:val="000000" w:themeColor="text1"/>
          <w:sz w:val="16"/>
          <w:szCs w:val="16"/>
        </w:rPr>
      </w:pPr>
      <w:r w:rsidRPr="00BF2CF5">
        <w:rPr>
          <w:rFonts w:ascii="Arial" w:hAnsi="Arial"/>
          <w:color w:val="000000" w:themeColor="text1"/>
          <w:sz w:val="16"/>
          <w:szCs w:val="16"/>
        </w:rPr>
        <w:t xml:space="preserve">The table uses the average of the </w:t>
      </w:r>
      <w:r w:rsidRPr="002C3BAC">
        <w:rPr>
          <w:rFonts w:ascii="Arial" w:hAnsi="Arial"/>
          <w:color w:val="000000" w:themeColor="text1"/>
          <w:sz w:val="16"/>
          <w:szCs w:val="16"/>
        </w:rPr>
        <w:t>two HES years 2</w:t>
      </w:r>
      <w:r>
        <w:rPr>
          <w:rFonts w:ascii="Arial" w:hAnsi="Arial"/>
          <w:color w:val="000000" w:themeColor="text1"/>
          <w:sz w:val="16"/>
          <w:szCs w:val="16"/>
        </w:rPr>
        <w:t>2</w:t>
      </w:r>
      <w:r w:rsidRPr="002C3BAC">
        <w:rPr>
          <w:rFonts w:ascii="Arial" w:hAnsi="Arial"/>
          <w:color w:val="000000" w:themeColor="text1"/>
          <w:sz w:val="16"/>
          <w:szCs w:val="16"/>
        </w:rPr>
        <w:t>-2</w:t>
      </w:r>
      <w:r>
        <w:rPr>
          <w:rFonts w:ascii="Arial" w:hAnsi="Arial"/>
          <w:color w:val="000000" w:themeColor="text1"/>
          <w:sz w:val="16"/>
          <w:szCs w:val="16"/>
        </w:rPr>
        <w:t>3</w:t>
      </w:r>
      <w:r w:rsidRPr="002C3BAC">
        <w:rPr>
          <w:rFonts w:ascii="Arial" w:hAnsi="Arial"/>
          <w:color w:val="000000" w:themeColor="text1"/>
          <w:sz w:val="16"/>
          <w:szCs w:val="16"/>
        </w:rPr>
        <w:t xml:space="preserve"> and 2</w:t>
      </w:r>
      <w:r>
        <w:rPr>
          <w:rFonts w:ascii="Arial" w:hAnsi="Arial"/>
          <w:color w:val="000000" w:themeColor="text1"/>
          <w:sz w:val="16"/>
          <w:szCs w:val="16"/>
        </w:rPr>
        <w:t>3</w:t>
      </w:r>
      <w:r w:rsidRPr="002C3BAC">
        <w:rPr>
          <w:rFonts w:ascii="Arial" w:hAnsi="Arial"/>
          <w:color w:val="000000" w:themeColor="text1"/>
          <w:sz w:val="16"/>
          <w:szCs w:val="16"/>
        </w:rPr>
        <w:t>-2</w:t>
      </w:r>
      <w:r>
        <w:rPr>
          <w:rFonts w:ascii="Arial" w:hAnsi="Arial"/>
          <w:color w:val="000000" w:themeColor="text1"/>
          <w:sz w:val="16"/>
          <w:szCs w:val="16"/>
        </w:rPr>
        <w:t xml:space="preserve">4 </w:t>
      </w:r>
      <w:r w:rsidRPr="00BF2CF5">
        <w:rPr>
          <w:rFonts w:ascii="Arial" w:hAnsi="Arial"/>
          <w:color w:val="000000" w:themeColor="text1"/>
          <w:sz w:val="16"/>
          <w:szCs w:val="16"/>
        </w:rPr>
        <w:t xml:space="preserve">to </w:t>
      </w:r>
      <w:r w:rsidR="00E05B20">
        <w:rPr>
          <w:rFonts w:ascii="Arial" w:hAnsi="Arial"/>
          <w:color w:val="000000" w:themeColor="text1"/>
          <w:sz w:val="16"/>
          <w:szCs w:val="16"/>
        </w:rPr>
        <w:t>improve the precision of the numbers</w:t>
      </w:r>
      <w:r w:rsidR="007435B5">
        <w:rPr>
          <w:rFonts w:ascii="Arial" w:hAnsi="Arial"/>
          <w:color w:val="000000" w:themeColor="text1"/>
          <w:sz w:val="16"/>
          <w:szCs w:val="16"/>
        </w:rPr>
        <w:t>.</w:t>
      </w:r>
      <w:r w:rsidRPr="00BF2CF5">
        <w:rPr>
          <w:rFonts w:ascii="Arial" w:hAnsi="Arial"/>
          <w:color w:val="000000" w:themeColor="text1"/>
          <w:sz w:val="16"/>
          <w:szCs w:val="16"/>
        </w:rPr>
        <w:t>.</w:t>
      </w:r>
    </w:p>
    <w:p w14:paraId="78F7094A" w14:textId="35D85CAE" w:rsidR="000A4949" w:rsidRDefault="000A4949">
      <w:pPr>
        <w:pStyle w:val="ListParagraph"/>
        <w:numPr>
          <w:ilvl w:val="0"/>
          <w:numId w:val="55"/>
        </w:numPr>
        <w:spacing w:before="20" w:after="0" w:line="240" w:lineRule="auto"/>
        <w:ind w:left="851" w:hanging="142"/>
        <w:contextualSpacing w:val="0"/>
        <w:rPr>
          <w:rFonts w:ascii="Arial" w:hAnsi="Arial"/>
          <w:color w:val="000000" w:themeColor="text1"/>
          <w:sz w:val="16"/>
          <w:szCs w:val="16"/>
        </w:rPr>
      </w:pPr>
      <w:r w:rsidRPr="005D35E5">
        <w:rPr>
          <w:rFonts w:ascii="Arial" w:hAnsi="Arial"/>
          <w:color w:val="000000" w:themeColor="text1"/>
          <w:sz w:val="16"/>
          <w:szCs w:val="16"/>
        </w:rPr>
        <w:t xml:space="preserve">The DEP-17 material hardship index is used </w:t>
      </w:r>
      <w:r w:rsidR="00021B0F">
        <w:rPr>
          <w:rFonts w:ascii="Arial" w:hAnsi="Arial"/>
          <w:color w:val="000000" w:themeColor="text1"/>
          <w:sz w:val="16"/>
          <w:szCs w:val="16"/>
        </w:rPr>
        <w:t>–</w:t>
      </w:r>
      <w:r w:rsidRPr="005D35E5">
        <w:rPr>
          <w:rFonts w:ascii="Arial" w:hAnsi="Arial"/>
          <w:color w:val="000000" w:themeColor="text1"/>
          <w:sz w:val="16"/>
          <w:szCs w:val="16"/>
        </w:rPr>
        <w:t xml:space="preserve"> </w:t>
      </w:r>
      <w:r w:rsidR="00021B0F">
        <w:rPr>
          <w:rFonts w:ascii="Arial" w:hAnsi="Arial"/>
          <w:color w:val="000000" w:themeColor="text1"/>
          <w:sz w:val="16"/>
          <w:szCs w:val="16"/>
        </w:rPr>
        <w:t>the material hardship (MH)</w:t>
      </w:r>
      <w:r w:rsidRPr="005D35E5">
        <w:rPr>
          <w:rFonts w:ascii="Arial" w:hAnsi="Arial"/>
          <w:color w:val="000000" w:themeColor="text1"/>
          <w:sz w:val="16"/>
          <w:szCs w:val="16"/>
        </w:rPr>
        <w:t xml:space="preserve"> threshold </w:t>
      </w:r>
      <w:r w:rsidR="00021B0F">
        <w:rPr>
          <w:rFonts w:ascii="Arial" w:hAnsi="Arial"/>
          <w:color w:val="000000" w:themeColor="text1"/>
          <w:sz w:val="16"/>
          <w:szCs w:val="16"/>
        </w:rPr>
        <w:t>is</w:t>
      </w:r>
      <w:r w:rsidRPr="005D35E5">
        <w:rPr>
          <w:rFonts w:ascii="Arial" w:hAnsi="Arial"/>
          <w:color w:val="000000" w:themeColor="text1"/>
          <w:sz w:val="16"/>
          <w:szCs w:val="16"/>
        </w:rPr>
        <w:t xml:space="preserve"> ‘</w:t>
      </w:r>
      <w:r w:rsidR="00021B0F">
        <w:rPr>
          <w:rFonts w:ascii="Arial" w:hAnsi="Arial"/>
          <w:color w:val="000000" w:themeColor="text1"/>
          <w:sz w:val="16"/>
          <w:szCs w:val="16"/>
        </w:rPr>
        <w:t>6</w:t>
      </w:r>
      <w:r w:rsidRPr="005D35E5">
        <w:rPr>
          <w:rFonts w:ascii="Arial" w:hAnsi="Arial"/>
          <w:color w:val="000000" w:themeColor="text1"/>
          <w:sz w:val="16"/>
          <w:szCs w:val="16"/>
        </w:rPr>
        <w:t xml:space="preserve">+’ </w:t>
      </w:r>
      <w:r w:rsidR="00021B0F">
        <w:rPr>
          <w:rFonts w:ascii="Arial" w:hAnsi="Arial"/>
          <w:color w:val="000000" w:themeColor="text1"/>
          <w:sz w:val="16"/>
          <w:szCs w:val="16"/>
        </w:rPr>
        <w:t>(ie</w:t>
      </w:r>
      <w:r w:rsidRPr="005D35E5">
        <w:rPr>
          <w:rFonts w:ascii="Arial" w:hAnsi="Arial"/>
          <w:color w:val="000000" w:themeColor="text1"/>
          <w:sz w:val="16"/>
          <w:szCs w:val="16"/>
        </w:rPr>
        <w:t xml:space="preserve"> </w:t>
      </w:r>
      <w:r w:rsidR="00021B0F">
        <w:rPr>
          <w:rFonts w:ascii="Arial" w:hAnsi="Arial"/>
          <w:color w:val="000000" w:themeColor="text1"/>
          <w:sz w:val="16"/>
          <w:szCs w:val="16"/>
        </w:rPr>
        <w:t>6</w:t>
      </w:r>
      <w:r w:rsidRPr="005D35E5">
        <w:rPr>
          <w:rFonts w:ascii="Arial" w:hAnsi="Arial"/>
          <w:color w:val="000000" w:themeColor="text1"/>
          <w:sz w:val="16"/>
          <w:szCs w:val="16"/>
        </w:rPr>
        <w:t>+/17</w:t>
      </w:r>
      <w:r w:rsidR="00021B0F">
        <w:rPr>
          <w:rFonts w:ascii="Arial" w:hAnsi="Arial"/>
          <w:color w:val="000000" w:themeColor="text1"/>
          <w:sz w:val="16"/>
          <w:szCs w:val="16"/>
        </w:rPr>
        <w:t>), and for severe MH the threshold is ‘9+’.</w:t>
      </w:r>
    </w:p>
    <w:p w14:paraId="6FA4334A" w14:textId="77777777" w:rsidR="001F34A9" w:rsidRPr="00391B82" w:rsidRDefault="001F34A9" w:rsidP="001F34A9">
      <w:pPr>
        <w:spacing w:before="120" w:after="0" w:line="240" w:lineRule="auto"/>
        <w:rPr>
          <w:rFonts w:ascii="Arial" w:hAnsi="Arial"/>
          <w:b/>
          <w:color w:val="000000" w:themeColor="text1"/>
          <w:sz w:val="24"/>
          <w:szCs w:val="28"/>
        </w:rPr>
      </w:pPr>
      <w:r w:rsidRPr="00391B82">
        <w:rPr>
          <w:rFonts w:ascii="Arial" w:hAnsi="Arial"/>
          <w:b/>
          <w:color w:val="000000" w:themeColor="text1"/>
          <w:sz w:val="24"/>
          <w:szCs w:val="28"/>
        </w:rPr>
        <w:lastRenderedPageBreak/>
        <w:t xml:space="preserve">Material hardship, low (AHC) income and foodbank usage in six Auckland sub-regions </w:t>
      </w:r>
    </w:p>
    <w:p w14:paraId="09509CAA" w14:textId="77777777" w:rsidR="001F34A9" w:rsidRPr="00391B82" w:rsidRDefault="001F34A9" w:rsidP="001F34A9">
      <w:pPr>
        <w:spacing w:after="0" w:line="240" w:lineRule="auto"/>
        <w:rPr>
          <w:rFonts w:ascii="Arial" w:hAnsi="Arial"/>
          <w:b/>
          <w:color w:val="000000" w:themeColor="text1"/>
          <w:szCs w:val="20"/>
        </w:rPr>
      </w:pPr>
    </w:p>
    <w:p w14:paraId="7496E61E" w14:textId="19960175" w:rsidR="001F34A9" w:rsidRPr="00391B82" w:rsidRDefault="001F34A9" w:rsidP="001F34A9">
      <w:pPr>
        <w:spacing w:after="0" w:line="240" w:lineRule="auto"/>
        <w:rPr>
          <w:rFonts w:ascii="Arial" w:hAnsi="Arial"/>
          <w:color w:val="000000" w:themeColor="text1"/>
          <w:szCs w:val="20"/>
          <w:shd w:val="clear" w:color="auto" w:fill="FFFFFF"/>
        </w:rPr>
      </w:pPr>
      <w:r w:rsidRPr="00391B82">
        <w:rPr>
          <w:rFonts w:ascii="Arial" w:hAnsi="Arial"/>
          <w:color w:val="000000" w:themeColor="text1"/>
          <w:szCs w:val="20"/>
          <w:shd w:val="clear" w:color="auto" w:fill="FFFFFF"/>
        </w:rPr>
        <w:t xml:space="preserve">Material wellbeing and hardship are not evenly distributed across Auckland (or any major city), so looking at the average statistics for the whole region do not provide a picture that is useful for policy purposes or even for just understanding the nature of our largest city. </w:t>
      </w:r>
    </w:p>
    <w:p w14:paraId="5C070E39" w14:textId="77777777" w:rsidR="001F34A9" w:rsidRPr="00391B82" w:rsidRDefault="001F34A9" w:rsidP="001F34A9">
      <w:pPr>
        <w:spacing w:after="0" w:line="240" w:lineRule="auto"/>
        <w:rPr>
          <w:rFonts w:ascii="Arial" w:hAnsi="Arial"/>
          <w:color w:val="000000" w:themeColor="text1"/>
          <w:szCs w:val="20"/>
          <w:shd w:val="clear" w:color="auto" w:fill="FFFFFF"/>
        </w:rPr>
      </w:pPr>
    </w:p>
    <w:p w14:paraId="15B98E54" w14:textId="3364A575" w:rsidR="001F34A9" w:rsidRPr="00391B82" w:rsidRDefault="001F34A9" w:rsidP="001F34A9">
      <w:pPr>
        <w:spacing w:after="0" w:line="240" w:lineRule="auto"/>
        <w:rPr>
          <w:rFonts w:ascii="Arial" w:hAnsi="Arial"/>
          <w:color w:val="000000" w:themeColor="text1"/>
          <w:szCs w:val="20"/>
          <w:shd w:val="clear" w:color="auto" w:fill="FFFFFF"/>
        </w:rPr>
      </w:pPr>
      <w:r w:rsidRPr="00391B82">
        <w:rPr>
          <w:rFonts w:ascii="Arial" w:hAnsi="Arial"/>
          <w:color w:val="000000" w:themeColor="text1"/>
          <w:szCs w:val="20"/>
          <w:shd w:val="clear" w:color="auto" w:fill="FFFFFF"/>
        </w:rPr>
        <w:t xml:space="preserve">When Auckland's eight former councils were merged into a single ‘Super City’ in 2010, the Auckland region was divided into 13 wards and 21 local boards. The analysis in this section uses groupings of selected wards to enable a breakdown of the Auckland region into six sub-regions, as in </w:t>
      </w:r>
      <w:r w:rsidRPr="00391B82">
        <w:rPr>
          <w:rFonts w:ascii="Arial" w:hAnsi="Arial"/>
          <w:b/>
          <w:bCs/>
          <w:color w:val="000000" w:themeColor="text1"/>
          <w:szCs w:val="20"/>
          <w:shd w:val="clear" w:color="auto" w:fill="FFFFFF"/>
        </w:rPr>
        <w:t xml:space="preserve">Table </w:t>
      </w:r>
      <w:r w:rsidR="00C70B60" w:rsidRPr="00391B82">
        <w:rPr>
          <w:rFonts w:ascii="Arial" w:hAnsi="Arial"/>
          <w:b/>
          <w:bCs/>
          <w:color w:val="000000" w:themeColor="text1"/>
          <w:szCs w:val="20"/>
          <w:shd w:val="clear" w:color="auto" w:fill="FFFFFF"/>
        </w:rPr>
        <w:t>E</w:t>
      </w:r>
      <w:r w:rsidRPr="00391B82">
        <w:rPr>
          <w:rFonts w:ascii="Arial" w:hAnsi="Arial"/>
          <w:b/>
          <w:bCs/>
          <w:color w:val="000000" w:themeColor="text1"/>
          <w:szCs w:val="20"/>
          <w:shd w:val="clear" w:color="auto" w:fill="FFFFFF"/>
        </w:rPr>
        <w:t>.</w:t>
      </w:r>
      <w:r w:rsidR="00190CF1">
        <w:rPr>
          <w:rFonts w:ascii="Arial" w:hAnsi="Arial"/>
          <w:b/>
          <w:bCs/>
          <w:color w:val="000000" w:themeColor="text1"/>
          <w:szCs w:val="20"/>
          <w:shd w:val="clear" w:color="auto" w:fill="FFFFFF"/>
        </w:rPr>
        <w:t>9</w:t>
      </w:r>
      <w:r w:rsidRPr="00391B82">
        <w:rPr>
          <w:rFonts w:ascii="Arial" w:hAnsi="Arial"/>
          <w:b/>
          <w:bCs/>
          <w:color w:val="000000" w:themeColor="text1"/>
          <w:szCs w:val="20"/>
          <w:shd w:val="clear" w:color="auto" w:fill="FFFFFF"/>
        </w:rPr>
        <w:t>.</w:t>
      </w:r>
    </w:p>
    <w:p w14:paraId="0A95FC65" w14:textId="77777777" w:rsidR="001F34A9" w:rsidRPr="00391B82" w:rsidRDefault="001F34A9" w:rsidP="001F34A9">
      <w:pPr>
        <w:spacing w:after="0" w:line="240" w:lineRule="auto"/>
        <w:jc w:val="center"/>
        <w:rPr>
          <w:rFonts w:ascii="Arial" w:hAnsi="Arial"/>
          <w:b/>
          <w:color w:val="000000" w:themeColor="text1"/>
          <w:sz w:val="18"/>
          <w:szCs w:val="18"/>
        </w:rPr>
      </w:pPr>
    </w:p>
    <w:p w14:paraId="370053EF" w14:textId="3B88DD00" w:rsidR="001F34A9" w:rsidRPr="00391B82" w:rsidRDefault="001F34A9" w:rsidP="001F34A9">
      <w:pPr>
        <w:spacing w:after="0" w:line="240" w:lineRule="auto"/>
        <w:jc w:val="center"/>
        <w:rPr>
          <w:rFonts w:ascii="Arial" w:hAnsi="Arial"/>
          <w:b/>
          <w:color w:val="000000" w:themeColor="text1"/>
          <w:sz w:val="18"/>
          <w:szCs w:val="18"/>
        </w:rPr>
      </w:pPr>
      <w:r w:rsidRPr="00391B82">
        <w:rPr>
          <w:rFonts w:ascii="Arial" w:hAnsi="Arial"/>
          <w:b/>
          <w:color w:val="000000" w:themeColor="text1"/>
          <w:sz w:val="18"/>
          <w:szCs w:val="18"/>
        </w:rPr>
        <w:t xml:space="preserve">Table </w:t>
      </w:r>
      <w:r w:rsidR="00C70B60" w:rsidRPr="00391B82">
        <w:rPr>
          <w:rFonts w:ascii="Arial" w:hAnsi="Arial"/>
          <w:b/>
          <w:color w:val="000000" w:themeColor="text1"/>
          <w:sz w:val="18"/>
          <w:szCs w:val="18"/>
        </w:rPr>
        <w:t>E</w:t>
      </w:r>
      <w:r w:rsidRPr="00391B82">
        <w:rPr>
          <w:rFonts w:ascii="Arial" w:hAnsi="Arial"/>
          <w:b/>
          <w:color w:val="000000" w:themeColor="text1"/>
          <w:sz w:val="18"/>
          <w:szCs w:val="18"/>
        </w:rPr>
        <w:t>.</w:t>
      </w:r>
      <w:r w:rsidR="00190CF1">
        <w:rPr>
          <w:rFonts w:ascii="Arial" w:hAnsi="Arial"/>
          <w:b/>
          <w:color w:val="000000" w:themeColor="text1"/>
          <w:sz w:val="18"/>
          <w:szCs w:val="18"/>
        </w:rPr>
        <w:t>9</w:t>
      </w:r>
    </w:p>
    <w:p w14:paraId="22A0B5DE" w14:textId="77777777" w:rsidR="001F34A9" w:rsidRPr="00391B82" w:rsidRDefault="001F34A9" w:rsidP="001F34A9">
      <w:pPr>
        <w:spacing w:line="240" w:lineRule="auto"/>
        <w:jc w:val="center"/>
        <w:rPr>
          <w:rFonts w:ascii="Arial" w:hAnsi="Arial"/>
          <w:b/>
          <w:color w:val="000000" w:themeColor="text1"/>
          <w:sz w:val="18"/>
          <w:szCs w:val="18"/>
        </w:rPr>
      </w:pPr>
      <w:r w:rsidRPr="00391B82">
        <w:rPr>
          <w:rFonts w:ascii="Arial" w:hAnsi="Arial"/>
          <w:b/>
          <w:color w:val="000000" w:themeColor="text1"/>
          <w:sz w:val="18"/>
          <w:szCs w:val="18"/>
        </w:rPr>
        <w:t>The six sub-regions defined by the agglomeration of selected wards</w:t>
      </w:r>
    </w:p>
    <w:tbl>
      <w:tblPr>
        <w:tblStyle w:val="TableGrid"/>
        <w:tblW w:w="9067" w:type="dxa"/>
        <w:jc w:val="center"/>
        <w:tblLook w:val="04A0" w:firstRow="1" w:lastRow="0" w:firstColumn="1" w:lastColumn="0" w:noHBand="0" w:noVBand="1"/>
      </w:tblPr>
      <w:tblGrid>
        <w:gridCol w:w="1271"/>
        <w:gridCol w:w="7796"/>
      </w:tblGrid>
      <w:tr w:rsidR="00B35AEB" w:rsidRPr="00391B82" w14:paraId="26A3E8B2" w14:textId="77777777" w:rsidTr="00BE2626">
        <w:trPr>
          <w:jc w:val="center"/>
        </w:trPr>
        <w:tc>
          <w:tcPr>
            <w:tcW w:w="1271" w:type="dxa"/>
            <w:vAlign w:val="center"/>
          </w:tcPr>
          <w:p w14:paraId="0A6DC86A" w14:textId="77777777" w:rsidR="001F34A9" w:rsidRPr="00391B82" w:rsidRDefault="001F34A9" w:rsidP="00BE2626">
            <w:pPr>
              <w:spacing w:before="40" w:after="40" w:line="240" w:lineRule="auto"/>
              <w:rPr>
                <w:rFonts w:ascii="Arial" w:hAnsi="Arial"/>
                <w:b/>
                <w:color w:val="000000" w:themeColor="text1"/>
                <w:sz w:val="14"/>
                <w:szCs w:val="14"/>
              </w:rPr>
            </w:pPr>
            <w:r w:rsidRPr="00391B82">
              <w:rPr>
                <w:rFonts w:ascii="Arial" w:hAnsi="Arial"/>
                <w:b/>
                <w:color w:val="000000" w:themeColor="text1"/>
                <w:sz w:val="14"/>
                <w:szCs w:val="14"/>
              </w:rPr>
              <w:t>Sub-region</w:t>
            </w:r>
          </w:p>
        </w:tc>
        <w:tc>
          <w:tcPr>
            <w:tcW w:w="7796" w:type="dxa"/>
            <w:vAlign w:val="center"/>
          </w:tcPr>
          <w:p w14:paraId="30AE37EA" w14:textId="77777777" w:rsidR="001F34A9" w:rsidRPr="00391B82" w:rsidRDefault="001F34A9" w:rsidP="00BE2626">
            <w:pPr>
              <w:spacing w:before="40" w:after="40" w:line="240" w:lineRule="auto"/>
              <w:rPr>
                <w:rFonts w:ascii="Arial" w:hAnsi="Arial"/>
                <w:b/>
                <w:color w:val="000000" w:themeColor="text1"/>
                <w:sz w:val="14"/>
                <w:szCs w:val="14"/>
              </w:rPr>
            </w:pPr>
            <w:r w:rsidRPr="00391B82">
              <w:rPr>
                <w:rFonts w:ascii="Arial" w:hAnsi="Arial"/>
                <w:b/>
                <w:color w:val="000000" w:themeColor="text1"/>
                <w:sz w:val="14"/>
                <w:szCs w:val="14"/>
              </w:rPr>
              <w:t>Wards included in the sub-region</w:t>
            </w:r>
          </w:p>
        </w:tc>
      </w:tr>
      <w:tr w:rsidR="00B35AEB" w:rsidRPr="00391B82" w14:paraId="3E21289E" w14:textId="77777777" w:rsidTr="00BE2626">
        <w:trPr>
          <w:jc w:val="center"/>
        </w:trPr>
        <w:tc>
          <w:tcPr>
            <w:tcW w:w="1271" w:type="dxa"/>
            <w:vAlign w:val="center"/>
          </w:tcPr>
          <w:p w14:paraId="7922C296"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Northern</w:t>
            </w:r>
          </w:p>
        </w:tc>
        <w:tc>
          <w:tcPr>
            <w:tcW w:w="7796" w:type="dxa"/>
            <w:vAlign w:val="center"/>
          </w:tcPr>
          <w:p w14:paraId="458FF119"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North Shore, Albany and Rodney</w:t>
            </w:r>
          </w:p>
        </w:tc>
      </w:tr>
      <w:tr w:rsidR="00B35AEB" w:rsidRPr="00391B82" w14:paraId="3AB2A082" w14:textId="77777777" w:rsidTr="00BE2626">
        <w:trPr>
          <w:jc w:val="center"/>
        </w:trPr>
        <w:tc>
          <w:tcPr>
            <w:tcW w:w="1271" w:type="dxa"/>
            <w:vAlign w:val="center"/>
          </w:tcPr>
          <w:p w14:paraId="19201BC1"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 xml:space="preserve">Western </w:t>
            </w:r>
          </w:p>
        </w:tc>
        <w:tc>
          <w:tcPr>
            <w:tcW w:w="7796" w:type="dxa"/>
            <w:vAlign w:val="center"/>
          </w:tcPr>
          <w:p w14:paraId="7FD5733B" w14:textId="77777777" w:rsidR="001F34A9" w:rsidRPr="00391B82" w:rsidRDefault="001F34A9" w:rsidP="00BE2626">
            <w:pPr>
              <w:pStyle w:val="Heading3"/>
              <w:shd w:val="clear" w:color="auto" w:fill="FFFFFF"/>
              <w:spacing w:before="40" w:after="40" w:line="240" w:lineRule="auto"/>
              <w:rPr>
                <w:rFonts w:ascii="Arial" w:hAnsi="Arial"/>
                <w:b w:val="0"/>
                <w:color w:val="000000" w:themeColor="text1"/>
                <w:sz w:val="14"/>
                <w:szCs w:val="14"/>
              </w:rPr>
            </w:pPr>
            <w:r w:rsidRPr="00391B82">
              <w:rPr>
                <w:rFonts w:ascii="Arial" w:hAnsi="Arial"/>
                <w:b w:val="0"/>
                <w:color w:val="000000" w:themeColor="text1"/>
                <w:sz w:val="14"/>
                <w:szCs w:val="14"/>
              </w:rPr>
              <w:t>Wait</w:t>
            </w:r>
            <w:r w:rsidRPr="00391B82">
              <w:rPr>
                <w:rFonts w:ascii="Arial" w:hAnsi="Arial"/>
                <w:b w:val="0"/>
                <w:color w:val="000000" w:themeColor="text1"/>
                <w:spacing w:val="-6"/>
                <w:sz w:val="14"/>
                <w:szCs w:val="14"/>
              </w:rPr>
              <w:t>ā</w:t>
            </w:r>
            <w:r w:rsidRPr="00391B82">
              <w:rPr>
                <w:rFonts w:ascii="Arial" w:hAnsi="Arial"/>
                <w:b w:val="0"/>
                <w:color w:val="000000" w:themeColor="text1"/>
                <w:sz w:val="14"/>
                <w:szCs w:val="14"/>
              </w:rPr>
              <w:t>kere (incl Massey-Henderson-Te Atat</w:t>
            </w:r>
            <w:r w:rsidRPr="00391B82">
              <w:rPr>
                <w:rFonts w:ascii="Arial" w:hAnsi="Arial"/>
                <w:b w:val="0"/>
                <w:color w:val="000000" w:themeColor="text1"/>
                <w:sz w:val="14"/>
                <w:szCs w:val="14"/>
                <w:shd w:val="clear" w:color="auto" w:fill="FFFFFF"/>
              </w:rPr>
              <w:t>ū</w:t>
            </w:r>
            <w:r w:rsidRPr="00391B82">
              <w:rPr>
                <w:rFonts w:ascii="Arial" w:hAnsi="Arial"/>
                <w:b w:val="0"/>
                <w:color w:val="000000" w:themeColor="text1"/>
                <w:sz w:val="14"/>
                <w:szCs w:val="14"/>
              </w:rPr>
              <w:t>); and Whau (incl New Lynn, Green Bay, Kelston, Avondale, Blockhouse Bay)</w:t>
            </w:r>
          </w:p>
        </w:tc>
      </w:tr>
      <w:tr w:rsidR="00B35AEB" w:rsidRPr="00391B82" w14:paraId="3E668201" w14:textId="77777777" w:rsidTr="00BE2626">
        <w:trPr>
          <w:jc w:val="center"/>
        </w:trPr>
        <w:tc>
          <w:tcPr>
            <w:tcW w:w="1271" w:type="dxa"/>
            <w:vAlign w:val="center"/>
          </w:tcPr>
          <w:p w14:paraId="71C481A7"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Central 1</w:t>
            </w:r>
          </w:p>
        </w:tc>
        <w:tc>
          <w:tcPr>
            <w:tcW w:w="7796" w:type="dxa"/>
            <w:vAlign w:val="center"/>
          </w:tcPr>
          <w:p w14:paraId="1AAEC920" w14:textId="77777777" w:rsidR="001F34A9" w:rsidRPr="00391B82" w:rsidRDefault="001F34A9" w:rsidP="00BE2626">
            <w:pPr>
              <w:pStyle w:val="Heading3"/>
              <w:shd w:val="clear" w:color="auto" w:fill="FFFFFF"/>
              <w:spacing w:before="40" w:after="40" w:line="240" w:lineRule="auto"/>
              <w:rPr>
                <w:rFonts w:ascii="Arial" w:hAnsi="Arial"/>
                <w:b w:val="0"/>
                <w:color w:val="000000" w:themeColor="text1"/>
                <w:spacing w:val="-6"/>
                <w:sz w:val="14"/>
                <w:szCs w:val="14"/>
                <w:lang w:eastAsia="en-NZ"/>
              </w:rPr>
            </w:pPr>
            <w:r w:rsidRPr="00391B82">
              <w:rPr>
                <w:rFonts w:ascii="Arial" w:hAnsi="Arial"/>
                <w:b w:val="0"/>
                <w:color w:val="000000" w:themeColor="text1"/>
                <w:sz w:val="14"/>
                <w:szCs w:val="14"/>
              </w:rPr>
              <w:t>Albert-Eden-</w:t>
            </w:r>
            <w:r w:rsidRPr="00391B82">
              <w:rPr>
                <w:rFonts w:ascii="Arial" w:hAnsi="Arial"/>
                <w:b w:val="0"/>
                <w:color w:val="000000" w:themeColor="text1"/>
                <w:spacing w:val="-6"/>
                <w:sz w:val="14"/>
                <w:szCs w:val="14"/>
              </w:rPr>
              <w:t xml:space="preserve">Puketāpapa (incl Pt Chevalier, Mt Albert, Mt Roskill, Balmoral, Mt Eden, Epsom, Royal Oak, Lynfield); and </w:t>
            </w:r>
            <w:r w:rsidRPr="00391B82">
              <w:rPr>
                <w:rFonts w:ascii="Arial" w:hAnsi="Arial"/>
                <w:b w:val="0"/>
                <w:color w:val="000000" w:themeColor="text1"/>
                <w:sz w:val="14"/>
                <w:szCs w:val="14"/>
              </w:rPr>
              <w:t xml:space="preserve"> </w:t>
            </w:r>
            <w:r w:rsidRPr="00391B82">
              <w:rPr>
                <w:rFonts w:ascii="Arial" w:hAnsi="Arial"/>
                <w:b w:val="0"/>
                <w:color w:val="000000" w:themeColor="text1"/>
                <w:spacing w:val="-6"/>
                <w:sz w:val="14"/>
                <w:szCs w:val="14"/>
              </w:rPr>
              <w:t>Ōrākei (incl  Parnell, Newmarket, Remuera, Meadowbank, Ōrākei, Mission Bay, St Heliers, Glendowie)</w:t>
            </w:r>
          </w:p>
        </w:tc>
      </w:tr>
      <w:tr w:rsidR="00B35AEB" w:rsidRPr="00391B82" w14:paraId="62775A81" w14:textId="77777777" w:rsidTr="00BE2626">
        <w:trPr>
          <w:jc w:val="center"/>
        </w:trPr>
        <w:tc>
          <w:tcPr>
            <w:tcW w:w="1271" w:type="dxa"/>
            <w:vAlign w:val="center"/>
          </w:tcPr>
          <w:p w14:paraId="7D962EBC"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Central 2</w:t>
            </w:r>
          </w:p>
        </w:tc>
        <w:tc>
          <w:tcPr>
            <w:tcW w:w="7796" w:type="dxa"/>
            <w:vAlign w:val="center"/>
          </w:tcPr>
          <w:p w14:paraId="058BE25A"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Maungakiekie-T</w:t>
            </w:r>
            <w:r w:rsidRPr="00391B82">
              <w:rPr>
                <w:rFonts w:ascii="Arial" w:hAnsi="Arial"/>
                <w:color w:val="000000" w:themeColor="text1"/>
                <w:spacing w:val="-6"/>
                <w:sz w:val="14"/>
                <w:szCs w:val="14"/>
              </w:rPr>
              <w:t>ā</w:t>
            </w:r>
            <w:r w:rsidRPr="00391B82">
              <w:rPr>
                <w:rFonts w:ascii="Arial" w:hAnsi="Arial"/>
                <w:color w:val="000000" w:themeColor="text1"/>
                <w:sz w:val="14"/>
                <w:szCs w:val="14"/>
              </w:rPr>
              <w:t>maki (incl One Tree Hill, Onehunga, Te Papapa, Mt Wellington, Ellerslie, Panmure, Point England, Glen Innes, St Johns); and Waitemat</w:t>
            </w:r>
            <w:r w:rsidRPr="00391B82">
              <w:rPr>
                <w:rFonts w:ascii="Arial" w:hAnsi="Arial"/>
                <w:color w:val="000000" w:themeColor="text1"/>
                <w:spacing w:val="-6"/>
                <w:sz w:val="14"/>
                <w:szCs w:val="14"/>
              </w:rPr>
              <w:t>ā</w:t>
            </w:r>
            <w:r w:rsidRPr="00391B82">
              <w:rPr>
                <w:rFonts w:ascii="Arial" w:hAnsi="Arial"/>
                <w:color w:val="000000" w:themeColor="text1"/>
                <w:sz w:val="14"/>
                <w:szCs w:val="14"/>
              </w:rPr>
              <w:t>-Gulf (incl Grey Lynn, Westhaven, Waiheke)</w:t>
            </w:r>
          </w:p>
        </w:tc>
      </w:tr>
      <w:tr w:rsidR="00B35AEB" w:rsidRPr="00391B82" w14:paraId="75B45AA9" w14:textId="77777777" w:rsidTr="00BE2626">
        <w:trPr>
          <w:jc w:val="center"/>
        </w:trPr>
        <w:tc>
          <w:tcPr>
            <w:tcW w:w="1271" w:type="dxa"/>
            <w:vAlign w:val="center"/>
          </w:tcPr>
          <w:p w14:paraId="17D7EF77"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Southern</w:t>
            </w:r>
          </w:p>
        </w:tc>
        <w:tc>
          <w:tcPr>
            <w:tcW w:w="7796" w:type="dxa"/>
            <w:vAlign w:val="center"/>
          </w:tcPr>
          <w:p w14:paraId="520A7196"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Manukau and Manurewa-Papakura</w:t>
            </w:r>
          </w:p>
        </w:tc>
      </w:tr>
      <w:tr w:rsidR="00B35AEB" w:rsidRPr="00391B82" w14:paraId="1E478816" w14:textId="77777777" w:rsidTr="00BE2626">
        <w:trPr>
          <w:jc w:val="center"/>
        </w:trPr>
        <w:tc>
          <w:tcPr>
            <w:tcW w:w="1271" w:type="dxa"/>
            <w:vAlign w:val="center"/>
          </w:tcPr>
          <w:p w14:paraId="2306F710"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 xml:space="preserve">Howick-Franklin </w:t>
            </w:r>
          </w:p>
        </w:tc>
        <w:tc>
          <w:tcPr>
            <w:tcW w:w="7796" w:type="dxa"/>
            <w:vAlign w:val="center"/>
          </w:tcPr>
          <w:p w14:paraId="5D40E96B" w14:textId="77777777" w:rsidR="001F34A9" w:rsidRPr="00391B82" w:rsidRDefault="001F34A9" w:rsidP="00BE2626">
            <w:pPr>
              <w:spacing w:before="40" w:after="40" w:line="240" w:lineRule="auto"/>
              <w:rPr>
                <w:rFonts w:ascii="Arial" w:hAnsi="Arial"/>
                <w:color w:val="000000" w:themeColor="text1"/>
                <w:sz w:val="14"/>
                <w:szCs w:val="14"/>
              </w:rPr>
            </w:pPr>
            <w:r w:rsidRPr="00391B82">
              <w:rPr>
                <w:rFonts w:ascii="Arial" w:hAnsi="Arial"/>
                <w:color w:val="000000" w:themeColor="text1"/>
                <w:sz w:val="14"/>
                <w:szCs w:val="14"/>
              </w:rPr>
              <w:t>Howick (incl Pakuranga, Botany Downs, Half-Moon Bay, Eastern Beach, East Tamaki Heights) and Franklin</w:t>
            </w:r>
          </w:p>
        </w:tc>
      </w:tr>
    </w:tbl>
    <w:p w14:paraId="393C8225" w14:textId="7A31F77F" w:rsidR="001F34A9" w:rsidRPr="00391B82" w:rsidRDefault="001F34A9" w:rsidP="00A622E0">
      <w:pPr>
        <w:spacing w:before="60" w:after="0" w:line="240" w:lineRule="auto"/>
        <w:rPr>
          <w:rFonts w:ascii="Arial" w:hAnsi="Arial"/>
          <w:bCs/>
          <w:color w:val="000000" w:themeColor="text1"/>
          <w:sz w:val="16"/>
          <w:szCs w:val="16"/>
        </w:rPr>
      </w:pPr>
      <w:r w:rsidRPr="00391B82">
        <w:rPr>
          <w:rFonts w:ascii="Arial" w:hAnsi="Arial"/>
          <w:bCs/>
          <w:color w:val="000000" w:themeColor="text1"/>
          <w:sz w:val="16"/>
          <w:szCs w:val="16"/>
        </w:rPr>
        <w:t xml:space="preserve">Note for Table </w:t>
      </w:r>
      <w:r w:rsidR="00C70B60" w:rsidRPr="00391B82">
        <w:rPr>
          <w:rFonts w:ascii="Arial" w:hAnsi="Arial"/>
          <w:bCs/>
          <w:color w:val="000000" w:themeColor="text1"/>
          <w:sz w:val="16"/>
          <w:szCs w:val="16"/>
        </w:rPr>
        <w:t>E</w:t>
      </w:r>
      <w:r w:rsidRPr="00391B82">
        <w:rPr>
          <w:rFonts w:ascii="Arial" w:hAnsi="Arial"/>
          <w:bCs/>
          <w:color w:val="000000" w:themeColor="text1"/>
          <w:sz w:val="16"/>
          <w:szCs w:val="16"/>
        </w:rPr>
        <w:t>.8</w:t>
      </w:r>
      <w:r w:rsidR="00DA090C">
        <w:rPr>
          <w:rFonts w:ascii="Arial" w:hAnsi="Arial"/>
          <w:bCs/>
          <w:color w:val="000000" w:themeColor="text1"/>
          <w:sz w:val="16"/>
          <w:szCs w:val="16"/>
        </w:rPr>
        <w:t>:</w:t>
      </w:r>
    </w:p>
    <w:p w14:paraId="61598A39" w14:textId="77777777" w:rsidR="001F34A9" w:rsidRPr="00DA090C" w:rsidRDefault="001F34A9">
      <w:pPr>
        <w:pStyle w:val="ListParagraph"/>
        <w:numPr>
          <w:ilvl w:val="0"/>
          <w:numId w:val="80"/>
        </w:numPr>
        <w:spacing w:before="20" w:after="0" w:line="240" w:lineRule="auto"/>
        <w:ind w:left="426" w:hanging="284"/>
        <w:rPr>
          <w:rFonts w:ascii="Arial" w:hAnsi="Arial"/>
          <w:bCs/>
          <w:color w:val="000000" w:themeColor="text1"/>
          <w:sz w:val="18"/>
          <w:szCs w:val="18"/>
        </w:rPr>
      </w:pPr>
      <w:r w:rsidRPr="00DA090C">
        <w:rPr>
          <w:rFonts w:ascii="Arial" w:hAnsi="Arial"/>
          <w:bCs/>
          <w:color w:val="000000" w:themeColor="text1"/>
          <w:sz w:val="16"/>
          <w:szCs w:val="16"/>
        </w:rPr>
        <w:t xml:space="preserve">Follow the link and scroll down for an Auckland map showing the wards: </w:t>
      </w:r>
      <w:hyperlink r:id="rId43" w:history="1">
        <w:r w:rsidRPr="00DA090C">
          <w:rPr>
            <w:rStyle w:val="Hyperlink"/>
            <w:rFonts w:ascii="Arial" w:hAnsi="Arial"/>
            <w:bCs/>
            <w:color w:val="000000" w:themeColor="text1"/>
            <w:sz w:val="16"/>
            <w:szCs w:val="16"/>
          </w:rPr>
          <w:t>https://www.aucklandcouncil.govt.nz/about-auckland-council/how-auckland-council-works/governing-body-wards-committees/wards/Pages/find-your-ward.aspx</w:t>
        </w:r>
      </w:hyperlink>
      <w:r w:rsidRPr="00DA090C">
        <w:rPr>
          <w:rFonts w:ascii="Arial" w:hAnsi="Arial"/>
          <w:bCs/>
          <w:color w:val="000000" w:themeColor="text1"/>
          <w:sz w:val="18"/>
          <w:szCs w:val="18"/>
        </w:rPr>
        <w:t xml:space="preserve"> </w:t>
      </w:r>
    </w:p>
    <w:p w14:paraId="4E34998F" w14:textId="77777777" w:rsidR="001F34A9" w:rsidRPr="00391B82" w:rsidRDefault="001F34A9" w:rsidP="001F34A9">
      <w:pPr>
        <w:spacing w:after="0" w:line="240" w:lineRule="auto"/>
        <w:rPr>
          <w:rFonts w:ascii="Arial" w:hAnsi="Arial"/>
          <w:b/>
          <w:color w:val="000000" w:themeColor="text1"/>
          <w:szCs w:val="20"/>
        </w:rPr>
      </w:pPr>
    </w:p>
    <w:p w14:paraId="4318A32B" w14:textId="553B5D27" w:rsidR="001F34A9" w:rsidRPr="00391B82" w:rsidRDefault="001F34A9" w:rsidP="001F34A9">
      <w:pPr>
        <w:spacing w:after="0" w:line="240" w:lineRule="auto"/>
        <w:rPr>
          <w:rFonts w:ascii="Arial" w:hAnsi="Arial"/>
          <w:bCs/>
          <w:color w:val="000000" w:themeColor="text1"/>
          <w:szCs w:val="20"/>
        </w:rPr>
      </w:pPr>
      <w:r w:rsidRPr="00391B82">
        <w:rPr>
          <w:rFonts w:ascii="Arial" w:hAnsi="Arial"/>
          <w:b/>
          <w:color w:val="000000" w:themeColor="text1"/>
          <w:szCs w:val="20"/>
        </w:rPr>
        <w:t>Table</w:t>
      </w:r>
      <w:r w:rsidR="00B35AEB" w:rsidRPr="00391B82">
        <w:rPr>
          <w:rFonts w:ascii="Arial" w:hAnsi="Arial"/>
          <w:b/>
          <w:color w:val="000000" w:themeColor="text1"/>
          <w:szCs w:val="20"/>
        </w:rPr>
        <w:t>s</w:t>
      </w:r>
      <w:r w:rsidRPr="00391B82">
        <w:rPr>
          <w:rFonts w:ascii="Arial" w:hAnsi="Arial"/>
          <w:b/>
          <w:color w:val="000000" w:themeColor="text1"/>
          <w:szCs w:val="20"/>
        </w:rPr>
        <w:t xml:space="preserve"> </w:t>
      </w:r>
      <w:r w:rsidR="00C70B60" w:rsidRPr="00391B82">
        <w:rPr>
          <w:rFonts w:ascii="Arial" w:hAnsi="Arial"/>
          <w:b/>
          <w:color w:val="000000" w:themeColor="text1"/>
          <w:szCs w:val="20"/>
        </w:rPr>
        <w:t>E</w:t>
      </w:r>
      <w:r w:rsidRPr="00391B82">
        <w:rPr>
          <w:rFonts w:ascii="Arial" w:hAnsi="Arial"/>
          <w:b/>
          <w:color w:val="000000" w:themeColor="text1"/>
          <w:szCs w:val="20"/>
        </w:rPr>
        <w:t>.9</w:t>
      </w:r>
      <w:r w:rsidR="00B35AEB" w:rsidRPr="00391B82">
        <w:rPr>
          <w:rFonts w:ascii="Arial" w:hAnsi="Arial"/>
          <w:b/>
          <w:color w:val="000000" w:themeColor="text1"/>
          <w:szCs w:val="20"/>
        </w:rPr>
        <w:t xml:space="preserve">a and </w:t>
      </w:r>
      <w:r w:rsidR="00C70B60" w:rsidRPr="00391B82">
        <w:rPr>
          <w:rFonts w:ascii="Arial" w:hAnsi="Arial"/>
          <w:b/>
          <w:color w:val="000000" w:themeColor="text1"/>
          <w:szCs w:val="20"/>
        </w:rPr>
        <w:t>E</w:t>
      </w:r>
      <w:r w:rsidR="00B35AEB" w:rsidRPr="00391B82">
        <w:rPr>
          <w:rFonts w:ascii="Arial" w:hAnsi="Arial"/>
          <w:b/>
          <w:color w:val="000000" w:themeColor="text1"/>
          <w:szCs w:val="20"/>
        </w:rPr>
        <w:t>.9b</w:t>
      </w:r>
      <w:r w:rsidRPr="00391B82">
        <w:rPr>
          <w:rFonts w:ascii="Arial" w:hAnsi="Arial"/>
          <w:b/>
          <w:color w:val="000000" w:themeColor="text1"/>
          <w:szCs w:val="20"/>
        </w:rPr>
        <w:t xml:space="preserve"> </w:t>
      </w:r>
      <w:r w:rsidRPr="00391B82">
        <w:rPr>
          <w:rFonts w:ascii="Arial" w:hAnsi="Arial"/>
          <w:bCs/>
          <w:color w:val="000000" w:themeColor="text1"/>
          <w:szCs w:val="20"/>
        </w:rPr>
        <w:t>give an indication of the size of each grouping of wards and of the differing levels of material and financial hardship across selected areas of the Auckland region, for all people and for children (0-17 years). The figures in the tables are the average for the two most recent surveys (202</w:t>
      </w:r>
      <w:r w:rsidR="000A3E20">
        <w:rPr>
          <w:rFonts w:ascii="Arial" w:hAnsi="Arial"/>
          <w:bCs/>
          <w:color w:val="000000" w:themeColor="text1"/>
          <w:szCs w:val="20"/>
        </w:rPr>
        <w:t>3</w:t>
      </w:r>
      <w:r w:rsidRPr="00391B82">
        <w:rPr>
          <w:rFonts w:ascii="Arial" w:hAnsi="Arial"/>
          <w:bCs/>
          <w:color w:val="000000" w:themeColor="text1"/>
          <w:szCs w:val="20"/>
        </w:rPr>
        <w:t>-2</w:t>
      </w:r>
      <w:r w:rsidR="000A3E20">
        <w:rPr>
          <w:rFonts w:ascii="Arial" w:hAnsi="Arial"/>
          <w:bCs/>
          <w:color w:val="000000" w:themeColor="text1"/>
          <w:szCs w:val="20"/>
        </w:rPr>
        <w:t>4</w:t>
      </w:r>
      <w:r w:rsidRPr="00391B82">
        <w:rPr>
          <w:rFonts w:ascii="Arial" w:hAnsi="Arial"/>
          <w:bCs/>
          <w:color w:val="000000" w:themeColor="text1"/>
          <w:szCs w:val="20"/>
        </w:rPr>
        <w:t xml:space="preserve"> and 202</w:t>
      </w:r>
      <w:r w:rsidR="000A3E20">
        <w:rPr>
          <w:rFonts w:ascii="Arial" w:hAnsi="Arial"/>
          <w:bCs/>
          <w:color w:val="000000" w:themeColor="text1"/>
          <w:szCs w:val="20"/>
        </w:rPr>
        <w:t>4</w:t>
      </w:r>
      <w:r w:rsidRPr="00391B82">
        <w:rPr>
          <w:rFonts w:ascii="Arial" w:hAnsi="Arial"/>
          <w:bCs/>
          <w:color w:val="000000" w:themeColor="text1"/>
          <w:szCs w:val="20"/>
        </w:rPr>
        <w:t>-2</w:t>
      </w:r>
      <w:r w:rsidR="000A3E20">
        <w:rPr>
          <w:rFonts w:ascii="Arial" w:hAnsi="Arial"/>
          <w:bCs/>
          <w:color w:val="000000" w:themeColor="text1"/>
          <w:szCs w:val="20"/>
        </w:rPr>
        <w:t>5</w:t>
      </w:r>
      <w:r w:rsidRPr="00391B82">
        <w:rPr>
          <w:rFonts w:ascii="Arial" w:hAnsi="Arial"/>
          <w:bCs/>
          <w:color w:val="000000" w:themeColor="text1"/>
          <w:szCs w:val="20"/>
        </w:rPr>
        <w:t>), to ensure there are sufficient numbers in the joint sample to give findings on the various statistics</w:t>
      </w:r>
      <w:r w:rsidR="000F2255" w:rsidRPr="00391B82">
        <w:rPr>
          <w:rFonts w:ascii="Arial" w:hAnsi="Arial"/>
          <w:bCs/>
          <w:color w:val="000000" w:themeColor="text1"/>
          <w:szCs w:val="20"/>
        </w:rPr>
        <w:t xml:space="preserve"> that are reliable enough for high-level </w:t>
      </w:r>
      <w:r w:rsidR="00745B07" w:rsidRPr="00391B82">
        <w:rPr>
          <w:rFonts w:ascii="Arial" w:hAnsi="Arial"/>
          <w:bCs/>
          <w:color w:val="000000" w:themeColor="text1"/>
          <w:szCs w:val="20"/>
        </w:rPr>
        <w:t xml:space="preserve">comparisons such as those in the </w:t>
      </w:r>
      <w:r w:rsidR="000F2255" w:rsidRPr="00391B82">
        <w:rPr>
          <w:rFonts w:ascii="Arial" w:hAnsi="Arial"/>
          <w:bCs/>
          <w:color w:val="000000" w:themeColor="text1"/>
          <w:szCs w:val="20"/>
        </w:rPr>
        <w:t>summary observations at the end of this section.</w:t>
      </w:r>
      <w:r w:rsidRPr="00391B82">
        <w:rPr>
          <w:rFonts w:ascii="Arial" w:hAnsi="Arial"/>
          <w:bCs/>
          <w:color w:val="000000" w:themeColor="text1"/>
          <w:szCs w:val="20"/>
        </w:rPr>
        <w:t xml:space="preserve"> </w:t>
      </w:r>
      <w:bookmarkStart w:id="14" w:name="_Hlk114759097"/>
      <w:r w:rsidRPr="00391B82">
        <w:rPr>
          <w:rFonts w:ascii="Arial" w:hAnsi="Arial"/>
          <w:bCs/>
          <w:color w:val="000000" w:themeColor="text1"/>
          <w:szCs w:val="20"/>
        </w:rPr>
        <w:t>There is no evidence of any upward or downward movement between the two years so taking the average does not lose any information.</w:t>
      </w:r>
    </w:p>
    <w:bookmarkEnd w:id="14"/>
    <w:p w14:paraId="23388921" w14:textId="77777777" w:rsidR="001F34A9" w:rsidRPr="00391B82" w:rsidRDefault="001F34A9" w:rsidP="001F34A9">
      <w:pPr>
        <w:spacing w:after="0" w:line="240" w:lineRule="auto"/>
        <w:rPr>
          <w:rFonts w:ascii="Arial" w:hAnsi="Arial"/>
          <w:bCs/>
          <w:color w:val="000000" w:themeColor="text1"/>
          <w:szCs w:val="20"/>
        </w:rPr>
      </w:pPr>
    </w:p>
    <w:p w14:paraId="4AF18F07" w14:textId="77777777" w:rsidR="001F34A9" w:rsidRPr="003A3A09" w:rsidRDefault="001F34A9" w:rsidP="00B73E8D">
      <w:pPr>
        <w:spacing w:after="60" w:line="240" w:lineRule="auto"/>
        <w:rPr>
          <w:rFonts w:ascii="Arial" w:hAnsi="Arial"/>
          <w:bCs/>
          <w:color w:val="000000" w:themeColor="text1"/>
          <w:szCs w:val="20"/>
        </w:rPr>
      </w:pPr>
      <w:r w:rsidRPr="003A3A09">
        <w:rPr>
          <w:rFonts w:ascii="Arial" w:hAnsi="Arial"/>
          <w:bCs/>
          <w:color w:val="000000" w:themeColor="text1"/>
          <w:szCs w:val="20"/>
        </w:rPr>
        <w:t>Four measures of material and financial hardship are reported:</w:t>
      </w:r>
    </w:p>
    <w:p w14:paraId="3008E9CB" w14:textId="77777777" w:rsidR="001F34A9" w:rsidRPr="003A3A09" w:rsidRDefault="001F34A9">
      <w:pPr>
        <w:pStyle w:val="ListParagraph"/>
        <w:numPr>
          <w:ilvl w:val="0"/>
          <w:numId w:val="56"/>
        </w:numPr>
        <w:spacing w:after="60" w:line="240" w:lineRule="auto"/>
        <w:ind w:left="714" w:hanging="357"/>
        <w:contextualSpacing w:val="0"/>
        <w:rPr>
          <w:rFonts w:ascii="Arial" w:hAnsi="Arial"/>
          <w:bCs/>
          <w:color w:val="000000" w:themeColor="text1"/>
          <w:sz w:val="18"/>
          <w:szCs w:val="18"/>
        </w:rPr>
      </w:pPr>
      <w:r w:rsidRPr="003A3A09">
        <w:rPr>
          <w:rFonts w:ascii="Arial" w:hAnsi="Arial"/>
          <w:bCs/>
          <w:color w:val="000000" w:themeColor="text1"/>
          <w:sz w:val="18"/>
          <w:szCs w:val="18"/>
        </w:rPr>
        <w:t>AHC 50 REL: the proportion (%) of people (children) living in households that have an after-deducting-housing costs (AHC) income of less than half the AHC median for the whole country.</w:t>
      </w:r>
    </w:p>
    <w:p w14:paraId="5906BE47" w14:textId="53F348E1" w:rsidR="000A3E20" w:rsidRPr="003A3A09" w:rsidRDefault="00C774D6">
      <w:pPr>
        <w:numPr>
          <w:ilvl w:val="0"/>
          <w:numId w:val="56"/>
        </w:numPr>
        <w:spacing w:after="60" w:line="240" w:lineRule="auto"/>
        <w:rPr>
          <w:rFonts w:ascii="Arial" w:hAnsi="Arial"/>
          <w:sz w:val="18"/>
          <w:szCs w:val="18"/>
        </w:rPr>
      </w:pPr>
      <w:r w:rsidRPr="003A3A09">
        <w:rPr>
          <w:rFonts w:ascii="Arial" w:hAnsi="Arial"/>
          <w:sz w:val="18"/>
          <w:szCs w:val="18"/>
        </w:rPr>
        <w:t>Material Hardship</w:t>
      </w:r>
      <w:r w:rsidR="000A3E20" w:rsidRPr="003A3A09">
        <w:rPr>
          <w:rFonts w:ascii="Arial" w:hAnsi="Arial"/>
          <w:sz w:val="18"/>
          <w:szCs w:val="18"/>
        </w:rPr>
        <w:t>: the standard material hardship measure used by Stats NZ and this report, households lacking 6 or more of the 17 items in the DEP-17 index in HES 2023-24, and 7 or more of the 18 items in the MH-18 index in HES 2024-25.</w:t>
      </w:r>
    </w:p>
    <w:p w14:paraId="72BE88CD" w14:textId="12C4DA26" w:rsidR="000A3E20" w:rsidRPr="003A3A09" w:rsidRDefault="00A142FE">
      <w:pPr>
        <w:numPr>
          <w:ilvl w:val="0"/>
          <w:numId w:val="56"/>
        </w:numPr>
        <w:spacing w:after="60" w:line="240" w:lineRule="auto"/>
        <w:rPr>
          <w:rFonts w:ascii="Arial" w:hAnsi="Arial"/>
          <w:sz w:val="18"/>
          <w:szCs w:val="18"/>
        </w:rPr>
      </w:pPr>
      <w:r>
        <w:rPr>
          <w:rFonts w:ascii="Arial" w:hAnsi="Arial"/>
          <w:sz w:val="18"/>
          <w:szCs w:val="18"/>
        </w:rPr>
        <w:t>The</w:t>
      </w:r>
      <w:r w:rsidR="000A3E20" w:rsidRPr="003A3A09">
        <w:rPr>
          <w:rFonts w:ascii="Arial" w:hAnsi="Arial"/>
          <w:sz w:val="18"/>
          <w:szCs w:val="18"/>
        </w:rPr>
        <w:t xml:space="preserve"> severe </w:t>
      </w:r>
      <w:r>
        <w:rPr>
          <w:rFonts w:ascii="Arial" w:hAnsi="Arial"/>
          <w:sz w:val="18"/>
          <w:szCs w:val="18"/>
        </w:rPr>
        <w:t xml:space="preserve">material </w:t>
      </w:r>
      <w:r w:rsidR="000A3E20" w:rsidRPr="003A3A09">
        <w:rPr>
          <w:rFonts w:ascii="Arial" w:hAnsi="Arial"/>
          <w:sz w:val="18"/>
          <w:szCs w:val="18"/>
        </w:rPr>
        <w:t>hardship</w:t>
      </w:r>
      <w:r>
        <w:rPr>
          <w:rFonts w:ascii="Arial" w:hAnsi="Arial"/>
          <w:sz w:val="18"/>
          <w:szCs w:val="18"/>
        </w:rPr>
        <w:t xml:space="preserve"> (SMH)</w:t>
      </w:r>
      <w:r w:rsidR="000A3E20" w:rsidRPr="003A3A09">
        <w:rPr>
          <w:rFonts w:ascii="Arial" w:hAnsi="Arial"/>
          <w:sz w:val="18"/>
          <w:szCs w:val="18"/>
        </w:rPr>
        <w:t xml:space="preserve"> version of the above using 9+/17 for HES 2023-24, and 10+/18 for HILS 2024-25.</w:t>
      </w:r>
    </w:p>
    <w:p w14:paraId="463CA6EC" w14:textId="77777777" w:rsidR="001F34A9" w:rsidRPr="003A3A09" w:rsidRDefault="001F34A9">
      <w:pPr>
        <w:pStyle w:val="ListParagraph"/>
        <w:numPr>
          <w:ilvl w:val="0"/>
          <w:numId w:val="56"/>
        </w:numPr>
        <w:spacing w:after="60" w:line="240" w:lineRule="auto"/>
        <w:ind w:left="714" w:hanging="357"/>
        <w:contextualSpacing w:val="0"/>
        <w:rPr>
          <w:rFonts w:ascii="Arial" w:hAnsi="Arial"/>
          <w:bCs/>
          <w:color w:val="000000" w:themeColor="text1"/>
          <w:sz w:val="18"/>
          <w:szCs w:val="18"/>
        </w:rPr>
      </w:pPr>
      <w:r w:rsidRPr="003A3A09">
        <w:rPr>
          <w:rFonts w:ascii="Arial" w:hAnsi="Arial"/>
          <w:bCs/>
          <w:color w:val="000000" w:themeColor="text1"/>
          <w:sz w:val="18"/>
          <w:szCs w:val="18"/>
        </w:rPr>
        <w:t>Foodbank usage: the proportion (%) of people (children) living in households that report using a foodbank or similar at least once in the 12 months prior to interview.</w:t>
      </w:r>
    </w:p>
    <w:p w14:paraId="1FDC7385" w14:textId="77777777" w:rsidR="001F34A9" w:rsidRPr="003A3A09" w:rsidRDefault="001F34A9" w:rsidP="001F34A9">
      <w:pPr>
        <w:spacing w:after="0" w:line="240" w:lineRule="auto"/>
        <w:rPr>
          <w:rFonts w:ascii="Arial" w:hAnsi="Arial"/>
          <w:bCs/>
          <w:color w:val="000000" w:themeColor="text1"/>
          <w:sz w:val="18"/>
          <w:szCs w:val="18"/>
        </w:rPr>
      </w:pPr>
    </w:p>
    <w:p w14:paraId="5D309E50" w14:textId="77777777" w:rsidR="00131B92" w:rsidRPr="003A3A09" w:rsidRDefault="00131B92">
      <w:pPr>
        <w:spacing w:after="0" w:line="240" w:lineRule="auto"/>
        <w:rPr>
          <w:rFonts w:ascii="Arial" w:eastAsia="Times New Roman" w:hAnsi="Arial"/>
          <w:b/>
          <w:color w:val="0000FF"/>
          <w:sz w:val="18"/>
          <w:szCs w:val="18"/>
        </w:rPr>
      </w:pPr>
      <w:r w:rsidRPr="003A3A09">
        <w:rPr>
          <w:rFonts w:ascii="Arial" w:eastAsia="Times New Roman" w:hAnsi="Arial"/>
          <w:b/>
          <w:color w:val="0000FF"/>
          <w:sz w:val="18"/>
          <w:szCs w:val="18"/>
        </w:rPr>
        <w:br w:type="page"/>
      </w:r>
    </w:p>
    <w:p w14:paraId="6748693D" w14:textId="01CF9CBB" w:rsidR="001F34A9" w:rsidRPr="006D298F" w:rsidRDefault="001F34A9" w:rsidP="001F34A9">
      <w:pPr>
        <w:spacing w:after="0" w:line="240" w:lineRule="auto"/>
        <w:jc w:val="center"/>
        <w:rPr>
          <w:rFonts w:ascii="Arial" w:eastAsia="Times New Roman" w:hAnsi="Arial"/>
          <w:b/>
          <w:color w:val="FF0000"/>
          <w:sz w:val="18"/>
          <w:szCs w:val="20"/>
        </w:rPr>
      </w:pPr>
      <w:r w:rsidRPr="0044243F">
        <w:rPr>
          <w:rFonts w:ascii="Arial" w:eastAsia="Times New Roman" w:hAnsi="Arial"/>
          <w:b/>
          <w:color w:val="000000" w:themeColor="text1"/>
          <w:sz w:val="18"/>
          <w:szCs w:val="20"/>
        </w:rPr>
        <w:lastRenderedPageBreak/>
        <w:t xml:space="preserve">Table </w:t>
      </w:r>
      <w:r w:rsidR="00C70B60" w:rsidRPr="0044243F">
        <w:rPr>
          <w:rFonts w:ascii="Arial" w:eastAsia="Times New Roman" w:hAnsi="Arial"/>
          <w:b/>
          <w:color w:val="000000" w:themeColor="text1"/>
          <w:sz w:val="18"/>
          <w:szCs w:val="20"/>
        </w:rPr>
        <w:t>E</w:t>
      </w:r>
      <w:r w:rsidRPr="0044243F">
        <w:rPr>
          <w:rFonts w:ascii="Arial" w:eastAsia="Times New Roman" w:hAnsi="Arial"/>
          <w:b/>
          <w:color w:val="000000" w:themeColor="text1"/>
          <w:sz w:val="18"/>
          <w:szCs w:val="20"/>
        </w:rPr>
        <w:t>.9a</w:t>
      </w:r>
    </w:p>
    <w:p w14:paraId="6096C8DD" w14:textId="77777777" w:rsidR="00523A72" w:rsidRPr="006F2B7C" w:rsidRDefault="00523A72" w:rsidP="00B734A8">
      <w:pPr>
        <w:spacing w:line="240" w:lineRule="auto"/>
        <w:jc w:val="center"/>
        <w:rPr>
          <w:rFonts w:ascii="Arial" w:eastAsia="Times New Roman" w:hAnsi="Arial"/>
          <w:b/>
          <w:color w:val="000000"/>
          <w:sz w:val="18"/>
          <w:szCs w:val="20"/>
        </w:rPr>
      </w:pPr>
      <w:r>
        <w:rPr>
          <w:rFonts w:ascii="Arial" w:eastAsia="Times New Roman" w:hAnsi="Arial"/>
          <w:b/>
          <w:color w:val="000000"/>
          <w:sz w:val="18"/>
          <w:szCs w:val="20"/>
        </w:rPr>
        <w:t xml:space="preserve">Low-income (AHC 50), material hardship and foodbank usage for Auckland and six groupings of wards: children (0-17 yrs), </w:t>
      </w:r>
      <w:r w:rsidRPr="00226228">
        <w:rPr>
          <w:rFonts w:ascii="Arial" w:eastAsia="Times New Roman" w:hAnsi="Arial"/>
          <w:b/>
          <w:color w:val="000000"/>
          <w:sz w:val="18"/>
          <w:szCs w:val="20"/>
        </w:rPr>
        <w:t>average over HES 2023-24 and HILS 2024-25</w:t>
      </w:r>
      <w:r>
        <w:rPr>
          <w:rFonts w:ascii="Arial" w:eastAsia="Times New Roman" w:hAnsi="Arial"/>
          <w:b/>
          <w:color w:val="000000"/>
          <w:sz w:val="18"/>
          <w:szCs w:val="20"/>
        </w:rPr>
        <w:t xml:space="preserve">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9"/>
        <w:gridCol w:w="661"/>
        <w:gridCol w:w="662"/>
        <w:gridCol w:w="662"/>
        <w:gridCol w:w="1433"/>
        <w:gridCol w:w="976"/>
      </w:tblGrid>
      <w:tr w:rsidR="00523A72" w:rsidRPr="006F2B7C" w14:paraId="00383BBF" w14:textId="77777777" w:rsidTr="00716933">
        <w:trPr>
          <w:trHeight w:val="227"/>
          <w:jc w:val="center"/>
        </w:trPr>
        <w:tc>
          <w:tcPr>
            <w:tcW w:w="3539" w:type="dxa"/>
            <w:vAlign w:val="center"/>
          </w:tcPr>
          <w:p w14:paraId="13A4A812" w14:textId="77777777" w:rsidR="00523A72" w:rsidRPr="006F2B7C" w:rsidRDefault="00523A72" w:rsidP="00716933">
            <w:pPr>
              <w:spacing w:after="0" w:line="240" w:lineRule="auto"/>
              <w:jc w:val="center"/>
              <w:rPr>
                <w:rFonts w:ascii="Arial" w:eastAsia="Times New Roman" w:hAnsi="Arial"/>
                <w:b/>
                <w:bCs/>
                <w:color w:val="000000"/>
                <w:sz w:val="14"/>
                <w:szCs w:val="14"/>
                <w:lang w:eastAsia="en-NZ"/>
              </w:rPr>
            </w:pPr>
            <w:r>
              <w:rPr>
                <w:rFonts w:ascii="Arial" w:eastAsia="Times New Roman" w:hAnsi="Arial"/>
                <w:b/>
                <w:bCs/>
                <w:color w:val="000000"/>
                <w:sz w:val="14"/>
                <w:szCs w:val="14"/>
                <w:lang w:val="en-GB"/>
              </w:rPr>
              <w:t>Geographic Area</w:t>
            </w:r>
          </w:p>
        </w:tc>
        <w:tc>
          <w:tcPr>
            <w:tcW w:w="661" w:type="dxa"/>
            <w:vAlign w:val="center"/>
          </w:tcPr>
          <w:p w14:paraId="2ED06F97" w14:textId="77777777" w:rsidR="00523A72" w:rsidRPr="006F2B7C" w:rsidRDefault="00523A72" w:rsidP="00716933">
            <w:pPr>
              <w:spacing w:after="0" w:line="240" w:lineRule="auto"/>
              <w:jc w:val="center"/>
              <w:rPr>
                <w:rFonts w:ascii="Arial" w:eastAsia="Times New Roman" w:hAnsi="Arial"/>
                <w:b/>
                <w:bCs/>
                <w:color w:val="000000"/>
                <w:sz w:val="14"/>
                <w:szCs w:val="14"/>
                <w:lang w:val="en-GB"/>
              </w:rPr>
            </w:pPr>
            <w:r>
              <w:rPr>
                <w:rFonts w:ascii="Arial" w:eastAsia="Times New Roman" w:hAnsi="Arial"/>
                <w:b/>
                <w:bCs/>
                <w:color w:val="000000"/>
                <w:sz w:val="14"/>
                <w:szCs w:val="14"/>
                <w:lang w:val="en-GB"/>
              </w:rPr>
              <w:t>AHC 50</w:t>
            </w:r>
          </w:p>
        </w:tc>
        <w:tc>
          <w:tcPr>
            <w:tcW w:w="662" w:type="dxa"/>
            <w:vAlign w:val="center"/>
          </w:tcPr>
          <w:p w14:paraId="0D55BE6A" w14:textId="77777777" w:rsidR="00523A72" w:rsidRPr="006F2B7C" w:rsidRDefault="00523A72" w:rsidP="00716933">
            <w:pPr>
              <w:spacing w:after="0" w:line="240" w:lineRule="auto"/>
              <w:jc w:val="center"/>
              <w:rPr>
                <w:rFonts w:ascii="Arial" w:eastAsia="Times New Roman" w:hAnsi="Arial"/>
                <w:b/>
                <w:bCs/>
                <w:color w:val="000000"/>
                <w:sz w:val="14"/>
                <w:szCs w:val="14"/>
                <w:lang w:val="en-GB"/>
              </w:rPr>
            </w:pPr>
            <w:r>
              <w:rPr>
                <w:rFonts w:ascii="Arial" w:hAnsi="Arial"/>
                <w:b/>
                <w:bCs/>
                <w:color w:val="000000"/>
                <w:sz w:val="14"/>
                <w:szCs w:val="14"/>
              </w:rPr>
              <w:t>MH</w:t>
            </w:r>
          </w:p>
        </w:tc>
        <w:tc>
          <w:tcPr>
            <w:tcW w:w="662" w:type="dxa"/>
            <w:tcBorders>
              <w:right w:val="single" w:sz="8" w:space="0" w:color="auto"/>
            </w:tcBorders>
            <w:vAlign w:val="center"/>
          </w:tcPr>
          <w:p w14:paraId="2D7691B8" w14:textId="77777777" w:rsidR="00523A72" w:rsidRPr="006F2B7C" w:rsidRDefault="00523A72" w:rsidP="00716933">
            <w:pPr>
              <w:spacing w:after="0" w:line="240" w:lineRule="auto"/>
              <w:jc w:val="center"/>
              <w:rPr>
                <w:rFonts w:ascii="Arial" w:eastAsia="Times New Roman" w:hAnsi="Arial"/>
                <w:b/>
                <w:bCs/>
                <w:color w:val="000000"/>
                <w:sz w:val="14"/>
                <w:szCs w:val="14"/>
                <w:lang w:val="en-GB"/>
              </w:rPr>
            </w:pPr>
            <w:r>
              <w:rPr>
                <w:rFonts w:ascii="Arial" w:hAnsi="Arial"/>
                <w:b/>
                <w:bCs/>
                <w:color w:val="000000"/>
                <w:sz w:val="14"/>
                <w:szCs w:val="14"/>
              </w:rPr>
              <w:t>SMH</w:t>
            </w:r>
          </w:p>
        </w:tc>
        <w:tc>
          <w:tcPr>
            <w:tcW w:w="1433" w:type="dxa"/>
            <w:tcBorders>
              <w:left w:val="single" w:sz="8" w:space="0" w:color="auto"/>
            </w:tcBorders>
            <w:vAlign w:val="center"/>
          </w:tcPr>
          <w:p w14:paraId="38C115F0" w14:textId="77777777" w:rsidR="00523A72" w:rsidRPr="006F2B7C" w:rsidRDefault="00523A72" w:rsidP="00716933">
            <w:pPr>
              <w:spacing w:after="0" w:line="240" w:lineRule="auto"/>
              <w:jc w:val="center"/>
              <w:rPr>
                <w:rFonts w:ascii="Arial" w:eastAsia="Times New Roman" w:hAnsi="Arial"/>
                <w:b/>
                <w:bCs/>
                <w:color w:val="000000"/>
                <w:sz w:val="14"/>
                <w:szCs w:val="14"/>
                <w:lang w:val="en-GB"/>
              </w:rPr>
            </w:pPr>
            <w:r>
              <w:rPr>
                <w:rFonts w:ascii="Arial" w:eastAsia="Times New Roman" w:hAnsi="Arial"/>
                <w:b/>
                <w:bCs/>
                <w:color w:val="000000"/>
                <w:sz w:val="14"/>
                <w:szCs w:val="14"/>
                <w:lang w:val="en-GB"/>
              </w:rPr>
              <w:t>Total # children</w:t>
            </w:r>
          </w:p>
        </w:tc>
        <w:tc>
          <w:tcPr>
            <w:tcW w:w="976" w:type="dxa"/>
            <w:tcBorders>
              <w:left w:val="single" w:sz="8" w:space="0" w:color="auto"/>
            </w:tcBorders>
            <w:vAlign w:val="center"/>
          </w:tcPr>
          <w:p w14:paraId="627366B6" w14:textId="77777777" w:rsidR="00523A72" w:rsidRDefault="00523A72" w:rsidP="00716933">
            <w:pPr>
              <w:spacing w:after="0" w:line="240" w:lineRule="auto"/>
              <w:jc w:val="center"/>
              <w:rPr>
                <w:rFonts w:ascii="Arial" w:eastAsia="Times New Roman" w:hAnsi="Arial"/>
                <w:b/>
                <w:bCs/>
                <w:color w:val="000000"/>
                <w:sz w:val="14"/>
                <w:szCs w:val="14"/>
                <w:lang w:val="en-GB"/>
              </w:rPr>
            </w:pPr>
            <w:r>
              <w:rPr>
                <w:rFonts w:ascii="Arial" w:hAnsi="Arial"/>
                <w:b/>
                <w:bCs/>
                <w:color w:val="000000"/>
                <w:sz w:val="14"/>
                <w:szCs w:val="14"/>
              </w:rPr>
              <w:t>Foodbank %</w:t>
            </w:r>
          </w:p>
        </w:tc>
      </w:tr>
      <w:tr w:rsidR="00523A72" w:rsidRPr="00A142FE" w14:paraId="74560F3E" w14:textId="77777777" w:rsidTr="00716933">
        <w:trPr>
          <w:trHeight w:val="227"/>
          <w:jc w:val="center"/>
        </w:trPr>
        <w:tc>
          <w:tcPr>
            <w:tcW w:w="3539" w:type="dxa"/>
            <w:tcMar>
              <w:left w:w="85" w:type="dxa"/>
              <w:right w:w="85" w:type="dxa"/>
            </w:tcMar>
            <w:vAlign w:val="center"/>
          </w:tcPr>
          <w:p w14:paraId="0858C9E2"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New Zealand</w:t>
            </w:r>
          </w:p>
        </w:tc>
        <w:tc>
          <w:tcPr>
            <w:tcW w:w="661" w:type="dxa"/>
            <w:vAlign w:val="center"/>
          </w:tcPr>
          <w:p w14:paraId="51459F1F"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20</w:t>
            </w:r>
          </w:p>
        </w:tc>
        <w:tc>
          <w:tcPr>
            <w:tcW w:w="662" w:type="dxa"/>
            <w:vAlign w:val="center"/>
          </w:tcPr>
          <w:p w14:paraId="76F63D11"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14</w:t>
            </w:r>
          </w:p>
        </w:tc>
        <w:tc>
          <w:tcPr>
            <w:tcW w:w="662" w:type="dxa"/>
            <w:tcBorders>
              <w:right w:val="single" w:sz="8" w:space="0" w:color="auto"/>
            </w:tcBorders>
            <w:vAlign w:val="center"/>
          </w:tcPr>
          <w:p w14:paraId="5F91BDC5"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6</w:t>
            </w:r>
          </w:p>
        </w:tc>
        <w:tc>
          <w:tcPr>
            <w:tcW w:w="1433" w:type="dxa"/>
            <w:tcBorders>
              <w:left w:val="single" w:sz="8" w:space="0" w:color="auto"/>
            </w:tcBorders>
            <w:vAlign w:val="center"/>
          </w:tcPr>
          <w:p w14:paraId="752A0D7F"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1,180,000</w:t>
            </w:r>
          </w:p>
        </w:tc>
        <w:tc>
          <w:tcPr>
            <w:tcW w:w="976" w:type="dxa"/>
            <w:tcBorders>
              <w:left w:val="single" w:sz="8" w:space="0" w:color="auto"/>
            </w:tcBorders>
            <w:vAlign w:val="center"/>
          </w:tcPr>
          <w:p w14:paraId="6954C6A8"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12</w:t>
            </w:r>
          </w:p>
        </w:tc>
      </w:tr>
      <w:tr w:rsidR="00523A72" w:rsidRPr="00A142FE" w14:paraId="58685F71" w14:textId="77777777" w:rsidTr="00716933">
        <w:trPr>
          <w:trHeight w:val="227"/>
          <w:jc w:val="center"/>
        </w:trPr>
        <w:tc>
          <w:tcPr>
            <w:tcW w:w="3539" w:type="dxa"/>
            <w:tcMar>
              <w:left w:w="85" w:type="dxa"/>
              <w:right w:w="85" w:type="dxa"/>
            </w:tcMar>
            <w:vAlign w:val="center"/>
          </w:tcPr>
          <w:p w14:paraId="2493B32A"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Auckland</w:t>
            </w:r>
          </w:p>
        </w:tc>
        <w:tc>
          <w:tcPr>
            <w:tcW w:w="661" w:type="dxa"/>
            <w:vAlign w:val="center"/>
          </w:tcPr>
          <w:p w14:paraId="514D0CA0"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22</w:t>
            </w:r>
          </w:p>
        </w:tc>
        <w:tc>
          <w:tcPr>
            <w:tcW w:w="662" w:type="dxa"/>
            <w:vAlign w:val="center"/>
          </w:tcPr>
          <w:p w14:paraId="13EA4313"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15</w:t>
            </w:r>
          </w:p>
        </w:tc>
        <w:tc>
          <w:tcPr>
            <w:tcW w:w="662" w:type="dxa"/>
            <w:tcBorders>
              <w:right w:val="single" w:sz="8" w:space="0" w:color="auto"/>
            </w:tcBorders>
            <w:vAlign w:val="center"/>
          </w:tcPr>
          <w:p w14:paraId="1D1BE76D"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7</w:t>
            </w:r>
          </w:p>
        </w:tc>
        <w:tc>
          <w:tcPr>
            <w:tcW w:w="1433" w:type="dxa"/>
            <w:tcBorders>
              <w:left w:val="single" w:sz="8" w:space="0" w:color="auto"/>
            </w:tcBorders>
            <w:vAlign w:val="center"/>
          </w:tcPr>
          <w:p w14:paraId="528A0AED"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412,000</w:t>
            </w:r>
          </w:p>
        </w:tc>
        <w:tc>
          <w:tcPr>
            <w:tcW w:w="976" w:type="dxa"/>
            <w:tcBorders>
              <w:left w:val="single" w:sz="8" w:space="0" w:color="auto"/>
            </w:tcBorders>
            <w:vAlign w:val="center"/>
          </w:tcPr>
          <w:p w14:paraId="14D20722"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13</w:t>
            </w:r>
          </w:p>
        </w:tc>
      </w:tr>
      <w:tr w:rsidR="00523A72" w:rsidRPr="00A142FE" w14:paraId="635566F4" w14:textId="77777777" w:rsidTr="00716933">
        <w:trPr>
          <w:trHeight w:val="227"/>
          <w:jc w:val="center"/>
        </w:trPr>
        <w:tc>
          <w:tcPr>
            <w:tcW w:w="3539" w:type="dxa"/>
            <w:tcMar>
              <w:left w:w="85" w:type="dxa"/>
              <w:right w:w="85" w:type="dxa"/>
            </w:tcMar>
            <w:vAlign w:val="center"/>
          </w:tcPr>
          <w:p w14:paraId="372265D1"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Northern wards</w:t>
            </w:r>
          </w:p>
        </w:tc>
        <w:tc>
          <w:tcPr>
            <w:tcW w:w="661" w:type="dxa"/>
            <w:vAlign w:val="center"/>
          </w:tcPr>
          <w:p w14:paraId="3DA8CEC1"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17</w:t>
            </w:r>
          </w:p>
        </w:tc>
        <w:tc>
          <w:tcPr>
            <w:tcW w:w="662" w:type="dxa"/>
            <w:vAlign w:val="center"/>
          </w:tcPr>
          <w:p w14:paraId="10109510"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6</w:t>
            </w:r>
          </w:p>
        </w:tc>
        <w:tc>
          <w:tcPr>
            <w:tcW w:w="662" w:type="dxa"/>
            <w:tcBorders>
              <w:right w:val="single" w:sz="8" w:space="0" w:color="auto"/>
            </w:tcBorders>
            <w:vAlign w:val="center"/>
          </w:tcPr>
          <w:p w14:paraId="67333D35"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2</w:t>
            </w:r>
          </w:p>
        </w:tc>
        <w:tc>
          <w:tcPr>
            <w:tcW w:w="1433" w:type="dxa"/>
            <w:tcBorders>
              <w:left w:val="single" w:sz="8" w:space="0" w:color="auto"/>
            </w:tcBorders>
            <w:vAlign w:val="center"/>
          </w:tcPr>
          <w:p w14:paraId="33C01583"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102,000</w:t>
            </w:r>
          </w:p>
        </w:tc>
        <w:tc>
          <w:tcPr>
            <w:tcW w:w="976" w:type="dxa"/>
            <w:tcBorders>
              <w:left w:val="single" w:sz="8" w:space="0" w:color="auto"/>
            </w:tcBorders>
            <w:vAlign w:val="center"/>
          </w:tcPr>
          <w:p w14:paraId="6B0614B5"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7</w:t>
            </w:r>
          </w:p>
        </w:tc>
      </w:tr>
      <w:tr w:rsidR="00523A72" w:rsidRPr="00A142FE" w14:paraId="4A1E10C9" w14:textId="77777777" w:rsidTr="00716933">
        <w:trPr>
          <w:trHeight w:val="227"/>
          <w:jc w:val="center"/>
        </w:trPr>
        <w:tc>
          <w:tcPr>
            <w:tcW w:w="3539" w:type="dxa"/>
            <w:tcMar>
              <w:left w:w="85" w:type="dxa"/>
              <w:right w:w="85" w:type="dxa"/>
            </w:tcMar>
            <w:vAlign w:val="center"/>
          </w:tcPr>
          <w:p w14:paraId="5E5B7A93"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Western wards</w:t>
            </w:r>
          </w:p>
        </w:tc>
        <w:tc>
          <w:tcPr>
            <w:tcW w:w="661" w:type="dxa"/>
            <w:vAlign w:val="center"/>
          </w:tcPr>
          <w:p w14:paraId="767A54BB"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25</w:t>
            </w:r>
          </w:p>
        </w:tc>
        <w:tc>
          <w:tcPr>
            <w:tcW w:w="662" w:type="dxa"/>
            <w:vAlign w:val="center"/>
          </w:tcPr>
          <w:p w14:paraId="4E118963"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18</w:t>
            </w:r>
          </w:p>
        </w:tc>
        <w:tc>
          <w:tcPr>
            <w:tcW w:w="662" w:type="dxa"/>
            <w:tcBorders>
              <w:right w:val="single" w:sz="8" w:space="0" w:color="auto"/>
            </w:tcBorders>
            <w:vAlign w:val="center"/>
          </w:tcPr>
          <w:p w14:paraId="11D073C2"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9</w:t>
            </w:r>
          </w:p>
        </w:tc>
        <w:tc>
          <w:tcPr>
            <w:tcW w:w="1433" w:type="dxa"/>
            <w:tcBorders>
              <w:left w:val="single" w:sz="8" w:space="0" w:color="auto"/>
            </w:tcBorders>
            <w:vAlign w:val="center"/>
          </w:tcPr>
          <w:p w14:paraId="04F59653"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82,000</w:t>
            </w:r>
          </w:p>
        </w:tc>
        <w:tc>
          <w:tcPr>
            <w:tcW w:w="976" w:type="dxa"/>
            <w:tcBorders>
              <w:left w:val="single" w:sz="8" w:space="0" w:color="auto"/>
            </w:tcBorders>
            <w:vAlign w:val="center"/>
          </w:tcPr>
          <w:p w14:paraId="5C948E25"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12</w:t>
            </w:r>
          </w:p>
        </w:tc>
      </w:tr>
      <w:tr w:rsidR="00523A72" w:rsidRPr="00A142FE" w14:paraId="0186BF1E" w14:textId="77777777" w:rsidTr="00716933">
        <w:trPr>
          <w:trHeight w:val="227"/>
          <w:jc w:val="center"/>
        </w:trPr>
        <w:tc>
          <w:tcPr>
            <w:tcW w:w="3539" w:type="dxa"/>
            <w:tcMar>
              <w:left w:w="85" w:type="dxa"/>
              <w:right w:w="85" w:type="dxa"/>
            </w:tcMar>
            <w:vAlign w:val="center"/>
          </w:tcPr>
          <w:p w14:paraId="7E76C5B5"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 xml:space="preserve">Central 1: Albert-Eden-Roskill &amp; </w:t>
            </w:r>
            <w:r w:rsidRPr="00A142FE">
              <w:rPr>
                <w:rFonts w:ascii="Arial" w:hAnsi="Arial"/>
                <w:color w:val="000000" w:themeColor="text1"/>
                <w:spacing w:val="-6"/>
                <w:sz w:val="14"/>
                <w:szCs w:val="14"/>
              </w:rPr>
              <w:t>Ōrākei,</w:t>
            </w:r>
          </w:p>
        </w:tc>
        <w:tc>
          <w:tcPr>
            <w:tcW w:w="661" w:type="dxa"/>
            <w:vAlign w:val="center"/>
          </w:tcPr>
          <w:p w14:paraId="2D8BB707"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14</w:t>
            </w:r>
          </w:p>
        </w:tc>
        <w:tc>
          <w:tcPr>
            <w:tcW w:w="662" w:type="dxa"/>
            <w:vAlign w:val="center"/>
          </w:tcPr>
          <w:p w14:paraId="63F94E33"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8</w:t>
            </w:r>
          </w:p>
        </w:tc>
        <w:tc>
          <w:tcPr>
            <w:tcW w:w="662" w:type="dxa"/>
            <w:tcBorders>
              <w:right w:val="single" w:sz="8" w:space="0" w:color="auto"/>
            </w:tcBorders>
            <w:vAlign w:val="center"/>
          </w:tcPr>
          <w:p w14:paraId="6E39DF61"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4</w:t>
            </w:r>
          </w:p>
        </w:tc>
        <w:tc>
          <w:tcPr>
            <w:tcW w:w="1433" w:type="dxa"/>
            <w:tcBorders>
              <w:left w:val="single" w:sz="8" w:space="0" w:color="auto"/>
            </w:tcBorders>
            <w:vAlign w:val="center"/>
          </w:tcPr>
          <w:p w14:paraId="3D3B78CF"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47,000</w:t>
            </w:r>
          </w:p>
        </w:tc>
        <w:tc>
          <w:tcPr>
            <w:tcW w:w="976" w:type="dxa"/>
            <w:tcBorders>
              <w:left w:val="single" w:sz="8" w:space="0" w:color="auto"/>
            </w:tcBorders>
            <w:vAlign w:val="center"/>
          </w:tcPr>
          <w:p w14:paraId="2D967EAF"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8</w:t>
            </w:r>
          </w:p>
        </w:tc>
      </w:tr>
      <w:tr w:rsidR="00523A72" w:rsidRPr="00A142FE" w14:paraId="1DE78F4A" w14:textId="77777777" w:rsidTr="00716933">
        <w:trPr>
          <w:trHeight w:val="227"/>
          <w:jc w:val="center"/>
        </w:trPr>
        <w:tc>
          <w:tcPr>
            <w:tcW w:w="3539" w:type="dxa"/>
            <w:tcMar>
              <w:left w:w="85" w:type="dxa"/>
              <w:right w:w="85" w:type="dxa"/>
            </w:tcMar>
            <w:vAlign w:val="center"/>
          </w:tcPr>
          <w:p w14:paraId="295E9693"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Central 2: Maungakiekie-</w:t>
            </w:r>
            <w:r w:rsidRPr="00A142FE">
              <w:rPr>
                <w:rFonts w:ascii="Arial" w:hAnsi="Arial"/>
                <w:color w:val="000000" w:themeColor="text1"/>
                <w:sz w:val="14"/>
                <w:szCs w:val="14"/>
              </w:rPr>
              <w:t>T</w:t>
            </w:r>
            <w:r w:rsidRPr="00A142FE">
              <w:rPr>
                <w:rFonts w:ascii="Arial" w:hAnsi="Arial"/>
                <w:color w:val="000000" w:themeColor="text1"/>
                <w:spacing w:val="-6"/>
                <w:sz w:val="14"/>
                <w:szCs w:val="14"/>
              </w:rPr>
              <w:t>ā</w:t>
            </w:r>
            <w:r w:rsidRPr="00A142FE">
              <w:rPr>
                <w:rFonts w:ascii="Arial" w:hAnsi="Arial"/>
                <w:color w:val="000000" w:themeColor="text1"/>
                <w:sz w:val="14"/>
                <w:szCs w:val="14"/>
              </w:rPr>
              <w:t>maki</w:t>
            </w:r>
            <w:r w:rsidRPr="00A142FE">
              <w:rPr>
                <w:rFonts w:ascii="Arial" w:eastAsia="Times New Roman" w:hAnsi="Arial"/>
                <w:color w:val="000000" w:themeColor="text1"/>
                <w:sz w:val="14"/>
                <w:szCs w:val="14"/>
                <w:lang w:val="en-GB"/>
              </w:rPr>
              <w:t xml:space="preserve"> &amp; Waitemat</w:t>
            </w:r>
            <w:r w:rsidRPr="00A142FE">
              <w:rPr>
                <w:rFonts w:ascii="Arial" w:hAnsi="Arial"/>
                <w:color w:val="000000" w:themeColor="text1"/>
                <w:spacing w:val="-6"/>
                <w:sz w:val="14"/>
                <w:szCs w:val="14"/>
              </w:rPr>
              <w:t>ā</w:t>
            </w:r>
            <w:r w:rsidRPr="00A142FE">
              <w:rPr>
                <w:rFonts w:ascii="Arial" w:eastAsia="Times New Roman" w:hAnsi="Arial"/>
                <w:color w:val="000000" w:themeColor="text1"/>
                <w:sz w:val="14"/>
                <w:szCs w:val="14"/>
                <w:lang w:val="en-GB"/>
              </w:rPr>
              <w:t>-Gulf</w:t>
            </w:r>
          </w:p>
        </w:tc>
        <w:tc>
          <w:tcPr>
            <w:tcW w:w="661" w:type="dxa"/>
            <w:vAlign w:val="center"/>
          </w:tcPr>
          <w:p w14:paraId="2CC3537B"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29</w:t>
            </w:r>
          </w:p>
        </w:tc>
        <w:tc>
          <w:tcPr>
            <w:tcW w:w="662" w:type="dxa"/>
            <w:vAlign w:val="center"/>
          </w:tcPr>
          <w:p w14:paraId="5C665F00"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16</w:t>
            </w:r>
          </w:p>
        </w:tc>
        <w:tc>
          <w:tcPr>
            <w:tcW w:w="662" w:type="dxa"/>
            <w:tcBorders>
              <w:right w:val="single" w:sz="8" w:space="0" w:color="auto"/>
            </w:tcBorders>
            <w:vAlign w:val="center"/>
          </w:tcPr>
          <w:p w14:paraId="5E5765DE"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9</w:t>
            </w:r>
          </w:p>
        </w:tc>
        <w:tc>
          <w:tcPr>
            <w:tcW w:w="1433" w:type="dxa"/>
            <w:tcBorders>
              <w:left w:val="single" w:sz="8" w:space="0" w:color="auto"/>
            </w:tcBorders>
            <w:vAlign w:val="center"/>
          </w:tcPr>
          <w:p w14:paraId="59EBD628"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37,000</w:t>
            </w:r>
          </w:p>
        </w:tc>
        <w:tc>
          <w:tcPr>
            <w:tcW w:w="976" w:type="dxa"/>
            <w:tcBorders>
              <w:left w:val="single" w:sz="8" w:space="0" w:color="auto"/>
            </w:tcBorders>
            <w:vAlign w:val="center"/>
          </w:tcPr>
          <w:p w14:paraId="47839492"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18</w:t>
            </w:r>
          </w:p>
        </w:tc>
      </w:tr>
      <w:tr w:rsidR="00523A72" w:rsidRPr="00A142FE" w14:paraId="6DFDF305" w14:textId="77777777" w:rsidTr="00716933">
        <w:trPr>
          <w:trHeight w:val="227"/>
          <w:jc w:val="center"/>
        </w:trPr>
        <w:tc>
          <w:tcPr>
            <w:tcW w:w="3539" w:type="dxa"/>
            <w:tcMar>
              <w:left w:w="85" w:type="dxa"/>
              <w:right w:w="85" w:type="dxa"/>
            </w:tcMar>
            <w:vAlign w:val="center"/>
          </w:tcPr>
          <w:p w14:paraId="5770D316"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Southern wards</w:t>
            </w:r>
          </w:p>
        </w:tc>
        <w:tc>
          <w:tcPr>
            <w:tcW w:w="661" w:type="dxa"/>
            <w:vAlign w:val="center"/>
          </w:tcPr>
          <w:p w14:paraId="1E5EDE97"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24</w:t>
            </w:r>
          </w:p>
        </w:tc>
        <w:tc>
          <w:tcPr>
            <w:tcW w:w="662" w:type="dxa"/>
            <w:vAlign w:val="center"/>
          </w:tcPr>
          <w:p w14:paraId="388E1A67"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28</w:t>
            </w:r>
          </w:p>
        </w:tc>
        <w:tc>
          <w:tcPr>
            <w:tcW w:w="662" w:type="dxa"/>
            <w:tcBorders>
              <w:right w:val="single" w:sz="8" w:space="0" w:color="auto"/>
            </w:tcBorders>
            <w:vAlign w:val="center"/>
          </w:tcPr>
          <w:p w14:paraId="3E97A933"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12</w:t>
            </w:r>
          </w:p>
        </w:tc>
        <w:tc>
          <w:tcPr>
            <w:tcW w:w="1433" w:type="dxa"/>
            <w:tcBorders>
              <w:left w:val="single" w:sz="8" w:space="0" w:color="auto"/>
            </w:tcBorders>
            <w:vAlign w:val="center"/>
          </w:tcPr>
          <w:p w14:paraId="5B42E3D1"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96,000</w:t>
            </w:r>
          </w:p>
        </w:tc>
        <w:tc>
          <w:tcPr>
            <w:tcW w:w="976" w:type="dxa"/>
            <w:tcBorders>
              <w:left w:val="single" w:sz="8" w:space="0" w:color="auto"/>
            </w:tcBorders>
            <w:vAlign w:val="center"/>
          </w:tcPr>
          <w:p w14:paraId="302A9E0C"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23</w:t>
            </w:r>
          </w:p>
        </w:tc>
      </w:tr>
      <w:tr w:rsidR="00523A72" w:rsidRPr="00A142FE" w14:paraId="16447A3E" w14:textId="77777777" w:rsidTr="00716933">
        <w:trPr>
          <w:trHeight w:val="227"/>
          <w:jc w:val="center"/>
        </w:trPr>
        <w:tc>
          <w:tcPr>
            <w:tcW w:w="3539" w:type="dxa"/>
            <w:tcMar>
              <w:left w:w="85" w:type="dxa"/>
              <w:right w:w="85" w:type="dxa"/>
            </w:tcMar>
            <w:vAlign w:val="center"/>
          </w:tcPr>
          <w:p w14:paraId="4260FDA7" w14:textId="77777777" w:rsidR="00523A72" w:rsidRPr="00A142FE" w:rsidRDefault="00523A72" w:rsidP="00716933">
            <w:pPr>
              <w:spacing w:after="0" w:line="240" w:lineRule="auto"/>
              <w:rPr>
                <w:rFonts w:ascii="Arial" w:eastAsia="Times New Roman" w:hAnsi="Arial"/>
                <w:color w:val="000000" w:themeColor="text1"/>
                <w:sz w:val="14"/>
                <w:szCs w:val="14"/>
                <w:lang w:val="en-GB"/>
              </w:rPr>
            </w:pPr>
            <w:r w:rsidRPr="00A142FE">
              <w:rPr>
                <w:rFonts w:ascii="Arial" w:eastAsia="Times New Roman" w:hAnsi="Arial"/>
                <w:color w:val="000000" w:themeColor="text1"/>
                <w:sz w:val="14"/>
                <w:szCs w:val="14"/>
                <w:lang w:val="en-GB"/>
              </w:rPr>
              <w:t>Howick-Franklin wards</w:t>
            </w:r>
          </w:p>
        </w:tc>
        <w:tc>
          <w:tcPr>
            <w:tcW w:w="661" w:type="dxa"/>
            <w:vAlign w:val="center"/>
          </w:tcPr>
          <w:p w14:paraId="1DEFCCCE"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25</w:t>
            </w:r>
          </w:p>
        </w:tc>
        <w:tc>
          <w:tcPr>
            <w:tcW w:w="662" w:type="dxa"/>
            <w:vAlign w:val="center"/>
          </w:tcPr>
          <w:p w14:paraId="1390CC36"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8</w:t>
            </w:r>
          </w:p>
        </w:tc>
        <w:tc>
          <w:tcPr>
            <w:tcW w:w="662" w:type="dxa"/>
            <w:tcBorders>
              <w:right w:val="single" w:sz="8" w:space="0" w:color="auto"/>
            </w:tcBorders>
            <w:vAlign w:val="center"/>
          </w:tcPr>
          <w:p w14:paraId="34F6F122"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3</w:t>
            </w:r>
          </w:p>
        </w:tc>
        <w:tc>
          <w:tcPr>
            <w:tcW w:w="1433" w:type="dxa"/>
            <w:tcBorders>
              <w:left w:val="single" w:sz="8" w:space="0" w:color="auto"/>
            </w:tcBorders>
            <w:vAlign w:val="center"/>
          </w:tcPr>
          <w:p w14:paraId="008D8411" w14:textId="77777777" w:rsidR="00523A72" w:rsidRPr="00A142FE" w:rsidRDefault="00523A72" w:rsidP="00716933">
            <w:pPr>
              <w:spacing w:after="0" w:line="240" w:lineRule="auto"/>
              <w:jc w:val="center"/>
              <w:rPr>
                <w:rFonts w:ascii="Arial" w:eastAsia="Times New Roman" w:hAnsi="Arial"/>
                <w:color w:val="000000" w:themeColor="text1"/>
                <w:sz w:val="14"/>
                <w:szCs w:val="14"/>
                <w:lang w:val="en-GB"/>
              </w:rPr>
            </w:pPr>
            <w:r w:rsidRPr="00A142FE">
              <w:rPr>
                <w:rFonts w:ascii="Arial" w:hAnsi="Arial"/>
                <w:color w:val="000000" w:themeColor="text1"/>
                <w:sz w:val="14"/>
                <w:szCs w:val="14"/>
              </w:rPr>
              <w:t>47,000</w:t>
            </w:r>
          </w:p>
        </w:tc>
        <w:tc>
          <w:tcPr>
            <w:tcW w:w="976" w:type="dxa"/>
            <w:tcBorders>
              <w:left w:val="single" w:sz="8" w:space="0" w:color="auto"/>
            </w:tcBorders>
            <w:vAlign w:val="center"/>
          </w:tcPr>
          <w:p w14:paraId="50102411" w14:textId="77777777" w:rsidR="00523A72" w:rsidRPr="00A142FE" w:rsidRDefault="00523A72" w:rsidP="00716933">
            <w:pPr>
              <w:spacing w:after="0" w:line="240" w:lineRule="auto"/>
              <w:jc w:val="center"/>
              <w:rPr>
                <w:rFonts w:ascii="Arial" w:hAnsi="Arial"/>
                <w:color w:val="000000" w:themeColor="text1"/>
                <w:sz w:val="14"/>
                <w:szCs w:val="14"/>
              </w:rPr>
            </w:pPr>
            <w:r w:rsidRPr="00A142FE">
              <w:rPr>
                <w:rFonts w:ascii="Arial" w:hAnsi="Arial"/>
                <w:color w:val="000000" w:themeColor="text1"/>
                <w:sz w:val="14"/>
                <w:szCs w:val="14"/>
              </w:rPr>
              <w:t>9</w:t>
            </w:r>
          </w:p>
        </w:tc>
      </w:tr>
    </w:tbl>
    <w:p w14:paraId="5C126833" w14:textId="03C0DF1D" w:rsidR="00523A72" w:rsidRDefault="00523A72" w:rsidP="00523A72">
      <w:pPr>
        <w:spacing w:before="60" w:after="0" w:line="240" w:lineRule="auto"/>
        <w:ind w:left="851" w:hanging="284"/>
        <w:rPr>
          <w:rFonts w:ascii="Arial" w:eastAsia="Times New Roman" w:hAnsi="Arial"/>
          <w:bCs/>
          <w:color w:val="000000"/>
          <w:sz w:val="16"/>
          <w:szCs w:val="16"/>
        </w:rPr>
      </w:pPr>
      <w:r w:rsidRPr="00226228">
        <w:rPr>
          <w:rFonts w:ascii="Arial" w:eastAsia="Times New Roman" w:hAnsi="Arial"/>
          <w:bCs/>
          <w:color w:val="000000"/>
          <w:sz w:val="16"/>
          <w:szCs w:val="16"/>
        </w:rPr>
        <w:t>Note</w:t>
      </w:r>
      <w:r>
        <w:rPr>
          <w:rFonts w:ascii="Arial" w:eastAsia="Times New Roman" w:hAnsi="Arial"/>
          <w:bCs/>
          <w:color w:val="000000"/>
          <w:sz w:val="16"/>
          <w:szCs w:val="16"/>
        </w:rPr>
        <w:t>s for tables E.9a &amp; E.9c</w:t>
      </w:r>
      <w:r w:rsidRPr="00226228">
        <w:rPr>
          <w:rFonts w:ascii="Arial" w:eastAsia="Times New Roman" w:hAnsi="Arial"/>
          <w:bCs/>
          <w:color w:val="000000"/>
          <w:sz w:val="16"/>
          <w:szCs w:val="16"/>
        </w:rPr>
        <w:t xml:space="preserve">: </w:t>
      </w:r>
    </w:p>
    <w:p w14:paraId="493457E6" w14:textId="77777777" w:rsidR="00523A72" w:rsidRDefault="00523A72" w:rsidP="00523A72">
      <w:pPr>
        <w:spacing w:after="0" w:line="240" w:lineRule="auto"/>
        <w:ind w:left="851" w:hanging="131"/>
        <w:rPr>
          <w:rFonts w:ascii="Arial" w:eastAsia="Times New Roman" w:hAnsi="Arial"/>
          <w:bCs/>
          <w:color w:val="000000"/>
          <w:sz w:val="16"/>
          <w:szCs w:val="16"/>
        </w:rPr>
      </w:pPr>
      <w:r>
        <w:rPr>
          <w:rFonts w:ascii="Arial" w:eastAsia="Times New Roman" w:hAnsi="Arial"/>
          <w:bCs/>
          <w:color w:val="000000"/>
          <w:sz w:val="16"/>
          <w:szCs w:val="16"/>
        </w:rPr>
        <w:t xml:space="preserve">MH is defined as DEP-17 6+ in HES 2023-24 and MH-18 7+ in HILS 2024-25.  </w:t>
      </w:r>
    </w:p>
    <w:p w14:paraId="781CF78E" w14:textId="6130048F" w:rsidR="00523A72" w:rsidRDefault="00523A72" w:rsidP="00523A72">
      <w:pPr>
        <w:spacing w:after="0" w:line="240" w:lineRule="auto"/>
        <w:ind w:left="851" w:hanging="131"/>
        <w:rPr>
          <w:rFonts w:ascii="Arial" w:eastAsia="Times New Roman" w:hAnsi="Arial"/>
          <w:bCs/>
          <w:color w:val="000000"/>
          <w:sz w:val="16"/>
          <w:szCs w:val="16"/>
        </w:rPr>
      </w:pPr>
      <w:r>
        <w:rPr>
          <w:rFonts w:ascii="Arial" w:eastAsia="Times New Roman" w:hAnsi="Arial"/>
          <w:bCs/>
          <w:color w:val="000000"/>
          <w:sz w:val="16"/>
          <w:szCs w:val="16"/>
        </w:rPr>
        <w:t>SMH</w:t>
      </w:r>
      <w:r w:rsidR="00A142FE">
        <w:rPr>
          <w:rFonts w:ascii="Arial" w:eastAsia="Times New Roman" w:hAnsi="Arial"/>
          <w:bCs/>
          <w:color w:val="000000"/>
          <w:sz w:val="16"/>
          <w:szCs w:val="16"/>
        </w:rPr>
        <w:t xml:space="preserve"> (severe material hardship)</w:t>
      </w:r>
      <w:r>
        <w:rPr>
          <w:rFonts w:ascii="Arial" w:eastAsia="Times New Roman" w:hAnsi="Arial"/>
          <w:bCs/>
          <w:color w:val="000000"/>
          <w:sz w:val="16"/>
          <w:szCs w:val="16"/>
        </w:rPr>
        <w:t xml:space="preserve"> is defined as DEP-17 9+ in HES 2023-24 and MH-18 10+ in HILS 2024-25.  </w:t>
      </w:r>
    </w:p>
    <w:p w14:paraId="3FF75ADB" w14:textId="06675AF6" w:rsidR="001D5BFC" w:rsidRPr="00B35AEB" w:rsidRDefault="001D5BFC">
      <w:pPr>
        <w:spacing w:after="0" w:line="240" w:lineRule="auto"/>
        <w:rPr>
          <w:rFonts w:ascii="Arial" w:eastAsia="Times New Roman" w:hAnsi="Arial"/>
          <w:b/>
          <w:color w:val="0000FF"/>
          <w:sz w:val="18"/>
          <w:szCs w:val="20"/>
        </w:rPr>
      </w:pPr>
    </w:p>
    <w:p w14:paraId="2F0BCF2D" w14:textId="1762910F" w:rsidR="001F34A9" w:rsidRPr="00391B82" w:rsidRDefault="001F34A9" w:rsidP="001F34A9">
      <w:pPr>
        <w:spacing w:after="0" w:line="240" w:lineRule="auto"/>
        <w:rPr>
          <w:rFonts w:ascii="Arial" w:hAnsi="Arial"/>
          <w:bCs/>
          <w:color w:val="000000" w:themeColor="text1"/>
          <w:szCs w:val="20"/>
        </w:rPr>
      </w:pPr>
      <w:r w:rsidRPr="00391B82">
        <w:rPr>
          <w:rFonts w:ascii="Arial" w:hAnsi="Arial"/>
          <w:bCs/>
          <w:color w:val="000000" w:themeColor="text1"/>
          <w:szCs w:val="20"/>
        </w:rPr>
        <w:t xml:space="preserve">The numbers that immediately </w:t>
      </w:r>
      <w:r w:rsidR="00B22901" w:rsidRPr="00391B82">
        <w:rPr>
          <w:rFonts w:ascii="Arial" w:hAnsi="Arial"/>
          <w:bCs/>
          <w:color w:val="000000" w:themeColor="text1"/>
          <w:szCs w:val="20"/>
        </w:rPr>
        <w:t>stand out</w:t>
      </w:r>
      <w:r w:rsidRPr="00391B82">
        <w:rPr>
          <w:rFonts w:ascii="Arial" w:hAnsi="Arial"/>
          <w:bCs/>
          <w:color w:val="000000" w:themeColor="text1"/>
          <w:szCs w:val="20"/>
        </w:rPr>
        <w:t xml:space="preserve"> are those for the Southern wards</w:t>
      </w:r>
      <w:r w:rsidR="00AA0D41" w:rsidRPr="00391B82">
        <w:rPr>
          <w:rFonts w:ascii="Arial" w:hAnsi="Arial"/>
          <w:bCs/>
          <w:color w:val="000000" w:themeColor="text1"/>
          <w:szCs w:val="20"/>
        </w:rPr>
        <w:t>, albeit they are not surprising given other well-known statistics</w:t>
      </w:r>
      <w:r w:rsidRPr="00391B82">
        <w:rPr>
          <w:rFonts w:ascii="Arial" w:hAnsi="Arial"/>
          <w:bCs/>
          <w:color w:val="000000" w:themeColor="text1"/>
          <w:szCs w:val="20"/>
        </w:rPr>
        <w:t xml:space="preserve">: </w:t>
      </w:r>
    </w:p>
    <w:p w14:paraId="7317B1B5" w14:textId="0A2CBCF5" w:rsidR="001F34A9" w:rsidRPr="00391B82" w:rsidRDefault="0044243F">
      <w:pPr>
        <w:pStyle w:val="ListParagraph"/>
        <w:numPr>
          <w:ilvl w:val="0"/>
          <w:numId w:val="58"/>
        </w:numPr>
        <w:spacing w:before="40" w:after="0" w:line="240" w:lineRule="auto"/>
        <w:ind w:left="714" w:hanging="357"/>
        <w:contextualSpacing w:val="0"/>
        <w:rPr>
          <w:rFonts w:ascii="Arial" w:hAnsi="Arial"/>
          <w:bCs/>
          <w:color w:val="000000" w:themeColor="text1"/>
          <w:szCs w:val="20"/>
        </w:rPr>
      </w:pPr>
      <w:r w:rsidRPr="00391B82">
        <w:rPr>
          <w:rFonts w:ascii="Arial" w:hAnsi="Arial"/>
          <w:bCs/>
          <w:color w:val="000000" w:themeColor="text1"/>
          <w:szCs w:val="20"/>
        </w:rPr>
        <w:t>28</w:t>
      </w:r>
      <w:r w:rsidR="001F34A9" w:rsidRPr="00391B82">
        <w:rPr>
          <w:rFonts w:ascii="Arial" w:hAnsi="Arial"/>
          <w:bCs/>
          <w:color w:val="000000" w:themeColor="text1"/>
          <w:szCs w:val="20"/>
        </w:rPr>
        <w:t>% of children in material hardship compared with a country-wide</w:t>
      </w:r>
      <w:r w:rsidR="00AA0D41" w:rsidRPr="00391B82">
        <w:rPr>
          <w:rFonts w:ascii="Arial" w:hAnsi="Arial"/>
          <w:bCs/>
          <w:color w:val="000000" w:themeColor="text1"/>
          <w:szCs w:val="20"/>
        </w:rPr>
        <w:t xml:space="preserve"> and AKL</w:t>
      </w:r>
      <w:r w:rsidR="001F34A9" w:rsidRPr="00391B82">
        <w:rPr>
          <w:rFonts w:ascii="Arial" w:hAnsi="Arial"/>
          <w:bCs/>
          <w:color w:val="000000" w:themeColor="text1"/>
          <w:szCs w:val="20"/>
        </w:rPr>
        <w:t xml:space="preserve"> figure of 1</w:t>
      </w:r>
      <w:r w:rsidRPr="00391B82">
        <w:rPr>
          <w:rFonts w:ascii="Arial" w:hAnsi="Arial"/>
          <w:bCs/>
          <w:color w:val="000000" w:themeColor="text1"/>
          <w:szCs w:val="20"/>
        </w:rPr>
        <w:t>4-15</w:t>
      </w:r>
      <w:r w:rsidR="001F34A9" w:rsidRPr="00391B82">
        <w:rPr>
          <w:rFonts w:ascii="Arial" w:hAnsi="Arial"/>
          <w:bCs/>
          <w:color w:val="000000" w:themeColor="text1"/>
          <w:szCs w:val="20"/>
        </w:rPr>
        <w:t xml:space="preserve">% </w:t>
      </w:r>
    </w:p>
    <w:p w14:paraId="6F096E14" w14:textId="176D18DF" w:rsidR="001F34A9" w:rsidRPr="00391B82" w:rsidRDefault="001F34A9">
      <w:pPr>
        <w:pStyle w:val="ListParagraph"/>
        <w:numPr>
          <w:ilvl w:val="0"/>
          <w:numId w:val="58"/>
        </w:numPr>
        <w:spacing w:before="40" w:after="0" w:line="240" w:lineRule="auto"/>
        <w:ind w:left="714" w:hanging="357"/>
        <w:contextualSpacing w:val="0"/>
        <w:rPr>
          <w:rFonts w:ascii="Arial" w:hAnsi="Arial"/>
          <w:bCs/>
          <w:color w:val="000000" w:themeColor="text1"/>
          <w:szCs w:val="20"/>
        </w:rPr>
      </w:pPr>
      <w:r w:rsidRPr="00391B82">
        <w:rPr>
          <w:rFonts w:ascii="Arial" w:hAnsi="Arial"/>
          <w:bCs/>
          <w:color w:val="000000" w:themeColor="text1"/>
          <w:szCs w:val="20"/>
        </w:rPr>
        <w:t>1</w:t>
      </w:r>
      <w:r w:rsidR="0044243F" w:rsidRPr="00391B82">
        <w:rPr>
          <w:rFonts w:ascii="Arial" w:hAnsi="Arial"/>
          <w:bCs/>
          <w:color w:val="000000" w:themeColor="text1"/>
          <w:szCs w:val="20"/>
        </w:rPr>
        <w:t>2</w:t>
      </w:r>
      <w:r w:rsidRPr="00391B82">
        <w:rPr>
          <w:rFonts w:ascii="Arial" w:hAnsi="Arial"/>
          <w:bCs/>
          <w:color w:val="000000" w:themeColor="text1"/>
          <w:szCs w:val="20"/>
        </w:rPr>
        <w:t xml:space="preserve">% in severe material hardship compared with </w:t>
      </w:r>
      <w:r w:rsidR="00AA0D41" w:rsidRPr="00391B82">
        <w:rPr>
          <w:rFonts w:ascii="Arial" w:hAnsi="Arial"/>
          <w:bCs/>
          <w:color w:val="000000" w:themeColor="text1"/>
          <w:szCs w:val="20"/>
        </w:rPr>
        <w:t>6</w:t>
      </w:r>
      <w:r w:rsidRPr="00391B82">
        <w:rPr>
          <w:rFonts w:ascii="Arial" w:hAnsi="Arial"/>
          <w:bCs/>
          <w:color w:val="000000" w:themeColor="text1"/>
          <w:szCs w:val="20"/>
        </w:rPr>
        <w:t>% country-wide</w:t>
      </w:r>
      <w:r w:rsidR="00AA0D41" w:rsidRPr="00391B82">
        <w:rPr>
          <w:rFonts w:ascii="Arial" w:hAnsi="Arial"/>
          <w:bCs/>
          <w:color w:val="000000" w:themeColor="text1"/>
          <w:szCs w:val="20"/>
        </w:rPr>
        <w:t xml:space="preserve"> and 7% for AKL</w:t>
      </w:r>
    </w:p>
    <w:p w14:paraId="57D0E2E2" w14:textId="2AC58A4F" w:rsidR="001F34A9" w:rsidRPr="00391B82" w:rsidRDefault="000F2255">
      <w:pPr>
        <w:pStyle w:val="ListParagraph"/>
        <w:numPr>
          <w:ilvl w:val="0"/>
          <w:numId w:val="58"/>
        </w:numPr>
        <w:spacing w:before="40" w:after="0" w:line="240" w:lineRule="auto"/>
        <w:ind w:left="714" w:hanging="357"/>
        <w:contextualSpacing w:val="0"/>
        <w:rPr>
          <w:rFonts w:ascii="Arial" w:hAnsi="Arial"/>
          <w:bCs/>
          <w:color w:val="000000" w:themeColor="text1"/>
          <w:szCs w:val="20"/>
        </w:rPr>
      </w:pPr>
      <w:r w:rsidRPr="00391B82">
        <w:rPr>
          <w:rFonts w:ascii="Arial" w:hAnsi="Arial"/>
          <w:bCs/>
          <w:color w:val="000000" w:themeColor="text1"/>
          <w:szCs w:val="20"/>
        </w:rPr>
        <w:t>2</w:t>
      </w:r>
      <w:r w:rsidR="0044243F" w:rsidRPr="00391B82">
        <w:rPr>
          <w:rFonts w:ascii="Arial" w:hAnsi="Arial"/>
          <w:bCs/>
          <w:color w:val="000000" w:themeColor="text1"/>
          <w:szCs w:val="20"/>
        </w:rPr>
        <w:t>3</w:t>
      </w:r>
      <w:r w:rsidR="001F34A9" w:rsidRPr="00391B82">
        <w:rPr>
          <w:rFonts w:ascii="Arial" w:hAnsi="Arial"/>
          <w:bCs/>
          <w:color w:val="000000" w:themeColor="text1"/>
          <w:szCs w:val="20"/>
        </w:rPr>
        <w:t>% of children in households using a foodbank at least once in the 12 months prior to interview, compared with 1</w:t>
      </w:r>
      <w:r w:rsidRPr="00391B82">
        <w:rPr>
          <w:rFonts w:ascii="Arial" w:hAnsi="Arial"/>
          <w:bCs/>
          <w:color w:val="000000" w:themeColor="text1"/>
          <w:szCs w:val="20"/>
        </w:rPr>
        <w:t>2</w:t>
      </w:r>
      <w:r w:rsidR="001F34A9" w:rsidRPr="00391B82">
        <w:rPr>
          <w:rFonts w:ascii="Arial" w:hAnsi="Arial"/>
          <w:bCs/>
          <w:color w:val="000000" w:themeColor="text1"/>
          <w:szCs w:val="20"/>
        </w:rPr>
        <w:t>% country-wide.</w:t>
      </w:r>
    </w:p>
    <w:p w14:paraId="039CEE6B" w14:textId="77777777" w:rsidR="001F34A9" w:rsidRPr="00B35AEB" w:rsidRDefault="001F34A9" w:rsidP="001F34A9">
      <w:pPr>
        <w:spacing w:after="0" w:line="240" w:lineRule="auto"/>
        <w:rPr>
          <w:rFonts w:ascii="Arial" w:hAnsi="Arial"/>
          <w:bCs/>
          <w:color w:val="0000FF"/>
          <w:szCs w:val="20"/>
        </w:rPr>
      </w:pPr>
    </w:p>
    <w:p w14:paraId="36732B14" w14:textId="77777777" w:rsidR="001F34A9" w:rsidRPr="00391B82" w:rsidRDefault="001F34A9" w:rsidP="001F34A9">
      <w:pPr>
        <w:spacing w:after="60" w:line="240" w:lineRule="auto"/>
        <w:rPr>
          <w:rFonts w:ascii="Arial" w:hAnsi="Arial"/>
          <w:color w:val="000000" w:themeColor="text1"/>
        </w:rPr>
      </w:pPr>
      <w:r w:rsidRPr="00391B82">
        <w:rPr>
          <w:rFonts w:ascii="Arial" w:hAnsi="Arial"/>
          <w:color w:val="000000" w:themeColor="text1"/>
        </w:rPr>
        <w:t xml:space="preserve">Looking at the figures another way, children (under-18s) living in the Southern wards make up: </w:t>
      </w:r>
    </w:p>
    <w:p w14:paraId="7B487E8C" w14:textId="491C579E" w:rsidR="001F34A9" w:rsidRPr="00391B82" w:rsidRDefault="000F2255">
      <w:pPr>
        <w:pStyle w:val="ListParagraph"/>
        <w:numPr>
          <w:ilvl w:val="0"/>
          <w:numId w:val="57"/>
        </w:numPr>
        <w:spacing w:before="40" w:after="0" w:line="240" w:lineRule="auto"/>
        <w:ind w:left="709" w:hanging="357"/>
        <w:contextualSpacing w:val="0"/>
        <w:rPr>
          <w:rFonts w:ascii="Arial" w:eastAsia="Times New Roman" w:hAnsi="Arial"/>
          <w:color w:val="000000" w:themeColor="text1"/>
        </w:rPr>
      </w:pPr>
      <w:r w:rsidRPr="00391B82">
        <w:rPr>
          <w:rFonts w:ascii="Arial" w:eastAsia="Times New Roman" w:hAnsi="Arial"/>
          <w:color w:val="000000" w:themeColor="text1"/>
        </w:rPr>
        <w:t>2</w:t>
      </w:r>
      <w:r w:rsidR="00391B82" w:rsidRPr="00391B82">
        <w:rPr>
          <w:rFonts w:ascii="Arial" w:eastAsia="Times New Roman" w:hAnsi="Arial"/>
          <w:color w:val="000000" w:themeColor="text1"/>
        </w:rPr>
        <w:t>3</w:t>
      </w:r>
      <w:r w:rsidR="001F34A9" w:rsidRPr="00391B82">
        <w:rPr>
          <w:rFonts w:ascii="Arial" w:eastAsia="Times New Roman" w:hAnsi="Arial"/>
          <w:color w:val="000000" w:themeColor="text1"/>
        </w:rPr>
        <w:t xml:space="preserve">% of Auckland’s under-18 population but </w:t>
      </w:r>
      <w:r w:rsidR="00B22901" w:rsidRPr="00391B82">
        <w:rPr>
          <w:rFonts w:ascii="Arial" w:eastAsia="Times New Roman" w:hAnsi="Arial"/>
          <w:color w:val="000000" w:themeColor="text1"/>
        </w:rPr>
        <w:t>4</w:t>
      </w:r>
      <w:r w:rsidR="00391B82" w:rsidRPr="00391B82">
        <w:rPr>
          <w:rFonts w:ascii="Arial" w:eastAsia="Times New Roman" w:hAnsi="Arial"/>
          <w:color w:val="000000" w:themeColor="text1"/>
        </w:rPr>
        <w:t>4</w:t>
      </w:r>
      <w:r w:rsidR="001F34A9" w:rsidRPr="00391B82">
        <w:rPr>
          <w:rFonts w:ascii="Arial" w:eastAsia="Times New Roman" w:hAnsi="Arial"/>
          <w:color w:val="000000" w:themeColor="text1"/>
        </w:rPr>
        <w:t xml:space="preserve">% of under-18 Aucklanders in material hardship </w:t>
      </w:r>
    </w:p>
    <w:p w14:paraId="272BAA5C" w14:textId="7B50E3D2" w:rsidR="001F34A9" w:rsidRPr="00391B82" w:rsidRDefault="00391B82">
      <w:pPr>
        <w:pStyle w:val="ListParagraph"/>
        <w:numPr>
          <w:ilvl w:val="0"/>
          <w:numId w:val="57"/>
        </w:numPr>
        <w:spacing w:before="40" w:after="0" w:line="240" w:lineRule="auto"/>
        <w:ind w:left="709" w:hanging="357"/>
        <w:contextualSpacing w:val="0"/>
        <w:rPr>
          <w:rFonts w:ascii="Arial" w:eastAsia="Times New Roman" w:hAnsi="Arial"/>
          <w:color w:val="000000" w:themeColor="text1"/>
        </w:rPr>
      </w:pPr>
      <w:r w:rsidRPr="00391B82">
        <w:rPr>
          <w:rFonts w:ascii="Arial" w:eastAsia="Times New Roman" w:hAnsi="Arial"/>
          <w:color w:val="000000" w:themeColor="text1"/>
        </w:rPr>
        <w:t>8</w:t>
      </w:r>
      <w:r w:rsidR="001F34A9" w:rsidRPr="00391B82">
        <w:rPr>
          <w:rFonts w:ascii="Arial" w:eastAsia="Times New Roman" w:hAnsi="Arial"/>
          <w:color w:val="000000" w:themeColor="text1"/>
        </w:rPr>
        <w:t xml:space="preserve">% of the country’s under-18s, but </w:t>
      </w:r>
      <w:r w:rsidR="00B22901" w:rsidRPr="00391B82">
        <w:rPr>
          <w:rFonts w:ascii="Arial" w:eastAsia="Times New Roman" w:hAnsi="Arial"/>
          <w:color w:val="000000" w:themeColor="text1"/>
        </w:rPr>
        <w:t>1</w:t>
      </w:r>
      <w:r w:rsidRPr="00391B82">
        <w:rPr>
          <w:rFonts w:ascii="Arial" w:eastAsia="Times New Roman" w:hAnsi="Arial"/>
          <w:color w:val="000000" w:themeColor="text1"/>
        </w:rPr>
        <w:t>6</w:t>
      </w:r>
      <w:r w:rsidR="001F34A9" w:rsidRPr="00391B82">
        <w:rPr>
          <w:rFonts w:ascii="Arial" w:eastAsia="Times New Roman" w:hAnsi="Arial"/>
          <w:color w:val="000000" w:themeColor="text1"/>
        </w:rPr>
        <w:t>% of all under-18s in material hardship.</w:t>
      </w:r>
    </w:p>
    <w:p w14:paraId="51335BAB" w14:textId="77777777" w:rsidR="001F34A9" w:rsidRPr="00B35AEB" w:rsidRDefault="001F34A9" w:rsidP="001F34A9">
      <w:pPr>
        <w:spacing w:after="0" w:line="240" w:lineRule="auto"/>
        <w:rPr>
          <w:rFonts w:ascii="Arial" w:eastAsia="Times New Roman" w:hAnsi="Arial"/>
          <w:color w:val="0000FF"/>
        </w:rPr>
      </w:pPr>
    </w:p>
    <w:p w14:paraId="42892BC7" w14:textId="77777777" w:rsidR="00DA090C" w:rsidRDefault="00DA090C" w:rsidP="001F34A9">
      <w:pPr>
        <w:spacing w:after="0" w:line="240" w:lineRule="auto"/>
        <w:rPr>
          <w:rFonts w:ascii="Arial" w:eastAsia="Times New Roman" w:hAnsi="Arial"/>
          <w:b/>
          <w:bCs/>
          <w:color w:val="0000FF"/>
          <w:highlight w:val="yellow"/>
        </w:rPr>
      </w:pPr>
    </w:p>
    <w:p w14:paraId="67D3DA47" w14:textId="77777777" w:rsidR="00DA090C" w:rsidRDefault="00DA090C" w:rsidP="001F34A9">
      <w:pPr>
        <w:spacing w:after="0" w:line="240" w:lineRule="auto"/>
        <w:rPr>
          <w:rFonts w:ascii="Arial" w:eastAsia="Times New Roman" w:hAnsi="Arial"/>
          <w:b/>
          <w:bCs/>
          <w:color w:val="0000FF"/>
          <w:highlight w:val="yellow"/>
        </w:rPr>
      </w:pPr>
    </w:p>
    <w:p w14:paraId="5C515E09" w14:textId="77777777" w:rsidR="00005466" w:rsidRDefault="00005466" w:rsidP="008C4CEE">
      <w:pPr>
        <w:spacing w:line="240" w:lineRule="auto"/>
        <w:rPr>
          <w:rFonts w:ascii="Arial" w:hAnsi="Arial"/>
          <w:b/>
          <w:bCs/>
          <w:color w:val="000000" w:themeColor="text1"/>
          <w:sz w:val="22"/>
        </w:rPr>
      </w:pPr>
    </w:p>
    <w:p w14:paraId="1E7CC860" w14:textId="77777777" w:rsidR="009A3442" w:rsidRDefault="009A3442">
      <w:pPr>
        <w:spacing w:after="0" w:line="240" w:lineRule="auto"/>
        <w:rPr>
          <w:rFonts w:ascii="Arial" w:hAnsi="Arial"/>
          <w:b/>
          <w:color w:val="0000FF"/>
          <w:szCs w:val="20"/>
        </w:rPr>
      </w:pPr>
      <w:r>
        <w:rPr>
          <w:rFonts w:ascii="Arial" w:hAnsi="Arial"/>
          <w:b/>
          <w:color w:val="0000FF"/>
          <w:szCs w:val="20"/>
        </w:rPr>
        <w:br w:type="page"/>
      </w:r>
    </w:p>
    <w:p w14:paraId="025D79B3" w14:textId="3B7EC93A" w:rsidR="00215B09" w:rsidRPr="00EF0532" w:rsidRDefault="00215B09" w:rsidP="00215B09">
      <w:pPr>
        <w:spacing w:after="0" w:line="240" w:lineRule="auto"/>
        <w:rPr>
          <w:rFonts w:ascii="Arial" w:hAnsi="Arial"/>
          <w:b/>
          <w:color w:val="000000" w:themeColor="text1"/>
          <w:szCs w:val="20"/>
        </w:rPr>
      </w:pPr>
      <w:r w:rsidRPr="00EF0532">
        <w:rPr>
          <w:rFonts w:ascii="Arial" w:hAnsi="Arial"/>
          <w:b/>
          <w:color w:val="000000" w:themeColor="text1"/>
          <w:szCs w:val="20"/>
        </w:rPr>
        <w:lastRenderedPageBreak/>
        <w:t>Material hardship depth and socio-economic statu</w:t>
      </w:r>
      <w:r w:rsidR="00B72414">
        <w:rPr>
          <w:rFonts w:ascii="Arial" w:hAnsi="Arial"/>
          <w:b/>
          <w:color w:val="000000" w:themeColor="text1"/>
          <w:szCs w:val="20"/>
        </w:rPr>
        <w:t>s</w:t>
      </w:r>
    </w:p>
    <w:p w14:paraId="57128A7D" w14:textId="77777777" w:rsidR="00215B09" w:rsidRPr="00EF0532" w:rsidRDefault="00215B09" w:rsidP="00215B09">
      <w:pPr>
        <w:spacing w:after="0" w:line="240" w:lineRule="auto"/>
        <w:rPr>
          <w:rFonts w:ascii="Arial" w:hAnsi="Arial"/>
          <w:bCs/>
          <w:color w:val="000000" w:themeColor="text1"/>
          <w:szCs w:val="20"/>
          <w:u w:val="single"/>
        </w:rPr>
      </w:pPr>
    </w:p>
    <w:p w14:paraId="7D57BBAB" w14:textId="77777777" w:rsidR="00215B09" w:rsidRPr="00EF0532" w:rsidRDefault="00215B09" w:rsidP="00B72414">
      <w:pPr>
        <w:spacing w:after="0" w:line="240" w:lineRule="auto"/>
        <w:rPr>
          <w:rFonts w:ascii="Arial" w:hAnsi="Arial"/>
          <w:color w:val="000000" w:themeColor="text1"/>
          <w:szCs w:val="20"/>
          <w:highlight w:val="yellow"/>
        </w:rPr>
      </w:pPr>
      <w:r w:rsidRPr="00EF0532">
        <w:rPr>
          <w:rFonts w:ascii="Arial" w:hAnsi="Arial"/>
          <w:bCs/>
          <w:color w:val="000000" w:themeColor="text1"/>
          <w:szCs w:val="20"/>
          <w:u w:val="single"/>
        </w:rPr>
        <w:t>NZDep</w:t>
      </w:r>
      <w:r w:rsidRPr="00EF0532">
        <w:rPr>
          <w:rFonts w:ascii="Arial" w:hAnsi="Arial"/>
          <w:bCs/>
          <w:color w:val="000000" w:themeColor="text1"/>
          <w:szCs w:val="20"/>
        </w:rPr>
        <w:t xml:space="preserve"> is a</w:t>
      </w:r>
      <w:r w:rsidRPr="00EF0532">
        <w:rPr>
          <w:rFonts w:ascii="Arial" w:hAnsi="Arial"/>
          <w:color w:val="000000" w:themeColor="text1"/>
          <w:szCs w:val="20"/>
        </w:rPr>
        <w:t xml:space="preserve"> socio-economic deprivation index that </w:t>
      </w:r>
      <w:r w:rsidRPr="00EF0532">
        <w:rPr>
          <w:rFonts w:ascii="Arial" w:hAnsi="Arial"/>
          <w:color w:val="000000" w:themeColor="text1"/>
          <w:szCs w:val="20"/>
          <w:shd w:val="clear" w:color="auto" w:fill="FFFFFF"/>
        </w:rPr>
        <w:t>combines census data relating to income, home ownership, employment, qualifications, family structure, housing, access to transport and communications. NZDep provides a deprivation score for each meshblock in New Zealand (typically 60-110 people in each). It is not a household-based measure. </w:t>
      </w:r>
    </w:p>
    <w:p w14:paraId="29C7934C" w14:textId="77777777" w:rsidR="00215B09" w:rsidRPr="00EF0532" w:rsidRDefault="00215B09" w:rsidP="00B72414">
      <w:pPr>
        <w:spacing w:after="0" w:line="240" w:lineRule="auto"/>
        <w:rPr>
          <w:rFonts w:ascii="Arial" w:hAnsi="Arial"/>
          <w:b/>
          <w:color w:val="000000" w:themeColor="text1"/>
          <w:szCs w:val="20"/>
        </w:rPr>
      </w:pPr>
    </w:p>
    <w:p w14:paraId="1B8F2EE3" w14:textId="0D9684C7" w:rsidR="00B72414" w:rsidRPr="00B72414" w:rsidRDefault="00215B09" w:rsidP="00B72414">
      <w:pPr>
        <w:spacing w:after="60" w:line="240" w:lineRule="auto"/>
        <w:mirrorIndents/>
        <w:rPr>
          <w:rFonts w:ascii="Arial" w:hAnsi="Arial"/>
          <w:bCs/>
          <w:color w:val="000000" w:themeColor="text1"/>
          <w:szCs w:val="20"/>
        </w:rPr>
      </w:pPr>
      <w:r w:rsidRPr="00B44BB9">
        <w:rPr>
          <w:rFonts w:ascii="Arial" w:hAnsi="Arial"/>
          <w:b/>
          <w:color w:val="000000" w:themeColor="text1"/>
          <w:szCs w:val="20"/>
        </w:rPr>
        <w:t xml:space="preserve">Table </w:t>
      </w:r>
      <w:r w:rsidR="009A3442" w:rsidRPr="00B44BB9">
        <w:rPr>
          <w:rFonts w:ascii="Arial" w:hAnsi="Arial"/>
          <w:b/>
          <w:color w:val="000000" w:themeColor="text1"/>
          <w:szCs w:val="20"/>
        </w:rPr>
        <w:t>E</w:t>
      </w:r>
      <w:r w:rsidRPr="00B44BB9">
        <w:rPr>
          <w:rFonts w:ascii="Arial" w:hAnsi="Arial"/>
          <w:b/>
          <w:color w:val="000000" w:themeColor="text1"/>
          <w:szCs w:val="20"/>
        </w:rPr>
        <w:t>.</w:t>
      </w:r>
      <w:r w:rsidR="00005466" w:rsidRPr="00B44BB9">
        <w:rPr>
          <w:rFonts w:ascii="Arial" w:hAnsi="Arial"/>
          <w:b/>
          <w:color w:val="000000" w:themeColor="text1"/>
          <w:szCs w:val="20"/>
        </w:rPr>
        <w:t>10</w:t>
      </w:r>
      <w:r w:rsidRPr="00B44BB9">
        <w:rPr>
          <w:rFonts w:ascii="Arial" w:hAnsi="Arial"/>
          <w:bCs/>
          <w:color w:val="000000" w:themeColor="text1"/>
          <w:szCs w:val="20"/>
        </w:rPr>
        <w:t xml:space="preserve"> reports the hardship rates and composition analysis by NZDep quintile</w:t>
      </w:r>
      <w:r w:rsidR="00B44BB9" w:rsidRPr="00B44BB9">
        <w:rPr>
          <w:rFonts w:ascii="Arial" w:hAnsi="Arial"/>
          <w:bCs/>
          <w:color w:val="000000" w:themeColor="text1"/>
          <w:szCs w:val="20"/>
        </w:rPr>
        <w:t>:</w:t>
      </w:r>
    </w:p>
    <w:p w14:paraId="564B60BC" w14:textId="28E16B90" w:rsidR="007964DD" w:rsidRPr="00B44BB9" w:rsidRDefault="007964DD">
      <w:pPr>
        <w:pStyle w:val="ListParagraph"/>
        <w:numPr>
          <w:ilvl w:val="0"/>
          <w:numId w:val="89"/>
        </w:numPr>
        <w:spacing w:after="60" w:line="240" w:lineRule="auto"/>
        <w:ind w:left="426" w:hanging="283"/>
        <w:contextualSpacing w:val="0"/>
        <w:mirrorIndents/>
        <w:rPr>
          <w:rFonts w:ascii="Arial" w:hAnsi="Arial"/>
          <w:bCs/>
          <w:color w:val="000000" w:themeColor="text1"/>
          <w:szCs w:val="20"/>
        </w:rPr>
      </w:pPr>
      <w:r w:rsidRPr="00B44BB9">
        <w:rPr>
          <w:rFonts w:ascii="Arial" w:hAnsi="Arial"/>
          <w:bCs/>
          <w:color w:val="000000" w:themeColor="text1"/>
          <w:szCs w:val="20"/>
        </w:rPr>
        <w:t xml:space="preserve">Half of </w:t>
      </w:r>
      <w:r w:rsidR="00B72414">
        <w:rPr>
          <w:rFonts w:ascii="Arial" w:hAnsi="Arial"/>
          <w:bCs/>
          <w:color w:val="000000" w:themeColor="text1"/>
          <w:szCs w:val="20"/>
        </w:rPr>
        <w:t>children</w:t>
      </w:r>
      <w:r w:rsidRPr="00B44BB9">
        <w:rPr>
          <w:rFonts w:ascii="Arial" w:hAnsi="Arial"/>
          <w:bCs/>
          <w:color w:val="000000" w:themeColor="text1"/>
          <w:szCs w:val="20"/>
        </w:rPr>
        <w:t xml:space="preserve"> in MH and 60% of </w:t>
      </w:r>
      <w:r w:rsidR="00B72414">
        <w:rPr>
          <w:rFonts w:ascii="Arial" w:hAnsi="Arial"/>
          <w:bCs/>
          <w:color w:val="000000" w:themeColor="text1"/>
          <w:szCs w:val="20"/>
        </w:rPr>
        <w:t>children</w:t>
      </w:r>
      <w:r w:rsidRPr="00B44BB9">
        <w:rPr>
          <w:rFonts w:ascii="Arial" w:hAnsi="Arial"/>
          <w:bCs/>
          <w:color w:val="000000" w:themeColor="text1"/>
          <w:szCs w:val="20"/>
        </w:rPr>
        <w:t xml:space="preserve"> in SMH live in the most deprived NZDep quintile</w:t>
      </w:r>
    </w:p>
    <w:p w14:paraId="7D85A4B1" w14:textId="3B4B665A" w:rsidR="007964DD" w:rsidRPr="00B72414" w:rsidRDefault="007964DD">
      <w:pPr>
        <w:pStyle w:val="ListParagraph"/>
        <w:numPr>
          <w:ilvl w:val="0"/>
          <w:numId w:val="89"/>
        </w:numPr>
        <w:spacing w:before="60" w:after="0" w:line="240" w:lineRule="auto"/>
        <w:ind w:left="426" w:hanging="283"/>
        <w:contextualSpacing w:val="0"/>
        <w:mirrorIndents/>
        <w:rPr>
          <w:rFonts w:ascii="Arial" w:hAnsi="Arial"/>
          <w:bCs/>
          <w:color w:val="000000" w:themeColor="text1"/>
          <w:szCs w:val="20"/>
        </w:rPr>
      </w:pPr>
      <w:r w:rsidRPr="00B72414">
        <w:rPr>
          <w:rFonts w:ascii="Arial" w:hAnsi="Arial"/>
          <w:bCs/>
          <w:color w:val="000000" w:themeColor="text1"/>
          <w:szCs w:val="20"/>
        </w:rPr>
        <w:t xml:space="preserve">Three quarters of </w:t>
      </w:r>
      <w:r w:rsidR="00B72414" w:rsidRPr="00B72414">
        <w:rPr>
          <w:rFonts w:ascii="Arial" w:hAnsi="Arial"/>
          <w:bCs/>
          <w:color w:val="000000" w:themeColor="text1"/>
          <w:szCs w:val="20"/>
        </w:rPr>
        <w:t>children</w:t>
      </w:r>
      <w:r w:rsidRPr="00B72414">
        <w:rPr>
          <w:rFonts w:ascii="Arial" w:hAnsi="Arial"/>
          <w:bCs/>
          <w:color w:val="000000" w:themeColor="text1"/>
          <w:szCs w:val="20"/>
        </w:rPr>
        <w:t xml:space="preserve"> in MH and 80% of </w:t>
      </w:r>
      <w:r w:rsidR="00B72414" w:rsidRPr="00B72414">
        <w:rPr>
          <w:rFonts w:ascii="Arial" w:hAnsi="Arial"/>
          <w:bCs/>
          <w:color w:val="000000" w:themeColor="text1"/>
          <w:szCs w:val="20"/>
        </w:rPr>
        <w:t>children</w:t>
      </w:r>
      <w:r w:rsidRPr="00B72414">
        <w:rPr>
          <w:rFonts w:ascii="Arial" w:hAnsi="Arial"/>
          <w:bCs/>
          <w:color w:val="000000" w:themeColor="text1"/>
          <w:szCs w:val="20"/>
        </w:rPr>
        <w:t xml:space="preserve"> in SMH live in the two most deprived NZDep quintiles</w:t>
      </w:r>
      <w:r w:rsidR="00B72414" w:rsidRPr="00B72414">
        <w:rPr>
          <w:rFonts w:ascii="Arial" w:hAnsi="Arial"/>
          <w:bCs/>
          <w:color w:val="000000" w:themeColor="text1"/>
          <w:szCs w:val="20"/>
        </w:rPr>
        <w:t>.</w:t>
      </w:r>
    </w:p>
    <w:p w14:paraId="05DCC57B" w14:textId="77777777" w:rsidR="00EF0532" w:rsidRPr="00FC1D4F" w:rsidRDefault="00EF0532" w:rsidP="00EF0532">
      <w:pPr>
        <w:spacing w:after="0" w:line="240" w:lineRule="auto"/>
        <w:ind w:right="-44"/>
        <w:jc w:val="center"/>
        <w:rPr>
          <w:rFonts w:ascii="Arial" w:eastAsia="Times New Roman" w:hAnsi="Arial"/>
          <w:b/>
          <w:color w:val="000000" w:themeColor="text1"/>
          <w:sz w:val="18"/>
          <w:szCs w:val="18"/>
        </w:rPr>
      </w:pPr>
    </w:p>
    <w:p w14:paraId="346C89FF" w14:textId="383492DF" w:rsidR="00EF0532" w:rsidRPr="00A80AB8" w:rsidRDefault="00EF0532" w:rsidP="00EF0532">
      <w:pPr>
        <w:spacing w:after="0" w:line="240" w:lineRule="auto"/>
        <w:ind w:right="-44"/>
        <w:jc w:val="center"/>
        <w:rPr>
          <w:rFonts w:ascii="Arial" w:eastAsia="Times New Roman" w:hAnsi="Arial"/>
          <w:bCs/>
          <w:color w:val="FF0000"/>
          <w:sz w:val="18"/>
          <w:szCs w:val="18"/>
        </w:rPr>
      </w:pPr>
      <w:r>
        <w:rPr>
          <w:rFonts w:ascii="Arial" w:eastAsia="Times New Roman" w:hAnsi="Arial"/>
          <w:b/>
          <w:color w:val="000000"/>
          <w:sz w:val="18"/>
          <w:szCs w:val="18"/>
        </w:rPr>
        <w:t>Table E.10</w:t>
      </w:r>
    </w:p>
    <w:p w14:paraId="42F6C7FD" w14:textId="3FEE3359" w:rsidR="00EF0532" w:rsidRPr="00C2206C" w:rsidRDefault="0084040E" w:rsidP="00EF0532">
      <w:pPr>
        <w:spacing w:after="0" w:line="240" w:lineRule="auto"/>
        <w:ind w:right="-44"/>
        <w:jc w:val="center"/>
        <w:rPr>
          <w:rFonts w:ascii="Arial" w:eastAsia="Times New Roman" w:hAnsi="Arial" w:cs="Times New Roman"/>
          <w:b/>
          <w:bCs/>
          <w:color w:val="000000"/>
          <w:sz w:val="18"/>
          <w:szCs w:val="18"/>
          <w:lang w:eastAsia="en-NZ"/>
        </w:rPr>
      </w:pPr>
      <w:r>
        <w:rPr>
          <w:rFonts w:ascii="Arial" w:eastAsia="Times New Roman" w:hAnsi="Arial" w:cs="Times New Roman"/>
          <w:b/>
          <w:bCs/>
          <w:color w:val="000000"/>
          <w:sz w:val="18"/>
          <w:szCs w:val="18"/>
          <w:lang w:eastAsia="en-NZ"/>
        </w:rPr>
        <w:t>Distribution of children (0 -17 years)</w:t>
      </w:r>
      <w:r w:rsidR="00EF0532" w:rsidRPr="00C2206C">
        <w:rPr>
          <w:rFonts w:ascii="Arial" w:eastAsia="Times New Roman" w:hAnsi="Arial" w:cs="Times New Roman"/>
          <w:b/>
          <w:bCs/>
          <w:color w:val="000000"/>
          <w:sz w:val="18"/>
          <w:szCs w:val="18"/>
          <w:lang w:eastAsia="en-NZ"/>
        </w:rPr>
        <w:t xml:space="preserve"> </w:t>
      </w:r>
      <w:r>
        <w:rPr>
          <w:rFonts w:ascii="Arial" w:eastAsia="Times New Roman" w:hAnsi="Arial" w:cs="Times New Roman"/>
          <w:b/>
          <w:bCs/>
          <w:color w:val="000000"/>
          <w:sz w:val="18"/>
          <w:szCs w:val="18"/>
          <w:lang w:eastAsia="en-NZ"/>
        </w:rPr>
        <w:t>in various levels of MH across NZDep quintiles:</w:t>
      </w:r>
    </w:p>
    <w:p w14:paraId="10631246" w14:textId="0C932F21" w:rsidR="00EF0532" w:rsidRDefault="0084040E" w:rsidP="00FC1D4F">
      <w:pPr>
        <w:spacing w:line="240" w:lineRule="auto"/>
        <w:jc w:val="center"/>
        <w:rPr>
          <w:rFonts w:ascii="Arial" w:eastAsia="Times New Roman" w:hAnsi="Arial" w:cs="Times New Roman"/>
          <w:b/>
          <w:bCs/>
          <w:color w:val="000000"/>
          <w:sz w:val="18"/>
          <w:szCs w:val="18"/>
          <w:lang w:eastAsia="en-NZ"/>
        </w:rPr>
      </w:pPr>
      <w:r>
        <w:rPr>
          <w:rFonts w:ascii="Arial" w:eastAsia="Times New Roman" w:hAnsi="Arial" w:cs="Times New Roman"/>
          <w:b/>
          <w:bCs/>
          <w:color w:val="000000"/>
          <w:sz w:val="18"/>
          <w:szCs w:val="18"/>
          <w:lang w:eastAsia="en-NZ"/>
        </w:rPr>
        <w:t>MH-18 index,</w:t>
      </w:r>
      <w:r w:rsidR="00EF0532" w:rsidRPr="00C2206C">
        <w:rPr>
          <w:rFonts w:ascii="Arial" w:eastAsia="Times New Roman" w:hAnsi="Arial" w:cs="Times New Roman"/>
          <w:b/>
          <w:bCs/>
          <w:color w:val="000000"/>
          <w:sz w:val="18"/>
          <w:szCs w:val="18"/>
          <w:lang w:eastAsia="en-NZ"/>
        </w:rPr>
        <w:t xml:space="preserve"> H</w:t>
      </w:r>
      <w:r w:rsidR="00EF0532">
        <w:rPr>
          <w:rFonts w:ascii="Arial" w:eastAsia="Times New Roman" w:hAnsi="Arial" w:cs="Times New Roman"/>
          <w:b/>
          <w:bCs/>
          <w:color w:val="000000"/>
          <w:sz w:val="18"/>
          <w:szCs w:val="18"/>
          <w:lang w:eastAsia="en-NZ"/>
        </w:rPr>
        <w:t>IL</w:t>
      </w:r>
      <w:r w:rsidR="00EF0532" w:rsidRPr="00C2206C">
        <w:rPr>
          <w:rFonts w:ascii="Arial" w:eastAsia="Times New Roman" w:hAnsi="Arial" w:cs="Times New Roman"/>
          <w:b/>
          <w:bCs/>
          <w:color w:val="000000"/>
          <w:sz w:val="18"/>
          <w:szCs w:val="18"/>
          <w:lang w:eastAsia="en-NZ"/>
        </w:rPr>
        <w:t>S 20</w:t>
      </w:r>
      <w:r w:rsidR="00EF0532">
        <w:rPr>
          <w:rFonts w:ascii="Arial" w:eastAsia="Times New Roman" w:hAnsi="Arial" w:cs="Times New Roman"/>
          <w:b/>
          <w:bCs/>
          <w:color w:val="000000"/>
          <w:sz w:val="18"/>
          <w:szCs w:val="18"/>
          <w:lang w:eastAsia="en-NZ"/>
        </w:rPr>
        <w:t>24-25</w:t>
      </w:r>
      <w:r w:rsidR="002640B1">
        <w:rPr>
          <w:rFonts w:ascii="Arial" w:eastAsia="Times New Roman" w:hAnsi="Arial" w:cs="Times New Roman"/>
          <w:b/>
          <w:bCs/>
          <w:color w:val="000000"/>
          <w:sz w:val="18"/>
          <w:szCs w:val="18"/>
          <w:lang w:eastAsia="en-NZ"/>
        </w:rPr>
        <w:t xml:space="preserve"> </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472"/>
        <w:gridCol w:w="472"/>
        <w:gridCol w:w="471"/>
        <w:gridCol w:w="472"/>
        <w:gridCol w:w="472"/>
        <w:gridCol w:w="475"/>
        <w:gridCol w:w="475"/>
        <w:gridCol w:w="475"/>
        <w:gridCol w:w="475"/>
        <w:gridCol w:w="475"/>
        <w:gridCol w:w="606"/>
        <w:gridCol w:w="606"/>
      </w:tblGrid>
      <w:tr w:rsidR="00EF0532" w:rsidRPr="00C2206C" w14:paraId="4BAA23CA" w14:textId="77777777" w:rsidTr="00716933">
        <w:trPr>
          <w:trHeight w:val="300"/>
          <w:jc w:val="center"/>
        </w:trPr>
        <w:tc>
          <w:tcPr>
            <w:tcW w:w="2945" w:type="dxa"/>
            <w:vAlign w:val="center"/>
            <w:hideMark/>
          </w:tcPr>
          <w:p w14:paraId="43C0C758" w14:textId="77777777" w:rsidR="00EF0532" w:rsidRPr="00C2206C" w:rsidRDefault="00EF0532" w:rsidP="00716933">
            <w:pPr>
              <w:spacing w:after="0" w:line="240" w:lineRule="auto"/>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 H</w:t>
            </w:r>
            <w:r>
              <w:rPr>
                <w:rFonts w:ascii="Arial" w:eastAsia="Times New Roman" w:hAnsi="Arial" w:cs="Times New Roman"/>
                <w:b/>
                <w:bCs/>
                <w:color w:val="000000"/>
                <w:sz w:val="16"/>
                <w:szCs w:val="18"/>
                <w:lang w:eastAsia="en-NZ"/>
              </w:rPr>
              <w:t>IL</w:t>
            </w:r>
            <w:r w:rsidRPr="00C2206C">
              <w:rPr>
                <w:rFonts w:ascii="Arial" w:eastAsia="Times New Roman" w:hAnsi="Arial" w:cs="Times New Roman"/>
                <w:b/>
                <w:bCs/>
                <w:color w:val="000000"/>
                <w:sz w:val="16"/>
                <w:szCs w:val="18"/>
                <w:lang w:eastAsia="en-NZ"/>
              </w:rPr>
              <w:t>S 20</w:t>
            </w:r>
            <w:r>
              <w:rPr>
                <w:rFonts w:ascii="Arial" w:eastAsia="Times New Roman" w:hAnsi="Arial" w:cs="Times New Roman"/>
                <w:b/>
                <w:bCs/>
                <w:color w:val="000000"/>
                <w:sz w:val="16"/>
                <w:szCs w:val="18"/>
                <w:lang w:eastAsia="en-NZ"/>
              </w:rPr>
              <w:t>24-25</w:t>
            </w:r>
          </w:p>
        </w:tc>
        <w:tc>
          <w:tcPr>
            <w:tcW w:w="2359" w:type="dxa"/>
            <w:gridSpan w:val="5"/>
            <w:tcBorders>
              <w:right w:val="single" w:sz="8" w:space="0" w:color="auto"/>
            </w:tcBorders>
            <w:vAlign w:val="center"/>
            <w:hideMark/>
          </w:tcPr>
          <w:p w14:paraId="55AC527C" w14:textId="77777777" w:rsidR="00EF0532" w:rsidRPr="00C2206C" w:rsidRDefault="00EF0532" w:rsidP="00716933">
            <w:pPr>
              <w:spacing w:after="0" w:line="240" w:lineRule="auto"/>
              <w:jc w:val="center"/>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Material hardship rates</w:t>
            </w:r>
          </w:p>
        </w:tc>
        <w:tc>
          <w:tcPr>
            <w:tcW w:w="3587" w:type="dxa"/>
            <w:gridSpan w:val="7"/>
            <w:tcBorders>
              <w:left w:val="single" w:sz="8" w:space="0" w:color="auto"/>
            </w:tcBorders>
            <w:vAlign w:val="center"/>
            <w:hideMark/>
          </w:tcPr>
          <w:p w14:paraId="4EE53EE1" w14:textId="77777777" w:rsidR="00EF0532" w:rsidRPr="00C2206C" w:rsidRDefault="00EF0532" w:rsidP="00716933">
            <w:pPr>
              <w:spacing w:after="0" w:line="240" w:lineRule="auto"/>
              <w:jc w:val="center"/>
              <w:rPr>
                <w:rFonts w:ascii="Arial" w:eastAsia="Times New Roman" w:hAnsi="Arial" w:cs="Times New Roman"/>
                <w:b/>
                <w:bCs/>
                <w:color w:val="000000"/>
                <w:sz w:val="16"/>
                <w:szCs w:val="18"/>
                <w:lang w:eastAsia="en-NZ"/>
              </w:rPr>
            </w:pPr>
            <w:r w:rsidRPr="00C2206C">
              <w:rPr>
                <w:rFonts w:ascii="Arial" w:eastAsia="Times New Roman" w:hAnsi="Arial" w:cs="Times New Roman"/>
                <w:b/>
                <w:bCs/>
                <w:color w:val="000000"/>
                <w:sz w:val="16"/>
                <w:szCs w:val="18"/>
                <w:lang w:eastAsia="en-NZ"/>
              </w:rPr>
              <w:t>Composition</w:t>
            </w:r>
          </w:p>
        </w:tc>
      </w:tr>
      <w:tr w:rsidR="00EF0532" w:rsidRPr="007E75BE" w14:paraId="50B1EEE0" w14:textId="77777777" w:rsidTr="00716933">
        <w:trPr>
          <w:trHeight w:val="300"/>
          <w:jc w:val="center"/>
        </w:trPr>
        <w:tc>
          <w:tcPr>
            <w:tcW w:w="2945" w:type="dxa"/>
            <w:vAlign w:val="center"/>
            <w:hideMark/>
          </w:tcPr>
          <w:p w14:paraId="592BE55B" w14:textId="77777777" w:rsidR="00EF0532" w:rsidRPr="00C2206C" w:rsidRDefault="00EF0532" w:rsidP="00716933">
            <w:pPr>
              <w:spacing w:after="0" w:line="240" w:lineRule="auto"/>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6"/>
                <w:lang w:eastAsia="en-NZ"/>
              </w:rPr>
              <w:t> </w:t>
            </w:r>
          </w:p>
        </w:tc>
        <w:tc>
          <w:tcPr>
            <w:tcW w:w="2359" w:type="dxa"/>
            <w:gridSpan w:val="5"/>
            <w:tcBorders>
              <w:right w:val="single" w:sz="8" w:space="0" w:color="auto"/>
            </w:tcBorders>
            <w:vAlign w:val="center"/>
            <w:hideMark/>
          </w:tcPr>
          <w:p w14:paraId="040AC042" w14:textId="77777777" w:rsidR="00EF0532" w:rsidRPr="00C2206C" w:rsidRDefault="00EF0532" w:rsidP="00716933">
            <w:pPr>
              <w:spacing w:after="0" w:line="240" w:lineRule="auto"/>
              <w:jc w:val="center"/>
              <w:rPr>
                <w:rFonts w:ascii="Arial" w:eastAsia="Times New Roman" w:hAnsi="Arial" w:cs="Times New Roman"/>
                <w:color w:val="000000"/>
                <w:sz w:val="16"/>
                <w:szCs w:val="16"/>
                <w:lang w:eastAsia="en-NZ"/>
              </w:rPr>
            </w:pPr>
            <w:r w:rsidRPr="00C2206C">
              <w:rPr>
                <w:rFonts w:ascii="Arial" w:eastAsia="Times New Roman" w:hAnsi="Arial" w:cs="Times New Roman"/>
                <w:color w:val="000000"/>
                <w:sz w:val="16"/>
                <w:szCs w:val="16"/>
                <w:lang w:eastAsia="en-NZ"/>
              </w:rPr>
              <w:t>what % of this group is in hardship, using the different thresholds?</w:t>
            </w:r>
          </w:p>
        </w:tc>
        <w:tc>
          <w:tcPr>
            <w:tcW w:w="2375" w:type="dxa"/>
            <w:gridSpan w:val="5"/>
            <w:tcBorders>
              <w:left w:val="single" w:sz="8" w:space="0" w:color="auto"/>
            </w:tcBorders>
            <w:vAlign w:val="center"/>
            <w:hideMark/>
          </w:tcPr>
          <w:p w14:paraId="2B7E628B" w14:textId="77777777" w:rsidR="00EF0532" w:rsidRPr="00C2206C" w:rsidRDefault="00EF0532" w:rsidP="00716933">
            <w:pPr>
              <w:spacing w:after="0" w:line="240" w:lineRule="auto"/>
              <w:jc w:val="center"/>
              <w:rPr>
                <w:rFonts w:ascii="Arial" w:eastAsia="Times New Roman" w:hAnsi="Arial" w:cs="Times New Roman"/>
                <w:color w:val="000000"/>
                <w:sz w:val="16"/>
                <w:szCs w:val="16"/>
                <w:lang w:eastAsia="en-NZ"/>
              </w:rPr>
            </w:pPr>
            <w:r w:rsidRPr="00C2206C">
              <w:rPr>
                <w:rFonts w:ascii="Arial" w:eastAsia="Times New Roman" w:hAnsi="Arial" w:cs="Times New Roman"/>
                <w:color w:val="000000"/>
                <w:sz w:val="16"/>
                <w:szCs w:val="16"/>
                <w:lang w:eastAsia="en-NZ"/>
              </w:rPr>
              <w:t>what % of all those in hardship (using a given threshold) are in this group / cell?</w:t>
            </w:r>
          </w:p>
        </w:tc>
        <w:tc>
          <w:tcPr>
            <w:tcW w:w="606" w:type="dxa"/>
            <w:vAlign w:val="center"/>
            <w:hideMark/>
          </w:tcPr>
          <w:p w14:paraId="2A973BAD"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C2206C">
              <w:rPr>
                <w:rFonts w:ascii="Arial" w:eastAsia="Times New Roman" w:hAnsi="Arial" w:cs="Times New Roman"/>
                <w:b/>
                <w:bCs/>
                <w:color w:val="000000"/>
                <w:sz w:val="14"/>
                <w:szCs w:val="14"/>
                <w:lang w:eastAsia="en-NZ"/>
              </w:rPr>
              <w:t>000’s</w:t>
            </w:r>
          </w:p>
        </w:tc>
        <w:tc>
          <w:tcPr>
            <w:tcW w:w="606" w:type="dxa"/>
            <w:vAlign w:val="center"/>
          </w:tcPr>
          <w:p w14:paraId="06D912C6" w14:textId="77777777" w:rsidR="00EF0532" w:rsidRPr="007E75BE" w:rsidRDefault="00EF0532" w:rsidP="00716933">
            <w:pPr>
              <w:spacing w:after="0" w:line="240" w:lineRule="auto"/>
              <w:jc w:val="center"/>
              <w:rPr>
                <w:rFonts w:ascii="Arial" w:eastAsia="Times New Roman" w:hAnsi="Arial" w:cs="Times New Roman"/>
                <w:b/>
                <w:bCs/>
                <w:sz w:val="14"/>
                <w:szCs w:val="14"/>
                <w:lang w:eastAsia="en-NZ"/>
              </w:rPr>
            </w:pPr>
            <w:r w:rsidRPr="007E75BE">
              <w:rPr>
                <w:rFonts w:ascii="Arial" w:eastAsia="Times New Roman" w:hAnsi="Arial" w:cs="Times New Roman"/>
                <w:b/>
                <w:bCs/>
                <w:sz w:val="14"/>
                <w:szCs w:val="14"/>
                <w:lang w:eastAsia="en-NZ"/>
              </w:rPr>
              <w:t>%</w:t>
            </w:r>
          </w:p>
        </w:tc>
      </w:tr>
      <w:tr w:rsidR="00EF0532" w:rsidRPr="007E75BE" w14:paraId="19C0E025" w14:textId="77777777" w:rsidTr="00716933">
        <w:trPr>
          <w:trHeight w:val="396"/>
          <w:jc w:val="center"/>
        </w:trPr>
        <w:tc>
          <w:tcPr>
            <w:tcW w:w="2945" w:type="dxa"/>
            <w:vAlign w:val="center"/>
            <w:hideMark/>
          </w:tcPr>
          <w:p w14:paraId="5525E303" w14:textId="033BC831" w:rsidR="00EF0532" w:rsidRPr="00C2206C" w:rsidRDefault="00EF0532" w:rsidP="00716933">
            <w:pPr>
              <w:spacing w:after="0" w:line="240" w:lineRule="auto"/>
              <w:rPr>
                <w:rFonts w:ascii="Arial" w:eastAsia="Times New Roman" w:hAnsi="Arial" w:cs="Times New Roman"/>
                <w:b/>
                <w:bCs/>
                <w:color w:val="000000"/>
                <w:sz w:val="14"/>
                <w:szCs w:val="14"/>
                <w:lang w:eastAsia="en-NZ"/>
              </w:rPr>
            </w:pPr>
            <w:r w:rsidRPr="00B44BB9">
              <w:rPr>
                <w:rFonts w:ascii="Arial" w:eastAsia="Times New Roman" w:hAnsi="Arial" w:cs="Times New Roman"/>
                <w:b/>
                <w:bCs/>
                <w:color w:val="000000"/>
                <w:sz w:val="14"/>
                <w:szCs w:val="16"/>
                <w:lang w:eastAsia="en-NZ"/>
              </w:rPr>
              <w:t xml:space="preserve">Material hardship threshold as # of items lacked out of </w:t>
            </w:r>
            <w:r w:rsidR="0084040E" w:rsidRPr="00B44BB9">
              <w:rPr>
                <w:rFonts w:ascii="Arial" w:eastAsia="Times New Roman" w:hAnsi="Arial" w:cs="Times New Roman"/>
                <w:b/>
                <w:bCs/>
                <w:color w:val="000000"/>
                <w:sz w:val="14"/>
                <w:szCs w:val="16"/>
                <w:lang w:eastAsia="en-NZ"/>
              </w:rPr>
              <w:t>18</w:t>
            </w:r>
          </w:p>
        </w:tc>
        <w:tc>
          <w:tcPr>
            <w:tcW w:w="472" w:type="dxa"/>
            <w:vAlign w:val="center"/>
            <w:hideMark/>
          </w:tcPr>
          <w:p w14:paraId="2982C98D"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6+</w:t>
            </w:r>
          </w:p>
        </w:tc>
        <w:tc>
          <w:tcPr>
            <w:tcW w:w="472" w:type="dxa"/>
            <w:shd w:val="clear" w:color="auto" w:fill="D9D9D9"/>
            <w:vAlign w:val="center"/>
            <w:hideMark/>
          </w:tcPr>
          <w:p w14:paraId="197AE970"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7+</w:t>
            </w:r>
          </w:p>
        </w:tc>
        <w:tc>
          <w:tcPr>
            <w:tcW w:w="471" w:type="dxa"/>
            <w:vAlign w:val="center"/>
            <w:hideMark/>
          </w:tcPr>
          <w:p w14:paraId="1B5A1E8B"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8+</w:t>
            </w:r>
          </w:p>
        </w:tc>
        <w:tc>
          <w:tcPr>
            <w:tcW w:w="472" w:type="dxa"/>
            <w:vAlign w:val="center"/>
            <w:hideMark/>
          </w:tcPr>
          <w:p w14:paraId="6B527E74"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9+</w:t>
            </w:r>
          </w:p>
        </w:tc>
        <w:tc>
          <w:tcPr>
            <w:tcW w:w="472" w:type="dxa"/>
            <w:tcBorders>
              <w:right w:val="single" w:sz="8" w:space="0" w:color="auto"/>
            </w:tcBorders>
            <w:vAlign w:val="center"/>
            <w:hideMark/>
          </w:tcPr>
          <w:p w14:paraId="56CA1EAD"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10+</w:t>
            </w:r>
          </w:p>
        </w:tc>
        <w:tc>
          <w:tcPr>
            <w:tcW w:w="475" w:type="dxa"/>
            <w:tcBorders>
              <w:left w:val="single" w:sz="8" w:space="0" w:color="auto"/>
            </w:tcBorders>
            <w:vAlign w:val="center"/>
            <w:hideMark/>
          </w:tcPr>
          <w:p w14:paraId="2307BA7A"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6+</w:t>
            </w:r>
          </w:p>
        </w:tc>
        <w:tc>
          <w:tcPr>
            <w:tcW w:w="475" w:type="dxa"/>
            <w:shd w:val="clear" w:color="auto" w:fill="D9D9D9"/>
            <w:vAlign w:val="center"/>
            <w:hideMark/>
          </w:tcPr>
          <w:p w14:paraId="7A8995CF"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7+</w:t>
            </w:r>
          </w:p>
        </w:tc>
        <w:tc>
          <w:tcPr>
            <w:tcW w:w="475" w:type="dxa"/>
            <w:vAlign w:val="center"/>
            <w:hideMark/>
          </w:tcPr>
          <w:p w14:paraId="0B452EF2"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8+</w:t>
            </w:r>
          </w:p>
        </w:tc>
        <w:tc>
          <w:tcPr>
            <w:tcW w:w="475" w:type="dxa"/>
            <w:vAlign w:val="center"/>
            <w:hideMark/>
          </w:tcPr>
          <w:p w14:paraId="7826C06B"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9+</w:t>
            </w:r>
          </w:p>
        </w:tc>
        <w:tc>
          <w:tcPr>
            <w:tcW w:w="475" w:type="dxa"/>
            <w:vAlign w:val="center"/>
            <w:hideMark/>
          </w:tcPr>
          <w:p w14:paraId="01B0C628"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10+</w:t>
            </w:r>
          </w:p>
        </w:tc>
        <w:tc>
          <w:tcPr>
            <w:tcW w:w="606" w:type="dxa"/>
            <w:vAlign w:val="center"/>
            <w:hideMark/>
          </w:tcPr>
          <w:p w14:paraId="75AE949D" w14:textId="77777777" w:rsidR="00EF0532" w:rsidRPr="00C2206C" w:rsidRDefault="00EF0532" w:rsidP="00716933">
            <w:pPr>
              <w:spacing w:after="0" w:line="240" w:lineRule="auto"/>
              <w:jc w:val="center"/>
              <w:rPr>
                <w:rFonts w:ascii="Arial" w:eastAsia="Times New Roman" w:hAnsi="Arial" w:cs="Times New Roman"/>
                <w:b/>
                <w:bCs/>
                <w:color w:val="000000"/>
                <w:sz w:val="14"/>
                <w:szCs w:val="14"/>
                <w:lang w:eastAsia="en-NZ"/>
              </w:rPr>
            </w:pPr>
            <w:r w:rsidRPr="006415B3">
              <w:rPr>
                <w:rFonts w:ascii="Arial" w:hAnsi="Arial"/>
                <w:b/>
                <w:bCs/>
                <w:sz w:val="14"/>
                <w:szCs w:val="14"/>
              </w:rPr>
              <w:t>ALL</w:t>
            </w:r>
          </w:p>
        </w:tc>
        <w:tc>
          <w:tcPr>
            <w:tcW w:w="606" w:type="dxa"/>
            <w:vAlign w:val="center"/>
          </w:tcPr>
          <w:p w14:paraId="4588520F" w14:textId="77777777" w:rsidR="00EF0532" w:rsidRPr="007E75BE" w:rsidRDefault="00EF0532" w:rsidP="00716933">
            <w:pPr>
              <w:spacing w:after="0" w:line="240" w:lineRule="auto"/>
              <w:jc w:val="center"/>
              <w:rPr>
                <w:rFonts w:ascii="Arial" w:eastAsia="Times New Roman" w:hAnsi="Arial" w:cs="Times New Roman"/>
                <w:b/>
                <w:bCs/>
                <w:sz w:val="14"/>
                <w:szCs w:val="14"/>
                <w:lang w:eastAsia="en-NZ"/>
              </w:rPr>
            </w:pPr>
            <w:r w:rsidRPr="006415B3">
              <w:rPr>
                <w:rFonts w:ascii="Arial" w:hAnsi="Arial"/>
                <w:b/>
                <w:bCs/>
                <w:sz w:val="14"/>
                <w:szCs w:val="14"/>
              </w:rPr>
              <w:t>ALL</w:t>
            </w:r>
          </w:p>
        </w:tc>
      </w:tr>
      <w:tr w:rsidR="00EF0532" w:rsidRPr="00C2206C" w14:paraId="235A1FDA" w14:textId="77777777" w:rsidTr="00716933">
        <w:trPr>
          <w:trHeight w:val="227"/>
          <w:jc w:val="center"/>
        </w:trPr>
        <w:tc>
          <w:tcPr>
            <w:tcW w:w="2945" w:type="dxa"/>
            <w:vAlign w:val="center"/>
            <w:hideMark/>
          </w:tcPr>
          <w:p w14:paraId="1763A4FD" w14:textId="77777777" w:rsidR="00EF0532" w:rsidRPr="00C2206C" w:rsidRDefault="00EF0532" w:rsidP="00716933">
            <w:pPr>
              <w:spacing w:after="0" w:line="240" w:lineRule="auto"/>
              <w:rPr>
                <w:rFonts w:ascii="Arial" w:eastAsia="Times New Roman" w:hAnsi="Arial" w:cs="Times New Roman"/>
                <w:b/>
                <w:bCs/>
                <w:color w:val="000000"/>
                <w:sz w:val="14"/>
                <w:szCs w:val="14"/>
                <w:lang w:eastAsia="en-NZ"/>
              </w:rPr>
            </w:pPr>
          </w:p>
        </w:tc>
        <w:tc>
          <w:tcPr>
            <w:tcW w:w="472" w:type="dxa"/>
            <w:vAlign w:val="center"/>
            <w:hideMark/>
          </w:tcPr>
          <w:p w14:paraId="64BD4491"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shd w:val="clear" w:color="auto" w:fill="D9D9D9"/>
            <w:vAlign w:val="center"/>
            <w:hideMark/>
          </w:tcPr>
          <w:p w14:paraId="4BFC5387"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1" w:type="dxa"/>
            <w:vAlign w:val="center"/>
            <w:hideMark/>
          </w:tcPr>
          <w:p w14:paraId="2A1D4E9E"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vAlign w:val="center"/>
            <w:hideMark/>
          </w:tcPr>
          <w:p w14:paraId="415DBE71"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2" w:type="dxa"/>
            <w:tcBorders>
              <w:right w:val="single" w:sz="8" w:space="0" w:color="auto"/>
            </w:tcBorders>
            <w:vAlign w:val="center"/>
            <w:hideMark/>
          </w:tcPr>
          <w:p w14:paraId="445FD3FC"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tcBorders>
              <w:left w:val="single" w:sz="8" w:space="0" w:color="auto"/>
            </w:tcBorders>
            <w:vAlign w:val="center"/>
            <w:hideMark/>
          </w:tcPr>
          <w:p w14:paraId="2B5449B5"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shd w:val="clear" w:color="auto" w:fill="D9D9D9"/>
            <w:vAlign w:val="center"/>
            <w:hideMark/>
          </w:tcPr>
          <w:p w14:paraId="5B9C7274"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1BDFB3D8"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700327ED"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475" w:type="dxa"/>
            <w:vAlign w:val="center"/>
            <w:hideMark/>
          </w:tcPr>
          <w:p w14:paraId="441FB3B9"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606" w:type="dxa"/>
            <w:vAlign w:val="center"/>
            <w:hideMark/>
          </w:tcPr>
          <w:p w14:paraId="0F3E872B"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r w:rsidRPr="00C2206C">
              <w:rPr>
                <w:rFonts w:ascii="Arial" w:eastAsia="Times New Roman" w:hAnsi="Arial" w:cs="Times New Roman"/>
                <w:color w:val="000000"/>
                <w:sz w:val="14"/>
                <w:szCs w:val="14"/>
                <w:lang w:eastAsia="en-NZ"/>
              </w:rPr>
              <w:t> </w:t>
            </w:r>
          </w:p>
        </w:tc>
        <w:tc>
          <w:tcPr>
            <w:tcW w:w="606" w:type="dxa"/>
            <w:vAlign w:val="center"/>
          </w:tcPr>
          <w:p w14:paraId="6CD4309E" w14:textId="77777777" w:rsidR="00EF0532" w:rsidRPr="00C2206C" w:rsidRDefault="00EF0532" w:rsidP="00716933">
            <w:pPr>
              <w:spacing w:after="0" w:line="240" w:lineRule="auto"/>
              <w:rPr>
                <w:rFonts w:ascii="Arial" w:eastAsia="Times New Roman" w:hAnsi="Arial" w:cs="Times New Roman"/>
                <w:color w:val="000000"/>
                <w:sz w:val="14"/>
                <w:szCs w:val="14"/>
                <w:lang w:eastAsia="en-NZ"/>
              </w:rPr>
            </w:pPr>
          </w:p>
        </w:tc>
      </w:tr>
      <w:tr w:rsidR="00EF0532" w:rsidRPr="003A53A4" w14:paraId="0D9E862B" w14:textId="77777777" w:rsidTr="00716933">
        <w:trPr>
          <w:trHeight w:hRule="exact" w:val="227"/>
          <w:jc w:val="center"/>
        </w:trPr>
        <w:tc>
          <w:tcPr>
            <w:tcW w:w="2945" w:type="dxa"/>
            <w:vAlign w:val="center"/>
            <w:hideMark/>
          </w:tcPr>
          <w:p w14:paraId="5384AAD0" w14:textId="77777777" w:rsidR="00EF0532" w:rsidRPr="00C2206C" w:rsidRDefault="00EF0532" w:rsidP="00716933">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All children (0-17 yrs)</w:t>
            </w:r>
          </w:p>
        </w:tc>
        <w:tc>
          <w:tcPr>
            <w:tcW w:w="472" w:type="dxa"/>
            <w:vAlign w:val="center"/>
            <w:hideMark/>
          </w:tcPr>
          <w:p w14:paraId="2399C561"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18</w:t>
            </w:r>
          </w:p>
        </w:tc>
        <w:tc>
          <w:tcPr>
            <w:tcW w:w="472" w:type="dxa"/>
            <w:shd w:val="clear" w:color="auto" w:fill="D9D9D9"/>
            <w:vAlign w:val="center"/>
            <w:hideMark/>
          </w:tcPr>
          <w:p w14:paraId="5D35EF95"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14</w:t>
            </w:r>
          </w:p>
        </w:tc>
        <w:tc>
          <w:tcPr>
            <w:tcW w:w="471" w:type="dxa"/>
            <w:vAlign w:val="center"/>
            <w:hideMark/>
          </w:tcPr>
          <w:p w14:paraId="7934FCB2"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w:t>
            </w:r>
          </w:p>
        </w:tc>
        <w:tc>
          <w:tcPr>
            <w:tcW w:w="472" w:type="dxa"/>
            <w:vAlign w:val="center"/>
            <w:hideMark/>
          </w:tcPr>
          <w:p w14:paraId="00CF2324"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8</w:t>
            </w:r>
          </w:p>
        </w:tc>
        <w:tc>
          <w:tcPr>
            <w:tcW w:w="472" w:type="dxa"/>
            <w:tcBorders>
              <w:right w:val="single" w:sz="8" w:space="0" w:color="auto"/>
            </w:tcBorders>
            <w:vAlign w:val="center"/>
            <w:hideMark/>
          </w:tcPr>
          <w:p w14:paraId="2583D3E7"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5" w:type="dxa"/>
            <w:tcBorders>
              <w:left w:val="single" w:sz="8" w:space="0" w:color="auto"/>
            </w:tcBorders>
            <w:vAlign w:val="center"/>
            <w:hideMark/>
          </w:tcPr>
          <w:p w14:paraId="4D6504C2"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shd w:val="clear" w:color="auto" w:fill="D9D9D9"/>
            <w:vAlign w:val="center"/>
            <w:hideMark/>
          </w:tcPr>
          <w:p w14:paraId="37746287"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06F4A153"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71DD9D2E"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475" w:type="dxa"/>
            <w:vAlign w:val="center"/>
            <w:hideMark/>
          </w:tcPr>
          <w:p w14:paraId="5DE3D81C"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c>
          <w:tcPr>
            <w:tcW w:w="606" w:type="dxa"/>
            <w:vAlign w:val="center"/>
            <w:hideMark/>
          </w:tcPr>
          <w:p w14:paraId="08E68151"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1,185</w:t>
            </w:r>
          </w:p>
        </w:tc>
        <w:tc>
          <w:tcPr>
            <w:tcW w:w="606" w:type="dxa"/>
            <w:vAlign w:val="center"/>
          </w:tcPr>
          <w:p w14:paraId="0DFBBD6C" w14:textId="77777777" w:rsidR="00EF0532" w:rsidRPr="003A53A4"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100</w:t>
            </w:r>
          </w:p>
        </w:tc>
      </w:tr>
      <w:tr w:rsidR="00EF0532" w:rsidRPr="003A53A4" w14:paraId="0D45121A" w14:textId="77777777" w:rsidTr="00716933">
        <w:trPr>
          <w:trHeight w:hRule="exact" w:val="227"/>
          <w:jc w:val="center"/>
        </w:trPr>
        <w:tc>
          <w:tcPr>
            <w:tcW w:w="2945" w:type="dxa"/>
            <w:vAlign w:val="center"/>
            <w:hideMark/>
          </w:tcPr>
          <w:p w14:paraId="158DE05D" w14:textId="77777777" w:rsidR="00EF0532" w:rsidRPr="00C2206C" w:rsidRDefault="00EF0532" w:rsidP="00716933">
            <w:pPr>
              <w:spacing w:after="0" w:line="240" w:lineRule="auto"/>
              <w:rPr>
                <w:rFonts w:ascii="Arial" w:eastAsia="Times New Roman" w:hAnsi="Arial" w:cs="Times New Roman"/>
                <w:b/>
                <w:bCs/>
                <w:color w:val="000000"/>
                <w:sz w:val="14"/>
                <w:szCs w:val="14"/>
                <w:lang w:eastAsia="en-NZ"/>
              </w:rPr>
            </w:pPr>
            <w:r>
              <w:rPr>
                <w:rFonts w:ascii="Arial" w:hAnsi="Arial"/>
                <w:b/>
                <w:bCs/>
                <w:color w:val="000000"/>
                <w:sz w:val="14"/>
                <w:szCs w:val="14"/>
              </w:rPr>
              <w:t>NZDep Quintile</w:t>
            </w:r>
          </w:p>
        </w:tc>
        <w:tc>
          <w:tcPr>
            <w:tcW w:w="472" w:type="dxa"/>
            <w:tcBorders>
              <w:bottom w:val="single" w:sz="4" w:space="0" w:color="auto"/>
            </w:tcBorders>
            <w:vAlign w:val="center"/>
            <w:hideMark/>
          </w:tcPr>
          <w:p w14:paraId="7EE500DC"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bottom w:val="single" w:sz="4" w:space="0" w:color="auto"/>
            </w:tcBorders>
            <w:shd w:val="clear" w:color="auto" w:fill="D9D9D9"/>
            <w:vAlign w:val="center"/>
            <w:hideMark/>
          </w:tcPr>
          <w:p w14:paraId="325EF727"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1" w:type="dxa"/>
            <w:tcBorders>
              <w:bottom w:val="single" w:sz="4" w:space="0" w:color="auto"/>
            </w:tcBorders>
            <w:vAlign w:val="center"/>
            <w:hideMark/>
          </w:tcPr>
          <w:p w14:paraId="003C5722"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bottom w:val="single" w:sz="4" w:space="0" w:color="auto"/>
            </w:tcBorders>
            <w:vAlign w:val="center"/>
            <w:hideMark/>
          </w:tcPr>
          <w:p w14:paraId="25E75D2A"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2" w:type="dxa"/>
            <w:tcBorders>
              <w:bottom w:val="single" w:sz="4" w:space="0" w:color="auto"/>
              <w:right w:val="single" w:sz="8" w:space="0" w:color="auto"/>
            </w:tcBorders>
            <w:vAlign w:val="center"/>
            <w:hideMark/>
          </w:tcPr>
          <w:p w14:paraId="37EDD55F"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tcBorders>
              <w:left w:val="single" w:sz="8" w:space="0" w:color="auto"/>
            </w:tcBorders>
            <w:vAlign w:val="center"/>
            <w:hideMark/>
          </w:tcPr>
          <w:p w14:paraId="3A1F7FD1"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shd w:val="clear" w:color="auto" w:fill="D9D9D9"/>
            <w:vAlign w:val="center"/>
            <w:hideMark/>
          </w:tcPr>
          <w:p w14:paraId="65775AC0"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2EE1722F"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19E64746"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475" w:type="dxa"/>
            <w:vAlign w:val="center"/>
            <w:hideMark/>
          </w:tcPr>
          <w:p w14:paraId="324905DF"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hideMark/>
          </w:tcPr>
          <w:p w14:paraId="367313C1" w14:textId="77777777" w:rsidR="00EF0532" w:rsidRPr="00C2206C"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c>
          <w:tcPr>
            <w:tcW w:w="606" w:type="dxa"/>
            <w:vAlign w:val="center"/>
          </w:tcPr>
          <w:p w14:paraId="77C9A17C" w14:textId="77777777" w:rsidR="00EF0532" w:rsidRPr="003A53A4" w:rsidRDefault="00EF0532" w:rsidP="00716933">
            <w:pPr>
              <w:spacing w:after="0" w:line="240" w:lineRule="auto"/>
              <w:rPr>
                <w:rFonts w:ascii="Arial" w:eastAsia="Times New Roman" w:hAnsi="Arial" w:cs="Times New Roman"/>
                <w:color w:val="000000"/>
                <w:sz w:val="14"/>
                <w:szCs w:val="14"/>
              </w:rPr>
            </w:pPr>
            <w:r>
              <w:rPr>
                <w:rFonts w:ascii="Arial" w:hAnsi="Arial"/>
                <w:color w:val="000000"/>
                <w:sz w:val="14"/>
                <w:szCs w:val="14"/>
              </w:rPr>
              <w:t> </w:t>
            </w:r>
          </w:p>
        </w:tc>
      </w:tr>
      <w:tr w:rsidR="00EF0532" w:rsidRPr="003A53A4" w14:paraId="730EF964" w14:textId="77777777" w:rsidTr="00716933">
        <w:trPr>
          <w:trHeight w:hRule="exact" w:val="227"/>
          <w:jc w:val="center"/>
        </w:trPr>
        <w:tc>
          <w:tcPr>
            <w:tcW w:w="2945" w:type="dxa"/>
            <w:vAlign w:val="center"/>
            <w:hideMark/>
          </w:tcPr>
          <w:p w14:paraId="2DD43342" w14:textId="77777777" w:rsidR="00EF0532" w:rsidRPr="00C2206C" w:rsidRDefault="00EF0532" w:rsidP="00716933">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Q1(least deprived 20%)</w:t>
            </w:r>
          </w:p>
        </w:tc>
        <w:tc>
          <w:tcPr>
            <w:tcW w:w="472" w:type="dxa"/>
            <w:tcBorders>
              <w:right w:val="single" w:sz="4" w:space="0" w:color="auto"/>
            </w:tcBorders>
            <w:vAlign w:val="center"/>
          </w:tcPr>
          <w:p w14:paraId="40BF2D37"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2" w:type="dxa"/>
            <w:tcBorders>
              <w:left w:val="single" w:sz="4" w:space="0" w:color="auto"/>
              <w:right w:val="single" w:sz="4" w:space="0" w:color="auto"/>
            </w:tcBorders>
            <w:shd w:val="clear" w:color="auto" w:fill="D9D9D9" w:themeFill="background1" w:themeFillShade="D9"/>
            <w:vAlign w:val="center"/>
          </w:tcPr>
          <w:p w14:paraId="01366057" w14:textId="77777777" w:rsidR="00EF0532" w:rsidRPr="006415B3" w:rsidRDefault="00EF0532" w:rsidP="00716933">
            <w:pPr>
              <w:spacing w:after="0" w:line="240" w:lineRule="auto"/>
              <w:jc w:val="center"/>
              <w:rPr>
                <w:rFonts w:ascii="Arial" w:eastAsia="Times New Roman" w:hAnsi="Arial" w:cs="Times New Roman"/>
                <w:sz w:val="14"/>
                <w:szCs w:val="14"/>
              </w:rPr>
            </w:pPr>
            <w:r>
              <w:rPr>
                <w:rFonts w:ascii="Arial" w:hAnsi="Arial"/>
                <w:color w:val="000000"/>
                <w:sz w:val="14"/>
                <w:szCs w:val="14"/>
              </w:rPr>
              <w:t>4</w:t>
            </w:r>
          </w:p>
        </w:tc>
        <w:tc>
          <w:tcPr>
            <w:tcW w:w="471" w:type="dxa"/>
            <w:tcBorders>
              <w:left w:val="single" w:sz="4" w:space="0" w:color="auto"/>
              <w:right w:val="single" w:sz="4" w:space="0" w:color="auto"/>
            </w:tcBorders>
            <w:vAlign w:val="center"/>
          </w:tcPr>
          <w:p w14:paraId="1E1A966A"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w:t>
            </w:r>
          </w:p>
        </w:tc>
        <w:tc>
          <w:tcPr>
            <w:tcW w:w="944" w:type="dxa"/>
            <w:gridSpan w:val="2"/>
            <w:tcBorders>
              <w:left w:val="single" w:sz="4" w:space="0" w:color="auto"/>
              <w:right w:val="single" w:sz="8" w:space="0" w:color="auto"/>
            </w:tcBorders>
            <w:vAlign w:val="center"/>
          </w:tcPr>
          <w:p w14:paraId="7D092BCF" w14:textId="77777777" w:rsidR="00EF0532" w:rsidRPr="00C2206C" w:rsidRDefault="00EF0532" w:rsidP="0053698E">
            <w:pPr>
              <w:spacing w:after="0" w:line="240" w:lineRule="auto"/>
              <w:jc w:val="center"/>
              <w:rPr>
                <w:rFonts w:ascii="Arial" w:eastAsia="Times New Roman" w:hAnsi="Arial" w:cs="Times New Roman"/>
                <w:color w:val="000000"/>
                <w:sz w:val="14"/>
                <w:szCs w:val="14"/>
              </w:rPr>
            </w:pPr>
            <w:r>
              <w:rPr>
                <w:rFonts w:ascii="Arial" w:hAnsi="Arial"/>
                <w:color w:val="000000"/>
                <w:sz w:val="12"/>
                <w:szCs w:val="12"/>
              </w:rPr>
              <w:t>s</w:t>
            </w:r>
            <w:r w:rsidRPr="003341CA">
              <w:rPr>
                <w:rFonts w:ascii="Arial" w:hAnsi="Arial"/>
                <w:color w:val="000000"/>
                <w:sz w:val="12"/>
                <w:szCs w:val="12"/>
              </w:rPr>
              <w:t>uppressed</w:t>
            </w:r>
            <w:r>
              <w:rPr>
                <w:rFonts w:ascii="Arial" w:hAnsi="Arial"/>
                <w:color w:val="000000"/>
                <w:sz w:val="12"/>
                <w:szCs w:val="12"/>
              </w:rPr>
              <w:t>*</w:t>
            </w:r>
          </w:p>
        </w:tc>
        <w:tc>
          <w:tcPr>
            <w:tcW w:w="475" w:type="dxa"/>
            <w:tcBorders>
              <w:left w:val="single" w:sz="8" w:space="0" w:color="auto"/>
            </w:tcBorders>
            <w:vAlign w:val="center"/>
            <w:hideMark/>
          </w:tcPr>
          <w:p w14:paraId="63E29E98" w14:textId="77777777" w:rsidR="00EF0532" w:rsidRPr="00F0790E" w:rsidRDefault="00EF0532" w:rsidP="00716933">
            <w:pPr>
              <w:spacing w:after="0" w:line="240" w:lineRule="auto"/>
              <w:jc w:val="center"/>
              <w:rPr>
                <w:rFonts w:ascii="Arial" w:eastAsia="Times New Roman" w:hAnsi="Arial" w:cs="Times New Roman"/>
                <w:color w:val="000000"/>
                <w:sz w:val="14"/>
                <w:szCs w:val="14"/>
                <w:highlight w:val="green"/>
              </w:rPr>
            </w:pPr>
            <w:r>
              <w:rPr>
                <w:rFonts w:ascii="Arial" w:hAnsi="Arial"/>
                <w:color w:val="000000"/>
                <w:sz w:val="14"/>
                <w:szCs w:val="14"/>
              </w:rPr>
              <w:t>6</w:t>
            </w:r>
          </w:p>
        </w:tc>
        <w:tc>
          <w:tcPr>
            <w:tcW w:w="475" w:type="dxa"/>
            <w:shd w:val="clear" w:color="auto" w:fill="D9D9D9"/>
            <w:vAlign w:val="center"/>
            <w:hideMark/>
          </w:tcPr>
          <w:p w14:paraId="07EB0F27" w14:textId="77777777" w:rsidR="00EF0532" w:rsidRPr="00F0790E" w:rsidRDefault="00EF0532" w:rsidP="00716933">
            <w:pPr>
              <w:spacing w:after="0" w:line="240" w:lineRule="auto"/>
              <w:jc w:val="center"/>
              <w:rPr>
                <w:rFonts w:ascii="Arial" w:eastAsia="Times New Roman" w:hAnsi="Arial" w:cs="Times New Roman"/>
                <w:color w:val="000000"/>
                <w:sz w:val="14"/>
                <w:szCs w:val="14"/>
                <w:highlight w:val="green"/>
              </w:rPr>
            </w:pPr>
            <w:r>
              <w:rPr>
                <w:rFonts w:ascii="Arial" w:hAnsi="Arial"/>
                <w:color w:val="000000"/>
                <w:sz w:val="14"/>
                <w:szCs w:val="14"/>
              </w:rPr>
              <w:t>5</w:t>
            </w:r>
          </w:p>
        </w:tc>
        <w:tc>
          <w:tcPr>
            <w:tcW w:w="475" w:type="dxa"/>
            <w:vAlign w:val="center"/>
            <w:hideMark/>
          </w:tcPr>
          <w:p w14:paraId="5FB10E27" w14:textId="77777777" w:rsidR="00EF0532" w:rsidRPr="00F0790E" w:rsidRDefault="00EF0532" w:rsidP="00716933">
            <w:pPr>
              <w:spacing w:after="0" w:line="240" w:lineRule="auto"/>
              <w:jc w:val="center"/>
              <w:rPr>
                <w:rFonts w:ascii="Arial" w:eastAsia="Times New Roman" w:hAnsi="Arial" w:cs="Times New Roman"/>
                <w:color w:val="000000"/>
                <w:sz w:val="14"/>
                <w:szCs w:val="14"/>
                <w:highlight w:val="green"/>
              </w:rPr>
            </w:pPr>
            <w:r>
              <w:rPr>
                <w:rFonts w:ascii="Arial" w:hAnsi="Arial"/>
                <w:color w:val="000000"/>
                <w:sz w:val="14"/>
                <w:szCs w:val="14"/>
              </w:rPr>
              <w:t>4</w:t>
            </w:r>
          </w:p>
        </w:tc>
        <w:tc>
          <w:tcPr>
            <w:tcW w:w="475" w:type="dxa"/>
            <w:vAlign w:val="center"/>
            <w:hideMark/>
          </w:tcPr>
          <w:p w14:paraId="2678D6D8" w14:textId="77777777" w:rsidR="00EF0532" w:rsidRPr="00DA109C" w:rsidRDefault="00EF0532" w:rsidP="00716933">
            <w:pPr>
              <w:spacing w:after="0" w:line="240" w:lineRule="auto"/>
              <w:jc w:val="center"/>
              <w:rPr>
                <w:rFonts w:ascii="Arial" w:eastAsia="Times New Roman" w:hAnsi="Arial" w:cs="Times New Roman"/>
                <w:color w:val="000000"/>
                <w:sz w:val="14"/>
                <w:szCs w:val="14"/>
              </w:rPr>
            </w:pPr>
            <w:r w:rsidRPr="00DA109C">
              <w:rPr>
                <w:rFonts w:ascii="Arial" w:hAnsi="Arial"/>
                <w:color w:val="000000"/>
                <w:sz w:val="14"/>
                <w:szCs w:val="14"/>
              </w:rPr>
              <w:t>2</w:t>
            </w:r>
          </w:p>
        </w:tc>
        <w:tc>
          <w:tcPr>
            <w:tcW w:w="475" w:type="dxa"/>
            <w:vAlign w:val="center"/>
            <w:hideMark/>
          </w:tcPr>
          <w:p w14:paraId="04D6ECCC" w14:textId="77777777" w:rsidR="00EF0532" w:rsidRPr="00DA109C" w:rsidRDefault="00EF0532" w:rsidP="00716933">
            <w:pPr>
              <w:spacing w:after="0" w:line="240" w:lineRule="auto"/>
              <w:jc w:val="center"/>
              <w:rPr>
                <w:rFonts w:ascii="Arial" w:eastAsia="Times New Roman" w:hAnsi="Arial" w:cs="Times New Roman"/>
                <w:color w:val="000000"/>
                <w:sz w:val="14"/>
                <w:szCs w:val="14"/>
              </w:rPr>
            </w:pPr>
            <w:r w:rsidRPr="00DA109C">
              <w:rPr>
                <w:rFonts w:ascii="Arial" w:hAnsi="Arial"/>
                <w:color w:val="000000"/>
                <w:sz w:val="14"/>
                <w:szCs w:val="14"/>
              </w:rPr>
              <w:t>2</w:t>
            </w:r>
          </w:p>
        </w:tc>
        <w:tc>
          <w:tcPr>
            <w:tcW w:w="606" w:type="dxa"/>
            <w:vAlign w:val="center"/>
            <w:hideMark/>
          </w:tcPr>
          <w:p w14:paraId="4446F6CC"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220</w:t>
            </w:r>
          </w:p>
        </w:tc>
        <w:tc>
          <w:tcPr>
            <w:tcW w:w="606" w:type="dxa"/>
            <w:vAlign w:val="center"/>
          </w:tcPr>
          <w:p w14:paraId="7176BBC9" w14:textId="77777777" w:rsidR="00EF0532" w:rsidRPr="003A53A4"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w:t>
            </w:r>
          </w:p>
        </w:tc>
      </w:tr>
      <w:tr w:rsidR="00EF0532" w:rsidRPr="003A53A4" w14:paraId="7910C031" w14:textId="77777777" w:rsidTr="00716933">
        <w:trPr>
          <w:trHeight w:hRule="exact" w:val="227"/>
          <w:jc w:val="center"/>
        </w:trPr>
        <w:tc>
          <w:tcPr>
            <w:tcW w:w="2945" w:type="dxa"/>
            <w:vAlign w:val="center"/>
            <w:hideMark/>
          </w:tcPr>
          <w:p w14:paraId="20825669" w14:textId="77777777" w:rsidR="00EF0532" w:rsidRPr="00C2206C" w:rsidRDefault="00EF0532" w:rsidP="00716933">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Q2</w:t>
            </w:r>
          </w:p>
        </w:tc>
        <w:tc>
          <w:tcPr>
            <w:tcW w:w="472" w:type="dxa"/>
            <w:vAlign w:val="center"/>
            <w:hideMark/>
          </w:tcPr>
          <w:p w14:paraId="4339AEF8"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2" w:type="dxa"/>
            <w:shd w:val="clear" w:color="auto" w:fill="D9D9D9"/>
            <w:vAlign w:val="center"/>
            <w:hideMark/>
          </w:tcPr>
          <w:p w14:paraId="16FA3C1C"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1" w:type="dxa"/>
            <w:vAlign w:val="center"/>
            <w:hideMark/>
          </w:tcPr>
          <w:p w14:paraId="18E0B3C0"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944" w:type="dxa"/>
            <w:gridSpan w:val="2"/>
            <w:tcBorders>
              <w:right w:val="single" w:sz="8" w:space="0" w:color="auto"/>
            </w:tcBorders>
            <w:vAlign w:val="center"/>
            <w:hideMark/>
          </w:tcPr>
          <w:p w14:paraId="7F5C7B5A" w14:textId="77777777" w:rsidR="00EF0532" w:rsidRPr="00DA109C" w:rsidRDefault="00EF0532" w:rsidP="0053698E">
            <w:pPr>
              <w:spacing w:after="0" w:line="240" w:lineRule="auto"/>
              <w:jc w:val="center"/>
              <w:rPr>
                <w:rFonts w:ascii="Arial" w:eastAsia="Times New Roman" w:hAnsi="Arial" w:cs="Times New Roman"/>
                <w:color w:val="000000"/>
                <w:sz w:val="12"/>
                <w:szCs w:val="12"/>
              </w:rPr>
            </w:pPr>
            <w:r w:rsidRPr="00DA109C">
              <w:rPr>
                <w:rFonts w:ascii="Arial" w:eastAsia="Times New Roman" w:hAnsi="Arial" w:cs="Times New Roman"/>
                <w:color w:val="000000"/>
                <w:sz w:val="12"/>
                <w:szCs w:val="12"/>
              </w:rPr>
              <w:t>suppressed*</w:t>
            </w:r>
          </w:p>
        </w:tc>
        <w:tc>
          <w:tcPr>
            <w:tcW w:w="475" w:type="dxa"/>
            <w:tcBorders>
              <w:left w:val="single" w:sz="8" w:space="0" w:color="auto"/>
            </w:tcBorders>
            <w:vAlign w:val="center"/>
            <w:hideMark/>
          </w:tcPr>
          <w:p w14:paraId="19F52B27"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7</w:t>
            </w:r>
          </w:p>
        </w:tc>
        <w:tc>
          <w:tcPr>
            <w:tcW w:w="475" w:type="dxa"/>
            <w:shd w:val="clear" w:color="auto" w:fill="D9D9D9"/>
            <w:vAlign w:val="center"/>
            <w:hideMark/>
          </w:tcPr>
          <w:p w14:paraId="6D852998"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6</w:t>
            </w:r>
          </w:p>
        </w:tc>
        <w:tc>
          <w:tcPr>
            <w:tcW w:w="475" w:type="dxa"/>
            <w:vAlign w:val="center"/>
            <w:hideMark/>
          </w:tcPr>
          <w:p w14:paraId="28998F6D"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w:t>
            </w:r>
          </w:p>
        </w:tc>
        <w:tc>
          <w:tcPr>
            <w:tcW w:w="475" w:type="dxa"/>
            <w:vAlign w:val="center"/>
            <w:hideMark/>
          </w:tcPr>
          <w:p w14:paraId="26200EF5"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w:t>
            </w:r>
          </w:p>
        </w:tc>
        <w:tc>
          <w:tcPr>
            <w:tcW w:w="475" w:type="dxa"/>
            <w:vAlign w:val="center"/>
            <w:hideMark/>
          </w:tcPr>
          <w:p w14:paraId="36EA95FC"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w:t>
            </w:r>
          </w:p>
        </w:tc>
        <w:tc>
          <w:tcPr>
            <w:tcW w:w="606" w:type="dxa"/>
            <w:vAlign w:val="center"/>
            <w:hideMark/>
          </w:tcPr>
          <w:p w14:paraId="6088BB3D"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220</w:t>
            </w:r>
          </w:p>
        </w:tc>
        <w:tc>
          <w:tcPr>
            <w:tcW w:w="606" w:type="dxa"/>
            <w:vAlign w:val="center"/>
          </w:tcPr>
          <w:p w14:paraId="7883F311" w14:textId="77777777" w:rsidR="00EF0532" w:rsidRPr="003A53A4"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19</w:t>
            </w:r>
          </w:p>
        </w:tc>
      </w:tr>
      <w:tr w:rsidR="00EF0532" w14:paraId="3024B146" w14:textId="77777777" w:rsidTr="00716933">
        <w:trPr>
          <w:trHeight w:hRule="exact" w:val="227"/>
          <w:jc w:val="center"/>
        </w:trPr>
        <w:tc>
          <w:tcPr>
            <w:tcW w:w="2945" w:type="dxa"/>
            <w:vAlign w:val="center"/>
          </w:tcPr>
          <w:p w14:paraId="12AA2318" w14:textId="77777777" w:rsidR="00EF0532" w:rsidRDefault="00EF0532" w:rsidP="00716933">
            <w:pPr>
              <w:spacing w:after="0" w:line="240" w:lineRule="auto"/>
              <w:ind w:firstLineChars="100" w:firstLine="140"/>
              <w:rPr>
                <w:rFonts w:ascii="Arial" w:hAnsi="Arial"/>
                <w:color w:val="000000"/>
                <w:sz w:val="14"/>
                <w:szCs w:val="14"/>
              </w:rPr>
            </w:pPr>
            <w:r>
              <w:rPr>
                <w:rFonts w:ascii="Arial" w:hAnsi="Arial"/>
                <w:color w:val="000000"/>
                <w:sz w:val="14"/>
                <w:szCs w:val="14"/>
              </w:rPr>
              <w:t>Q3</w:t>
            </w:r>
          </w:p>
        </w:tc>
        <w:tc>
          <w:tcPr>
            <w:tcW w:w="472" w:type="dxa"/>
            <w:vAlign w:val="center"/>
          </w:tcPr>
          <w:p w14:paraId="24111CF9"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16</w:t>
            </w:r>
          </w:p>
        </w:tc>
        <w:tc>
          <w:tcPr>
            <w:tcW w:w="472" w:type="dxa"/>
            <w:shd w:val="clear" w:color="auto" w:fill="D9D9D9"/>
            <w:vAlign w:val="center"/>
          </w:tcPr>
          <w:p w14:paraId="3F913A59"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12</w:t>
            </w:r>
          </w:p>
        </w:tc>
        <w:tc>
          <w:tcPr>
            <w:tcW w:w="471" w:type="dxa"/>
            <w:vAlign w:val="center"/>
          </w:tcPr>
          <w:p w14:paraId="41784385"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8</w:t>
            </w:r>
          </w:p>
        </w:tc>
        <w:tc>
          <w:tcPr>
            <w:tcW w:w="472" w:type="dxa"/>
            <w:vAlign w:val="center"/>
          </w:tcPr>
          <w:p w14:paraId="3DC32154"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6</w:t>
            </w:r>
          </w:p>
        </w:tc>
        <w:tc>
          <w:tcPr>
            <w:tcW w:w="472" w:type="dxa"/>
            <w:tcBorders>
              <w:right w:val="single" w:sz="8" w:space="0" w:color="auto"/>
            </w:tcBorders>
            <w:vAlign w:val="center"/>
          </w:tcPr>
          <w:p w14:paraId="01E26F75"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5</w:t>
            </w:r>
          </w:p>
        </w:tc>
        <w:tc>
          <w:tcPr>
            <w:tcW w:w="475" w:type="dxa"/>
            <w:tcBorders>
              <w:left w:val="single" w:sz="8" w:space="0" w:color="auto"/>
            </w:tcBorders>
            <w:vAlign w:val="center"/>
          </w:tcPr>
          <w:p w14:paraId="66DA8A1B"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17</w:t>
            </w:r>
          </w:p>
        </w:tc>
        <w:tc>
          <w:tcPr>
            <w:tcW w:w="475" w:type="dxa"/>
            <w:shd w:val="clear" w:color="auto" w:fill="D9D9D9"/>
            <w:vAlign w:val="center"/>
          </w:tcPr>
          <w:p w14:paraId="68F12D43"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16</w:t>
            </w:r>
          </w:p>
        </w:tc>
        <w:tc>
          <w:tcPr>
            <w:tcW w:w="475" w:type="dxa"/>
            <w:vAlign w:val="center"/>
          </w:tcPr>
          <w:p w14:paraId="07625310"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14</w:t>
            </w:r>
          </w:p>
        </w:tc>
        <w:tc>
          <w:tcPr>
            <w:tcW w:w="475" w:type="dxa"/>
            <w:vAlign w:val="center"/>
          </w:tcPr>
          <w:p w14:paraId="6219399E"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15</w:t>
            </w:r>
          </w:p>
        </w:tc>
        <w:tc>
          <w:tcPr>
            <w:tcW w:w="475" w:type="dxa"/>
            <w:vAlign w:val="center"/>
          </w:tcPr>
          <w:p w14:paraId="7CC45410"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15</w:t>
            </w:r>
          </w:p>
        </w:tc>
        <w:tc>
          <w:tcPr>
            <w:tcW w:w="606" w:type="dxa"/>
            <w:vAlign w:val="center"/>
          </w:tcPr>
          <w:p w14:paraId="12D9D8B6"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230</w:t>
            </w:r>
          </w:p>
        </w:tc>
        <w:tc>
          <w:tcPr>
            <w:tcW w:w="606" w:type="dxa"/>
            <w:vAlign w:val="center"/>
          </w:tcPr>
          <w:p w14:paraId="4A5B6B00"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19</w:t>
            </w:r>
          </w:p>
        </w:tc>
      </w:tr>
      <w:tr w:rsidR="00EF0532" w14:paraId="3DFCF8A1" w14:textId="77777777" w:rsidTr="00716933">
        <w:trPr>
          <w:trHeight w:hRule="exact" w:val="227"/>
          <w:jc w:val="center"/>
        </w:trPr>
        <w:tc>
          <w:tcPr>
            <w:tcW w:w="2945" w:type="dxa"/>
            <w:vAlign w:val="center"/>
          </w:tcPr>
          <w:p w14:paraId="0AB18ED8" w14:textId="77777777" w:rsidR="00EF0532" w:rsidRDefault="00EF0532" w:rsidP="00716933">
            <w:pPr>
              <w:spacing w:after="0" w:line="240" w:lineRule="auto"/>
              <w:ind w:firstLineChars="100" w:firstLine="140"/>
              <w:rPr>
                <w:rFonts w:ascii="Arial" w:hAnsi="Arial"/>
                <w:color w:val="000000"/>
                <w:sz w:val="14"/>
                <w:szCs w:val="14"/>
              </w:rPr>
            </w:pPr>
            <w:r>
              <w:rPr>
                <w:rFonts w:ascii="Arial" w:hAnsi="Arial"/>
                <w:color w:val="000000"/>
                <w:sz w:val="14"/>
                <w:szCs w:val="14"/>
              </w:rPr>
              <w:t>Q4</w:t>
            </w:r>
          </w:p>
        </w:tc>
        <w:tc>
          <w:tcPr>
            <w:tcW w:w="472" w:type="dxa"/>
            <w:vAlign w:val="center"/>
          </w:tcPr>
          <w:p w14:paraId="58C1A1B9"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21</w:t>
            </w:r>
          </w:p>
        </w:tc>
        <w:tc>
          <w:tcPr>
            <w:tcW w:w="472" w:type="dxa"/>
            <w:shd w:val="clear" w:color="auto" w:fill="D9D9D9"/>
            <w:vAlign w:val="center"/>
          </w:tcPr>
          <w:p w14:paraId="17662B53"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17</w:t>
            </w:r>
          </w:p>
        </w:tc>
        <w:tc>
          <w:tcPr>
            <w:tcW w:w="471" w:type="dxa"/>
            <w:vAlign w:val="center"/>
          </w:tcPr>
          <w:p w14:paraId="4598BEF5"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13</w:t>
            </w:r>
          </w:p>
        </w:tc>
        <w:tc>
          <w:tcPr>
            <w:tcW w:w="472" w:type="dxa"/>
            <w:vAlign w:val="center"/>
          </w:tcPr>
          <w:p w14:paraId="0FE29280"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9</w:t>
            </w:r>
          </w:p>
        </w:tc>
        <w:tc>
          <w:tcPr>
            <w:tcW w:w="472" w:type="dxa"/>
            <w:tcBorders>
              <w:right w:val="single" w:sz="8" w:space="0" w:color="auto"/>
            </w:tcBorders>
            <w:vAlign w:val="center"/>
          </w:tcPr>
          <w:p w14:paraId="021AF5A5"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6</w:t>
            </w:r>
          </w:p>
        </w:tc>
        <w:tc>
          <w:tcPr>
            <w:tcW w:w="475" w:type="dxa"/>
            <w:tcBorders>
              <w:left w:val="single" w:sz="8" w:space="0" w:color="auto"/>
            </w:tcBorders>
            <w:vAlign w:val="center"/>
          </w:tcPr>
          <w:p w14:paraId="5F4E76CF"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24</w:t>
            </w:r>
          </w:p>
        </w:tc>
        <w:tc>
          <w:tcPr>
            <w:tcW w:w="475" w:type="dxa"/>
            <w:shd w:val="clear" w:color="auto" w:fill="D9D9D9"/>
            <w:vAlign w:val="center"/>
          </w:tcPr>
          <w:p w14:paraId="6030C20F"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24</w:t>
            </w:r>
          </w:p>
        </w:tc>
        <w:tc>
          <w:tcPr>
            <w:tcW w:w="475" w:type="dxa"/>
            <w:vAlign w:val="center"/>
          </w:tcPr>
          <w:p w14:paraId="4991A8A4"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23</w:t>
            </w:r>
          </w:p>
        </w:tc>
        <w:tc>
          <w:tcPr>
            <w:tcW w:w="475" w:type="dxa"/>
            <w:vAlign w:val="center"/>
          </w:tcPr>
          <w:p w14:paraId="73FF8AB2"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22</w:t>
            </w:r>
          </w:p>
        </w:tc>
        <w:tc>
          <w:tcPr>
            <w:tcW w:w="475" w:type="dxa"/>
            <w:vAlign w:val="center"/>
          </w:tcPr>
          <w:p w14:paraId="2D78B6D1"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21</w:t>
            </w:r>
          </w:p>
        </w:tc>
        <w:tc>
          <w:tcPr>
            <w:tcW w:w="606" w:type="dxa"/>
            <w:vAlign w:val="center"/>
          </w:tcPr>
          <w:p w14:paraId="0B0A35FD"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240</w:t>
            </w:r>
          </w:p>
        </w:tc>
        <w:tc>
          <w:tcPr>
            <w:tcW w:w="606" w:type="dxa"/>
            <w:vAlign w:val="center"/>
          </w:tcPr>
          <w:p w14:paraId="21C5D805" w14:textId="77777777" w:rsidR="00EF0532" w:rsidRDefault="00EF0532" w:rsidP="00716933">
            <w:pPr>
              <w:spacing w:after="0" w:line="240" w:lineRule="auto"/>
              <w:jc w:val="center"/>
              <w:rPr>
                <w:rFonts w:ascii="Arial" w:hAnsi="Arial"/>
                <w:color w:val="000000"/>
                <w:sz w:val="14"/>
                <w:szCs w:val="14"/>
              </w:rPr>
            </w:pPr>
            <w:r>
              <w:rPr>
                <w:rFonts w:ascii="Arial" w:hAnsi="Arial"/>
                <w:color w:val="000000"/>
                <w:sz w:val="14"/>
                <w:szCs w:val="14"/>
              </w:rPr>
              <w:t>20</w:t>
            </w:r>
          </w:p>
        </w:tc>
      </w:tr>
      <w:tr w:rsidR="00EF0532" w:rsidRPr="003A53A4" w14:paraId="7970FFBB" w14:textId="77777777" w:rsidTr="00716933">
        <w:trPr>
          <w:trHeight w:hRule="exact" w:val="227"/>
          <w:jc w:val="center"/>
        </w:trPr>
        <w:tc>
          <w:tcPr>
            <w:tcW w:w="2945" w:type="dxa"/>
            <w:vAlign w:val="center"/>
            <w:hideMark/>
          </w:tcPr>
          <w:p w14:paraId="2CDB16E6" w14:textId="77777777" w:rsidR="00EF0532" w:rsidRPr="00C2206C" w:rsidRDefault="00EF0532" w:rsidP="00716933">
            <w:pPr>
              <w:spacing w:after="0" w:line="240" w:lineRule="auto"/>
              <w:ind w:firstLineChars="100" w:firstLine="140"/>
              <w:rPr>
                <w:rFonts w:ascii="Arial" w:eastAsia="Times New Roman" w:hAnsi="Arial" w:cs="Times New Roman"/>
                <w:color w:val="000000"/>
                <w:sz w:val="14"/>
                <w:szCs w:val="14"/>
                <w:lang w:eastAsia="en-NZ"/>
              </w:rPr>
            </w:pPr>
            <w:r>
              <w:rPr>
                <w:rFonts w:ascii="Arial" w:hAnsi="Arial"/>
                <w:color w:val="000000"/>
                <w:sz w:val="14"/>
                <w:szCs w:val="14"/>
              </w:rPr>
              <w:t>Q5 (most deprived 20%)</w:t>
            </w:r>
          </w:p>
        </w:tc>
        <w:tc>
          <w:tcPr>
            <w:tcW w:w="472" w:type="dxa"/>
            <w:vAlign w:val="center"/>
            <w:hideMark/>
          </w:tcPr>
          <w:p w14:paraId="6C0A4A4C"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38</w:t>
            </w:r>
          </w:p>
        </w:tc>
        <w:tc>
          <w:tcPr>
            <w:tcW w:w="472" w:type="dxa"/>
            <w:shd w:val="clear" w:color="auto" w:fill="D9D9D9"/>
            <w:vAlign w:val="center"/>
            <w:hideMark/>
          </w:tcPr>
          <w:p w14:paraId="61D13028"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31</w:t>
            </w:r>
          </w:p>
        </w:tc>
        <w:tc>
          <w:tcPr>
            <w:tcW w:w="471" w:type="dxa"/>
            <w:vAlign w:val="center"/>
            <w:hideMark/>
          </w:tcPr>
          <w:p w14:paraId="313153C3"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27</w:t>
            </w:r>
          </w:p>
        </w:tc>
        <w:tc>
          <w:tcPr>
            <w:tcW w:w="472" w:type="dxa"/>
            <w:vAlign w:val="center"/>
            <w:hideMark/>
          </w:tcPr>
          <w:p w14:paraId="4C672287"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21</w:t>
            </w:r>
          </w:p>
        </w:tc>
        <w:tc>
          <w:tcPr>
            <w:tcW w:w="472" w:type="dxa"/>
            <w:tcBorders>
              <w:right w:val="single" w:sz="8" w:space="0" w:color="auto"/>
            </w:tcBorders>
            <w:vAlign w:val="center"/>
            <w:hideMark/>
          </w:tcPr>
          <w:p w14:paraId="2BA461D9"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16</w:t>
            </w:r>
          </w:p>
        </w:tc>
        <w:tc>
          <w:tcPr>
            <w:tcW w:w="475" w:type="dxa"/>
            <w:tcBorders>
              <w:left w:val="single" w:sz="8" w:space="0" w:color="auto"/>
            </w:tcBorders>
            <w:vAlign w:val="center"/>
            <w:hideMark/>
          </w:tcPr>
          <w:p w14:paraId="5C4A7C46"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46</w:t>
            </w:r>
          </w:p>
        </w:tc>
        <w:tc>
          <w:tcPr>
            <w:tcW w:w="475" w:type="dxa"/>
            <w:shd w:val="clear" w:color="auto" w:fill="D9D9D9"/>
            <w:vAlign w:val="center"/>
            <w:hideMark/>
          </w:tcPr>
          <w:p w14:paraId="308E7D58"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49</w:t>
            </w:r>
          </w:p>
        </w:tc>
        <w:tc>
          <w:tcPr>
            <w:tcW w:w="475" w:type="dxa"/>
            <w:vAlign w:val="center"/>
            <w:hideMark/>
          </w:tcPr>
          <w:p w14:paraId="656B72BB"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54</w:t>
            </w:r>
          </w:p>
        </w:tc>
        <w:tc>
          <w:tcPr>
            <w:tcW w:w="475" w:type="dxa"/>
            <w:vAlign w:val="center"/>
            <w:hideMark/>
          </w:tcPr>
          <w:p w14:paraId="661D6100"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57</w:t>
            </w:r>
          </w:p>
        </w:tc>
        <w:tc>
          <w:tcPr>
            <w:tcW w:w="475" w:type="dxa"/>
            <w:vAlign w:val="center"/>
            <w:hideMark/>
          </w:tcPr>
          <w:p w14:paraId="101F1A84"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59</w:t>
            </w:r>
          </w:p>
        </w:tc>
        <w:tc>
          <w:tcPr>
            <w:tcW w:w="606" w:type="dxa"/>
            <w:vAlign w:val="center"/>
            <w:hideMark/>
          </w:tcPr>
          <w:p w14:paraId="1448E171" w14:textId="77777777" w:rsidR="00EF0532" w:rsidRPr="00C2206C"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265</w:t>
            </w:r>
          </w:p>
        </w:tc>
        <w:tc>
          <w:tcPr>
            <w:tcW w:w="606" w:type="dxa"/>
            <w:vAlign w:val="center"/>
          </w:tcPr>
          <w:p w14:paraId="4AFD7B53" w14:textId="77777777" w:rsidR="00EF0532" w:rsidRPr="003A53A4" w:rsidRDefault="00EF0532" w:rsidP="00716933">
            <w:pPr>
              <w:spacing w:after="0" w:line="240" w:lineRule="auto"/>
              <w:jc w:val="center"/>
              <w:rPr>
                <w:rFonts w:ascii="Arial" w:eastAsia="Times New Roman" w:hAnsi="Arial" w:cs="Times New Roman"/>
                <w:color w:val="000000"/>
                <w:sz w:val="14"/>
                <w:szCs w:val="14"/>
              </w:rPr>
            </w:pPr>
            <w:r>
              <w:rPr>
                <w:rFonts w:ascii="Arial" w:hAnsi="Arial"/>
                <w:color w:val="000000"/>
                <w:sz w:val="14"/>
                <w:szCs w:val="14"/>
              </w:rPr>
              <w:t>23</w:t>
            </w:r>
          </w:p>
        </w:tc>
      </w:tr>
    </w:tbl>
    <w:p w14:paraId="604FAA5D" w14:textId="2F798670" w:rsidR="00D85BC9" w:rsidRDefault="00EF0532" w:rsidP="00BB3C88">
      <w:pPr>
        <w:spacing w:before="60" w:after="0" w:line="240" w:lineRule="auto"/>
        <w:rPr>
          <w:rFonts w:ascii="Arial Mäori" w:hAnsi="Arial Mäori"/>
          <w:sz w:val="16"/>
          <w:szCs w:val="16"/>
        </w:rPr>
      </w:pPr>
      <w:r w:rsidRPr="00BB3C88">
        <w:rPr>
          <w:rFonts w:ascii="Arial Mäori" w:hAnsi="Arial Mäori"/>
          <w:sz w:val="16"/>
          <w:szCs w:val="16"/>
        </w:rPr>
        <w:t>Note</w:t>
      </w:r>
      <w:r w:rsidR="00D85BC9">
        <w:rPr>
          <w:rFonts w:ascii="Arial Mäori" w:hAnsi="Arial Mäori"/>
          <w:sz w:val="16"/>
          <w:szCs w:val="16"/>
        </w:rPr>
        <w:t>s for table</w:t>
      </w:r>
      <w:r w:rsidRPr="00BB3C88">
        <w:rPr>
          <w:rFonts w:ascii="Arial Mäori" w:hAnsi="Arial Mäori"/>
          <w:sz w:val="16"/>
          <w:szCs w:val="16"/>
        </w:rPr>
        <w:t xml:space="preserve">: </w:t>
      </w:r>
    </w:p>
    <w:p w14:paraId="7F0FAE4D" w14:textId="4240152F" w:rsidR="00EF0532" w:rsidRDefault="00D85BC9">
      <w:pPr>
        <w:pStyle w:val="ListParagraph"/>
        <w:numPr>
          <w:ilvl w:val="0"/>
          <w:numId w:val="90"/>
        </w:numPr>
        <w:spacing w:before="60" w:after="0" w:line="240" w:lineRule="auto"/>
        <w:ind w:left="567" w:hanging="207"/>
        <w:rPr>
          <w:rFonts w:ascii="Arial Mäori" w:hAnsi="Arial Mäori"/>
          <w:sz w:val="16"/>
          <w:szCs w:val="16"/>
        </w:rPr>
      </w:pPr>
      <w:r>
        <w:rPr>
          <w:rFonts w:ascii="Arial Mäori" w:hAnsi="Arial Mäori"/>
          <w:sz w:val="16"/>
          <w:szCs w:val="16"/>
        </w:rPr>
        <w:t>r</w:t>
      </w:r>
      <w:r w:rsidR="00EF0532" w:rsidRPr="00D85BC9">
        <w:rPr>
          <w:rFonts w:ascii="Arial Mäori" w:hAnsi="Arial Mäori"/>
          <w:sz w:val="16"/>
          <w:szCs w:val="16"/>
        </w:rPr>
        <w:t>ates are suppressed for cells where the numerator is under 5k</w:t>
      </w:r>
    </w:p>
    <w:p w14:paraId="4B47C729" w14:textId="77777777" w:rsidR="007F4F8A" w:rsidRDefault="007F4F8A">
      <w:pPr>
        <w:spacing w:after="0" w:line="240" w:lineRule="auto"/>
        <w:rPr>
          <w:rFonts w:ascii="Arial" w:hAnsi="Arial"/>
          <w:b/>
          <w:bCs/>
          <w:color w:val="000000" w:themeColor="text1"/>
          <w:szCs w:val="20"/>
        </w:rPr>
      </w:pPr>
      <w:r>
        <w:rPr>
          <w:rFonts w:ascii="Arial" w:hAnsi="Arial"/>
          <w:b/>
          <w:bCs/>
          <w:color w:val="000000" w:themeColor="text1"/>
          <w:szCs w:val="20"/>
        </w:rPr>
        <w:br w:type="page"/>
      </w:r>
    </w:p>
    <w:p w14:paraId="29FEDD7F" w14:textId="597A7E2F" w:rsidR="00EF0532" w:rsidRDefault="00EF0532">
      <w:pPr>
        <w:spacing w:after="0" w:line="240" w:lineRule="auto"/>
        <w:rPr>
          <w:rFonts w:ascii="Arial" w:hAnsi="Arial"/>
          <w:b/>
          <w:bCs/>
          <w:color w:val="000000" w:themeColor="text1"/>
          <w:szCs w:val="20"/>
        </w:rPr>
      </w:pPr>
      <w:r>
        <w:rPr>
          <w:rFonts w:ascii="Arial" w:hAnsi="Arial"/>
          <w:b/>
          <w:bCs/>
          <w:color w:val="000000" w:themeColor="text1"/>
          <w:szCs w:val="20"/>
        </w:rPr>
        <w:lastRenderedPageBreak/>
        <w:br w:type="page"/>
      </w:r>
    </w:p>
    <w:p w14:paraId="2739389D" w14:textId="163BA225" w:rsidR="009B7BA9" w:rsidRPr="005078C4" w:rsidRDefault="009B7BA9" w:rsidP="009B7BA9">
      <w:pPr>
        <w:tabs>
          <w:tab w:val="right" w:pos="9026"/>
        </w:tabs>
        <w:spacing w:after="60" w:line="240" w:lineRule="auto"/>
        <w:rPr>
          <w:rFonts w:ascii="Arial" w:hAnsi="Arial"/>
          <w:b/>
          <w:bCs/>
          <w:color w:val="000000" w:themeColor="text1"/>
          <w:sz w:val="36"/>
          <w:szCs w:val="36"/>
        </w:rPr>
      </w:pPr>
      <w:r w:rsidRPr="005078C4">
        <w:rPr>
          <w:rFonts w:ascii="Arial" w:hAnsi="Arial"/>
          <w:b/>
          <w:bCs/>
          <w:color w:val="000000" w:themeColor="text1"/>
          <w:sz w:val="36"/>
          <w:szCs w:val="36"/>
        </w:rPr>
        <w:lastRenderedPageBreak/>
        <w:t xml:space="preserve">Section </w:t>
      </w:r>
      <w:r w:rsidR="00B80B66">
        <w:rPr>
          <w:rFonts w:ascii="Arial" w:hAnsi="Arial"/>
          <w:b/>
          <w:bCs/>
          <w:color w:val="000000" w:themeColor="text1"/>
          <w:sz w:val="36"/>
          <w:szCs w:val="36"/>
        </w:rPr>
        <w:t>F</w:t>
      </w:r>
      <w:r w:rsidRPr="005078C4">
        <w:rPr>
          <w:rFonts w:ascii="Arial" w:hAnsi="Arial"/>
          <w:b/>
          <w:bCs/>
          <w:color w:val="000000" w:themeColor="text1"/>
          <w:sz w:val="36"/>
          <w:szCs w:val="36"/>
        </w:rPr>
        <w:t xml:space="preserve">   </w:t>
      </w:r>
    </w:p>
    <w:p w14:paraId="593D93A2" w14:textId="77777777" w:rsidR="009B7BA9" w:rsidRPr="005078C4" w:rsidRDefault="009B7BA9" w:rsidP="009B7BA9">
      <w:pPr>
        <w:tabs>
          <w:tab w:val="right" w:pos="9026"/>
        </w:tabs>
        <w:spacing w:after="0" w:line="240" w:lineRule="auto"/>
        <w:rPr>
          <w:rFonts w:ascii="Arial" w:hAnsi="Arial"/>
          <w:b/>
          <w:bCs/>
          <w:color w:val="000000" w:themeColor="text1"/>
          <w:sz w:val="28"/>
          <w:szCs w:val="28"/>
        </w:rPr>
      </w:pPr>
      <w:r w:rsidRPr="005078C4">
        <w:rPr>
          <w:rFonts w:ascii="Arial" w:hAnsi="Arial"/>
          <w:b/>
          <w:bCs/>
          <w:color w:val="000000" w:themeColor="text1"/>
          <w:sz w:val="28"/>
          <w:szCs w:val="28"/>
        </w:rPr>
        <w:t>Trends in material hardship and material wellbeing for children: headline rates and breakdowns by selected household and child characteristics</w:t>
      </w:r>
    </w:p>
    <w:p w14:paraId="2A559B53" w14:textId="77777777" w:rsidR="009B7BA9" w:rsidRDefault="009B7BA9" w:rsidP="009B7BA9">
      <w:pPr>
        <w:spacing w:after="0" w:line="240" w:lineRule="auto"/>
        <w:rPr>
          <w:rStyle w:val="Hyperlink"/>
          <w:rFonts w:ascii="Arial" w:hAnsi="Arial"/>
          <w:color w:val="000000" w:themeColor="text1"/>
          <w:szCs w:val="20"/>
          <w:u w:val="none"/>
        </w:rPr>
      </w:pPr>
    </w:p>
    <w:p w14:paraId="31348117" w14:textId="6C9BCBCD" w:rsidR="009B7BA9" w:rsidRPr="00BF2CF5" w:rsidRDefault="009B7BA9" w:rsidP="009B7BA9">
      <w:pPr>
        <w:spacing w:after="0" w:line="240" w:lineRule="auto"/>
        <w:rPr>
          <w:rStyle w:val="Hyperlink"/>
          <w:rFonts w:ascii="Arial" w:hAnsi="Arial"/>
          <w:color w:val="000000" w:themeColor="text1"/>
          <w:szCs w:val="20"/>
          <w:u w:val="none"/>
        </w:rPr>
      </w:pPr>
      <w:r w:rsidRPr="00BF2CF5">
        <w:rPr>
          <w:rStyle w:val="Hyperlink"/>
          <w:rFonts w:ascii="Arial" w:hAnsi="Arial"/>
          <w:color w:val="000000" w:themeColor="text1"/>
          <w:szCs w:val="20"/>
          <w:u w:val="none"/>
        </w:rPr>
        <w:t>This section reports the trends in material hardship for children from HES 2007 to H</w:t>
      </w:r>
      <w:r w:rsidR="001616C1">
        <w:rPr>
          <w:rStyle w:val="Hyperlink"/>
          <w:rFonts w:ascii="Arial" w:hAnsi="Arial"/>
          <w:color w:val="000000" w:themeColor="text1"/>
          <w:szCs w:val="20"/>
          <w:u w:val="none"/>
        </w:rPr>
        <w:t>ILS</w:t>
      </w:r>
      <w:r w:rsidRPr="00BF2CF5">
        <w:rPr>
          <w:rStyle w:val="Hyperlink"/>
          <w:rFonts w:ascii="Arial" w:hAnsi="Arial"/>
          <w:color w:val="000000" w:themeColor="text1"/>
          <w:szCs w:val="20"/>
          <w:u w:val="none"/>
        </w:rPr>
        <w:t xml:space="preserve"> 202</w:t>
      </w:r>
      <w:r>
        <w:rPr>
          <w:rStyle w:val="Hyperlink"/>
          <w:rFonts w:ascii="Arial" w:hAnsi="Arial"/>
          <w:color w:val="000000" w:themeColor="text1"/>
          <w:szCs w:val="20"/>
          <w:u w:val="none"/>
        </w:rPr>
        <w:t>5</w:t>
      </w:r>
      <w:r w:rsidRPr="00BF2CF5">
        <w:rPr>
          <w:rStyle w:val="Hyperlink"/>
          <w:rFonts w:ascii="Arial" w:hAnsi="Arial"/>
          <w:color w:val="000000" w:themeColor="text1"/>
          <w:szCs w:val="20"/>
          <w:u w:val="none"/>
        </w:rPr>
        <w:t>:</w:t>
      </w:r>
    </w:p>
    <w:p w14:paraId="46492333" w14:textId="77777777" w:rsidR="009B7BA9" w:rsidRPr="00BF2CF5" w:rsidRDefault="009B7BA9">
      <w:pPr>
        <w:pStyle w:val="ListParagraph"/>
        <w:numPr>
          <w:ilvl w:val="0"/>
          <w:numId w:val="54"/>
        </w:numPr>
        <w:spacing w:before="60" w:after="0" w:line="240" w:lineRule="auto"/>
        <w:ind w:left="714" w:hanging="357"/>
        <w:contextualSpacing w:val="0"/>
        <w:rPr>
          <w:rStyle w:val="Hyperlink"/>
          <w:rFonts w:ascii="Arial" w:hAnsi="Arial"/>
          <w:color w:val="000000" w:themeColor="text1"/>
          <w:szCs w:val="20"/>
          <w:u w:val="none"/>
        </w:rPr>
      </w:pPr>
      <w:r>
        <w:rPr>
          <w:rStyle w:val="Hyperlink"/>
          <w:rFonts w:ascii="Arial" w:hAnsi="Arial"/>
          <w:color w:val="000000" w:themeColor="text1"/>
          <w:szCs w:val="20"/>
          <w:u w:val="none"/>
        </w:rPr>
        <w:t xml:space="preserve">for </w:t>
      </w:r>
      <w:r w:rsidRPr="00BF2CF5">
        <w:rPr>
          <w:rStyle w:val="Hyperlink"/>
          <w:rFonts w:ascii="Arial" w:hAnsi="Arial"/>
          <w:color w:val="000000" w:themeColor="text1"/>
          <w:szCs w:val="20"/>
          <w:u w:val="none"/>
        </w:rPr>
        <w:t xml:space="preserve">all children </w:t>
      </w:r>
    </w:p>
    <w:p w14:paraId="7ED83F2E" w14:textId="77777777" w:rsidR="009B7BA9" w:rsidRDefault="009B7BA9">
      <w:pPr>
        <w:pStyle w:val="ListParagraph"/>
        <w:numPr>
          <w:ilvl w:val="0"/>
          <w:numId w:val="54"/>
        </w:numPr>
        <w:spacing w:before="60" w:after="0" w:line="240" w:lineRule="auto"/>
        <w:ind w:left="714" w:hanging="357"/>
        <w:contextualSpacing w:val="0"/>
        <w:rPr>
          <w:rStyle w:val="Hyperlink"/>
          <w:rFonts w:ascii="Arial" w:hAnsi="Arial"/>
          <w:color w:val="000000" w:themeColor="text1"/>
          <w:szCs w:val="20"/>
          <w:u w:val="none"/>
        </w:rPr>
      </w:pPr>
      <w:r>
        <w:rPr>
          <w:rStyle w:val="Hyperlink"/>
          <w:rFonts w:ascii="Arial" w:hAnsi="Arial"/>
          <w:color w:val="000000" w:themeColor="text1"/>
          <w:szCs w:val="20"/>
          <w:u w:val="none"/>
        </w:rPr>
        <w:t>for children compared to the whole population and older New Zealanders (66+)</w:t>
      </w:r>
    </w:p>
    <w:p w14:paraId="48FCB7E1" w14:textId="77777777" w:rsidR="009B7BA9" w:rsidRDefault="009B7BA9">
      <w:pPr>
        <w:pStyle w:val="ListParagraph"/>
        <w:numPr>
          <w:ilvl w:val="0"/>
          <w:numId w:val="53"/>
        </w:numPr>
        <w:spacing w:before="60" w:after="0" w:line="240" w:lineRule="auto"/>
        <w:ind w:left="714" w:hanging="357"/>
        <w:contextualSpacing w:val="0"/>
        <w:rPr>
          <w:rStyle w:val="Hyperlink"/>
          <w:rFonts w:ascii="Arial" w:hAnsi="Arial"/>
          <w:color w:val="000000" w:themeColor="text1"/>
          <w:szCs w:val="20"/>
          <w:u w:val="none"/>
        </w:rPr>
      </w:pPr>
      <w:r>
        <w:rPr>
          <w:rStyle w:val="Hyperlink"/>
          <w:rFonts w:ascii="Arial" w:hAnsi="Arial"/>
          <w:color w:val="000000" w:themeColor="text1"/>
          <w:szCs w:val="20"/>
          <w:u w:val="none"/>
        </w:rPr>
        <w:t>by household tenure</w:t>
      </w:r>
    </w:p>
    <w:p w14:paraId="2227096F" w14:textId="77777777" w:rsidR="009B7BA9" w:rsidRDefault="009B7BA9">
      <w:pPr>
        <w:pStyle w:val="ListParagraph"/>
        <w:numPr>
          <w:ilvl w:val="0"/>
          <w:numId w:val="53"/>
        </w:numPr>
        <w:spacing w:before="60" w:after="0" w:line="240" w:lineRule="auto"/>
        <w:ind w:left="714" w:hanging="357"/>
        <w:contextualSpacing w:val="0"/>
        <w:rPr>
          <w:rStyle w:val="Hyperlink"/>
          <w:rFonts w:ascii="Arial" w:hAnsi="Arial"/>
          <w:color w:val="000000" w:themeColor="text1"/>
          <w:szCs w:val="20"/>
          <w:u w:val="none"/>
        </w:rPr>
      </w:pPr>
      <w:r>
        <w:rPr>
          <w:rStyle w:val="Hyperlink"/>
          <w:rFonts w:ascii="Arial" w:hAnsi="Arial"/>
          <w:color w:val="000000" w:themeColor="text1"/>
          <w:szCs w:val="20"/>
          <w:u w:val="none"/>
        </w:rPr>
        <w:t>by ethnic group of the children</w:t>
      </w:r>
    </w:p>
    <w:p w14:paraId="4EA1A0DE" w14:textId="77777777" w:rsidR="009B7BA9" w:rsidRDefault="009B7BA9">
      <w:pPr>
        <w:pStyle w:val="ListParagraph"/>
        <w:numPr>
          <w:ilvl w:val="0"/>
          <w:numId w:val="53"/>
        </w:numPr>
        <w:spacing w:before="60" w:after="0" w:line="240" w:lineRule="auto"/>
        <w:contextualSpacing w:val="0"/>
        <w:rPr>
          <w:rStyle w:val="Hyperlink"/>
          <w:rFonts w:ascii="Arial" w:hAnsi="Arial"/>
          <w:color w:val="000000" w:themeColor="text1"/>
          <w:szCs w:val="20"/>
          <w:u w:val="none"/>
        </w:rPr>
      </w:pPr>
      <w:r>
        <w:rPr>
          <w:rStyle w:val="Hyperlink"/>
          <w:rFonts w:ascii="Arial" w:hAnsi="Arial"/>
          <w:color w:val="000000" w:themeColor="text1"/>
          <w:szCs w:val="20"/>
          <w:u w:val="none"/>
        </w:rPr>
        <w:t>by disability status</w:t>
      </w:r>
    </w:p>
    <w:p w14:paraId="332EF1F1" w14:textId="2B046B4A" w:rsidR="00D32B94" w:rsidRDefault="009B7BA9">
      <w:pPr>
        <w:pStyle w:val="ListParagraph"/>
        <w:numPr>
          <w:ilvl w:val="0"/>
          <w:numId w:val="53"/>
        </w:numPr>
        <w:spacing w:before="60" w:after="0" w:line="240" w:lineRule="auto"/>
        <w:contextualSpacing w:val="0"/>
        <w:rPr>
          <w:rStyle w:val="Hyperlink"/>
          <w:rFonts w:ascii="Arial" w:hAnsi="Arial"/>
          <w:color w:val="000000" w:themeColor="text1"/>
          <w:szCs w:val="20"/>
          <w:u w:val="none"/>
        </w:rPr>
      </w:pPr>
      <w:r w:rsidRPr="00BF2CF5">
        <w:rPr>
          <w:rStyle w:val="Hyperlink"/>
          <w:rFonts w:ascii="Arial" w:hAnsi="Arial"/>
          <w:color w:val="000000" w:themeColor="text1"/>
          <w:szCs w:val="20"/>
          <w:u w:val="none"/>
        </w:rPr>
        <w:t>by main source of income of the household (market or government</w:t>
      </w:r>
      <w:r w:rsidR="00D32B94">
        <w:rPr>
          <w:rStyle w:val="Hyperlink"/>
          <w:rFonts w:ascii="Arial" w:hAnsi="Arial"/>
          <w:color w:val="000000" w:themeColor="text1"/>
          <w:szCs w:val="20"/>
          <w:u w:val="none"/>
        </w:rPr>
        <w:t>)</w:t>
      </w:r>
    </w:p>
    <w:p w14:paraId="463AF1F9" w14:textId="6394CD53" w:rsidR="009B7BA9" w:rsidRPr="00D32B94" w:rsidRDefault="009B7BA9">
      <w:pPr>
        <w:pStyle w:val="ListParagraph"/>
        <w:numPr>
          <w:ilvl w:val="0"/>
          <w:numId w:val="53"/>
        </w:numPr>
        <w:spacing w:before="60" w:after="0" w:line="240" w:lineRule="auto"/>
        <w:contextualSpacing w:val="0"/>
        <w:rPr>
          <w:rStyle w:val="Hyperlink"/>
          <w:rFonts w:ascii="Arial" w:hAnsi="Arial"/>
          <w:color w:val="000000" w:themeColor="text1"/>
          <w:szCs w:val="20"/>
          <w:u w:val="none"/>
        </w:rPr>
      </w:pPr>
      <w:r w:rsidRPr="00D32B94">
        <w:rPr>
          <w:rStyle w:val="Hyperlink"/>
          <w:rFonts w:ascii="Arial" w:hAnsi="Arial"/>
          <w:color w:val="000000" w:themeColor="text1"/>
          <w:szCs w:val="20"/>
          <w:u w:val="none"/>
        </w:rPr>
        <w:t>% of children living in workless households – trend with international comparisons</w:t>
      </w:r>
      <w:r w:rsidR="00D32B94">
        <w:rPr>
          <w:rStyle w:val="Hyperlink"/>
          <w:rFonts w:ascii="Arial" w:hAnsi="Arial"/>
          <w:color w:val="000000" w:themeColor="text1"/>
          <w:szCs w:val="20"/>
          <w:u w:val="none"/>
        </w:rPr>
        <w:t>.</w:t>
      </w:r>
    </w:p>
    <w:p w14:paraId="5E61CA07" w14:textId="77777777" w:rsidR="009B7BA9" w:rsidRDefault="009B7BA9" w:rsidP="009B7BA9">
      <w:pPr>
        <w:pStyle w:val="ListParagraph"/>
        <w:spacing w:before="60" w:after="0" w:line="240" w:lineRule="auto"/>
        <w:ind w:left="714"/>
        <w:contextualSpacing w:val="0"/>
        <w:rPr>
          <w:rStyle w:val="Hyperlink"/>
          <w:rFonts w:ascii="Arial" w:hAnsi="Arial"/>
          <w:color w:val="000000" w:themeColor="text1"/>
          <w:szCs w:val="20"/>
          <w:u w:val="none"/>
        </w:rPr>
      </w:pPr>
    </w:p>
    <w:p w14:paraId="68904FF3" w14:textId="77777777" w:rsidR="009B7BA9" w:rsidRDefault="009B7BA9" w:rsidP="009B7BA9">
      <w:pPr>
        <w:spacing w:after="0" w:line="240" w:lineRule="auto"/>
        <w:rPr>
          <w:rStyle w:val="Hyperlink"/>
          <w:rFonts w:ascii="Arial" w:hAnsi="Arial"/>
          <w:color w:val="000000" w:themeColor="text1"/>
          <w:szCs w:val="20"/>
          <w:u w:val="none"/>
        </w:rPr>
      </w:pPr>
    </w:p>
    <w:p w14:paraId="0357FC37" w14:textId="77777777" w:rsidR="009B7BA9" w:rsidRPr="00D856E2" w:rsidRDefault="009B7BA9" w:rsidP="009B7BA9">
      <w:pPr>
        <w:tabs>
          <w:tab w:val="right" w:pos="9026"/>
        </w:tabs>
        <w:spacing w:after="0" w:line="240" w:lineRule="auto"/>
        <w:rPr>
          <w:rFonts w:ascii="Arial" w:hAnsi="Arial"/>
          <w:b/>
          <w:bCs/>
          <w:color w:val="000000" w:themeColor="text1"/>
          <w:sz w:val="24"/>
          <w:szCs w:val="24"/>
        </w:rPr>
      </w:pPr>
      <w:r w:rsidRPr="00D856E2">
        <w:rPr>
          <w:rFonts w:ascii="Arial" w:hAnsi="Arial"/>
          <w:b/>
          <w:bCs/>
          <w:color w:val="000000" w:themeColor="text1"/>
          <w:sz w:val="24"/>
          <w:szCs w:val="24"/>
        </w:rPr>
        <w:t>The approach taken to reporting material hardship trends</w:t>
      </w:r>
    </w:p>
    <w:p w14:paraId="617382C6" w14:textId="77777777" w:rsidR="009B7BA9" w:rsidRDefault="009B7BA9" w:rsidP="009B7BA9">
      <w:pPr>
        <w:spacing w:after="0" w:line="240" w:lineRule="auto"/>
        <w:rPr>
          <w:rFonts w:ascii="Arial" w:hAnsi="Arial"/>
          <w:b/>
          <w:bCs/>
          <w:color w:val="000000" w:themeColor="text1"/>
          <w:szCs w:val="20"/>
        </w:rPr>
      </w:pPr>
    </w:p>
    <w:p w14:paraId="276CD9FF" w14:textId="2FA9CF31" w:rsidR="009B7BA9" w:rsidRPr="005042A8" w:rsidRDefault="009B7BA9" w:rsidP="009B7BA9">
      <w:pPr>
        <w:spacing w:after="0" w:line="240" w:lineRule="auto"/>
        <w:rPr>
          <w:rFonts w:ascii="Arial" w:hAnsi="Arial"/>
          <w:b/>
          <w:bCs/>
          <w:i/>
          <w:iCs/>
          <w:color w:val="000000" w:themeColor="text1"/>
          <w:szCs w:val="20"/>
        </w:rPr>
      </w:pPr>
      <w:r w:rsidRPr="005042A8">
        <w:rPr>
          <w:rFonts w:ascii="Arial" w:hAnsi="Arial"/>
          <w:b/>
          <w:bCs/>
          <w:i/>
          <w:iCs/>
          <w:color w:val="000000" w:themeColor="text1"/>
          <w:szCs w:val="20"/>
        </w:rPr>
        <w:t>The analysis uses the Material Wellbeing Index (MWI) to estimate material hardship (MH) levels, enabling a longer time series than using DEP-17</w:t>
      </w:r>
      <w:r w:rsidR="001616C1">
        <w:rPr>
          <w:rFonts w:ascii="Arial" w:hAnsi="Arial"/>
          <w:b/>
          <w:bCs/>
          <w:i/>
          <w:iCs/>
          <w:color w:val="000000" w:themeColor="text1"/>
          <w:szCs w:val="20"/>
        </w:rPr>
        <w:t xml:space="preserve"> and MH-18</w:t>
      </w:r>
    </w:p>
    <w:p w14:paraId="15F3CCFA" w14:textId="77777777" w:rsidR="009B7BA9" w:rsidRDefault="009B7BA9" w:rsidP="009B7BA9">
      <w:pPr>
        <w:spacing w:after="0" w:line="240" w:lineRule="auto"/>
        <w:rPr>
          <w:rFonts w:ascii="Arial" w:hAnsi="Arial"/>
          <w:color w:val="000000" w:themeColor="text1"/>
          <w:szCs w:val="20"/>
        </w:rPr>
      </w:pPr>
    </w:p>
    <w:p w14:paraId="450B5548" w14:textId="0D4A6B37" w:rsidR="009B7BA9" w:rsidRPr="001551F0" w:rsidRDefault="009B7BA9" w:rsidP="009B7BA9">
      <w:pPr>
        <w:pStyle w:val="ListParagraph"/>
        <w:spacing w:line="240" w:lineRule="auto"/>
        <w:ind w:left="0"/>
        <w:contextualSpacing w:val="0"/>
        <w:rPr>
          <w:rFonts w:ascii="Arial" w:hAnsi="Arial"/>
          <w:color w:val="000000" w:themeColor="text1"/>
          <w:szCs w:val="20"/>
        </w:rPr>
      </w:pPr>
      <w:r w:rsidRPr="001551F0">
        <w:rPr>
          <w:rFonts w:ascii="Arial" w:hAnsi="Arial"/>
          <w:color w:val="000000" w:themeColor="text1"/>
          <w:szCs w:val="20"/>
        </w:rPr>
        <w:t xml:space="preserve">For reporting on </w:t>
      </w:r>
      <w:r>
        <w:rPr>
          <w:rFonts w:ascii="Arial" w:hAnsi="Arial"/>
          <w:color w:val="000000" w:themeColor="text1"/>
          <w:szCs w:val="20"/>
        </w:rPr>
        <w:t>MH</w:t>
      </w:r>
      <w:r w:rsidRPr="001551F0">
        <w:rPr>
          <w:rFonts w:ascii="Arial" w:hAnsi="Arial"/>
          <w:color w:val="000000" w:themeColor="text1"/>
          <w:szCs w:val="20"/>
        </w:rPr>
        <w:t xml:space="preserve"> trends, the MSD report uses the </w:t>
      </w:r>
      <w:r>
        <w:rPr>
          <w:rFonts w:ascii="Arial" w:hAnsi="Arial"/>
          <w:color w:val="000000" w:themeColor="text1"/>
          <w:szCs w:val="20"/>
        </w:rPr>
        <w:t>MWI</w:t>
      </w:r>
      <w:r w:rsidR="00D32B94">
        <w:rPr>
          <w:rStyle w:val="FootnoteReference"/>
          <w:rFonts w:ascii="Arial" w:hAnsi="Arial"/>
          <w:color w:val="000000" w:themeColor="text1"/>
          <w:szCs w:val="20"/>
        </w:rPr>
        <w:footnoteReference w:id="55"/>
      </w:r>
      <w:r w:rsidR="00D32B94" w:rsidRPr="001551F0">
        <w:rPr>
          <w:rFonts w:ascii="Arial" w:hAnsi="Arial"/>
          <w:color w:val="000000" w:themeColor="text1"/>
          <w:szCs w:val="20"/>
        </w:rPr>
        <w:t xml:space="preserve"> </w:t>
      </w:r>
      <w:r w:rsidRPr="001551F0">
        <w:rPr>
          <w:rFonts w:ascii="Arial" w:hAnsi="Arial"/>
          <w:color w:val="000000" w:themeColor="text1"/>
          <w:szCs w:val="20"/>
        </w:rPr>
        <w:t>and its predecessor</w:t>
      </w:r>
      <w:r w:rsidR="00D32B94">
        <w:rPr>
          <w:rFonts w:ascii="Arial" w:hAnsi="Arial"/>
          <w:color w:val="000000" w:themeColor="text1"/>
          <w:szCs w:val="20"/>
        </w:rPr>
        <w:t xml:space="preserve"> </w:t>
      </w:r>
      <w:r w:rsidRPr="001551F0">
        <w:rPr>
          <w:rFonts w:ascii="Arial" w:hAnsi="Arial"/>
          <w:color w:val="000000" w:themeColor="text1"/>
          <w:szCs w:val="20"/>
        </w:rPr>
        <w:t>as these can give the trend</w:t>
      </w:r>
      <w:r>
        <w:rPr>
          <w:rFonts w:ascii="Arial" w:hAnsi="Arial"/>
          <w:color w:val="000000" w:themeColor="text1"/>
          <w:szCs w:val="20"/>
        </w:rPr>
        <w:t>s</w:t>
      </w:r>
      <w:r w:rsidRPr="001551F0">
        <w:rPr>
          <w:rFonts w:ascii="Arial" w:hAnsi="Arial"/>
          <w:color w:val="000000" w:themeColor="text1"/>
          <w:szCs w:val="20"/>
        </w:rPr>
        <w:t xml:space="preserve"> from 2007 whereas the DEP-17 index can start only at 2013. The two indices report the same trends</w:t>
      </w:r>
      <w:r>
        <w:rPr>
          <w:rFonts w:ascii="Arial" w:hAnsi="Arial"/>
          <w:color w:val="000000" w:themeColor="text1"/>
          <w:szCs w:val="20"/>
        </w:rPr>
        <w:t>, especially when using a two-year rolling average,</w:t>
      </w:r>
      <w:r w:rsidRPr="001551F0">
        <w:rPr>
          <w:rFonts w:ascii="Arial" w:hAnsi="Arial"/>
          <w:color w:val="000000" w:themeColor="text1"/>
          <w:szCs w:val="20"/>
        </w:rPr>
        <w:t xml:space="preserve"> and give very similar hardship rates in a given year</w:t>
      </w:r>
      <w:r>
        <w:rPr>
          <w:rFonts w:ascii="Arial" w:hAnsi="Arial"/>
          <w:color w:val="000000" w:themeColor="text1"/>
          <w:szCs w:val="20"/>
        </w:rPr>
        <w:t xml:space="preserve">. For example, HES 2023-24 MH rates for children </w:t>
      </w:r>
      <w:r w:rsidR="001616C1">
        <w:rPr>
          <w:rFonts w:ascii="Arial" w:hAnsi="Arial"/>
          <w:color w:val="000000" w:themeColor="text1"/>
          <w:szCs w:val="20"/>
        </w:rPr>
        <w:t>were</w:t>
      </w:r>
      <w:r>
        <w:rPr>
          <w:rFonts w:ascii="Arial" w:hAnsi="Arial"/>
          <w:color w:val="000000" w:themeColor="text1"/>
          <w:szCs w:val="20"/>
        </w:rPr>
        <w:t xml:space="preserve"> 13.5% using </w:t>
      </w:r>
      <w:r w:rsidR="00D32B94">
        <w:rPr>
          <w:rFonts w:ascii="Arial" w:hAnsi="Arial"/>
          <w:color w:val="000000" w:themeColor="text1"/>
          <w:szCs w:val="20"/>
        </w:rPr>
        <w:t xml:space="preserve">both </w:t>
      </w:r>
      <w:r>
        <w:rPr>
          <w:rFonts w:ascii="Arial" w:hAnsi="Arial"/>
          <w:color w:val="000000" w:themeColor="text1"/>
          <w:szCs w:val="20"/>
        </w:rPr>
        <w:t xml:space="preserve">DEP-17 and </w:t>
      </w:r>
      <w:r w:rsidR="00D32B94">
        <w:rPr>
          <w:rFonts w:ascii="Arial" w:hAnsi="Arial"/>
          <w:color w:val="000000" w:themeColor="text1"/>
          <w:szCs w:val="20"/>
        </w:rPr>
        <w:t>and</w:t>
      </w:r>
      <w:r>
        <w:rPr>
          <w:rFonts w:ascii="Arial" w:hAnsi="Arial"/>
          <w:color w:val="000000" w:themeColor="text1"/>
          <w:szCs w:val="20"/>
        </w:rPr>
        <w:t xml:space="preserve"> MWI-24, and for the HILS 2024-25 year they </w:t>
      </w:r>
      <w:r w:rsidR="001616C1">
        <w:rPr>
          <w:rFonts w:ascii="Arial" w:hAnsi="Arial"/>
          <w:color w:val="000000" w:themeColor="text1"/>
          <w:szCs w:val="20"/>
        </w:rPr>
        <w:t>were</w:t>
      </w:r>
      <w:r>
        <w:rPr>
          <w:rFonts w:ascii="Arial" w:hAnsi="Arial"/>
          <w:color w:val="000000" w:themeColor="text1"/>
          <w:szCs w:val="20"/>
        </w:rPr>
        <w:t xml:space="preserve"> 14.3% for MH-18 and 14.4% for MWI-26. See </w:t>
      </w:r>
      <w:r w:rsidRPr="00CD1B6A">
        <w:rPr>
          <w:rFonts w:ascii="Arial" w:hAnsi="Arial"/>
          <w:b/>
          <w:bCs/>
          <w:color w:val="000000" w:themeColor="text1"/>
          <w:szCs w:val="20"/>
        </w:rPr>
        <w:t xml:space="preserve">Appendix </w:t>
      </w:r>
      <w:r w:rsidR="0073789A" w:rsidRPr="00CD1B6A">
        <w:rPr>
          <w:rFonts w:ascii="Arial" w:hAnsi="Arial"/>
          <w:b/>
          <w:bCs/>
          <w:color w:val="000000" w:themeColor="text1"/>
          <w:szCs w:val="20"/>
        </w:rPr>
        <w:t>4</w:t>
      </w:r>
      <w:r w:rsidRPr="00CD1B6A">
        <w:rPr>
          <w:rFonts w:ascii="Arial" w:hAnsi="Arial"/>
          <w:b/>
          <w:bCs/>
          <w:color w:val="000000" w:themeColor="text1"/>
          <w:szCs w:val="20"/>
        </w:rPr>
        <w:t xml:space="preserve"> </w:t>
      </w:r>
      <w:r w:rsidRPr="00CD1B6A">
        <w:rPr>
          <w:rFonts w:ascii="Arial" w:hAnsi="Arial"/>
          <w:color w:val="000000" w:themeColor="text1"/>
          <w:szCs w:val="20"/>
        </w:rPr>
        <w:t>for comparisons</w:t>
      </w:r>
      <w:r>
        <w:rPr>
          <w:rFonts w:ascii="Arial" w:hAnsi="Arial"/>
          <w:color w:val="000000" w:themeColor="text1"/>
          <w:szCs w:val="20"/>
        </w:rPr>
        <w:t xml:space="preserve"> over the last ten years.</w:t>
      </w:r>
    </w:p>
    <w:p w14:paraId="5ED3896A" w14:textId="77777777" w:rsidR="009B7BA9" w:rsidRPr="007E6359" w:rsidRDefault="009B7BA9" w:rsidP="009B7BA9">
      <w:pPr>
        <w:spacing w:after="0" w:line="240" w:lineRule="auto"/>
        <w:rPr>
          <w:rFonts w:ascii="Arial" w:hAnsi="Arial"/>
          <w:color w:val="000000" w:themeColor="text1"/>
          <w:szCs w:val="20"/>
          <w:highlight w:val="yellow"/>
        </w:rPr>
      </w:pPr>
    </w:p>
    <w:p w14:paraId="744B94AD" w14:textId="77777777" w:rsidR="009B7BA9" w:rsidRPr="009B45F9" w:rsidRDefault="009B7BA9" w:rsidP="009B7BA9">
      <w:pPr>
        <w:spacing w:after="0" w:line="240" w:lineRule="auto"/>
        <w:rPr>
          <w:rFonts w:ascii="Arial" w:hAnsi="Arial"/>
          <w:b/>
          <w:bCs/>
          <w:i/>
          <w:iCs/>
          <w:color w:val="000000" w:themeColor="text1"/>
          <w:szCs w:val="20"/>
        </w:rPr>
      </w:pPr>
      <w:r w:rsidRPr="009B45F9">
        <w:rPr>
          <w:rFonts w:ascii="Arial" w:hAnsi="Arial"/>
          <w:b/>
          <w:bCs/>
          <w:i/>
          <w:iCs/>
          <w:color w:val="000000" w:themeColor="text1"/>
          <w:szCs w:val="20"/>
        </w:rPr>
        <w:t>The focus is on overall smoothed trends rather than year-on-year or other short-run changes</w:t>
      </w:r>
    </w:p>
    <w:p w14:paraId="1293A3A4" w14:textId="77777777" w:rsidR="009B7BA9" w:rsidRPr="005217D2" w:rsidRDefault="009B7BA9" w:rsidP="009B7BA9">
      <w:pPr>
        <w:spacing w:after="0" w:line="240" w:lineRule="auto"/>
        <w:rPr>
          <w:rFonts w:ascii="Arial" w:hAnsi="Arial"/>
          <w:color w:val="000000" w:themeColor="text1"/>
          <w:szCs w:val="20"/>
          <w:highlight w:val="yellow"/>
        </w:rPr>
      </w:pPr>
      <w:r w:rsidRPr="005217D2">
        <w:rPr>
          <w:noProof/>
          <w:highlight w:val="yellow"/>
        </w:rPr>
        <w:drawing>
          <wp:anchor distT="0" distB="0" distL="114300" distR="114300" simplePos="0" relativeHeight="252958720" behindDoc="0" locked="0" layoutInCell="1" allowOverlap="1" wp14:anchorId="1242CD72" wp14:editId="72C439D1">
            <wp:simplePos x="0" y="0"/>
            <wp:positionH relativeFrom="margin">
              <wp:posOffset>3333750</wp:posOffset>
            </wp:positionH>
            <wp:positionV relativeFrom="paragraph">
              <wp:posOffset>117475</wp:posOffset>
            </wp:positionV>
            <wp:extent cx="2307590" cy="1457325"/>
            <wp:effectExtent l="0" t="0" r="0" b="9525"/>
            <wp:wrapSquare wrapText="bothSides"/>
            <wp:docPr id="17564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7542"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07590" cy="1457325"/>
                    </a:xfrm>
                    <a:prstGeom prst="rect">
                      <a:avLst/>
                    </a:prstGeom>
                  </pic:spPr>
                </pic:pic>
              </a:graphicData>
            </a:graphic>
            <wp14:sizeRelH relativeFrom="page">
              <wp14:pctWidth>0</wp14:pctWidth>
            </wp14:sizeRelH>
            <wp14:sizeRelV relativeFrom="page">
              <wp14:pctHeight>0</wp14:pctHeight>
            </wp14:sizeRelV>
          </wp:anchor>
        </w:drawing>
      </w:r>
    </w:p>
    <w:p w14:paraId="44F9888B" w14:textId="1F3DE65D" w:rsidR="009B7BA9" w:rsidRPr="009B45F9" w:rsidRDefault="009B7BA9" w:rsidP="009B7BA9">
      <w:pPr>
        <w:spacing w:after="0" w:line="240" w:lineRule="auto"/>
        <w:rPr>
          <w:rFonts w:ascii="Arial" w:hAnsi="Arial"/>
          <w:color w:val="000000" w:themeColor="text1"/>
          <w:szCs w:val="20"/>
        </w:rPr>
      </w:pPr>
      <w:r w:rsidRPr="009B45F9">
        <w:rPr>
          <w:rFonts w:ascii="Arial" w:hAnsi="Arial"/>
          <w:color w:val="000000" w:themeColor="text1"/>
          <w:szCs w:val="20"/>
        </w:rPr>
        <w:t>When comparing year-on-year figures it is important to take into account the sampling errors</w:t>
      </w:r>
      <w:r w:rsidRPr="009B45F9">
        <w:rPr>
          <w:rStyle w:val="FootnoteReference"/>
          <w:rFonts w:ascii="Arial" w:hAnsi="Arial"/>
          <w:color w:val="000000" w:themeColor="text1"/>
          <w:szCs w:val="20"/>
        </w:rPr>
        <w:footnoteReference w:id="56"/>
      </w:r>
      <w:r w:rsidRPr="009B45F9">
        <w:rPr>
          <w:rFonts w:ascii="Arial" w:hAnsi="Arial"/>
          <w:color w:val="000000" w:themeColor="text1"/>
          <w:szCs w:val="20"/>
        </w:rPr>
        <w:t xml:space="preserve"> for the point estimates (see error bars in the chart), and also the resulting sampling errors on the changes themselves. For example, the sampling error on the </w:t>
      </w:r>
      <w:r w:rsidR="001616C1">
        <w:rPr>
          <w:rFonts w:ascii="Arial" w:hAnsi="Arial"/>
          <w:color w:val="000000" w:themeColor="text1"/>
          <w:szCs w:val="20"/>
        </w:rPr>
        <w:t xml:space="preserve">reported </w:t>
      </w:r>
      <w:r w:rsidRPr="009B45F9">
        <w:rPr>
          <w:rFonts w:ascii="Arial" w:hAnsi="Arial"/>
          <w:color w:val="000000" w:themeColor="text1"/>
          <w:szCs w:val="20"/>
        </w:rPr>
        <w:t>2.0 ppt increase from 21-22 to 22-23 is itself 2.0 ppt,</w:t>
      </w:r>
      <w:r w:rsidRPr="009B45F9">
        <w:rPr>
          <w:rStyle w:val="FootnoteReference"/>
          <w:rFonts w:ascii="Arial" w:hAnsi="Arial"/>
          <w:color w:val="000000" w:themeColor="text1"/>
          <w:szCs w:val="20"/>
        </w:rPr>
        <w:footnoteReference w:id="57"/>
      </w:r>
      <w:r w:rsidRPr="009B45F9">
        <w:rPr>
          <w:rFonts w:ascii="Arial" w:hAnsi="Arial"/>
          <w:color w:val="000000" w:themeColor="text1"/>
          <w:szCs w:val="20"/>
        </w:rPr>
        <w:t xml:space="preserve"> thus making the change only just statistically significant despite what ‘looks’ like a definite increase in the chart.</w:t>
      </w:r>
      <w:r w:rsidRPr="009B45F9">
        <w:rPr>
          <w:rStyle w:val="FootnoteReference"/>
          <w:rFonts w:ascii="Arial" w:hAnsi="Arial"/>
          <w:color w:val="000000" w:themeColor="text1"/>
          <w:szCs w:val="20"/>
        </w:rPr>
        <w:footnoteReference w:id="58"/>
      </w:r>
      <w:r w:rsidRPr="009B45F9">
        <w:rPr>
          <w:rFonts w:ascii="Arial" w:hAnsi="Arial"/>
          <w:color w:val="000000" w:themeColor="text1"/>
          <w:szCs w:val="20"/>
        </w:rPr>
        <w:t xml:space="preserve"> </w:t>
      </w:r>
    </w:p>
    <w:p w14:paraId="33F81EA7" w14:textId="77777777" w:rsidR="009B7BA9" w:rsidRPr="005217D2" w:rsidRDefault="009B7BA9" w:rsidP="009B7BA9">
      <w:pPr>
        <w:spacing w:after="0" w:line="240" w:lineRule="auto"/>
        <w:rPr>
          <w:rFonts w:ascii="Arial" w:hAnsi="Arial"/>
          <w:color w:val="000000" w:themeColor="text1"/>
          <w:szCs w:val="20"/>
          <w:highlight w:val="yellow"/>
        </w:rPr>
      </w:pPr>
    </w:p>
    <w:p w14:paraId="50BCC48F" w14:textId="4C354C1D" w:rsidR="009B7BA9" w:rsidRPr="005217D2" w:rsidRDefault="009B7BA9" w:rsidP="009B7BA9">
      <w:pPr>
        <w:spacing w:after="0" w:line="240" w:lineRule="auto"/>
        <w:rPr>
          <w:rFonts w:ascii="Arial" w:hAnsi="Arial"/>
          <w:color w:val="000000" w:themeColor="text1"/>
          <w:szCs w:val="20"/>
          <w:highlight w:val="yellow"/>
        </w:rPr>
      </w:pPr>
      <w:r w:rsidRPr="009B45F9">
        <w:rPr>
          <w:rFonts w:ascii="Arial" w:hAnsi="Arial"/>
          <w:color w:val="000000" w:themeColor="text1"/>
          <w:szCs w:val="20"/>
        </w:rPr>
        <w:t xml:space="preserve">When reporting on changes over time the focus in this report is usually on longer-run trends rather than on the year-on-year or other short-run changes that Stats NZ use in compliance with their responsibilities under the Child Poverty Reduction Act. </w:t>
      </w:r>
    </w:p>
    <w:p w14:paraId="74CD7E42" w14:textId="77777777" w:rsidR="009B7BA9" w:rsidRDefault="009B7BA9" w:rsidP="009B7BA9">
      <w:pPr>
        <w:spacing w:after="0" w:line="240" w:lineRule="auto"/>
        <w:rPr>
          <w:rFonts w:ascii="Arial" w:hAnsi="Arial"/>
          <w:color w:val="000000" w:themeColor="text1"/>
          <w:szCs w:val="20"/>
        </w:rPr>
      </w:pPr>
      <w:r w:rsidRPr="009B45F9">
        <w:rPr>
          <w:rFonts w:ascii="Arial" w:hAnsi="Arial"/>
          <w:color w:val="000000" w:themeColor="text1"/>
          <w:szCs w:val="20"/>
        </w:rPr>
        <w:t>The trend lines are usually shown using a rolling two-year average to smooth the short-run fluctuations and better show the ‘big picture’. The smoothing can also help to reduce the risk of users (understandably) reading too much into year-on-year fluctuations when sampling errors are not to hand. The visual impression of a line on a chart is very powerful even when one is aware of the uncertainties inevitably present in any sample survey, even good quality ones.</w:t>
      </w:r>
      <w:r>
        <w:rPr>
          <w:rFonts w:ascii="Arial" w:hAnsi="Arial"/>
          <w:color w:val="000000" w:themeColor="text1"/>
          <w:szCs w:val="20"/>
        </w:rPr>
        <w:t xml:space="preserve"> </w:t>
      </w:r>
    </w:p>
    <w:p w14:paraId="0A71A1CA" w14:textId="77777777" w:rsidR="009B7BA9" w:rsidRDefault="009B7BA9" w:rsidP="009B7BA9">
      <w:pPr>
        <w:spacing w:after="0" w:line="240" w:lineRule="auto"/>
        <w:rPr>
          <w:rFonts w:ascii="Arial" w:hAnsi="Arial"/>
          <w:color w:val="000000" w:themeColor="text1"/>
          <w:szCs w:val="20"/>
        </w:rPr>
      </w:pPr>
    </w:p>
    <w:p w14:paraId="445886F1" w14:textId="77777777" w:rsidR="009B7BA9" w:rsidRPr="005042A8" w:rsidRDefault="009B7BA9" w:rsidP="009B7BA9">
      <w:pPr>
        <w:spacing w:after="0" w:line="240" w:lineRule="auto"/>
        <w:rPr>
          <w:rFonts w:ascii="Arial" w:hAnsi="Arial"/>
          <w:b/>
          <w:bCs/>
          <w:i/>
          <w:iCs/>
          <w:color w:val="000000" w:themeColor="text1"/>
          <w:szCs w:val="20"/>
        </w:rPr>
      </w:pPr>
      <w:r w:rsidRPr="005042A8">
        <w:rPr>
          <w:rFonts w:ascii="Arial" w:hAnsi="Arial"/>
          <w:b/>
          <w:bCs/>
          <w:i/>
          <w:iCs/>
          <w:color w:val="000000" w:themeColor="text1"/>
          <w:szCs w:val="20"/>
        </w:rPr>
        <w:t xml:space="preserve">The report takes a cautious approach for </w:t>
      </w:r>
      <w:r>
        <w:rPr>
          <w:rFonts w:ascii="Arial" w:hAnsi="Arial"/>
          <w:b/>
          <w:bCs/>
          <w:i/>
          <w:iCs/>
          <w:color w:val="000000" w:themeColor="text1"/>
          <w:szCs w:val="20"/>
        </w:rPr>
        <w:t xml:space="preserve">MH reporting for </w:t>
      </w:r>
      <w:r w:rsidRPr="005042A8">
        <w:rPr>
          <w:rFonts w:ascii="Arial" w:hAnsi="Arial"/>
          <w:b/>
          <w:bCs/>
          <w:i/>
          <w:iCs/>
          <w:color w:val="000000" w:themeColor="text1"/>
          <w:szCs w:val="20"/>
        </w:rPr>
        <w:t>the COVID-impacted years (2020-21 and 2021-22) –</w:t>
      </w:r>
      <w:r>
        <w:rPr>
          <w:rFonts w:ascii="Arial" w:hAnsi="Arial"/>
          <w:b/>
          <w:bCs/>
          <w:i/>
          <w:iCs/>
          <w:color w:val="000000" w:themeColor="text1"/>
          <w:szCs w:val="20"/>
        </w:rPr>
        <w:t xml:space="preserve"> plotting</w:t>
      </w:r>
      <w:r w:rsidRPr="005042A8">
        <w:rPr>
          <w:rFonts w:ascii="Arial" w:hAnsi="Arial"/>
          <w:b/>
          <w:bCs/>
          <w:i/>
          <w:iCs/>
          <w:color w:val="000000" w:themeColor="text1"/>
          <w:szCs w:val="20"/>
        </w:rPr>
        <w:t xml:space="preserve"> the measured MH rates for those years, but not ‘joining the dots’ as part of the time series (see </w:t>
      </w:r>
      <w:r>
        <w:rPr>
          <w:rFonts w:ascii="Arial" w:hAnsi="Arial"/>
          <w:b/>
          <w:bCs/>
          <w:i/>
          <w:iCs/>
          <w:color w:val="000000" w:themeColor="text1"/>
          <w:szCs w:val="20"/>
        </w:rPr>
        <w:t>chart below )</w:t>
      </w:r>
    </w:p>
    <w:p w14:paraId="133DAD1C" w14:textId="77777777" w:rsidR="009B7BA9" w:rsidRPr="002937F4" w:rsidRDefault="009B7BA9" w:rsidP="009B7BA9">
      <w:pPr>
        <w:spacing w:after="0" w:line="240" w:lineRule="auto"/>
        <w:rPr>
          <w:rFonts w:ascii="Arial" w:hAnsi="Arial"/>
          <w:b/>
          <w:bCs/>
          <w:color w:val="000000" w:themeColor="text1"/>
          <w:szCs w:val="20"/>
          <w:highlight w:val="yellow"/>
        </w:rPr>
      </w:pPr>
    </w:p>
    <w:p w14:paraId="290339F1" w14:textId="70B65E9C" w:rsidR="00BE548B" w:rsidRPr="007D313E" w:rsidRDefault="00BE548B" w:rsidP="00BE548B">
      <w:pPr>
        <w:spacing w:after="0" w:line="240" w:lineRule="auto"/>
        <w:rPr>
          <w:rFonts w:ascii="Arial" w:hAnsi="Arial"/>
          <w:color w:val="0000FF"/>
          <w:szCs w:val="20"/>
          <w:u w:val="single"/>
        </w:rPr>
      </w:pPr>
      <w:r w:rsidRPr="00422736">
        <w:rPr>
          <w:rFonts w:ascii="Arial" w:hAnsi="Arial"/>
          <w:color w:val="000000" w:themeColor="text1"/>
          <w:szCs w:val="20"/>
          <w:u w:val="single"/>
        </w:rPr>
        <w:t>Reporting for the COVID years</w:t>
      </w:r>
      <w:r>
        <w:rPr>
          <w:rFonts w:ascii="Arial" w:hAnsi="Arial"/>
          <w:color w:val="000000" w:themeColor="text1"/>
          <w:szCs w:val="20"/>
          <w:u w:val="single"/>
        </w:rPr>
        <w:t xml:space="preserve"> </w:t>
      </w:r>
    </w:p>
    <w:p w14:paraId="7BD2A797" w14:textId="77777777" w:rsidR="00BE548B" w:rsidRPr="00B05002" w:rsidRDefault="00BE548B" w:rsidP="00BE548B">
      <w:pPr>
        <w:spacing w:after="0" w:line="240" w:lineRule="auto"/>
        <w:rPr>
          <w:rFonts w:ascii="Arial" w:hAnsi="Arial"/>
          <w:color w:val="000000" w:themeColor="text1"/>
          <w:szCs w:val="20"/>
        </w:rPr>
      </w:pPr>
    </w:p>
    <w:p w14:paraId="5B745247" w14:textId="77777777" w:rsidR="00BE548B" w:rsidRDefault="00BE548B" w:rsidP="00BE548B">
      <w:pPr>
        <w:spacing w:after="0" w:line="240" w:lineRule="auto"/>
        <w:rPr>
          <w:rFonts w:ascii="Arial" w:hAnsi="Arial"/>
          <w:color w:val="000000" w:themeColor="text1"/>
          <w:szCs w:val="20"/>
        </w:rPr>
      </w:pPr>
      <w:r w:rsidRPr="004700D6">
        <w:rPr>
          <w:noProof/>
        </w:rPr>
        <w:drawing>
          <wp:anchor distT="0" distB="0" distL="114300" distR="114300" simplePos="0" relativeHeight="253048832" behindDoc="0" locked="0" layoutInCell="1" allowOverlap="1" wp14:anchorId="44A75062" wp14:editId="61C3A068">
            <wp:simplePos x="0" y="0"/>
            <wp:positionH relativeFrom="margin">
              <wp:align>right</wp:align>
            </wp:positionH>
            <wp:positionV relativeFrom="paragraph">
              <wp:posOffset>76200</wp:posOffset>
            </wp:positionV>
            <wp:extent cx="2898775" cy="1892300"/>
            <wp:effectExtent l="0" t="0" r="0" b="0"/>
            <wp:wrapSquare wrapText="bothSides"/>
            <wp:docPr id="190013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31786"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98775" cy="1892300"/>
                    </a:xfrm>
                    <a:prstGeom prst="rect">
                      <a:avLst/>
                    </a:prstGeom>
                  </pic:spPr>
                </pic:pic>
              </a:graphicData>
            </a:graphic>
            <wp14:sizeRelH relativeFrom="page">
              <wp14:pctWidth>0</wp14:pctWidth>
            </wp14:sizeRelH>
            <wp14:sizeRelV relativeFrom="page">
              <wp14:pctHeight>0</wp14:pctHeight>
            </wp14:sizeRelV>
          </wp:anchor>
        </w:drawing>
      </w:r>
      <w:r>
        <w:t>The</w:t>
      </w:r>
      <w:r>
        <w:rPr>
          <w:rFonts w:ascii="Arial" w:hAnsi="Arial"/>
          <w:color w:val="000000" w:themeColor="text1"/>
          <w:szCs w:val="20"/>
        </w:rPr>
        <w:t xml:space="preserve"> chart on the right shows the material hardship trend for children from 2018 to 2025</w:t>
      </w:r>
      <w:r>
        <w:rPr>
          <w:rStyle w:val="FootnoteReference"/>
          <w:rFonts w:ascii="Arial" w:hAnsi="Arial"/>
          <w:color w:val="000000" w:themeColor="text1"/>
          <w:szCs w:val="20"/>
        </w:rPr>
        <w:footnoteReference w:id="59"/>
      </w:r>
      <w:r>
        <w:rPr>
          <w:rFonts w:ascii="Arial" w:hAnsi="Arial"/>
          <w:color w:val="000000" w:themeColor="text1"/>
          <w:szCs w:val="20"/>
        </w:rPr>
        <w:t xml:space="preserve"> with its separate falling and rising sections. Setting aside for a moment any impact from COVID-related factors on the figures for 2021 and 2022, a fall through to 2022 is in line with the impact that could be expected from the </w:t>
      </w:r>
      <w:r w:rsidRPr="00F90C97">
        <w:rPr>
          <w:rFonts w:ascii="Arial" w:hAnsi="Arial"/>
          <w:color w:val="000000" w:themeColor="text1"/>
          <w:szCs w:val="20"/>
        </w:rPr>
        <w:t>considerable extra government support for households with children</w:t>
      </w:r>
      <w:r>
        <w:rPr>
          <w:rFonts w:ascii="Arial" w:hAnsi="Arial"/>
          <w:color w:val="000000" w:themeColor="text1"/>
          <w:szCs w:val="20"/>
        </w:rPr>
        <w:t xml:space="preserve"> over this period,</w:t>
      </w:r>
      <w:r w:rsidRPr="00F90C97">
        <w:rPr>
          <w:rFonts w:ascii="Arial" w:hAnsi="Arial"/>
          <w:color w:val="000000" w:themeColor="text1"/>
          <w:szCs w:val="20"/>
        </w:rPr>
        <w:t xml:space="preserve"> from initiatives such as real increases in core benefit rates</w:t>
      </w:r>
      <w:r>
        <w:rPr>
          <w:rFonts w:ascii="Arial" w:hAnsi="Arial"/>
          <w:color w:val="000000" w:themeColor="text1"/>
          <w:szCs w:val="20"/>
        </w:rPr>
        <w:t xml:space="preserve">, the lagged impact of the Families Package (including increases in the Family Tax Credit, the Accommodation Supplement, and </w:t>
      </w:r>
      <w:r w:rsidRPr="00F90C97">
        <w:rPr>
          <w:rFonts w:ascii="Arial" w:hAnsi="Arial"/>
          <w:color w:val="000000" w:themeColor="text1"/>
          <w:szCs w:val="20"/>
        </w:rPr>
        <w:t>the introduction of the Winter Energy Payment</w:t>
      </w:r>
      <w:r>
        <w:rPr>
          <w:rFonts w:ascii="Arial" w:hAnsi="Arial"/>
          <w:color w:val="000000" w:themeColor="text1"/>
          <w:szCs w:val="20"/>
        </w:rPr>
        <w:t>),</w:t>
      </w:r>
      <w:r w:rsidRPr="00F90C97">
        <w:rPr>
          <w:rFonts w:ascii="Arial" w:hAnsi="Arial"/>
          <w:color w:val="000000" w:themeColor="text1"/>
          <w:szCs w:val="20"/>
        </w:rPr>
        <w:t xml:space="preserve"> </w:t>
      </w:r>
      <w:r>
        <w:rPr>
          <w:rFonts w:ascii="Arial" w:hAnsi="Arial"/>
          <w:color w:val="000000" w:themeColor="text1"/>
          <w:szCs w:val="20"/>
        </w:rPr>
        <w:t>increases in</w:t>
      </w:r>
      <w:r w:rsidRPr="00F90C97">
        <w:rPr>
          <w:rFonts w:ascii="Arial" w:hAnsi="Arial"/>
          <w:color w:val="000000" w:themeColor="text1"/>
          <w:szCs w:val="20"/>
        </w:rPr>
        <w:t xml:space="preserve"> the minimum wage, </w:t>
      </w:r>
      <w:r>
        <w:rPr>
          <w:rFonts w:ascii="Arial" w:hAnsi="Arial"/>
          <w:color w:val="000000" w:themeColor="text1"/>
          <w:szCs w:val="20"/>
        </w:rPr>
        <w:t>subsidised public transport,</w:t>
      </w:r>
      <w:r w:rsidRPr="00F90C97">
        <w:rPr>
          <w:rFonts w:ascii="Arial" w:hAnsi="Arial"/>
          <w:color w:val="000000" w:themeColor="text1"/>
          <w:szCs w:val="20"/>
        </w:rPr>
        <w:t xml:space="preserve"> free doctor visits extended to cover all under 14s,</w:t>
      </w:r>
      <w:r>
        <w:rPr>
          <w:rFonts w:ascii="Arial" w:hAnsi="Arial"/>
          <w:color w:val="000000" w:themeColor="text1"/>
          <w:szCs w:val="20"/>
        </w:rPr>
        <w:t xml:space="preserve"> and so on. The subsequent rise in the MH rate can be understood as reflecting the lagged impact of elevated inflation which began in around June 2021. While most year-on-year changes in the period are not statistically significant,</w:t>
      </w:r>
      <w:r>
        <w:rPr>
          <w:rStyle w:val="FootnoteReference"/>
          <w:rFonts w:ascii="Arial" w:hAnsi="Arial"/>
          <w:color w:val="000000" w:themeColor="text1"/>
          <w:szCs w:val="20"/>
        </w:rPr>
        <w:footnoteReference w:id="60"/>
      </w:r>
      <w:r>
        <w:rPr>
          <w:rFonts w:ascii="Arial" w:hAnsi="Arial"/>
          <w:color w:val="000000" w:themeColor="text1"/>
          <w:szCs w:val="20"/>
        </w:rPr>
        <w:t xml:space="preserve"> the fall from 2019 to 2022 is, as is the rise from 2022 to 2025, indeed from 2023 to 2025 also. The net change from 2019 to 2025 is not statistically significant.</w:t>
      </w:r>
    </w:p>
    <w:p w14:paraId="1885428A" w14:textId="77777777" w:rsidR="00BE548B" w:rsidRDefault="00BE548B" w:rsidP="00BE548B">
      <w:pPr>
        <w:spacing w:after="0" w:line="240" w:lineRule="auto"/>
        <w:rPr>
          <w:rFonts w:ascii="Arial" w:hAnsi="Arial"/>
          <w:color w:val="000000" w:themeColor="text1"/>
          <w:szCs w:val="20"/>
        </w:rPr>
      </w:pPr>
    </w:p>
    <w:p w14:paraId="4B566C51" w14:textId="77777777" w:rsidR="00BE548B" w:rsidRDefault="00BE548B" w:rsidP="00BE548B">
      <w:pPr>
        <w:spacing w:line="240" w:lineRule="auto"/>
        <w:rPr>
          <w:rFonts w:ascii="Arial" w:hAnsi="Arial"/>
          <w:color w:val="000000" w:themeColor="text1"/>
          <w:szCs w:val="20"/>
        </w:rPr>
      </w:pPr>
      <w:r>
        <w:rPr>
          <w:rFonts w:ascii="Arial" w:hAnsi="Arial"/>
          <w:color w:val="000000" w:themeColor="text1"/>
          <w:szCs w:val="20"/>
        </w:rPr>
        <w:t xml:space="preserve">The above narrative is relatively straightforward and is plausible in its account of the general trend including both the initial decrease and the subsequent increase during the ‘cost of living crisis’. When however COVID-related factors are brought into consideration, there are grounds for questioning whether it is reasonable to join the dots for the COVID years (2021 and 2022) </w:t>
      </w:r>
      <w:r w:rsidRPr="003D0A5D">
        <w:rPr>
          <w:rFonts w:ascii="Arial" w:hAnsi="Arial"/>
          <w:color w:val="000000" w:themeColor="text1"/>
          <w:szCs w:val="20"/>
        </w:rPr>
        <w:t>as if they are part of a ‘normal’ time series.</w:t>
      </w:r>
      <w:r>
        <w:rPr>
          <w:rFonts w:ascii="Arial" w:hAnsi="Arial"/>
          <w:color w:val="000000" w:themeColor="text1"/>
          <w:szCs w:val="20"/>
        </w:rPr>
        <w:t xml:space="preserve">  </w:t>
      </w:r>
    </w:p>
    <w:p w14:paraId="4D864481" w14:textId="7A4F2FFB" w:rsidR="00BE548B" w:rsidRPr="00673D85" w:rsidRDefault="00BE548B">
      <w:pPr>
        <w:pStyle w:val="ListParagraph"/>
        <w:numPr>
          <w:ilvl w:val="0"/>
          <w:numId w:val="81"/>
        </w:numPr>
        <w:spacing w:line="240" w:lineRule="auto"/>
        <w:ind w:left="426" w:hanging="284"/>
        <w:contextualSpacing w:val="0"/>
        <w:rPr>
          <w:rFonts w:ascii="Arial" w:hAnsi="Arial"/>
          <w:color w:val="000000" w:themeColor="text1"/>
          <w:szCs w:val="20"/>
        </w:rPr>
      </w:pPr>
      <w:r>
        <w:rPr>
          <w:rFonts w:ascii="Arial" w:hAnsi="Arial"/>
          <w:color w:val="000000" w:themeColor="text1"/>
          <w:szCs w:val="20"/>
        </w:rPr>
        <w:t>B</w:t>
      </w:r>
      <w:r w:rsidRPr="00673D85">
        <w:rPr>
          <w:rFonts w:ascii="Arial" w:hAnsi="Arial"/>
          <w:color w:val="000000" w:themeColor="text1"/>
          <w:szCs w:val="20"/>
        </w:rPr>
        <w:t>oth the 2020-21 and (especially) the 2021-22 data collections were severely disrupted by both the COVID restrictions and decisions made by households themselves. Weather disruption also impacted the 2021-22 collection.</w:t>
      </w:r>
      <w:r>
        <w:rPr>
          <w:rFonts w:ascii="Arial" w:hAnsi="Arial"/>
          <w:color w:val="000000" w:themeColor="text1"/>
          <w:szCs w:val="20"/>
        </w:rPr>
        <w:t xml:space="preserve"> </w:t>
      </w:r>
      <w:r w:rsidRPr="00673D85">
        <w:rPr>
          <w:rFonts w:ascii="Arial" w:hAnsi="Arial"/>
          <w:color w:val="000000" w:themeColor="text1"/>
          <w:szCs w:val="20"/>
        </w:rPr>
        <w:t xml:space="preserve">Stats NZ conducted extensive statistical analysis regarding the quality of the 2020-21 and 2021-22 data and concluded that from a purely statistical perspective the quality of the sampling and of the data for both these COVID-impacted HES years was good enough to publish the CPRA figures for children and the whole population but </w:t>
      </w:r>
      <w:r>
        <w:rPr>
          <w:rFonts w:ascii="Arial" w:hAnsi="Arial"/>
          <w:color w:val="000000" w:themeColor="text1"/>
          <w:szCs w:val="20"/>
        </w:rPr>
        <w:t>not for most sub-group analysis. Much of the time series analysis in this report is about sub-groups so there are grounds for not reporting time series continuity for those charts.</w:t>
      </w:r>
      <w:r w:rsidR="000513A0">
        <w:rPr>
          <w:rFonts w:ascii="Arial" w:hAnsi="Arial"/>
          <w:color w:val="000000" w:themeColor="text1"/>
          <w:szCs w:val="20"/>
        </w:rPr>
        <w:t xml:space="preserve"> For the sake of consistency</w:t>
      </w:r>
      <w:r w:rsidR="00BA3C3C">
        <w:rPr>
          <w:rFonts w:ascii="Arial" w:hAnsi="Arial"/>
          <w:color w:val="000000" w:themeColor="text1"/>
          <w:szCs w:val="20"/>
        </w:rPr>
        <w:t>,</w:t>
      </w:r>
      <w:r w:rsidR="000513A0">
        <w:rPr>
          <w:rFonts w:ascii="Arial" w:hAnsi="Arial"/>
          <w:color w:val="000000" w:themeColor="text1"/>
          <w:szCs w:val="20"/>
        </w:rPr>
        <w:t xml:space="preserve"> the report uses the same approach for the ‘all children’ chart.</w:t>
      </w:r>
    </w:p>
    <w:p w14:paraId="32FEE3FA" w14:textId="16555130" w:rsidR="00BE548B" w:rsidRDefault="00BE548B">
      <w:pPr>
        <w:pStyle w:val="ListParagraph"/>
        <w:numPr>
          <w:ilvl w:val="0"/>
          <w:numId w:val="81"/>
        </w:numPr>
        <w:spacing w:after="0" w:line="240" w:lineRule="auto"/>
        <w:ind w:left="426" w:hanging="284"/>
        <w:rPr>
          <w:rFonts w:ascii="Arial" w:hAnsi="Arial"/>
          <w:color w:val="000000" w:themeColor="text1"/>
          <w:szCs w:val="20"/>
        </w:rPr>
      </w:pPr>
      <w:r>
        <w:rPr>
          <w:rFonts w:ascii="Arial" w:hAnsi="Arial"/>
          <w:color w:val="000000" w:themeColor="text1"/>
          <w:szCs w:val="20"/>
        </w:rPr>
        <w:t xml:space="preserve">The second main consideration is quite different from those relating to the collection challenges. During the COVID years there was considerable extra government support for households and individuals. </w:t>
      </w:r>
      <w:r w:rsidRPr="00D27495">
        <w:rPr>
          <w:rFonts w:ascii="Arial" w:hAnsi="Arial"/>
          <w:color w:val="000000" w:themeColor="text1"/>
          <w:szCs w:val="20"/>
        </w:rPr>
        <w:t xml:space="preserve">The lockdowns and </w:t>
      </w:r>
      <w:r>
        <w:rPr>
          <w:rFonts w:ascii="Arial" w:hAnsi="Arial"/>
          <w:color w:val="000000" w:themeColor="text1"/>
          <w:szCs w:val="20"/>
        </w:rPr>
        <w:t>personal decisions about how to live safely</w:t>
      </w:r>
      <w:r w:rsidRPr="00D27495">
        <w:rPr>
          <w:rFonts w:ascii="Arial" w:hAnsi="Arial"/>
          <w:color w:val="000000" w:themeColor="text1"/>
          <w:szCs w:val="20"/>
        </w:rPr>
        <w:t xml:space="preserve"> led to changes in consumer behaviour</w:t>
      </w:r>
      <w:r>
        <w:rPr>
          <w:rFonts w:ascii="Arial" w:hAnsi="Arial"/>
          <w:color w:val="000000" w:themeColor="text1"/>
          <w:szCs w:val="20"/>
        </w:rPr>
        <w:t>. These factors no doubt had their own impact on reported material hardship levels in 2021 and 2022. This means that even if the data quality is good enough to use for reporting for all children, there is uncertainty when it comes to giving an account of what lies behind the figures for the COVID years.</w:t>
      </w:r>
      <w:r w:rsidR="000513A0">
        <w:rPr>
          <w:rFonts w:ascii="Arial" w:hAnsi="Arial"/>
          <w:color w:val="000000" w:themeColor="text1"/>
          <w:szCs w:val="20"/>
        </w:rPr>
        <w:t xml:space="preserve"> What was the relative contribution to the reported reduction in MH for children of the Families Package and the other extra government support noted above on one hand</w:t>
      </w:r>
      <w:r w:rsidR="00AF3E9F">
        <w:rPr>
          <w:rFonts w:ascii="Arial" w:hAnsi="Arial"/>
          <w:color w:val="000000" w:themeColor="text1"/>
          <w:szCs w:val="20"/>
        </w:rPr>
        <w:t>,</w:t>
      </w:r>
      <w:r w:rsidR="000513A0">
        <w:rPr>
          <w:rFonts w:ascii="Arial" w:hAnsi="Arial"/>
          <w:color w:val="000000" w:themeColor="text1"/>
          <w:szCs w:val="20"/>
        </w:rPr>
        <w:t xml:space="preserve"> compared with the COVID-related factors noted in this paragraph on the other?</w:t>
      </w:r>
    </w:p>
    <w:p w14:paraId="777CC2DC" w14:textId="77777777" w:rsidR="00BE548B" w:rsidRPr="00472ACD" w:rsidRDefault="00BE548B" w:rsidP="00BE548B">
      <w:pPr>
        <w:pStyle w:val="ListParagraph"/>
        <w:spacing w:after="0" w:line="240" w:lineRule="auto"/>
        <w:ind w:left="426"/>
        <w:rPr>
          <w:rFonts w:ascii="Arial" w:hAnsi="Arial"/>
          <w:color w:val="000000" w:themeColor="text1"/>
          <w:szCs w:val="20"/>
        </w:rPr>
      </w:pPr>
    </w:p>
    <w:p w14:paraId="084C7859" w14:textId="77777777" w:rsidR="00BE548B" w:rsidRDefault="00BE548B" w:rsidP="00BE548B">
      <w:pPr>
        <w:spacing w:after="0" w:line="240" w:lineRule="auto"/>
        <w:rPr>
          <w:rFonts w:ascii="Arial" w:hAnsi="Arial"/>
        </w:rPr>
      </w:pPr>
      <w:r w:rsidRPr="002C1F7C">
        <w:rPr>
          <w:noProof/>
        </w:rPr>
        <w:lastRenderedPageBreak/>
        <w:drawing>
          <wp:anchor distT="0" distB="0" distL="114300" distR="114300" simplePos="0" relativeHeight="253049856" behindDoc="0" locked="0" layoutInCell="1" allowOverlap="1" wp14:anchorId="28EDA9B2" wp14:editId="4093EB6E">
            <wp:simplePos x="0" y="0"/>
            <wp:positionH relativeFrom="column">
              <wp:posOffset>2971800</wp:posOffset>
            </wp:positionH>
            <wp:positionV relativeFrom="paragraph">
              <wp:posOffset>5715</wp:posOffset>
            </wp:positionV>
            <wp:extent cx="2688590" cy="1754505"/>
            <wp:effectExtent l="0" t="0" r="0" b="0"/>
            <wp:wrapSquare wrapText="bothSides"/>
            <wp:docPr id="693152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52457"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8590" cy="17545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olor w:val="000000" w:themeColor="text1"/>
          <w:szCs w:val="20"/>
        </w:rPr>
        <w:t>Taking all this into account, the approach used in this report</w:t>
      </w:r>
      <w:r w:rsidRPr="003D0A5D">
        <w:rPr>
          <w:rFonts w:ascii="Arial" w:hAnsi="Arial"/>
          <w:color w:val="000000" w:themeColor="text1"/>
          <w:szCs w:val="20"/>
        </w:rPr>
        <w:t xml:space="preserve"> is illustrated in the short-run chart on </w:t>
      </w:r>
      <w:r>
        <w:rPr>
          <w:rFonts w:ascii="Arial" w:hAnsi="Arial"/>
          <w:color w:val="000000" w:themeColor="text1"/>
          <w:szCs w:val="20"/>
        </w:rPr>
        <w:t>the right.</w:t>
      </w:r>
      <w:r w:rsidRPr="003D0A5D">
        <w:rPr>
          <w:rFonts w:ascii="Arial" w:hAnsi="Arial"/>
          <w:color w:val="000000" w:themeColor="text1"/>
          <w:szCs w:val="20"/>
        </w:rPr>
        <w:t xml:space="preserve"> To remind the reader of the unusual context and the extra uncertainties, the findings for the COVID-</w:t>
      </w:r>
      <w:r w:rsidRPr="00B71F97">
        <w:rPr>
          <w:rFonts w:ascii="Arial" w:hAnsi="Arial"/>
          <w:color w:val="000000" w:themeColor="text1"/>
          <w:szCs w:val="20"/>
        </w:rPr>
        <w:t>impacted years are included but the dots are not joined.</w:t>
      </w:r>
      <w:r w:rsidRPr="00B71F97">
        <w:rPr>
          <w:rFonts w:ascii="Arial" w:hAnsi="Arial"/>
        </w:rPr>
        <w:t xml:space="preserve"> </w:t>
      </w:r>
      <w:r>
        <w:rPr>
          <w:rFonts w:ascii="Arial" w:hAnsi="Arial"/>
        </w:rPr>
        <w:t>Neither the policy-induced reduction in the material hardship rate for children nor t</w:t>
      </w:r>
      <w:r w:rsidRPr="00B71F97">
        <w:rPr>
          <w:rFonts w:ascii="Arial" w:hAnsi="Arial"/>
        </w:rPr>
        <w:t>he</w:t>
      </w:r>
      <w:r>
        <w:rPr>
          <w:rFonts w:ascii="Arial" w:hAnsi="Arial"/>
        </w:rPr>
        <w:t xml:space="preserve"> recent rise are edited out by this decision. It simply reminds the reader of the uncertainties. The rise from 2023 to 2025 is statistically significant and starts from a solid base year. </w:t>
      </w:r>
    </w:p>
    <w:p w14:paraId="78B19CB6" w14:textId="77777777" w:rsidR="00BE548B" w:rsidRDefault="00BE548B" w:rsidP="00BE548B">
      <w:pPr>
        <w:spacing w:after="0" w:line="240" w:lineRule="auto"/>
        <w:rPr>
          <w:rFonts w:ascii="Arial" w:hAnsi="Arial"/>
          <w:color w:val="000000" w:themeColor="text1"/>
          <w:szCs w:val="20"/>
        </w:rPr>
      </w:pPr>
    </w:p>
    <w:p w14:paraId="50D5DCAA" w14:textId="5024644C" w:rsidR="00BE548B" w:rsidRDefault="00BE548B" w:rsidP="00BE548B">
      <w:pPr>
        <w:spacing w:after="0" w:line="240" w:lineRule="auto"/>
        <w:rPr>
          <w:rFonts w:ascii="Arial" w:hAnsi="Arial"/>
          <w:color w:val="000000" w:themeColor="text1"/>
          <w:szCs w:val="20"/>
        </w:rPr>
      </w:pPr>
      <w:r w:rsidRPr="00543138">
        <w:rPr>
          <w:rFonts w:ascii="Arial" w:hAnsi="Arial"/>
          <w:color w:val="000000" w:themeColor="text1"/>
          <w:szCs w:val="20"/>
        </w:rPr>
        <w:t xml:space="preserve">What of the impact on household incomes? </w:t>
      </w:r>
      <w:r>
        <w:rPr>
          <w:rFonts w:ascii="Arial" w:hAnsi="Arial"/>
          <w:color w:val="000000" w:themeColor="text1"/>
          <w:szCs w:val="20"/>
        </w:rPr>
        <w:t xml:space="preserve">The report does not produce low-income time series analyses for sub-groups of children so even if there was some uncertainty or noise the matter is not as pressing as it is for MH. For much of the report’s detailed </w:t>
      </w:r>
      <w:r w:rsidR="000513A0">
        <w:rPr>
          <w:rFonts w:ascii="Arial" w:hAnsi="Arial"/>
          <w:color w:val="000000" w:themeColor="text1"/>
          <w:szCs w:val="20"/>
        </w:rPr>
        <w:t xml:space="preserve">income-related </w:t>
      </w:r>
      <w:r>
        <w:rPr>
          <w:rFonts w:ascii="Arial" w:hAnsi="Arial"/>
          <w:color w:val="000000" w:themeColor="text1"/>
          <w:szCs w:val="20"/>
        </w:rPr>
        <w:t>analysis it uses data from just one year, preferably HILS 2024-25, and can avoid using 2020-21 and 2021-22 for these analyses.</w:t>
      </w:r>
    </w:p>
    <w:p w14:paraId="377F4AFD" w14:textId="77777777" w:rsidR="00BE548B" w:rsidRDefault="00BE548B" w:rsidP="00BE548B">
      <w:pPr>
        <w:spacing w:after="0" w:line="240" w:lineRule="auto"/>
        <w:rPr>
          <w:rFonts w:ascii="Arial" w:hAnsi="Arial"/>
          <w:color w:val="000000" w:themeColor="text1"/>
          <w:szCs w:val="20"/>
        </w:rPr>
      </w:pPr>
    </w:p>
    <w:p w14:paraId="296C8E99" w14:textId="5B1D0605" w:rsidR="00BE548B" w:rsidRDefault="00BE548B" w:rsidP="00BE548B">
      <w:pPr>
        <w:spacing w:after="0" w:line="240" w:lineRule="auto"/>
        <w:rPr>
          <w:rFonts w:ascii="Arial" w:hAnsi="Arial"/>
          <w:color w:val="000000" w:themeColor="text1"/>
          <w:szCs w:val="20"/>
        </w:rPr>
      </w:pPr>
      <w:r>
        <w:rPr>
          <w:rFonts w:ascii="Arial" w:hAnsi="Arial"/>
          <w:color w:val="000000" w:themeColor="text1"/>
          <w:szCs w:val="20"/>
        </w:rPr>
        <w:t xml:space="preserve">There is a dip in the COVID years </w:t>
      </w:r>
      <w:r w:rsidR="000513A0">
        <w:rPr>
          <w:rFonts w:ascii="Arial" w:hAnsi="Arial"/>
          <w:color w:val="000000" w:themeColor="text1"/>
          <w:szCs w:val="20"/>
        </w:rPr>
        <w:t>for</w:t>
      </w:r>
      <w:r>
        <w:rPr>
          <w:rFonts w:ascii="Arial" w:hAnsi="Arial"/>
          <w:color w:val="000000" w:themeColor="text1"/>
          <w:szCs w:val="20"/>
        </w:rPr>
        <w:t xml:space="preserve"> the AHC relative low-income rates for children</w:t>
      </w:r>
      <w:r w:rsidR="000513A0">
        <w:rPr>
          <w:rFonts w:ascii="Arial" w:hAnsi="Arial"/>
          <w:color w:val="000000" w:themeColor="text1"/>
          <w:szCs w:val="20"/>
        </w:rPr>
        <w:t xml:space="preserve"> (see </w:t>
      </w:r>
      <w:r w:rsidR="000513A0" w:rsidRPr="006032F0">
        <w:rPr>
          <w:rFonts w:ascii="Arial" w:hAnsi="Arial"/>
          <w:b/>
          <w:bCs/>
          <w:color w:val="000000" w:themeColor="text1"/>
          <w:szCs w:val="20"/>
        </w:rPr>
        <w:t xml:space="preserve">Section </w:t>
      </w:r>
      <w:r w:rsidR="006032F0" w:rsidRPr="006032F0">
        <w:rPr>
          <w:rFonts w:ascii="Arial" w:hAnsi="Arial"/>
          <w:b/>
          <w:bCs/>
          <w:color w:val="000000" w:themeColor="text1"/>
          <w:szCs w:val="20"/>
        </w:rPr>
        <w:t>H</w:t>
      </w:r>
      <w:r w:rsidR="000513A0" w:rsidRPr="006032F0">
        <w:rPr>
          <w:rFonts w:ascii="Arial" w:hAnsi="Arial"/>
          <w:color w:val="000000" w:themeColor="text1"/>
          <w:szCs w:val="20"/>
        </w:rPr>
        <w:t>)</w:t>
      </w:r>
      <w:r w:rsidRPr="006032F0">
        <w:rPr>
          <w:rFonts w:ascii="Arial" w:hAnsi="Arial"/>
          <w:color w:val="000000" w:themeColor="text1"/>
          <w:szCs w:val="20"/>
        </w:rPr>
        <w:t>.</w:t>
      </w:r>
      <w:r>
        <w:rPr>
          <w:rFonts w:ascii="Arial" w:hAnsi="Arial"/>
          <w:color w:val="000000" w:themeColor="text1"/>
          <w:szCs w:val="20"/>
        </w:rPr>
        <w:t xml:space="preserve"> It is not </w:t>
      </w:r>
      <w:r w:rsidR="00060297">
        <w:rPr>
          <w:rFonts w:ascii="Arial" w:hAnsi="Arial"/>
          <w:color w:val="000000" w:themeColor="text1"/>
          <w:szCs w:val="20"/>
        </w:rPr>
        <w:t xml:space="preserve">totally </w:t>
      </w:r>
      <w:r>
        <w:rPr>
          <w:rFonts w:ascii="Arial" w:hAnsi="Arial"/>
          <w:color w:val="000000" w:themeColor="text1"/>
          <w:szCs w:val="20"/>
        </w:rPr>
        <w:t>clear how to interpret the dip. H</w:t>
      </w:r>
      <w:r w:rsidRPr="003E3AC9">
        <w:rPr>
          <w:rFonts w:ascii="Arial" w:hAnsi="Arial"/>
          <w:color w:val="000000" w:themeColor="text1"/>
          <w:szCs w:val="20"/>
        </w:rPr>
        <w:t xml:space="preserve">ousehold incomes as seen in the data for this period will have been affected by </w:t>
      </w:r>
      <w:r w:rsidRPr="00543138">
        <w:rPr>
          <w:rFonts w:ascii="Arial" w:hAnsi="Arial"/>
          <w:color w:val="000000" w:themeColor="text1"/>
          <w:szCs w:val="20"/>
        </w:rPr>
        <w:t xml:space="preserve">several factors: the collection challenges for achieving a representative sample of the population, the extra COVID financial support from the government, the delivery of the final benefit increases </w:t>
      </w:r>
      <w:r>
        <w:rPr>
          <w:rFonts w:ascii="Arial" w:hAnsi="Arial"/>
          <w:color w:val="000000" w:themeColor="text1"/>
          <w:szCs w:val="20"/>
        </w:rPr>
        <w:t xml:space="preserve">and other support </w:t>
      </w:r>
      <w:r w:rsidRPr="00543138">
        <w:rPr>
          <w:rFonts w:ascii="Arial" w:hAnsi="Arial"/>
          <w:color w:val="000000" w:themeColor="text1"/>
          <w:szCs w:val="20"/>
        </w:rPr>
        <w:t xml:space="preserve">from earlier </w:t>
      </w:r>
      <w:r>
        <w:rPr>
          <w:rFonts w:ascii="Arial" w:hAnsi="Arial"/>
          <w:color w:val="000000" w:themeColor="text1"/>
          <w:szCs w:val="20"/>
        </w:rPr>
        <w:t>Budget initiatives,</w:t>
      </w:r>
      <w:r w:rsidRPr="00543138">
        <w:rPr>
          <w:rFonts w:ascii="Arial" w:hAnsi="Arial"/>
          <w:color w:val="000000" w:themeColor="text1"/>
          <w:szCs w:val="20"/>
        </w:rPr>
        <w:t xml:space="preserve"> and the loss of regular employment income. </w:t>
      </w:r>
      <w:r>
        <w:rPr>
          <w:rFonts w:ascii="Arial" w:hAnsi="Arial"/>
          <w:color w:val="000000" w:themeColor="text1"/>
          <w:szCs w:val="20"/>
        </w:rPr>
        <w:t>Median AHC incomes dropped away a little in the COVID years and this in itself leads to a small fall in relative AHC low-income rates even if nothing else changed. It is difficult to know whether the lower COVID</w:t>
      </w:r>
      <w:r w:rsidR="004A40D8">
        <w:rPr>
          <w:rFonts w:ascii="Arial" w:hAnsi="Arial"/>
          <w:color w:val="000000" w:themeColor="text1"/>
          <w:szCs w:val="20"/>
        </w:rPr>
        <w:t>-</w:t>
      </w:r>
      <w:r>
        <w:rPr>
          <w:rFonts w:ascii="Arial" w:hAnsi="Arial"/>
          <w:color w:val="000000" w:themeColor="text1"/>
          <w:szCs w:val="20"/>
        </w:rPr>
        <w:t>period AHC income poverty rates are mainly from the median (and therefore the poverty lines) dropping a little, or from the extra government support in the period or from a mix of both. T</w:t>
      </w:r>
      <w:r w:rsidRPr="00543138">
        <w:rPr>
          <w:rFonts w:ascii="Arial" w:hAnsi="Arial"/>
          <w:color w:val="000000" w:themeColor="text1"/>
          <w:szCs w:val="20"/>
        </w:rPr>
        <w:t xml:space="preserve">he report </w:t>
      </w:r>
      <w:r>
        <w:rPr>
          <w:rFonts w:ascii="Arial" w:hAnsi="Arial"/>
          <w:color w:val="000000" w:themeColor="text1"/>
          <w:szCs w:val="20"/>
        </w:rPr>
        <w:t xml:space="preserve">therefore </w:t>
      </w:r>
      <w:r w:rsidRPr="00543138">
        <w:rPr>
          <w:rFonts w:ascii="Arial" w:hAnsi="Arial"/>
          <w:color w:val="000000" w:themeColor="text1"/>
          <w:szCs w:val="20"/>
        </w:rPr>
        <w:t xml:space="preserve">notes the need for caution in using the 2020-21 and 2021-22 income information for low-income assessment but reports as if there is continuity (as do Stats NZ).  </w:t>
      </w:r>
    </w:p>
    <w:p w14:paraId="75DF05D1" w14:textId="77777777" w:rsidR="00A56680" w:rsidRDefault="00A56680" w:rsidP="009B7BA9">
      <w:pPr>
        <w:spacing w:after="0" w:line="240" w:lineRule="auto"/>
        <w:rPr>
          <w:rFonts w:ascii="Arial" w:hAnsi="Arial"/>
          <w:color w:val="000000" w:themeColor="text1"/>
          <w:szCs w:val="20"/>
        </w:rPr>
      </w:pPr>
    </w:p>
    <w:p w14:paraId="797FF90C" w14:textId="77777777" w:rsidR="00A56680" w:rsidRDefault="00A56680" w:rsidP="009B7BA9">
      <w:pPr>
        <w:spacing w:after="0" w:line="240" w:lineRule="auto"/>
        <w:rPr>
          <w:rFonts w:ascii="Arial" w:hAnsi="Arial"/>
          <w:color w:val="000000" w:themeColor="text1"/>
          <w:szCs w:val="20"/>
        </w:rPr>
      </w:pPr>
    </w:p>
    <w:p w14:paraId="1ED7A2A6" w14:textId="77777777" w:rsidR="00BE548B" w:rsidRDefault="00BE548B">
      <w:pPr>
        <w:spacing w:after="0" w:line="240" w:lineRule="auto"/>
        <w:rPr>
          <w:rFonts w:ascii="Arial" w:hAnsi="Arial"/>
          <w:b/>
          <w:bCs/>
          <w:color w:val="000000" w:themeColor="text1"/>
          <w:sz w:val="24"/>
          <w:szCs w:val="24"/>
        </w:rPr>
      </w:pPr>
      <w:r>
        <w:rPr>
          <w:rFonts w:ascii="Arial" w:hAnsi="Arial"/>
          <w:b/>
          <w:bCs/>
          <w:color w:val="000000" w:themeColor="text1"/>
          <w:sz w:val="24"/>
          <w:szCs w:val="24"/>
        </w:rPr>
        <w:br w:type="page"/>
      </w:r>
    </w:p>
    <w:p w14:paraId="39F2DC8F" w14:textId="4A2FF3A8" w:rsidR="009B7BA9" w:rsidRPr="005078C4" w:rsidRDefault="009B7BA9" w:rsidP="009B7BA9">
      <w:pPr>
        <w:spacing w:after="0" w:line="240" w:lineRule="auto"/>
        <w:rPr>
          <w:rFonts w:ascii="Arial" w:hAnsi="Arial"/>
          <w:b/>
          <w:bCs/>
          <w:color w:val="000000" w:themeColor="text1"/>
          <w:sz w:val="24"/>
          <w:szCs w:val="24"/>
        </w:rPr>
      </w:pPr>
      <w:r w:rsidRPr="005078C4">
        <w:rPr>
          <w:rFonts w:ascii="Arial" w:hAnsi="Arial"/>
          <w:b/>
          <w:bCs/>
          <w:color w:val="000000" w:themeColor="text1"/>
          <w:sz w:val="24"/>
          <w:szCs w:val="24"/>
        </w:rPr>
        <w:lastRenderedPageBreak/>
        <w:t xml:space="preserve">All children </w:t>
      </w:r>
      <w:r w:rsidRPr="005078C4">
        <w:rPr>
          <w:rFonts w:ascii="Arial" w:hAnsi="Arial"/>
          <w:b/>
          <w:bCs/>
          <w:color w:val="000000" w:themeColor="text1"/>
          <w:sz w:val="18"/>
          <w:szCs w:val="18"/>
        </w:rPr>
        <w:t>(1.18</w:t>
      </w:r>
      <w:r w:rsidR="00CD1B6A">
        <w:rPr>
          <w:rFonts w:ascii="Arial" w:hAnsi="Arial"/>
          <w:b/>
          <w:bCs/>
          <w:color w:val="000000" w:themeColor="text1"/>
          <w:sz w:val="18"/>
          <w:szCs w:val="18"/>
        </w:rPr>
        <w:t xml:space="preserve"> </w:t>
      </w:r>
      <w:r w:rsidRPr="005078C4">
        <w:rPr>
          <w:rFonts w:ascii="Arial" w:hAnsi="Arial"/>
          <w:b/>
          <w:bCs/>
          <w:color w:val="000000" w:themeColor="text1"/>
          <w:sz w:val="18"/>
          <w:szCs w:val="18"/>
        </w:rPr>
        <w:t>m</w:t>
      </w:r>
      <w:r w:rsidR="00CD1B6A">
        <w:rPr>
          <w:rFonts w:ascii="Arial" w:hAnsi="Arial"/>
          <w:b/>
          <w:bCs/>
          <w:color w:val="000000" w:themeColor="text1"/>
          <w:sz w:val="18"/>
          <w:szCs w:val="18"/>
        </w:rPr>
        <w:t>illion</w:t>
      </w:r>
      <w:r w:rsidRPr="005078C4">
        <w:rPr>
          <w:rFonts w:ascii="Arial" w:hAnsi="Arial"/>
          <w:b/>
          <w:bCs/>
          <w:color w:val="000000" w:themeColor="text1"/>
          <w:sz w:val="18"/>
          <w:szCs w:val="18"/>
        </w:rPr>
        <w:t xml:space="preserve"> in 2024-25)</w:t>
      </w:r>
    </w:p>
    <w:p w14:paraId="35043E5B" w14:textId="77777777" w:rsidR="009B7BA9" w:rsidRPr="005078C4" w:rsidRDefault="009B7BA9" w:rsidP="009B7BA9">
      <w:pPr>
        <w:spacing w:after="0" w:line="240" w:lineRule="auto"/>
        <w:rPr>
          <w:rFonts w:ascii="Arial" w:hAnsi="Arial"/>
          <w:color w:val="000000" w:themeColor="text1"/>
        </w:rPr>
      </w:pPr>
    </w:p>
    <w:p w14:paraId="7ED8EBD1" w14:textId="44DCD123" w:rsidR="009B7BA9" w:rsidRDefault="009B7BA9" w:rsidP="009B7BA9">
      <w:pPr>
        <w:spacing w:after="0" w:line="240" w:lineRule="auto"/>
        <w:rPr>
          <w:rFonts w:ascii="Arial" w:hAnsi="Arial"/>
          <w:color w:val="000000" w:themeColor="text1"/>
        </w:rPr>
      </w:pPr>
      <w:r w:rsidRPr="005078C4">
        <w:rPr>
          <w:rFonts w:ascii="Arial" w:hAnsi="Arial"/>
          <w:color w:val="000000" w:themeColor="text1"/>
        </w:rPr>
        <w:t>Material hardship rates for children increased during the GFC and associated downturn, then steadily improved from 2011 to 2020 (</w:t>
      </w:r>
      <w:r w:rsidRPr="005078C4">
        <w:rPr>
          <w:rFonts w:ascii="Arial" w:hAnsi="Arial"/>
          <w:b/>
          <w:bCs/>
          <w:color w:val="000000" w:themeColor="text1"/>
        </w:rPr>
        <w:t xml:space="preserve">Figure </w:t>
      </w:r>
      <w:r w:rsidR="001616C1">
        <w:rPr>
          <w:rFonts w:ascii="Arial" w:hAnsi="Arial"/>
          <w:b/>
          <w:bCs/>
          <w:color w:val="000000" w:themeColor="text1"/>
        </w:rPr>
        <w:t>F</w:t>
      </w:r>
      <w:r w:rsidRPr="005078C4">
        <w:rPr>
          <w:rFonts w:ascii="Arial" w:hAnsi="Arial"/>
          <w:b/>
          <w:bCs/>
          <w:color w:val="000000" w:themeColor="text1"/>
        </w:rPr>
        <w:t>.1</w:t>
      </w:r>
      <w:r w:rsidRPr="005078C4">
        <w:rPr>
          <w:rFonts w:ascii="Arial" w:hAnsi="Arial"/>
          <w:color w:val="000000" w:themeColor="text1"/>
        </w:rPr>
        <w:t>). The downward trend can be attributed to a combination of rising employment rates, rising real wages, increased labour market hours for two-parent families</w:t>
      </w:r>
      <w:r w:rsidRPr="005078C4">
        <w:rPr>
          <w:rStyle w:val="FootnoteReference"/>
          <w:rFonts w:ascii="Arial" w:hAnsi="Arial"/>
          <w:color w:val="000000" w:themeColor="text1"/>
        </w:rPr>
        <w:footnoteReference w:id="61"/>
      </w:r>
      <w:r w:rsidRPr="005078C4">
        <w:rPr>
          <w:rFonts w:ascii="Arial" w:hAnsi="Arial"/>
          <w:color w:val="000000" w:themeColor="text1"/>
        </w:rPr>
        <w:t>, increases to income support for families with children, increased support for housing and child-care costs, and other measures that reduce demand on the family budget (eg free doctors’ visits</w:t>
      </w:r>
      <w:r w:rsidR="00A41C0B">
        <w:rPr>
          <w:rFonts w:ascii="Arial" w:hAnsi="Arial"/>
          <w:color w:val="000000" w:themeColor="text1"/>
        </w:rPr>
        <w:t xml:space="preserve"> for under 14s</w:t>
      </w:r>
      <w:r w:rsidRPr="005078C4">
        <w:rPr>
          <w:rFonts w:ascii="Arial" w:hAnsi="Arial"/>
          <w:color w:val="000000" w:themeColor="text1"/>
        </w:rPr>
        <w:t xml:space="preserve"> and the food-in-schools programme). </w:t>
      </w:r>
    </w:p>
    <w:p w14:paraId="433FC52B" w14:textId="77777777" w:rsidR="00E32A12" w:rsidRDefault="00E32A12" w:rsidP="009B7BA9">
      <w:pPr>
        <w:spacing w:after="0" w:line="240" w:lineRule="auto"/>
        <w:rPr>
          <w:rFonts w:ascii="Arial" w:hAnsi="Arial"/>
          <w:color w:val="000000" w:themeColor="text1"/>
        </w:rPr>
      </w:pPr>
    </w:p>
    <w:p w14:paraId="2B5DC5B0" w14:textId="212F5488" w:rsidR="00E32A12" w:rsidRPr="005078C4" w:rsidRDefault="00E32A12" w:rsidP="009B7BA9">
      <w:pPr>
        <w:spacing w:after="0" w:line="240" w:lineRule="auto"/>
        <w:rPr>
          <w:rFonts w:ascii="Arial" w:hAnsi="Arial"/>
          <w:color w:val="000000" w:themeColor="text1"/>
        </w:rPr>
      </w:pPr>
      <w:r>
        <w:rPr>
          <w:rFonts w:ascii="Arial" w:hAnsi="Arial"/>
          <w:color w:val="000000" w:themeColor="text1"/>
        </w:rPr>
        <w:t>The downward trend continued to 2022, falling to the lowest level</w:t>
      </w:r>
      <w:r w:rsidR="00184C44">
        <w:rPr>
          <w:rFonts w:ascii="Arial" w:hAnsi="Arial"/>
          <w:color w:val="000000" w:themeColor="text1"/>
        </w:rPr>
        <w:t xml:space="preserve"> since measurement of material hardship began </w:t>
      </w:r>
      <w:r w:rsidR="00C25B19">
        <w:rPr>
          <w:rFonts w:ascii="Arial" w:hAnsi="Arial"/>
          <w:color w:val="000000" w:themeColor="text1"/>
        </w:rPr>
        <w:t>with</w:t>
      </w:r>
      <w:r w:rsidR="00184C44">
        <w:rPr>
          <w:rFonts w:ascii="Arial" w:hAnsi="Arial"/>
          <w:color w:val="000000" w:themeColor="text1"/>
        </w:rPr>
        <w:t xml:space="preserve"> the 2007 HES. As discussed above, the reported rates for the COVID-impacted years are set aside from the ongoing time series as a visual reminder of the unusual circumstances of the period, and that there are several factors that are likely to have contributed to the </w:t>
      </w:r>
      <w:r w:rsidR="00C25B19">
        <w:rPr>
          <w:rFonts w:ascii="Arial" w:hAnsi="Arial"/>
          <w:color w:val="000000" w:themeColor="text1"/>
        </w:rPr>
        <w:t xml:space="preserve">reported </w:t>
      </w:r>
      <w:r w:rsidR="00184C44">
        <w:rPr>
          <w:rFonts w:ascii="Arial" w:hAnsi="Arial"/>
          <w:color w:val="000000" w:themeColor="text1"/>
        </w:rPr>
        <w:t>low rate in 2022</w:t>
      </w:r>
      <w:r w:rsidR="00C25B19">
        <w:rPr>
          <w:rFonts w:ascii="Arial" w:hAnsi="Arial"/>
          <w:color w:val="000000" w:themeColor="text1"/>
        </w:rPr>
        <w:t xml:space="preserve"> (ongoing impact of earlier policy changes that increased support for lower-income households with children, changed consumer behaviour and extra support in the COVID years, disrupted collection for Stats NZ)</w:t>
      </w:r>
      <w:r w:rsidR="00184C44">
        <w:rPr>
          <w:rFonts w:ascii="Arial" w:hAnsi="Arial"/>
          <w:color w:val="000000" w:themeColor="text1"/>
        </w:rPr>
        <w:t>. A cautious approach is need</w:t>
      </w:r>
      <w:r w:rsidR="00C25B19">
        <w:rPr>
          <w:rFonts w:ascii="Arial" w:hAnsi="Arial"/>
          <w:color w:val="000000" w:themeColor="text1"/>
        </w:rPr>
        <w:t>ed when developing a narrative about the reported rates in the COVID years.</w:t>
      </w:r>
    </w:p>
    <w:p w14:paraId="62DBAB0F" w14:textId="77777777" w:rsidR="009B7BA9" w:rsidRPr="005078C4" w:rsidRDefault="009B7BA9" w:rsidP="009B7BA9">
      <w:pPr>
        <w:spacing w:after="0" w:line="240" w:lineRule="auto"/>
        <w:rPr>
          <w:rFonts w:ascii="Arial" w:hAnsi="Arial"/>
          <w:color w:val="000000" w:themeColor="text1"/>
        </w:rPr>
      </w:pPr>
    </w:p>
    <w:p w14:paraId="6F4DF20B" w14:textId="2F7750E2" w:rsidR="00C25B19" w:rsidRDefault="00C25B19" w:rsidP="002565F8">
      <w:pPr>
        <w:spacing w:after="0" w:line="240" w:lineRule="auto"/>
        <w:rPr>
          <w:rFonts w:ascii="Arial" w:hAnsi="Arial"/>
          <w:color w:val="000000" w:themeColor="text1"/>
        </w:rPr>
      </w:pPr>
      <w:r>
        <w:rPr>
          <w:rFonts w:ascii="Arial" w:hAnsi="Arial"/>
          <w:color w:val="000000" w:themeColor="text1"/>
        </w:rPr>
        <w:t>There has been an u</w:t>
      </w:r>
      <w:r w:rsidR="002E13D2">
        <w:rPr>
          <w:rFonts w:ascii="Arial" w:hAnsi="Arial"/>
          <w:color w:val="000000" w:themeColor="text1"/>
        </w:rPr>
        <w:t>n</w:t>
      </w:r>
      <w:r>
        <w:rPr>
          <w:rFonts w:ascii="Arial" w:hAnsi="Arial"/>
          <w:color w:val="000000" w:themeColor="text1"/>
        </w:rPr>
        <w:t xml:space="preserve">ambiguous increase in material hardship rates </w:t>
      </w:r>
      <w:r w:rsidR="00C5188E">
        <w:rPr>
          <w:rFonts w:ascii="Arial" w:hAnsi="Arial"/>
          <w:color w:val="000000" w:themeColor="text1"/>
        </w:rPr>
        <w:t xml:space="preserve">from 2022 </w:t>
      </w:r>
      <w:r>
        <w:rPr>
          <w:rFonts w:ascii="Arial" w:hAnsi="Arial"/>
          <w:color w:val="000000" w:themeColor="text1"/>
        </w:rPr>
        <w:t xml:space="preserve">through to 2025. </w:t>
      </w:r>
    </w:p>
    <w:p w14:paraId="19410DC7" w14:textId="77777777" w:rsidR="00C25B19" w:rsidRDefault="00C25B19" w:rsidP="002565F8">
      <w:pPr>
        <w:spacing w:after="0" w:line="240" w:lineRule="auto"/>
        <w:rPr>
          <w:rFonts w:ascii="Arial" w:hAnsi="Arial"/>
          <w:color w:val="000000" w:themeColor="text1"/>
        </w:rPr>
      </w:pPr>
    </w:p>
    <w:p w14:paraId="6E26AD73" w14:textId="77777777" w:rsidR="00792562" w:rsidRPr="00792562" w:rsidRDefault="00792562" w:rsidP="00792562">
      <w:pPr>
        <w:spacing w:after="0" w:line="240" w:lineRule="auto"/>
        <w:rPr>
          <w:rFonts w:ascii="Arial" w:hAnsi="Arial"/>
          <w:color w:val="000000" w:themeColor="text1"/>
        </w:rPr>
      </w:pPr>
      <w:r w:rsidRPr="00792562">
        <w:rPr>
          <w:rFonts w:ascii="Arial" w:hAnsi="Arial"/>
          <w:color w:val="000000" w:themeColor="text1"/>
        </w:rPr>
        <w:t xml:space="preserve">Reading off Figure F.1 below (which uses the MWI measure) material hardship rates for children are much the same in 2024-25 as in 2018-19, bearing in mind the typical level sampling errors of around ±1.2 ppt. For the 2024-25 survey, this is around 170,000 children aged under 18 in MH. </w:t>
      </w:r>
    </w:p>
    <w:p w14:paraId="669B827E" w14:textId="77777777" w:rsidR="00792562" w:rsidRPr="002565F8" w:rsidRDefault="00792562" w:rsidP="002565F8">
      <w:pPr>
        <w:spacing w:after="0" w:line="240" w:lineRule="auto"/>
        <w:rPr>
          <w:rFonts w:ascii="Arial" w:hAnsi="Arial"/>
          <w:b/>
          <w:bCs/>
          <w:color w:val="000000" w:themeColor="text1"/>
        </w:rPr>
      </w:pPr>
    </w:p>
    <w:p w14:paraId="6032DF1D" w14:textId="33E5FFD0" w:rsidR="002565F8" w:rsidRPr="002565F8" w:rsidRDefault="00792562" w:rsidP="002565F8">
      <w:pPr>
        <w:spacing w:after="0" w:line="240" w:lineRule="auto"/>
        <w:rPr>
          <w:rFonts w:ascii="Arial" w:hAnsi="Arial"/>
          <w:color w:val="000000" w:themeColor="text1"/>
        </w:rPr>
      </w:pPr>
      <w:r w:rsidRPr="00792562">
        <w:rPr>
          <w:rFonts w:ascii="Arial" w:hAnsi="Arial"/>
          <w:color w:val="000000" w:themeColor="text1"/>
        </w:rPr>
        <w:t>The same conclusion is reached when using the DEP-17 and MH-18 indices without any smoothing. Stats NZ report a 1.1 ppt increase in MH rates from 2017-18 to 2024-25, 13.3% to 14.3%, with a calculated sample error on the change of 2.7 ppts. As the sample error of 2.7ppt is greater than the rate increase of 1.1ppt the change in rates from 2017-18 to 2024-25 is not statistically significant</w:t>
      </w:r>
      <w:r w:rsidR="002565F8" w:rsidRPr="002565F8">
        <w:rPr>
          <w:rFonts w:ascii="Arial" w:hAnsi="Arial"/>
          <w:color w:val="000000" w:themeColor="text1"/>
        </w:rPr>
        <w:t>.</w:t>
      </w:r>
      <w:r w:rsidR="002565F8" w:rsidRPr="002565F8">
        <w:rPr>
          <w:rFonts w:ascii="Arial" w:hAnsi="Arial"/>
          <w:color w:val="000000" w:themeColor="text1"/>
          <w:vertAlign w:val="superscript"/>
        </w:rPr>
        <w:footnoteReference w:id="62"/>
      </w:r>
    </w:p>
    <w:p w14:paraId="1AA636E0" w14:textId="77777777" w:rsidR="002565F8" w:rsidRPr="002565F8" w:rsidRDefault="002565F8" w:rsidP="002565F8">
      <w:pPr>
        <w:spacing w:after="0" w:line="240" w:lineRule="auto"/>
        <w:rPr>
          <w:rFonts w:ascii="Arial" w:hAnsi="Arial"/>
          <w:color w:val="000000" w:themeColor="text1"/>
        </w:rPr>
      </w:pPr>
    </w:p>
    <w:p w14:paraId="7593F2F5" w14:textId="25F066F7" w:rsidR="002565F8" w:rsidRPr="002565F8" w:rsidRDefault="002565F8" w:rsidP="002565F8">
      <w:pPr>
        <w:spacing w:after="0" w:line="240" w:lineRule="auto"/>
        <w:rPr>
          <w:rFonts w:ascii="Arial" w:hAnsi="Arial"/>
          <w:color w:val="000000" w:themeColor="text1"/>
        </w:rPr>
      </w:pPr>
      <w:r w:rsidRPr="002565F8">
        <w:rPr>
          <w:rFonts w:ascii="Arial" w:hAnsi="Arial"/>
          <w:color w:val="000000" w:themeColor="text1"/>
        </w:rPr>
        <w:t xml:space="preserve">The severe material hardship rate using the MWI measure has remained </w:t>
      </w:r>
      <w:r w:rsidR="00A41C0B">
        <w:rPr>
          <w:rFonts w:ascii="Arial" w:hAnsi="Arial"/>
          <w:color w:val="000000" w:themeColor="text1"/>
        </w:rPr>
        <w:t xml:space="preserve">reasonably </w:t>
      </w:r>
      <w:r w:rsidRPr="002565F8">
        <w:rPr>
          <w:rFonts w:ascii="Arial" w:hAnsi="Arial"/>
          <w:color w:val="000000" w:themeColor="text1"/>
        </w:rPr>
        <w:t xml:space="preserve">steady over recent years at around 5% (55-60,000), around half the rate reported in the downturn following the GFC (9%). See </w:t>
      </w:r>
      <w:r w:rsidRPr="002565F8">
        <w:rPr>
          <w:rFonts w:ascii="Arial" w:hAnsi="Arial"/>
          <w:b/>
          <w:bCs/>
          <w:color w:val="000000" w:themeColor="text1"/>
        </w:rPr>
        <w:t>Tables D.2 and D.5</w:t>
      </w:r>
      <w:r w:rsidRPr="002565F8">
        <w:rPr>
          <w:rFonts w:ascii="Arial" w:hAnsi="Arial"/>
          <w:color w:val="000000" w:themeColor="text1"/>
        </w:rPr>
        <w:t xml:space="preserve"> for detailed information showing the seriousness of the deprivation for these children and their households </w:t>
      </w:r>
      <w:r w:rsidR="00A41C0B">
        <w:rPr>
          <w:rFonts w:ascii="Arial" w:hAnsi="Arial"/>
          <w:color w:val="000000" w:themeColor="text1"/>
        </w:rPr>
        <w:t>using</w:t>
      </w:r>
      <w:r w:rsidRPr="002565F8">
        <w:rPr>
          <w:rFonts w:ascii="Arial" w:hAnsi="Arial"/>
          <w:color w:val="000000" w:themeColor="text1"/>
        </w:rPr>
        <w:t xml:space="preserve"> 2023-24</w:t>
      </w:r>
      <w:r w:rsidR="00A41C0B">
        <w:rPr>
          <w:rFonts w:ascii="Arial" w:hAnsi="Arial"/>
          <w:color w:val="000000" w:themeColor="text1"/>
        </w:rPr>
        <w:t xml:space="preserve"> HES data</w:t>
      </w:r>
      <w:r w:rsidRPr="002565F8">
        <w:rPr>
          <w:rFonts w:ascii="Arial" w:hAnsi="Arial"/>
          <w:color w:val="000000" w:themeColor="text1"/>
        </w:rPr>
        <w:t>.</w:t>
      </w:r>
    </w:p>
    <w:p w14:paraId="4492DDD8" w14:textId="708F7D9E" w:rsidR="009B7BA9" w:rsidRPr="005078C4" w:rsidRDefault="009B7BA9" w:rsidP="009B7BA9">
      <w:pPr>
        <w:spacing w:after="0" w:line="240" w:lineRule="auto"/>
        <w:rPr>
          <w:rFonts w:ascii="Arial" w:hAnsi="Arial"/>
          <w:color w:val="000000" w:themeColor="text1"/>
        </w:rPr>
      </w:pPr>
    </w:p>
    <w:p w14:paraId="09AEACE6" w14:textId="77777777" w:rsidR="002E13D2" w:rsidRDefault="002E13D2" w:rsidP="009B7BA9">
      <w:pPr>
        <w:spacing w:after="0" w:line="240" w:lineRule="auto"/>
        <w:jc w:val="center"/>
        <w:rPr>
          <w:rFonts w:ascii="Arial" w:eastAsia="Times New Roman" w:hAnsi="Arial"/>
          <w:b/>
          <w:color w:val="000000" w:themeColor="text1"/>
          <w:sz w:val="18"/>
          <w:szCs w:val="18"/>
        </w:rPr>
      </w:pPr>
      <w:bookmarkStart w:id="15" w:name="_Hlk173914908"/>
    </w:p>
    <w:p w14:paraId="51558D85" w14:textId="43AE7580" w:rsidR="009B7BA9" w:rsidRPr="00625E0F" w:rsidRDefault="009B7BA9" w:rsidP="009B7BA9">
      <w:pPr>
        <w:spacing w:after="0" w:line="240" w:lineRule="auto"/>
        <w:jc w:val="center"/>
        <w:rPr>
          <w:rFonts w:ascii="Arial" w:eastAsia="Times New Roman" w:hAnsi="Arial"/>
          <w:b/>
          <w:color w:val="FF0000"/>
          <w:sz w:val="18"/>
          <w:szCs w:val="18"/>
        </w:rPr>
      </w:pPr>
      <w:r w:rsidRPr="005078C4">
        <w:rPr>
          <w:rFonts w:ascii="Arial" w:eastAsia="Times New Roman" w:hAnsi="Arial"/>
          <w:b/>
          <w:color w:val="000000" w:themeColor="text1"/>
          <w:sz w:val="18"/>
          <w:szCs w:val="18"/>
        </w:rPr>
        <w:t xml:space="preserve">Figure </w:t>
      </w:r>
      <w:r w:rsidR="002241C3">
        <w:rPr>
          <w:rFonts w:ascii="Arial" w:eastAsia="Times New Roman" w:hAnsi="Arial"/>
          <w:b/>
          <w:color w:val="000000" w:themeColor="text1"/>
          <w:sz w:val="18"/>
          <w:szCs w:val="18"/>
        </w:rPr>
        <w:t>F</w:t>
      </w:r>
      <w:r w:rsidRPr="005078C4">
        <w:rPr>
          <w:rFonts w:ascii="Arial" w:eastAsia="Times New Roman" w:hAnsi="Arial"/>
          <w:b/>
          <w:color w:val="000000" w:themeColor="text1"/>
          <w:sz w:val="18"/>
          <w:szCs w:val="18"/>
        </w:rPr>
        <w:t>.1</w:t>
      </w:r>
    </w:p>
    <w:p w14:paraId="5A23104A" w14:textId="24D3123C" w:rsidR="009B7BA9" w:rsidRPr="005078C4" w:rsidRDefault="006B0B79" w:rsidP="009B7BA9">
      <w:pPr>
        <w:spacing w:after="0" w:line="240" w:lineRule="auto"/>
        <w:jc w:val="center"/>
        <w:rPr>
          <w:rFonts w:ascii="Arial" w:eastAsia="Times New Roman" w:hAnsi="Arial"/>
          <w:b/>
          <w:color w:val="000000" w:themeColor="text1"/>
          <w:sz w:val="18"/>
          <w:szCs w:val="18"/>
        </w:rPr>
      </w:pPr>
      <w:r w:rsidRPr="006B0B79">
        <w:rPr>
          <w:noProof/>
        </w:rPr>
        <w:drawing>
          <wp:anchor distT="0" distB="0" distL="114300" distR="114300" simplePos="0" relativeHeight="253059072" behindDoc="0" locked="0" layoutInCell="1" allowOverlap="1" wp14:anchorId="565A435B" wp14:editId="1A9E4967">
            <wp:simplePos x="0" y="0"/>
            <wp:positionH relativeFrom="margin">
              <wp:align>center</wp:align>
            </wp:positionH>
            <wp:positionV relativeFrom="paragraph">
              <wp:posOffset>158750</wp:posOffset>
            </wp:positionV>
            <wp:extent cx="4009390" cy="2565400"/>
            <wp:effectExtent l="0" t="0" r="0" b="6350"/>
            <wp:wrapTopAndBottom/>
            <wp:docPr id="128703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3214"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09390" cy="2565400"/>
                    </a:xfrm>
                    <a:prstGeom prst="rect">
                      <a:avLst/>
                    </a:prstGeom>
                  </pic:spPr>
                </pic:pic>
              </a:graphicData>
            </a:graphic>
            <wp14:sizeRelH relativeFrom="page">
              <wp14:pctWidth>0</wp14:pctWidth>
            </wp14:sizeRelH>
            <wp14:sizeRelV relativeFrom="page">
              <wp14:pctHeight>0</wp14:pctHeight>
            </wp14:sizeRelV>
          </wp:anchor>
        </w:drawing>
      </w:r>
      <w:r w:rsidRPr="006B0B79">
        <w:t xml:space="preserve"> </w:t>
      </w:r>
      <w:r w:rsidR="009B7BA9" w:rsidRPr="005078C4">
        <w:rPr>
          <w:rFonts w:ascii="Arial" w:eastAsia="Times New Roman" w:hAnsi="Arial"/>
          <w:b/>
          <w:color w:val="000000" w:themeColor="text1"/>
          <w:sz w:val="18"/>
          <w:szCs w:val="18"/>
        </w:rPr>
        <w:t>Material hardship trends for children (0-17 yrs), 2007 to 2025</w:t>
      </w:r>
    </w:p>
    <w:bookmarkEnd w:id="15"/>
    <w:p w14:paraId="278185F3" w14:textId="77777777" w:rsidR="00806825" w:rsidRPr="00806825" w:rsidRDefault="00806825" w:rsidP="00806825">
      <w:pPr>
        <w:spacing w:after="0" w:line="240" w:lineRule="auto"/>
        <w:ind w:left="1843"/>
        <w:rPr>
          <w:rFonts w:ascii="Arial" w:hAnsi="Arial"/>
          <w:color w:val="000000" w:themeColor="text1"/>
          <w:sz w:val="16"/>
          <w:szCs w:val="16"/>
        </w:rPr>
      </w:pPr>
      <w:r w:rsidRPr="00806825">
        <w:rPr>
          <w:rFonts w:ascii="Arial" w:hAnsi="Arial"/>
          <w:color w:val="000000" w:themeColor="text1"/>
          <w:sz w:val="16"/>
          <w:szCs w:val="16"/>
        </w:rPr>
        <w:t>Note for chart: Index used is the MWI (see p5</w:t>
      </w:r>
      <w:r>
        <w:rPr>
          <w:rFonts w:ascii="Arial" w:hAnsi="Arial"/>
          <w:color w:val="000000" w:themeColor="text1"/>
          <w:sz w:val="16"/>
          <w:szCs w:val="16"/>
        </w:rPr>
        <w:t>7</w:t>
      </w:r>
      <w:r w:rsidRPr="00806825">
        <w:rPr>
          <w:rFonts w:ascii="Arial" w:hAnsi="Arial"/>
          <w:color w:val="000000" w:themeColor="text1"/>
          <w:sz w:val="16"/>
          <w:szCs w:val="16"/>
        </w:rPr>
        <w:t>)</w:t>
      </w:r>
      <w:r>
        <w:rPr>
          <w:rFonts w:ascii="Arial" w:hAnsi="Arial"/>
          <w:color w:val="000000" w:themeColor="text1"/>
          <w:sz w:val="16"/>
          <w:szCs w:val="16"/>
        </w:rPr>
        <w:t>.</w:t>
      </w:r>
    </w:p>
    <w:p w14:paraId="548C6FF1" w14:textId="42612B9E" w:rsidR="00245F72" w:rsidRDefault="00245F72" w:rsidP="009B7BA9">
      <w:pPr>
        <w:spacing w:after="0" w:line="240" w:lineRule="auto"/>
        <w:rPr>
          <w:rFonts w:ascii="Arial" w:hAnsi="Arial"/>
          <w:color w:val="0000FF"/>
          <w:szCs w:val="20"/>
        </w:rPr>
      </w:pPr>
    </w:p>
    <w:p w14:paraId="052E0823" w14:textId="423A40CF" w:rsidR="009B7BA9" w:rsidRPr="005078C4" w:rsidRDefault="009B7BA9" w:rsidP="009B7BA9">
      <w:pPr>
        <w:spacing w:after="0" w:line="240" w:lineRule="auto"/>
        <w:rPr>
          <w:rFonts w:ascii="Arial" w:hAnsi="Arial"/>
          <w:b/>
          <w:bCs/>
          <w:color w:val="000000" w:themeColor="text1"/>
          <w:sz w:val="24"/>
          <w:szCs w:val="28"/>
        </w:rPr>
      </w:pPr>
      <w:r w:rsidRPr="005078C4">
        <w:rPr>
          <w:rFonts w:ascii="Arial" w:hAnsi="Arial"/>
          <w:b/>
          <w:bCs/>
          <w:color w:val="FF0000"/>
          <w:szCs w:val="20"/>
        </w:rPr>
        <w:lastRenderedPageBreak/>
        <w:t xml:space="preserve"> </w:t>
      </w:r>
      <w:r w:rsidRPr="005078C4">
        <w:rPr>
          <w:rFonts w:ascii="Arial" w:hAnsi="Arial"/>
          <w:b/>
          <w:bCs/>
          <w:color w:val="000000" w:themeColor="text1"/>
          <w:sz w:val="24"/>
          <w:szCs w:val="28"/>
        </w:rPr>
        <w:t>Comparisons with the whole population and older New Zealanders (66+)</w:t>
      </w:r>
    </w:p>
    <w:p w14:paraId="51FACB6E" w14:textId="77777777" w:rsidR="009B7BA9" w:rsidRPr="005078C4" w:rsidRDefault="009B7BA9" w:rsidP="009B7BA9">
      <w:pPr>
        <w:spacing w:after="0" w:line="240" w:lineRule="auto"/>
        <w:rPr>
          <w:rFonts w:ascii="Arial" w:hAnsi="Arial"/>
          <w:b/>
          <w:bCs/>
          <w:color w:val="000000" w:themeColor="text1"/>
          <w:szCs w:val="20"/>
        </w:rPr>
      </w:pPr>
    </w:p>
    <w:p w14:paraId="1D5B14F4" w14:textId="6FE808F3" w:rsidR="009B7BA9" w:rsidRPr="005078C4"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Material hardship rates for children are higher than for the population as a whole (</w:t>
      </w:r>
      <w:r w:rsidRPr="005078C4">
        <w:rPr>
          <w:rFonts w:ascii="Arial" w:hAnsi="Arial"/>
          <w:b/>
          <w:bCs/>
          <w:color w:val="000000" w:themeColor="text1"/>
          <w:szCs w:val="20"/>
        </w:rPr>
        <w:t>Figure</w:t>
      </w:r>
      <w:r w:rsidR="00A56680">
        <w:rPr>
          <w:rFonts w:ascii="Arial" w:hAnsi="Arial"/>
          <w:b/>
          <w:bCs/>
          <w:color w:val="000000" w:themeColor="text1"/>
          <w:szCs w:val="20"/>
        </w:rPr>
        <w:t xml:space="preserve"> F</w:t>
      </w:r>
      <w:r w:rsidRPr="005078C4">
        <w:rPr>
          <w:rFonts w:ascii="Arial" w:hAnsi="Arial"/>
          <w:b/>
          <w:bCs/>
          <w:color w:val="000000" w:themeColor="text1"/>
          <w:szCs w:val="20"/>
        </w:rPr>
        <w:t xml:space="preserve">.2). </w:t>
      </w:r>
      <w:r w:rsidRPr="005078C4">
        <w:rPr>
          <w:rFonts w:ascii="Arial" w:hAnsi="Arial"/>
          <w:color w:val="000000" w:themeColor="text1"/>
          <w:szCs w:val="20"/>
        </w:rPr>
        <w:t>The ratio of rates for children to that for the whole population has been around 1.5 to 1.7 since just after the GFC (say, 2011). For EU countries it is typically much lower with the median country ratio being around 1.1.</w:t>
      </w:r>
    </w:p>
    <w:p w14:paraId="4A3F8DE3" w14:textId="77777777" w:rsidR="009B7BA9" w:rsidRPr="005078C4" w:rsidRDefault="009B7BA9" w:rsidP="009B7BA9">
      <w:pPr>
        <w:spacing w:after="0" w:line="240" w:lineRule="auto"/>
        <w:rPr>
          <w:rFonts w:ascii="Arial" w:hAnsi="Arial"/>
          <w:color w:val="000000" w:themeColor="text1"/>
          <w:szCs w:val="20"/>
        </w:rPr>
      </w:pPr>
    </w:p>
    <w:p w14:paraId="03330E9E" w14:textId="77777777" w:rsidR="009B7BA9"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The main reason for the relatively high ratio (children to whole population) is the relatively low MH rate for older New Zealanders (typically 3-4%). For EU count</w:t>
      </w:r>
      <w:r>
        <w:rPr>
          <w:rFonts w:ascii="Arial" w:hAnsi="Arial"/>
          <w:color w:val="000000" w:themeColor="text1"/>
          <w:szCs w:val="20"/>
        </w:rPr>
        <w:t>r</w:t>
      </w:r>
      <w:r w:rsidRPr="005078C4">
        <w:rPr>
          <w:rFonts w:ascii="Arial" w:hAnsi="Arial"/>
          <w:color w:val="000000" w:themeColor="text1"/>
          <w:szCs w:val="20"/>
        </w:rPr>
        <w:t xml:space="preserve">ies </w:t>
      </w:r>
      <w:r w:rsidRPr="00403F1B">
        <w:rPr>
          <w:rFonts w:ascii="Arial" w:hAnsi="Arial"/>
          <w:color w:val="000000" w:themeColor="text1"/>
          <w:szCs w:val="20"/>
        </w:rPr>
        <w:t>the median ratio of under 18 to age 66+ hardship rates</w:t>
      </w:r>
      <w:r w:rsidRPr="005078C4">
        <w:rPr>
          <w:rFonts w:ascii="Arial" w:hAnsi="Arial"/>
          <w:color w:val="000000" w:themeColor="text1"/>
          <w:szCs w:val="20"/>
        </w:rPr>
        <w:t xml:space="preserve"> is typically around 1.3</w:t>
      </w:r>
      <w:r>
        <w:rPr>
          <w:rFonts w:ascii="Arial" w:hAnsi="Arial"/>
          <w:color w:val="000000" w:themeColor="text1"/>
          <w:szCs w:val="20"/>
        </w:rPr>
        <w:t>. F</w:t>
      </w:r>
      <w:r w:rsidRPr="005078C4">
        <w:rPr>
          <w:rFonts w:ascii="Arial" w:hAnsi="Arial"/>
          <w:color w:val="000000" w:themeColor="text1"/>
          <w:szCs w:val="20"/>
        </w:rPr>
        <w:t>or NZ</w:t>
      </w:r>
      <w:r>
        <w:rPr>
          <w:rFonts w:ascii="Arial" w:hAnsi="Arial"/>
          <w:color w:val="000000" w:themeColor="text1"/>
          <w:szCs w:val="20"/>
        </w:rPr>
        <w:t xml:space="preserve"> using EU-13.</w:t>
      </w:r>
      <w:r w:rsidRPr="005078C4">
        <w:rPr>
          <w:rFonts w:ascii="Arial" w:hAnsi="Arial"/>
          <w:color w:val="000000" w:themeColor="text1"/>
          <w:szCs w:val="20"/>
        </w:rPr>
        <w:t xml:space="preserve"> it is currently 5.2, higher than any EU country except Sweden. The NZ ratio </w:t>
      </w:r>
      <w:r>
        <w:rPr>
          <w:rFonts w:ascii="Arial" w:hAnsi="Arial"/>
          <w:color w:val="000000" w:themeColor="text1"/>
          <w:szCs w:val="20"/>
        </w:rPr>
        <w:t xml:space="preserve">using EU-13 </w:t>
      </w:r>
      <w:r w:rsidRPr="005078C4">
        <w:rPr>
          <w:rFonts w:ascii="Arial" w:hAnsi="Arial"/>
          <w:color w:val="000000" w:themeColor="text1"/>
          <w:szCs w:val="20"/>
        </w:rPr>
        <w:t>has been steady at around 5 to 6 since 2013.</w:t>
      </w:r>
      <w:r>
        <w:rPr>
          <w:rStyle w:val="FootnoteReference"/>
          <w:rFonts w:ascii="Arial" w:hAnsi="Arial"/>
          <w:color w:val="000000" w:themeColor="text1"/>
          <w:szCs w:val="20"/>
        </w:rPr>
        <w:footnoteReference w:id="63"/>
      </w:r>
    </w:p>
    <w:p w14:paraId="58C46C02" w14:textId="77777777" w:rsidR="009B7BA9" w:rsidRDefault="009B7BA9" w:rsidP="009B7BA9">
      <w:pPr>
        <w:spacing w:after="0" w:line="240" w:lineRule="auto"/>
        <w:rPr>
          <w:rFonts w:ascii="Arial" w:hAnsi="Arial"/>
          <w:color w:val="000000" w:themeColor="text1"/>
          <w:szCs w:val="20"/>
        </w:rPr>
      </w:pPr>
    </w:p>
    <w:p w14:paraId="027073CE" w14:textId="77777777" w:rsidR="009B7BA9" w:rsidRDefault="009B7BA9" w:rsidP="009B7BA9">
      <w:pPr>
        <w:spacing w:after="0" w:line="240" w:lineRule="auto"/>
        <w:rPr>
          <w:rFonts w:ascii="Arial" w:hAnsi="Arial"/>
          <w:b/>
          <w:bCs/>
          <w:color w:val="0000FF"/>
          <w:sz w:val="24"/>
          <w:szCs w:val="28"/>
        </w:rPr>
      </w:pPr>
    </w:p>
    <w:p w14:paraId="2F175F9B" w14:textId="357FE4F9" w:rsidR="009B7BA9" w:rsidRPr="00424404" w:rsidRDefault="009B7BA9" w:rsidP="009B7BA9">
      <w:pPr>
        <w:spacing w:after="0" w:line="240" w:lineRule="auto"/>
        <w:jc w:val="center"/>
        <w:rPr>
          <w:rFonts w:ascii="Arial" w:hAnsi="Arial"/>
          <w:b/>
          <w:bCs/>
          <w:color w:val="FF0000"/>
          <w:sz w:val="18"/>
          <w:szCs w:val="18"/>
        </w:rPr>
      </w:pPr>
      <w:r w:rsidRPr="00A56680">
        <w:rPr>
          <w:rFonts w:ascii="Arial" w:hAnsi="Arial"/>
          <w:b/>
          <w:bCs/>
          <w:color w:val="000000" w:themeColor="text1"/>
          <w:sz w:val="18"/>
          <w:szCs w:val="18"/>
        </w:rPr>
        <w:t xml:space="preserve">Figure </w:t>
      </w:r>
      <w:r w:rsidR="00A56680" w:rsidRPr="00A56680">
        <w:rPr>
          <w:rFonts w:ascii="Arial" w:hAnsi="Arial"/>
          <w:b/>
          <w:bCs/>
          <w:color w:val="000000" w:themeColor="text1"/>
          <w:sz w:val="18"/>
          <w:szCs w:val="18"/>
        </w:rPr>
        <w:t>F</w:t>
      </w:r>
      <w:r w:rsidRPr="00A56680">
        <w:rPr>
          <w:rFonts w:ascii="Arial" w:hAnsi="Arial"/>
          <w:b/>
          <w:bCs/>
          <w:color w:val="000000" w:themeColor="text1"/>
          <w:sz w:val="18"/>
          <w:szCs w:val="18"/>
        </w:rPr>
        <w:t xml:space="preserve">.2 </w:t>
      </w:r>
    </w:p>
    <w:p w14:paraId="2EBB98E0" w14:textId="4FB1DF4F" w:rsidR="009B7BA9" w:rsidRPr="00A56680" w:rsidRDefault="00806825" w:rsidP="009B7BA9">
      <w:pPr>
        <w:spacing w:after="0" w:line="240" w:lineRule="auto"/>
        <w:jc w:val="center"/>
        <w:rPr>
          <w:rFonts w:ascii="Arial" w:hAnsi="Arial"/>
          <w:b/>
          <w:bCs/>
          <w:color w:val="000000" w:themeColor="text1"/>
          <w:sz w:val="18"/>
          <w:szCs w:val="18"/>
        </w:rPr>
      </w:pPr>
      <w:r w:rsidRPr="00806825">
        <w:rPr>
          <w:noProof/>
        </w:rPr>
        <w:drawing>
          <wp:anchor distT="0" distB="0" distL="114300" distR="114300" simplePos="0" relativeHeight="253189120" behindDoc="0" locked="0" layoutInCell="1" allowOverlap="1" wp14:anchorId="79036C9F" wp14:editId="478DE58C">
            <wp:simplePos x="0" y="0"/>
            <wp:positionH relativeFrom="margin">
              <wp:align>center</wp:align>
            </wp:positionH>
            <wp:positionV relativeFrom="paragraph">
              <wp:posOffset>203200</wp:posOffset>
            </wp:positionV>
            <wp:extent cx="3356610" cy="2190750"/>
            <wp:effectExtent l="0" t="0" r="0" b="0"/>
            <wp:wrapTopAndBottom/>
            <wp:docPr id="292675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75716"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56610" cy="2190750"/>
                    </a:xfrm>
                    <a:prstGeom prst="rect">
                      <a:avLst/>
                    </a:prstGeom>
                  </pic:spPr>
                </pic:pic>
              </a:graphicData>
            </a:graphic>
            <wp14:sizeRelH relativeFrom="page">
              <wp14:pctWidth>0</wp14:pctWidth>
            </wp14:sizeRelH>
            <wp14:sizeRelV relativeFrom="page">
              <wp14:pctHeight>0</wp14:pctHeight>
            </wp14:sizeRelV>
          </wp:anchor>
        </w:drawing>
      </w:r>
      <w:r w:rsidR="009B7BA9" w:rsidRPr="00A56680">
        <w:rPr>
          <w:rFonts w:ascii="Arial" w:hAnsi="Arial"/>
          <w:b/>
          <w:bCs/>
          <w:color w:val="000000" w:themeColor="text1"/>
          <w:sz w:val="18"/>
          <w:szCs w:val="18"/>
        </w:rPr>
        <w:t>Trends in material hardship for children (0-17 yrs), the whole population and older New Zealanders (66+)</w:t>
      </w:r>
    </w:p>
    <w:p w14:paraId="1EC6C481" w14:textId="77777777" w:rsidR="00806825" w:rsidRDefault="00806825" w:rsidP="009B7BA9">
      <w:pPr>
        <w:spacing w:after="0" w:line="240" w:lineRule="auto"/>
        <w:rPr>
          <w:rFonts w:ascii="Arial" w:hAnsi="Arial"/>
          <w:b/>
          <w:bCs/>
          <w:color w:val="0000FF"/>
          <w:sz w:val="16"/>
          <w:szCs w:val="16"/>
        </w:rPr>
      </w:pPr>
    </w:p>
    <w:p w14:paraId="74D5437D" w14:textId="00072DF2" w:rsidR="009B7BA9" w:rsidRPr="00806825" w:rsidRDefault="00806825" w:rsidP="00806825">
      <w:pPr>
        <w:spacing w:after="0" w:line="240" w:lineRule="auto"/>
        <w:ind w:left="2410"/>
        <w:rPr>
          <w:rFonts w:ascii="Arial" w:hAnsi="Arial"/>
          <w:color w:val="000000" w:themeColor="text1"/>
          <w:sz w:val="16"/>
          <w:szCs w:val="16"/>
        </w:rPr>
      </w:pPr>
      <w:r w:rsidRPr="00806825">
        <w:rPr>
          <w:rFonts w:ascii="Arial" w:hAnsi="Arial"/>
          <w:color w:val="000000" w:themeColor="text1"/>
          <w:sz w:val="16"/>
          <w:szCs w:val="16"/>
        </w:rPr>
        <w:t>Note for chart: Index used is the MWI (see p5</w:t>
      </w:r>
      <w:r>
        <w:rPr>
          <w:rFonts w:ascii="Arial" w:hAnsi="Arial"/>
          <w:color w:val="000000" w:themeColor="text1"/>
          <w:sz w:val="16"/>
          <w:szCs w:val="16"/>
        </w:rPr>
        <w:t>7</w:t>
      </w:r>
      <w:r w:rsidRPr="00806825">
        <w:rPr>
          <w:rFonts w:ascii="Arial" w:hAnsi="Arial"/>
          <w:color w:val="000000" w:themeColor="text1"/>
          <w:sz w:val="16"/>
          <w:szCs w:val="16"/>
        </w:rPr>
        <w:t>)</w:t>
      </w:r>
      <w:r>
        <w:rPr>
          <w:rFonts w:ascii="Arial" w:hAnsi="Arial"/>
          <w:color w:val="000000" w:themeColor="text1"/>
          <w:sz w:val="16"/>
          <w:szCs w:val="16"/>
        </w:rPr>
        <w:t>.</w:t>
      </w:r>
    </w:p>
    <w:p w14:paraId="3C2D8A57" w14:textId="77777777" w:rsidR="00806825" w:rsidRDefault="00806825">
      <w:pPr>
        <w:spacing w:after="0" w:line="240" w:lineRule="auto"/>
        <w:rPr>
          <w:rFonts w:ascii="Arial" w:hAnsi="Arial"/>
          <w:b/>
          <w:bCs/>
          <w:color w:val="000000" w:themeColor="text1"/>
          <w:sz w:val="24"/>
          <w:szCs w:val="28"/>
        </w:rPr>
      </w:pPr>
      <w:r>
        <w:rPr>
          <w:rFonts w:ascii="Arial" w:hAnsi="Arial"/>
          <w:b/>
          <w:bCs/>
          <w:color w:val="000000" w:themeColor="text1"/>
          <w:sz w:val="24"/>
          <w:szCs w:val="28"/>
        </w:rPr>
        <w:br w:type="page"/>
      </w:r>
    </w:p>
    <w:p w14:paraId="348B1084" w14:textId="5648A6A2" w:rsidR="009B7BA9" w:rsidRPr="005078C4" w:rsidRDefault="009B7BA9" w:rsidP="009B7BA9">
      <w:pPr>
        <w:spacing w:after="0" w:line="240" w:lineRule="auto"/>
        <w:rPr>
          <w:rFonts w:ascii="Arial" w:hAnsi="Arial"/>
          <w:b/>
          <w:bCs/>
          <w:color w:val="000000" w:themeColor="text1"/>
          <w:sz w:val="24"/>
          <w:szCs w:val="28"/>
        </w:rPr>
      </w:pPr>
      <w:r w:rsidRPr="005078C4">
        <w:rPr>
          <w:rFonts w:ascii="Arial" w:hAnsi="Arial"/>
          <w:b/>
          <w:bCs/>
          <w:color w:val="000000" w:themeColor="text1"/>
          <w:sz w:val="24"/>
          <w:szCs w:val="28"/>
        </w:rPr>
        <w:lastRenderedPageBreak/>
        <w:t>Tenure</w:t>
      </w:r>
    </w:p>
    <w:p w14:paraId="56056667" w14:textId="77777777" w:rsidR="009B7BA9" w:rsidRPr="005078C4" w:rsidRDefault="009B7BA9" w:rsidP="009B7BA9">
      <w:pPr>
        <w:spacing w:after="0" w:line="240" w:lineRule="auto"/>
        <w:rPr>
          <w:rFonts w:ascii="Arial" w:eastAsia="Times New Roman" w:hAnsi="Arial"/>
          <w:color w:val="000000" w:themeColor="text1"/>
          <w:szCs w:val="20"/>
        </w:rPr>
      </w:pPr>
    </w:p>
    <w:p w14:paraId="28365E14" w14:textId="77777777" w:rsidR="009B7BA9" w:rsidRPr="005078C4" w:rsidRDefault="009B7BA9" w:rsidP="009B7BA9">
      <w:pPr>
        <w:spacing w:after="0" w:line="240" w:lineRule="auto"/>
        <w:rPr>
          <w:rFonts w:ascii="Arial" w:eastAsia="Times New Roman" w:hAnsi="Arial"/>
          <w:color w:val="000000" w:themeColor="text1"/>
          <w:szCs w:val="20"/>
        </w:rPr>
      </w:pPr>
      <w:r w:rsidRPr="005078C4">
        <w:rPr>
          <w:rFonts w:ascii="Arial" w:eastAsia="Times New Roman" w:hAnsi="Arial"/>
          <w:color w:val="000000" w:themeColor="text1"/>
          <w:szCs w:val="20"/>
        </w:rPr>
        <w:t>In 2024-25 43% of all children lived in owned-with-mortgage households and another 13% in owned-without-mortgage households. Around a third lived in private rentals with half of these receiving the Accommodation Supplement (AS) and half not, and 6% in ‘social’ rentals. The distribution was much the same in 2018-19.</w:t>
      </w:r>
    </w:p>
    <w:p w14:paraId="48C3E4E1" w14:textId="77777777" w:rsidR="009B7BA9" w:rsidRPr="005078C4" w:rsidRDefault="009B7BA9" w:rsidP="009B7BA9">
      <w:pPr>
        <w:spacing w:after="0" w:line="240" w:lineRule="auto"/>
        <w:rPr>
          <w:rFonts w:ascii="Arial" w:eastAsia="Times New Roman" w:hAnsi="Arial"/>
          <w:color w:val="000000" w:themeColor="text1"/>
          <w:szCs w:val="20"/>
        </w:rPr>
      </w:pPr>
    </w:p>
    <w:p w14:paraId="1E306DBF" w14:textId="77777777" w:rsidR="009B7BA9" w:rsidRPr="005078C4" w:rsidRDefault="009B7BA9" w:rsidP="009B7BA9">
      <w:pPr>
        <w:spacing w:after="0" w:line="240" w:lineRule="auto"/>
        <w:rPr>
          <w:rFonts w:ascii="Arial" w:eastAsia="Times New Roman" w:hAnsi="Arial"/>
          <w:color w:val="000000" w:themeColor="text1"/>
          <w:szCs w:val="20"/>
        </w:rPr>
      </w:pPr>
      <w:r w:rsidRPr="005078C4">
        <w:rPr>
          <w:rFonts w:ascii="Arial" w:eastAsia="Times New Roman" w:hAnsi="Arial"/>
          <w:color w:val="000000" w:themeColor="text1"/>
          <w:szCs w:val="20"/>
        </w:rPr>
        <w:t>Unsurprisingly, the MH rates for those in private accommodation are highest for those in private rentals and receiving the AS, running at 35 to 40% in the 2023-24 and 2024-25 surveys, compared with 10% for those in private rentals but no AS, and 6% for owners-with-mortgages using the MWI measure.</w:t>
      </w:r>
      <w:r w:rsidRPr="005078C4">
        <w:rPr>
          <w:rStyle w:val="FootnoteReference"/>
          <w:rFonts w:ascii="Arial" w:eastAsia="Times New Roman" w:hAnsi="Arial"/>
          <w:color w:val="000000" w:themeColor="text1"/>
          <w:szCs w:val="20"/>
        </w:rPr>
        <w:footnoteReference w:id="64"/>
      </w:r>
    </w:p>
    <w:p w14:paraId="42EF0257" w14:textId="77777777" w:rsidR="009B7BA9" w:rsidRPr="005078C4" w:rsidRDefault="009B7BA9" w:rsidP="009B7BA9">
      <w:pPr>
        <w:spacing w:after="0" w:line="240" w:lineRule="auto"/>
        <w:rPr>
          <w:rFonts w:ascii="Arial" w:eastAsia="Times New Roman" w:hAnsi="Arial"/>
          <w:b/>
          <w:bCs/>
          <w:color w:val="000000" w:themeColor="text1"/>
          <w:szCs w:val="20"/>
        </w:rPr>
      </w:pPr>
    </w:p>
    <w:p w14:paraId="6639A828" w14:textId="2EC763A8" w:rsidR="009B7BA9" w:rsidRPr="005078C4" w:rsidRDefault="009B7BA9" w:rsidP="009B7BA9">
      <w:pPr>
        <w:spacing w:after="0" w:line="240" w:lineRule="auto"/>
        <w:rPr>
          <w:rFonts w:ascii="Arial" w:eastAsia="Times New Roman" w:hAnsi="Arial"/>
          <w:color w:val="000000" w:themeColor="text1"/>
          <w:szCs w:val="20"/>
        </w:rPr>
      </w:pPr>
      <w:r w:rsidRPr="005078C4">
        <w:rPr>
          <w:rFonts w:ascii="Arial" w:eastAsia="Times New Roman" w:hAnsi="Arial"/>
          <w:b/>
          <w:bCs/>
          <w:color w:val="000000" w:themeColor="text1"/>
          <w:szCs w:val="20"/>
        </w:rPr>
        <w:t xml:space="preserve">Figure </w:t>
      </w:r>
      <w:r w:rsidR="00A56680">
        <w:rPr>
          <w:rFonts w:ascii="Arial" w:eastAsia="Times New Roman" w:hAnsi="Arial"/>
          <w:b/>
          <w:bCs/>
          <w:color w:val="000000" w:themeColor="text1"/>
          <w:szCs w:val="20"/>
        </w:rPr>
        <w:t>F</w:t>
      </w:r>
      <w:r w:rsidRPr="005078C4">
        <w:rPr>
          <w:rFonts w:ascii="Arial" w:eastAsia="Times New Roman" w:hAnsi="Arial"/>
          <w:b/>
          <w:bCs/>
          <w:color w:val="000000" w:themeColor="text1"/>
          <w:szCs w:val="20"/>
        </w:rPr>
        <w:t xml:space="preserve">.3 </w:t>
      </w:r>
      <w:r w:rsidRPr="005078C4">
        <w:rPr>
          <w:rFonts w:ascii="Arial" w:eastAsia="Times New Roman" w:hAnsi="Arial"/>
          <w:color w:val="000000" w:themeColor="text1"/>
          <w:szCs w:val="20"/>
        </w:rPr>
        <w:t>shows the trends in MH rates for children from 2007 to 2024 by the tenure of their households. In the post-GFC period there was a general downward trend through to 2020 for private renters and for the owners-with-mortgages group. Following the COVID-impacted years (2020-21 and 2021-22) the 2022-23 rates were similar to those in 2019-20. The MH rates for children in private rentals where AS is received have shown a strong rise through to 2024-25 while the rates for those in other tenures have remained steady.</w:t>
      </w:r>
    </w:p>
    <w:p w14:paraId="4CF4FD98" w14:textId="77777777" w:rsidR="009B7BA9" w:rsidRPr="005078C4" w:rsidRDefault="009B7BA9" w:rsidP="009B7BA9">
      <w:pPr>
        <w:spacing w:after="0" w:line="240" w:lineRule="auto"/>
        <w:rPr>
          <w:rFonts w:ascii="Arial" w:eastAsia="Times New Roman" w:hAnsi="Arial"/>
          <w:color w:val="000000" w:themeColor="text1"/>
          <w:szCs w:val="20"/>
        </w:rPr>
      </w:pPr>
    </w:p>
    <w:p w14:paraId="6DB17BBE" w14:textId="553433A0" w:rsidR="009B7BA9" w:rsidRPr="005078C4"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For children living in social housing the reported MH rates are high</w:t>
      </w:r>
      <w:r w:rsidR="00CD65C9">
        <w:rPr>
          <w:rFonts w:ascii="Arial" w:hAnsi="Arial"/>
          <w:color w:val="000000" w:themeColor="text1"/>
          <w:szCs w:val="20"/>
        </w:rPr>
        <w:t xml:space="preserve">, </w:t>
      </w:r>
      <w:r w:rsidR="00CD65C9" w:rsidRPr="005078C4">
        <w:rPr>
          <w:rFonts w:ascii="Arial" w:hAnsi="Arial"/>
          <w:color w:val="000000" w:themeColor="text1"/>
          <w:szCs w:val="20"/>
        </w:rPr>
        <w:t>on average running at 45-50% in recent years (excluding the COVID years when the MH rate was ~40%).</w:t>
      </w:r>
      <w:r w:rsidR="00CD65C9">
        <w:rPr>
          <w:rFonts w:ascii="Arial" w:hAnsi="Arial"/>
          <w:color w:val="000000" w:themeColor="text1"/>
          <w:szCs w:val="20"/>
        </w:rPr>
        <w:t>This is</w:t>
      </w:r>
      <w:r w:rsidRPr="005078C4">
        <w:rPr>
          <w:rFonts w:ascii="Arial" w:hAnsi="Arial"/>
          <w:color w:val="000000" w:themeColor="text1"/>
          <w:szCs w:val="20"/>
        </w:rPr>
        <w:t xml:space="preserve"> as would be expected given the eligibility criteria,</w:t>
      </w:r>
      <w:r w:rsidR="001C63B7">
        <w:rPr>
          <w:rFonts w:ascii="Arial" w:hAnsi="Arial"/>
          <w:color w:val="000000" w:themeColor="text1"/>
          <w:szCs w:val="20"/>
        </w:rPr>
        <w:t xml:space="preserve"> </w:t>
      </w:r>
      <w:r w:rsidR="004C2A5B">
        <w:rPr>
          <w:rFonts w:ascii="Arial" w:hAnsi="Arial"/>
          <w:color w:val="000000" w:themeColor="text1"/>
          <w:szCs w:val="20"/>
        </w:rPr>
        <w:t>even with</w:t>
      </w:r>
      <w:r w:rsidR="001C63B7">
        <w:rPr>
          <w:rFonts w:ascii="Arial" w:hAnsi="Arial"/>
          <w:color w:val="000000" w:themeColor="text1"/>
          <w:szCs w:val="20"/>
        </w:rPr>
        <w:t xml:space="preserve"> the rent </w:t>
      </w:r>
      <w:r w:rsidR="004C2A5B">
        <w:rPr>
          <w:rFonts w:ascii="Arial" w:hAnsi="Arial"/>
          <w:color w:val="000000" w:themeColor="text1"/>
          <w:szCs w:val="20"/>
        </w:rPr>
        <w:t>capped at 25% of</w:t>
      </w:r>
      <w:r w:rsidR="001C63B7">
        <w:rPr>
          <w:rFonts w:ascii="Arial" w:hAnsi="Arial"/>
          <w:color w:val="000000" w:themeColor="text1"/>
          <w:szCs w:val="20"/>
        </w:rPr>
        <w:t xml:space="preserve"> income.</w:t>
      </w:r>
      <w:r w:rsidRPr="005078C4">
        <w:rPr>
          <w:rFonts w:ascii="Arial" w:hAnsi="Arial"/>
          <w:color w:val="000000" w:themeColor="text1"/>
          <w:szCs w:val="20"/>
        </w:rPr>
        <w:t xml:space="preserve"> The longer-run trend back to 2007 is not reported as the sample numbers for those in social housing are relatively small for the years prior to 2018-19 and the observed fluctuations in that period are likely to give a misleading impression and invite over-interpretation. The more recent figures noted above (45-50%) are steady over the period and can safely be used for comparisons with MH rates in other tenures.</w:t>
      </w:r>
    </w:p>
    <w:p w14:paraId="4CE52BD2" w14:textId="35F63A20" w:rsidR="009B7BA9" w:rsidRDefault="009B7BA9" w:rsidP="009B7BA9">
      <w:pPr>
        <w:spacing w:after="0" w:line="240" w:lineRule="auto"/>
        <w:rPr>
          <w:rFonts w:ascii="Arial" w:eastAsia="Times New Roman" w:hAnsi="Arial"/>
          <w:b/>
          <w:color w:val="0000FF"/>
          <w:sz w:val="18"/>
          <w:szCs w:val="18"/>
        </w:rPr>
      </w:pPr>
    </w:p>
    <w:p w14:paraId="0ECF049D" w14:textId="21B2AF88" w:rsidR="009B7BA9" w:rsidRPr="00C83FB4" w:rsidRDefault="009B7BA9" w:rsidP="009B7BA9">
      <w:pPr>
        <w:spacing w:after="0" w:line="240" w:lineRule="auto"/>
        <w:jc w:val="center"/>
        <w:rPr>
          <w:rFonts w:ascii="Arial" w:eastAsia="Times New Roman" w:hAnsi="Arial"/>
          <w:b/>
          <w:color w:val="FF0000"/>
          <w:sz w:val="18"/>
          <w:szCs w:val="18"/>
        </w:rPr>
      </w:pPr>
      <w:r w:rsidRPr="005078C4">
        <w:rPr>
          <w:rFonts w:ascii="Arial" w:eastAsia="Times New Roman" w:hAnsi="Arial"/>
          <w:b/>
          <w:color w:val="000000" w:themeColor="text1"/>
          <w:sz w:val="18"/>
          <w:szCs w:val="18"/>
        </w:rPr>
        <w:t xml:space="preserve">Figure </w:t>
      </w:r>
      <w:r w:rsidR="00A56680">
        <w:rPr>
          <w:rFonts w:ascii="Arial" w:eastAsia="Times New Roman" w:hAnsi="Arial"/>
          <w:b/>
          <w:color w:val="000000" w:themeColor="text1"/>
          <w:sz w:val="18"/>
          <w:szCs w:val="18"/>
        </w:rPr>
        <w:t>F</w:t>
      </w:r>
      <w:r w:rsidRPr="005078C4">
        <w:rPr>
          <w:rFonts w:ascii="Arial" w:eastAsia="Times New Roman" w:hAnsi="Arial"/>
          <w:b/>
          <w:color w:val="000000" w:themeColor="text1"/>
          <w:sz w:val="18"/>
          <w:szCs w:val="18"/>
        </w:rPr>
        <w:t>.3</w:t>
      </w:r>
    </w:p>
    <w:p w14:paraId="36F0AF09" w14:textId="42209D9D" w:rsidR="009B7BA9" w:rsidRPr="005078C4" w:rsidRDefault="003E0EC4" w:rsidP="009B7BA9">
      <w:pPr>
        <w:spacing w:after="0" w:line="240" w:lineRule="auto"/>
        <w:jc w:val="center"/>
        <w:rPr>
          <w:rFonts w:ascii="Arial" w:eastAsia="Times New Roman" w:hAnsi="Arial"/>
          <w:b/>
          <w:color w:val="000000" w:themeColor="text1"/>
          <w:sz w:val="18"/>
          <w:szCs w:val="18"/>
        </w:rPr>
      </w:pPr>
      <w:r w:rsidRPr="003E0EC4">
        <w:rPr>
          <w:noProof/>
        </w:rPr>
        <w:drawing>
          <wp:anchor distT="0" distB="0" distL="114300" distR="114300" simplePos="0" relativeHeight="253190144" behindDoc="0" locked="0" layoutInCell="1" allowOverlap="1" wp14:anchorId="304CE609" wp14:editId="013CEC3F">
            <wp:simplePos x="0" y="0"/>
            <wp:positionH relativeFrom="margin">
              <wp:align>center</wp:align>
            </wp:positionH>
            <wp:positionV relativeFrom="paragraph">
              <wp:posOffset>222250</wp:posOffset>
            </wp:positionV>
            <wp:extent cx="3388995" cy="2089150"/>
            <wp:effectExtent l="0" t="0" r="1905" b="6350"/>
            <wp:wrapTopAndBottom/>
            <wp:docPr id="61568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688809"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388995" cy="2089150"/>
                    </a:xfrm>
                    <a:prstGeom prst="rect">
                      <a:avLst/>
                    </a:prstGeom>
                  </pic:spPr>
                </pic:pic>
              </a:graphicData>
            </a:graphic>
            <wp14:sizeRelH relativeFrom="page">
              <wp14:pctWidth>0</wp14:pctWidth>
            </wp14:sizeRelH>
            <wp14:sizeRelV relativeFrom="page">
              <wp14:pctHeight>0</wp14:pctHeight>
            </wp14:sizeRelV>
          </wp:anchor>
        </w:drawing>
      </w:r>
      <w:r w:rsidR="009B7BA9" w:rsidRPr="005078C4">
        <w:rPr>
          <w:rFonts w:ascii="Arial" w:eastAsia="Times New Roman" w:hAnsi="Arial"/>
          <w:b/>
          <w:color w:val="000000" w:themeColor="text1"/>
          <w:sz w:val="18"/>
          <w:szCs w:val="18"/>
        </w:rPr>
        <w:t>Material hardship trends for children (0-17 yrs), by tenure of their household</w:t>
      </w:r>
    </w:p>
    <w:p w14:paraId="72CEF2E1" w14:textId="2D775371" w:rsidR="00806825" w:rsidRDefault="00A142FE" w:rsidP="00806825">
      <w:pPr>
        <w:spacing w:after="0" w:line="240" w:lineRule="auto"/>
        <w:ind w:left="2127" w:hanging="284"/>
        <w:rPr>
          <w:rFonts w:ascii="Arial" w:hAnsi="Arial"/>
          <w:color w:val="000000" w:themeColor="text1"/>
          <w:sz w:val="16"/>
          <w:szCs w:val="16"/>
        </w:rPr>
      </w:pPr>
      <w:r w:rsidRPr="00A142FE">
        <w:rPr>
          <w:rFonts w:ascii="Arial" w:hAnsi="Arial"/>
          <w:color w:val="000000" w:themeColor="text1"/>
          <w:sz w:val="16"/>
          <w:szCs w:val="16"/>
        </w:rPr>
        <w:t>Note</w:t>
      </w:r>
      <w:r w:rsidR="00806825">
        <w:rPr>
          <w:rFonts w:ascii="Arial" w:hAnsi="Arial"/>
          <w:color w:val="000000" w:themeColor="text1"/>
          <w:sz w:val="16"/>
          <w:szCs w:val="16"/>
        </w:rPr>
        <w:t>s</w:t>
      </w:r>
      <w:r w:rsidRPr="00A142FE">
        <w:rPr>
          <w:rFonts w:ascii="Arial" w:hAnsi="Arial"/>
          <w:color w:val="000000" w:themeColor="text1"/>
          <w:sz w:val="16"/>
          <w:szCs w:val="16"/>
        </w:rPr>
        <w:t xml:space="preserve"> for Figure F.3: </w:t>
      </w:r>
    </w:p>
    <w:p w14:paraId="02A431F3" w14:textId="13F9D78D" w:rsidR="00A142FE" w:rsidRDefault="00A142FE" w:rsidP="00806825">
      <w:pPr>
        <w:spacing w:after="0" w:line="240" w:lineRule="auto"/>
        <w:ind w:left="2127"/>
        <w:rPr>
          <w:rFonts w:ascii="Arial" w:hAnsi="Arial"/>
          <w:color w:val="000000" w:themeColor="text1"/>
          <w:sz w:val="16"/>
          <w:szCs w:val="16"/>
        </w:rPr>
      </w:pPr>
      <w:r w:rsidRPr="00A142FE">
        <w:rPr>
          <w:rFonts w:ascii="Arial" w:hAnsi="Arial"/>
          <w:color w:val="000000" w:themeColor="text1"/>
          <w:sz w:val="16"/>
          <w:szCs w:val="16"/>
        </w:rPr>
        <w:t>FT = Family Trust</w:t>
      </w:r>
    </w:p>
    <w:p w14:paraId="00346286" w14:textId="74B464DA" w:rsidR="00806825" w:rsidRPr="00806825" w:rsidRDefault="00806825" w:rsidP="00806825">
      <w:pPr>
        <w:spacing w:after="0" w:line="240" w:lineRule="auto"/>
        <w:ind w:left="2127"/>
        <w:rPr>
          <w:rFonts w:ascii="Arial" w:hAnsi="Arial"/>
          <w:color w:val="000000" w:themeColor="text1"/>
          <w:sz w:val="16"/>
          <w:szCs w:val="16"/>
        </w:rPr>
      </w:pPr>
      <w:r w:rsidRPr="00806825">
        <w:rPr>
          <w:rFonts w:ascii="Arial" w:hAnsi="Arial"/>
          <w:color w:val="000000" w:themeColor="text1"/>
          <w:sz w:val="16"/>
          <w:szCs w:val="16"/>
        </w:rPr>
        <w:t>Index used is the MWI (see p5</w:t>
      </w:r>
      <w:r>
        <w:rPr>
          <w:rFonts w:ascii="Arial" w:hAnsi="Arial"/>
          <w:color w:val="000000" w:themeColor="text1"/>
          <w:sz w:val="16"/>
          <w:szCs w:val="16"/>
        </w:rPr>
        <w:t>7</w:t>
      </w:r>
      <w:r w:rsidRPr="00806825">
        <w:rPr>
          <w:rFonts w:ascii="Arial" w:hAnsi="Arial"/>
          <w:color w:val="000000" w:themeColor="text1"/>
          <w:sz w:val="16"/>
          <w:szCs w:val="16"/>
        </w:rPr>
        <w:t>)</w:t>
      </w:r>
      <w:r>
        <w:rPr>
          <w:rFonts w:ascii="Arial" w:hAnsi="Arial"/>
          <w:color w:val="000000" w:themeColor="text1"/>
          <w:sz w:val="16"/>
          <w:szCs w:val="16"/>
        </w:rPr>
        <w:t>.</w:t>
      </w:r>
    </w:p>
    <w:p w14:paraId="65837BE1" w14:textId="77777777" w:rsidR="00806825" w:rsidRPr="00A142FE" w:rsidRDefault="00806825" w:rsidP="00DC0927">
      <w:pPr>
        <w:spacing w:after="0" w:line="240" w:lineRule="auto"/>
        <w:ind w:left="1843"/>
        <w:rPr>
          <w:rFonts w:ascii="Arial" w:hAnsi="Arial"/>
          <w:color w:val="000000" w:themeColor="text1"/>
          <w:sz w:val="16"/>
          <w:szCs w:val="16"/>
        </w:rPr>
      </w:pPr>
    </w:p>
    <w:p w14:paraId="046C470B" w14:textId="77777777" w:rsidR="00A142FE" w:rsidRDefault="00A142FE" w:rsidP="00903E31">
      <w:pPr>
        <w:spacing w:after="0" w:line="240" w:lineRule="auto"/>
        <w:rPr>
          <w:rFonts w:ascii="Arial" w:hAnsi="Arial"/>
          <w:b/>
          <w:bCs/>
          <w:color w:val="0000FF"/>
          <w:sz w:val="18"/>
          <w:szCs w:val="20"/>
          <w:highlight w:val="yellow"/>
        </w:rPr>
      </w:pPr>
    </w:p>
    <w:p w14:paraId="741C5A90" w14:textId="77777777" w:rsidR="00A142FE" w:rsidRDefault="00A142FE" w:rsidP="00903E31">
      <w:pPr>
        <w:spacing w:after="0" w:line="240" w:lineRule="auto"/>
        <w:rPr>
          <w:rFonts w:ascii="Arial" w:hAnsi="Arial"/>
          <w:b/>
          <w:bCs/>
          <w:color w:val="0000FF"/>
          <w:sz w:val="18"/>
          <w:szCs w:val="20"/>
          <w:highlight w:val="yellow"/>
        </w:rPr>
      </w:pPr>
    </w:p>
    <w:p w14:paraId="4A77C85B" w14:textId="77777777" w:rsidR="009B7BA9" w:rsidRDefault="009B7BA9" w:rsidP="009B7BA9">
      <w:pPr>
        <w:spacing w:after="0" w:line="240" w:lineRule="auto"/>
        <w:rPr>
          <w:rFonts w:ascii="Arial" w:hAnsi="Arial"/>
          <w:b/>
          <w:bCs/>
          <w:color w:val="000000"/>
          <w:sz w:val="24"/>
          <w:szCs w:val="24"/>
        </w:rPr>
      </w:pPr>
    </w:p>
    <w:p w14:paraId="68557B0C" w14:textId="5D82E6B9" w:rsidR="00903E31" w:rsidRPr="001E1144" w:rsidRDefault="009B7BA9" w:rsidP="00903E31">
      <w:pPr>
        <w:spacing w:after="0" w:line="240" w:lineRule="auto"/>
        <w:rPr>
          <w:rFonts w:ascii="Arial" w:hAnsi="Arial"/>
          <w:b/>
          <w:bCs/>
          <w:color w:val="0000FF"/>
          <w:sz w:val="18"/>
          <w:szCs w:val="20"/>
        </w:rPr>
      </w:pPr>
      <w:r>
        <w:rPr>
          <w:rFonts w:ascii="Arial" w:hAnsi="Arial"/>
          <w:b/>
          <w:bCs/>
          <w:color w:val="000000"/>
          <w:sz w:val="24"/>
          <w:szCs w:val="24"/>
        </w:rPr>
        <w:br w:type="page"/>
      </w:r>
    </w:p>
    <w:p w14:paraId="704E2DF6" w14:textId="325E745F" w:rsidR="009B7BA9" w:rsidRDefault="009B7BA9" w:rsidP="009B7BA9">
      <w:pPr>
        <w:spacing w:after="0" w:line="240" w:lineRule="auto"/>
        <w:rPr>
          <w:rFonts w:ascii="Arial" w:hAnsi="Arial"/>
          <w:b/>
          <w:bCs/>
          <w:color w:val="000000"/>
          <w:sz w:val="24"/>
          <w:szCs w:val="24"/>
        </w:rPr>
      </w:pPr>
    </w:p>
    <w:p w14:paraId="02462D95" w14:textId="77777777" w:rsidR="009B7BA9" w:rsidRPr="005078C4" w:rsidRDefault="009B7BA9" w:rsidP="009B7BA9">
      <w:pPr>
        <w:spacing w:after="0" w:line="240" w:lineRule="auto"/>
        <w:rPr>
          <w:rFonts w:ascii="Arial" w:hAnsi="Arial"/>
          <w:b/>
          <w:bCs/>
          <w:color w:val="000000" w:themeColor="text1"/>
          <w:sz w:val="24"/>
          <w:szCs w:val="24"/>
        </w:rPr>
      </w:pPr>
      <w:r w:rsidRPr="005078C4">
        <w:rPr>
          <w:rFonts w:ascii="Arial" w:hAnsi="Arial"/>
          <w:b/>
          <w:bCs/>
          <w:color w:val="000000" w:themeColor="text1"/>
          <w:sz w:val="24"/>
          <w:szCs w:val="24"/>
        </w:rPr>
        <w:t xml:space="preserve">Ethnicity </w:t>
      </w:r>
    </w:p>
    <w:p w14:paraId="594F604E" w14:textId="77777777" w:rsidR="009B7BA9" w:rsidRPr="005078C4" w:rsidRDefault="009B7BA9" w:rsidP="009B7BA9">
      <w:pPr>
        <w:spacing w:after="0" w:line="240" w:lineRule="auto"/>
        <w:rPr>
          <w:rFonts w:ascii="Arial" w:hAnsi="Arial"/>
          <w:b/>
          <w:bCs/>
          <w:color w:val="000000" w:themeColor="text1"/>
          <w:sz w:val="22"/>
        </w:rPr>
      </w:pPr>
    </w:p>
    <w:p w14:paraId="552E6C80" w14:textId="77777777" w:rsidR="009B7BA9" w:rsidRPr="005078C4"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 xml:space="preserve">For most of the HES surveys prior to 2018-19 the sample size is too small to provide robust estimates for smaller sub-groups. Even in the larger 2018-19 survey, the sample error is 2.3 ppt for the material hardship numbers for children in the Māori ethnic grouping, 4.2 ppt for Pacific and 1.7ppt for Asian. </w:t>
      </w:r>
    </w:p>
    <w:p w14:paraId="71054503" w14:textId="77777777" w:rsidR="009B7BA9" w:rsidRPr="005078C4" w:rsidRDefault="009B7BA9" w:rsidP="009B7BA9">
      <w:pPr>
        <w:spacing w:after="0" w:line="240" w:lineRule="auto"/>
        <w:rPr>
          <w:rFonts w:ascii="Arial" w:hAnsi="Arial"/>
          <w:b/>
          <w:bCs/>
          <w:color w:val="000000" w:themeColor="text1"/>
          <w:szCs w:val="20"/>
        </w:rPr>
      </w:pPr>
    </w:p>
    <w:p w14:paraId="72356E1C" w14:textId="117FD3CC" w:rsidR="009B7BA9" w:rsidRPr="005078C4"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To address this small sample issue</w:t>
      </w:r>
      <w:r w:rsidRPr="005078C4">
        <w:rPr>
          <w:rFonts w:ascii="Arial" w:hAnsi="Arial"/>
          <w:b/>
          <w:bCs/>
          <w:color w:val="000000" w:themeColor="text1"/>
          <w:szCs w:val="20"/>
        </w:rPr>
        <w:t xml:space="preserve"> Table </w:t>
      </w:r>
      <w:r w:rsidR="00A56680">
        <w:rPr>
          <w:rFonts w:ascii="Arial" w:hAnsi="Arial"/>
          <w:b/>
          <w:bCs/>
          <w:color w:val="000000" w:themeColor="text1"/>
          <w:szCs w:val="20"/>
        </w:rPr>
        <w:t>F</w:t>
      </w:r>
      <w:r w:rsidRPr="005078C4">
        <w:rPr>
          <w:rFonts w:ascii="Arial" w:hAnsi="Arial"/>
          <w:b/>
          <w:bCs/>
          <w:color w:val="000000" w:themeColor="text1"/>
          <w:szCs w:val="20"/>
        </w:rPr>
        <w:t xml:space="preserve">.1a </w:t>
      </w:r>
      <w:r w:rsidRPr="005078C4">
        <w:rPr>
          <w:rFonts w:ascii="Arial" w:hAnsi="Arial"/>
          <w:color w:val="000000" w:themeColor="text1"/>
          <w:szCs w:val="20"/>
        </w:rPr>
        <w:t xml:space="preserve">groups three surveys together for the years prior to 2018-19 to enable trends to be reported from 2007-09 through to 2025. </w:t>
      </w:r>
    </w:p>
    <w:p w14:paraId="06CE2947" w14:textId="77777777" w:rsidR="009B7BA9" w:rsidRPr="005078C4" w:rsidRDefault="009B7BA9" w:rsidP="009B7BA9">
      <w:pPr>
        <w:spacing w:after="0" w:line="240" w:lineRule="auto"/>
        <w:rPr>
          <w:rFonts w:ascii="Arial" w:hAnsi="Arial"/>
          <w:color w:val="000000" w:themeColor="text1"/>
          <w:szCs w:val="20"/>
        </w:rPr>
      </w:pPr>
    </w:p>
    <w:p w14:paraId="2E123B12" w14:textId="7E79EF97" w:rsidR="009B7BA9" w:rsidRPr="005078C4"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 xml:space="preserve">Each group saw an increase through the GFC and the following few years then a fall through to 2020, though the peak lasted longer for the Pacific peoples group. In the immediate post-COVID period, MH rates in the 2023 survey were generally a little higher than for the 2020 survey though the changes </w:t>
      </w:r>
      <w:r w:rsidR="000416B6">
        <w:rPr>
          <w:rFonts w:ascii="Arial" w:hAnsi="Arial"/>
          <w:color w:val="000000" w:themeColor="text1"/>
          <w:szCs w:val="20"/>
        </w:rPr>
        <w:t>are not</w:t>
      </w:r>
      <w:r w:rsidRPr="005078C4">
        <w:rPr>
          <w:rFonts w:ascii="Arial" w:hAnsi="Arial"/>
          <w:color w:val="000000" w:themeColor="text1"/>
          <w:szCs w:val="20"/>
        </w:rPr>
        <w:t xml:space="preserve"> statistically significant. The further rise for tamariki Māori through to 2025 (a 6 ppt rise) is a statistically significant increase for 2020 to 2025.</w:t>
      </w:r>
      <w:r w:rsidRPr="005078C4">
        <w:rPr>
          <w:rStyle w:val="FootnoteReference"/>
          <w:rFonts w:ascii="Arial" w:hAnsi="Arial"/>
          <w:color w:val="000000" w:themeColor="text1"/>
          <w:szCs w:val="20"/>
        </w:rPr>
        <w:footnoteReference w:id="65"/>
      </w:r>
    </w:p>
    <w:p w14:paraId="0C70F6D0" w14:textId="77777777" w:rsidR="009B7BA9" w:rsidRPr="005078C4" w:rsidRDefault="009B7BA9" w:rsidP="009B7BA9">
      <w:pPr>
        <w:spacing w:after="0" w:line="240" w:lineRule="auto"/>
        <w:rPr>
          <w:rFonts w:ascii="Arial" w:hAnsi="Arial"/>
          <w:color w:val="000000" w:themeColor="text1"/>
          <w:szCs w:val="20"/>
        </w:rPr>
      </w:pPr>
    </w:p>
    <w:p w14:paraId="64B931CC" w14:textId="77777777" w:rsidR="009B7BA9" w:rsidRPr="005078C4" w:rsidRDefault="009B7BA9" w:rsidP="009B7BA9">
      <w:pPr>
        <w:spacing w:after="0" w:line="240" w:lineRule="auto"/>
        <w:rPr>
          <w:rFonts w:ascii="Arial" w:hAnsi="Arial"/>
          <w:color w:val="000000" w:themeColor="text1"/>
          <w:szCs w:val="20"/>
        </w:rPr>
      </w:pPr>
      <w:r w:rsidRPr="005078C4">
        <w:rPr>
          <w:rFonts w:ascii="Arial" w:hAnsi="Arial"/>
          <w:color w:val="000000" w:themeColor="text1"/>
          <w:szCs w:val="20"/>
        </w:rPr>
        <w:t>The composition columns give an idea of the over- or under- representation of the different groups in the MH statistics.</w:t>
      </w:r>
    </w:p>
    <w:p w14:paraId="2FB84DB4" w14:textId="77777777" w:rsidR="009B7BA9" w:rsidRPr="005078C4" w:rsidRDefault="009B7BA9" w:rsidP="009B7BA9">
      <w:pPr>
        <w:spacing w:after="0" w:line="240" w:lineRule="auto"/>
        <w:rPr>
          <w:rFonts w:ascii="Arial" w:hAnsi="Arial"/>
          <w:b/>
          <w:bCs/>
          <w:color w:val="000000" w:themeColor="text1"/>
          <w:sz w:val="22"/>
        </w:rPr>
      </w:pPr>
    </w:p>
    <w:p w14:paraId="4C89D020" w14:textId="387EE38E" w:rsidR="009B7BA9" w:rsidRPr="00743C2C" w:rsidRDefault="009B7BA9" w:rsidP="009B7BA9">
      <w:pPr>
        <w:spacing w:after="0" w:line="240" w:lineRule="auto"/>
        <w:jc w:val="center"/>
        <w:rPr>
          <w:rFonts w:ascii="Arial" w:eastAsia="Times New Roman" w:hAnsi="Arial" w:cs="Times New Roman"/>
          <w:b/>
          <w:bCs/>
          <w:color w:val="FF0000"/>
          <w:sz w:val="18"/>
          <w:szCs w:val="18"/>
          <w:lang w:val="en-GB"/>
        </w:rPr>
      </w:pPr>
      <w:bookmarkStart w:id="16" w:name="_Hlk115343366"/>
      <w:r w:rsidRPr="005078C4">
        <w:rPr>
          <w:rFonts w:ascii="Arial" w:hAnsi="Arial"/>
          <w:b/>
          <w:bCs/>
          <w:color w:val="000000" w:themeColor="text1"/>
          <w:sz w:val="18"/>
          <w:szCs w:val="18"/>
        </w:rPr>
        <w:t xml:space="preserve">Table </w:t>
      </w:r>
      <w:r w:rsidR="00A56680">
        <w:rPr>
          <w:rFonts w:ascii="Arial" w:hAnsi="Arial"/>
          <w:b/>
          <w:bCs/>
          <w:color w:val="000000" w:themeColor="text1"/>
          <w:sz w:val="18"/>
          <w:szCs w:val="18"/>
        </w:rPr>
        <w:t>F</w:t>
      </w:r>
      <w:r w:rsidRPr="005078C4">
        <w:rPr>
          <w:rFonts w:ascii="Arial" w:hAnsi="Arial"/>
          <w:b/>
          <w:bCs/>
          <w:color w:val="000000" w:themeColor="text1"/>
          <w:sz w:val="18"/>
          <w:szCs w:val="18"/>
        </w:rPr>
        <w:t>.1a</w:t>
      </w:r>
    </w:p>
    <w:p w14:paraId="5E023E61" w14:textId="77777777" w:rsidR="009B7BA9" w:rsidRPr="00CE0F33" w:rsidRDefault="009B7BA9" w:rsidP="009B7BA9">
      <w:pPr>
        <w:spacing w:after="0" w:line="240" w:lineRule="auto"/>
        <w:ind w:left="360" w:hanging="274"/>
        <w:jc w:val="center"/>
        <w:rPr>
          <w:rFonts w:ascii="Arial" w:eastAsia="Times New Roman" w:hAnsi="Arial" w:cs="Times New Roman"/>
          <w:b/>
          <w:color w:val="000000"/>
          <w:sz w:val="18"/>
          <w:szCs w:val="18"/>
          <w:lang w:val="en-GB"/>
        </w:rPr>
      </w:pPr>
      <w:r w:rsidRPr="00CE0F33">
        <w:rPr>
          <w:rFonts w:ascii="Arial" w:eastAsia="Times New Roman" w:hAnsi="Arial" w:cs="Times New Roman"/>
          <w:b/>
          <w:color w:val="000000"/>
          <w:sz w:val="18"/>
          <w:szCs w:val="18"/>
          <w:lang w:val="en-GB"/>
        </w:rPr>
        <w:t>Material hardship rates for children by ethnic grouping (total ethnicity approach), 2007 to 202</w:t>
      </w:r>
      <w:r>
        <w:rPr>
          <w:rFonts w:ascii="Arial" w:eastAsia="Times New Roman" w:hAnsi="Arial" w:cs="Times New Roman"/>
          <w:b/>
          <w:color w:val="000000"/>
          <w:sz w:val="18"/>
          <w:szCs w:val="18"/>
          <w:lang w:val="en-GB"/>
        </w:rPr>
        <w:t>5</w:t>
      </w:r>
      <w:r w:rsidRPr="00CE0F33">
        <w:rPr>
          <w:rFonts w:ascii="Arial" w:eastAsia="Times New Roman" w:hAnsi="Arial" w:cs="Times New Roman"/>
          <w:b/>
          <w:color w:val="000000"/>
          <w:sz w:val="18"/>
          <w:szCs w:val="18"/>
          <w:lang w:val="en-GB"/>
        </w:rPr>
        <w:t>,</w:t>
      </w:r>
    </w:p>
    <w:p w14:paraId="171FF884" w14:textId="6005A775" w:rsidR="009B7BA9" w:rsidRPr="00CE0F33" w:rsidRDefault="009B7BA9" w:rsidP="009B7BA9">
      <w:pPr>
        <w:spacing w:after="0" w:line="240" w:lineRule="auto"/>
        <w:ind w:left="360" w:hanging="274"/>
        <w:jc w:val="center"/>
        <w:rPr>
          <w:rFonts w:ascii="Arial" w:eastAsia="Times New Roman" w:hAnsi="Arial" w:cs="Times New Roman"/>
          <w:b/>
          <w:color w:val="000000"/>
          <w:sz w:val="18"/>
          <w:szCs w:val="18"/>
          <w:lang w:val="en-GB"/>
        </w:rPr>
      </w:pPr>
      <w:r w:rsidRPr="00CE0F33">
        <w:rPr>
          <w:rFonts w:ascii="Arial" w:eastAsia="Times New Roman" w:hAnsi="Arial" w:cs="Times New Roman"/>
          <w:b/>
          <w:color w:val="000000"/>
          <w:sz w:val="18"/>
          <w:szCs w:val="18"/>
          <w:lang w:val="en-GB"/>
        </w:rPr>
        <w:t xml:space="preserve">using the same ELSI / MWI spliced series as in </w:t>
      </w:r>
      <w:r w:rsidRPr="005761A2">
        <w:rPr>
          <w:rFonts w:ascii="Arial" w:eastAsia="Times New Roman" w:hAnsi="Arial" w:cs="Times New Roman"/>
          <w:b/>
          <w:color w:val="000000"/>
          <w:sz w:val="18"/>
          <w:szCs w:val="18"/>
          <w:lang w:val="en-GB"/>
        </w:rPr>
        <w:t>Figure</w:t>
      </w:r>
      <w:r w:rsidR="005761A2" w:rsidRPr="005761A2">
        <w:rPr>
          <w:rFonts w:ascii="Arial" w:eastAsia="Times New Roman" w:hAnsi="Arial" w:cs="Times New Roman"/>
          <w:b/>
          <w:color w:val="000000"/>
          <w:sz w:val="18"/>
          <w:szCs w:val="18"/>
          <w:lang w:val="en-GB"/>
        </w:rPr>
        <w:t>s</w:t>
      </w:r>
      <w:r w:rsidRPr="005761A2">
        <w:rPr>
          <w:rFonts w:ascii="Arial" w:eastAsia="Times New Roman" w:hAnsi="Arial" w:cs="Times New Roman"/>
          <w:b/>
          <w:color w:val="000000"/>
          <w:sz w:val="18"/>
          <w:szCs w:val="18"/>
          <w:lang w:val="en-GB"/>
        </w:rPr>
        <w:t xml:space="preserve"> F.1 to F.3</w:t>
      </w:r>
      <w:r w:rsidRPr="00CE0F33">
        <w:rPr>
          <w:rFonts w:ascii="Arial" w:eastAsia="Times New Roman" w:hAnsi="Arial" w:cs="Times New Roman"/>
          <w:b/>
          <w:color w:val="000000"/>
          <w:sz w:val="18"/>
          <w:szCs w:val="18"/>
          <w:lang w:val="en-GB"/>
        </w:rPr>
        <w:t xml:space="preserve"> </w:t>
      </w:r>
    </w:p>
    <w:p w14:paraId="408D9B4C" w14:textId="77777777" w:rsidR="009B7BA9" w:rsidRDefault="009B7BA9" w:rsidP="009B7BA9">
      <w:pPr>
        <w:spacing w:line="240" w:lineRule="auto"/>
        <w:ind w:left="357" w:hanging="272"/>
        <w:jc w:val="center"/>
        <w:rPr>
          <w:rFonts w:ascii="Arial" w:eastAsia="Times New Roman" w:hAnsi="Arial" w:cs="Times New Roman"/>
          <w:b/>
          <w:color w:val="000000"/>
          <w:sz w:val="18"/>
          <w:szCs w:val="18"/>
          <w:lang w:val="en-GB"/>
        </w:rPr>
      </w:pPr>
      <w:r w:rsidRPr="00CE0F33">
        <w:rPr>
          <w:rFonts w:ascii="Arial" w:eastAsia="Times New Roman" w:hAnsi="Arial" w:cs="Times New Roman"/>
          <w:b/>
          <w:color w:val="000000"/>
          <w:sz w:val="18"/>
          <w:szCs w:val="18"/>
          <w:lang w:val="en-GB"/>
        </w:rPr>
        <w:t xml:space="preserve">(three-year groupings </w:t>
      </w:r>
      <w:r w:rsidRPr="009356D3">
        <w:rPr>
          <w:rFonts w:ascii="Arial" w:eastAsia="Times New Roman" w:hAnsi="Arial" w:cs="Times New Roman"/>
          <w:b/>
          <w:color w:val="000000"/>
          <w:sz w:val="18"/>
          <w:szCs w:val="18"/>
          <w:lang w:val="en-GB"/>
        </w:rPr>
        <w:t xml:space="preserve">to </w:t>
      </w:r>
      <w:r>
        <w:rPr>
          <w:rFonts w:ascii="Arial" w:eastAsia="Times New Roman" w:hAnsi="Arial" w:cs="Times New Roman"/>
          <w:b/>
          <w:color w:val="000000"/>
          <w:sz w:val="18"/>
          <w:szCs w:val="18"/>
          <w:lang w:val="en-GB"/>
        </w:rPr>
        <w:t>2018</w:t>
      </w:r>
      <w:r w:rsidRPr="009356D3">
        <w:rPr>
          <w:rFonts w:ascii="Arial" w:eastAsia="Times New Roman" w:hAnsi="Arial" w:cs="Times New Roman"/>
          <w:b/>
          <w:color w:val="000000"/>
          <w:sz w:val="18"/>
          <w:szCs w:val="18"/>
          <w:lang w:val="en-GB"/>
        </w:rPr>
        <w:t xml:space="preserve">) </w:t>
      </w:r>
    </w:p>
    <w:tbl>
      <w:tblPr>
        <w:tblStyle w:val="TableGrid"/>
        <w:tblW w:w="0" w:type="auto"/>
        <w:jc w:val="center"/>
        <w:tblLook w:val="04A0" w:firstRow="1" w:lastRow="0" w:firstColumn="1" w:lastColumn="0" w:noHBand="0" w:noVBand="1"/>
      </w:tblPr>
      <w:tblGrid>
        <w:gridCol w:w="851"/>
        <w:gridCol w:w="694"/>
        <w:gridCol w:w="657"/>
        <w:gridCol w:w="657"/>
        <w:gridCol w:w="657"/>
        <w:gridCol w:w="553"/>
        <w:gridCol w:w="553"/>
        <w:gridCol w:w="585"/>
        <w:gridCol w:w="583"/>
        <w:gridCol w:w="581"/>
        <w:gridCol w:w="862"/>
        <w:gridCol w:w="850"/>
      </w:tblGrid>
      <w:tr w:rsidR="009B7BA9" w:rsidRPr="00CE0F33" w14:paraId="6D6A8AE3" w14:textId="77777777" w:rsidTr="00261B26">
        <w:trPr>
          <w:jc w:val="center"/>
        </w:trPr>
        <w:tc>
          <w:tcPr>
            <w:tcW w:w="851" w:type="dxa"/>
          </w:tcPr>
          <w:p w14:paraId="138B870E" w14:textId="77777777" w:rsidR="009B7BA9" w:rsidRPr="00CE0F33" w:rsidRDefault="009B7BA9" w:rsidP="00261B26">
            <w:pPr>
              <w:spacing w:before="40" w:after="40" w:line="240" w:lineRule="auto"/>
              <w:jc w:val="center"/>
              <w:rPr>
                <w:rFonts w:ascii="Arial" w:hAnsi="Arial"/>
                <w:b/>
                <w:bCs/>
                <w:color w:val="000000"/>
                <w:sz w:val="14"/>
                <w:szCs w:val="14"/>
              </w:rPr>
            </w:pPr>
          </w:p>
        </w:tc>
        <w:tc>
          <w:tcPr>
            <w:tcW w:w="5520" w:type="dxa"/>
            <w:gridSpan w:val="9"/>
            <w:tcBorders>
              <w:right w:val="single" w:sz="8" w:space="0" w:color="auto"/>
            </w:tcBorders>
            <w:vAlign w:val="center"/>
          </w:tcPr>
          <w:p w14:paraId="6AC8F2C2" w14:textId="77777777" w:rsidR="009B7BA9" w:rsidRPr="00CE0F33" w:rsidRDefault="009B7BA9" w:rsidP="00261B26">
            <w:pPr>
              <w:spacing w:before="40" w:after="40" w:line="240" w:lineRule="auto"/>
              <w:jc w:val="center"/>
              <w:rPr>
                <w:rFonts w:ascii="Arial" w:hAnsi="Arial"/>
                <w:b/>
                <w:bCs/>
                <w:color w:val="000000"/>
                <w:sz w:val="14"/>
                <w:szCs w:val="14"/>
              </w:rPr>
            </w:pPr>
            <w:r w:rsidRPr="00CE0F33">
              <w:rPr>
                <w:rFonts w:ascii="Arial" w:hAnsi="Arial"/>
                <w:b/>
                <w:bCs/>
                <w:color w:val="000000"/>
                <w:sz w:val="14"/>
                <w:szCs w:val="14"/>
              </w:rPr>
              <w:t>Material hardship rates (%)</w:t>
            </w:r>
          </w:p>
        </w:tc>
        <w:tc>
          <w:tcPr>
            <w:tcW w:w="862" w:type="dxa"/>
            <w:tcBorders>
              <w:right w:val="single" w:sz="8" w:space="0" w:color="auto"/>
            </w:tcBorders>
            <w:vAlign w:val="center"/>
          </w:tcPr>
          <w:p w14:paraId="3A15F20A" w14:textId="77777777" w:rsidR="009B7BA9" w:rsidRPr="0074386B" w:rsidRDefault="009B7BA9" w:rsidP="00261B26">
            <w:pPr>
              <w:spacing w:before="40" w:after="40" w:line="240" w:lineRule="auto"/>
              <w:jc w:val="center"/>
              <w:rPr>
                <w:rFonts w:ascii="Arial" w:hAnsi="Arial"/>
                <w:b/>
                <w:bCs/>
                <w:color w:val="000000"/>
                <w:sz w:val="14"/>
                <w:szCs w:val="14"/>
              </w:rPr>
            </w:pPr>
            <w:r w:rsidRPr="0074386B">
              <w:rPr>
                <w:rFonts w:ascii="Arial" w:hAnsi="Arial"/>
                <w:b/>
                <w:bCs/>
                <w:color w:val="000000"/>
                <w:sz w:val="14"/>
                <w:szCs w:val="14"/>
              </w:rPr>
              <w:t>MH Composn (%)</w:t>
            </w:r>
          </w:p>
        </w:tc>
        <w:tc>
          <w:tcPr>
            <w:tcW w:w="850" w:type="dxa"/>
            <w:tcBorders>
              <w:left w:val="single" w:sz="8" w:space="0" w:color="auto"/>
            </w:tcBorders>
            <w:tcMar>
              <w:left w:w="28" w:type="dxa"/>
              <w:right w:w="28" w:type="dxa"/>
            </w:tcMar>
            <w:vAlign w:val="center"/>
          </w:tcPr>
          <w:p w14:paraId="76F34352" w14:textId="77777777" w:rsidR="009B7BA9" w:rsidRPr="0074386B" w:rsidRDefault="009B7BA9" w:rsidP="00261B26">
            <w:pPr>
              <w:spacing w:before="40" w:after="40" w:line="240" w:lineRule="auto"/>
              <w:jc w:val="center"/>
              <w:rPr>
                <w:rFonts w:ascii="Arial" w:hAnsi="Arial"/>
                <w:b/>
                <w:bCs/>
                <w:color w:val="000000"/>
                <w:sz w:val="14"/>
                <w:szCs w:val="14"/>
              </w:rPr>
            </w:pPr>
            <w:r w:rsidRPr="0074386B">
              <w:rPr>
                <w:rFonts w:ascii="Arial" w:hAnsi="Arial"/>
                <w:b/>
                <w:bCs/>
                <w:color w:val="000000"/>
                <w:sz w:val="14"/>
                <w:szCs w:val="14"/>
              </w:rPr>
              <w:t>Overall Composn (%)</w:t>
            </w:r>
          </w:p>
        </w:tc>
      </w:tr>
      <w:tr w:rsidR="009B7BA9" w:rsidRPr="00CE0F33" w14:paraId="13A1919D" w14:textId="77777777" w:rsidTr="00261B26">
        <w:trPr>
          <w:jc w:val="center"/>
        </w:trPr>
        <w:tc>
          <w:tcPr>
            <w:tcW w:w="851" w:type="dxa"/>
          </w:tcPr>
          <w:p w14:paraId="2B5F0819" w14:textId="77777777" w:rsidR="009B7BA9" w:rsidRPr="00CE0F33" w:rsidRDefault="009B7BA9" w:rsidP="00261B26">
            <w:pPr>
              <w:spacing w:before="40" w:after="40" w:line="240" w:lineRule="auto"/>
              <w:jc w:val="center"/>
              <w:rPr>
                <w:rFonts w:ascii="Arial" w:hAnsi="Arial"/>
                <w:b/>
                <w:bCs/>
                <w:color w:val="000000"/>
                <w:sz w:val="14"/>
                <w:szCs w:val="14"/>
              </w:rPr>
            </w:pPr>
          </w:p>
        </w:tc>
        <w:tc>
          <w:tcPr>
            <w:tcW w:w="694" w:type="dxa"/>
            <w:tcBorders>
              <w:bottom w:val="single" w:sz="4" w:space="0" w:color="auto"/>
            </w:tcBorders>
            <w:tcMar>
              <w:left w:w="57" w:type="dxa"/>
              <w:right w:w="57" w:type="dxa"/>
            </w:tcMar>
            <w:vAlign w:val="center"/>
          </w:tcPr>
          <w:p w14:paraId="77C674A1"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2007-09</w:t>
            </w:r>
          </w:p>
        </w:tc>
        <w:tc>
          <w:tcPr>
            <w:tcW w:w="657" w:type="dxa"/>
            <w:tcBorders>
              <w:bottom w:val="single" w:sz="4" w:space="0" w:color="auto"/>
            </w:tcBorders>
            <w:tcMar>
              <w:left w:w="57" w:type="dxa"/>
              <w:right w:w="57" w:type="dxa"/>
            </w:tcMar>
            <w:vAlign w:val="center"/>
          </w:tcPr>
          <w:p w14:paraId="1375449E"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2010-12</w:t>
            </w:r>
          </w:p>
        </w:tc>
        <w:tc>
          <w:tcPr>
            <w:tcW w:w="657" w:type="dxa"/>
            <w:tcBorders>
              <w:bottom w:val="single" w:sz="4" w:space="0" w:color="auto"/>
            </w:tcBorders>
            <w:tcMar>
              <w:left w:w="57" w:type="dxa"/>
              <w:right w:w="57" w:type="dxa"/>
            </w:tcMar>
            <w:vAlign w:val="center"/>
          </w:tcPr>
          <w:p w14:paraId="14D62C41"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2013-15</w:t>
            </w:r>
          </w:p>
        </w:tc>
        <w:tc>
          <w:tcPr>
            <w:tcW w:w="657" w:type="dxa"/>
            <w:tcBorders>
              <w:bottom w:val="single" w:sz="4" w:space="0" w:color="auto"/>
            </w:tcBorders>
            <w:tcMar>
              <w:left w:w="57" w:type="dxa"/>
              <w:right w:w="57" w:type="dxa"/>
            </w:tcMar>
            <w:vAlign w:val="center"/>
          </w:tcPr>
          <w:p w14:paraId="776C7EB2"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2016-18</w:t>
            </w:r>
          </w:p>
        </w:tc>
        <w:tc>
          <w:tcPr>
            <w:tcW w:w="553" w:type="dxa"/>
            <w:tcBorders>
              <w:bottom w:val="single" w:sz="4" w:space="0" w:color="auto"/>
            </w:tcBorders>
            <w:tcMar>
              <w:left w:w="57" w:type="dxa"/>
              <w:right w:w="57" w:type="dxa"/>
            </w:tcMar>
            <w:vAlign w:val="center"/>
          </w:tcPr>
          <w:p w14:paraId="18455EA3"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2019</w:t>
            </w:r>
          </w:p>
        </w:tc>
        <w:tc>
          <w:tcPr>
            <w:tcW w:w="553" w:type="dxa"/>
            <w:tcBorders>
              <w:bottom w:val="single" w:sz="4" w:space="0" w:color="auto"/>
            </w:tcBorders>
            <w:tcMar>
              <w:left w:w="57" w:type="dxa"/>
              <w:right w:w="57" w:type="dxa"/>
            </w:tcMar>
            <w:vAlign w:val="center"/>
          </w:tcPr>
          <w:p w14:paraId="384C6350"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2020</w:t>
            </w:r>
          </w:p>
        </w:tc>
        <w:tc>
          <w:tcPr>
            <w:tcW w:w="585" w:type="dxa"/>
            <w:tcBorders>
              <w:left w:val="single" w:sz="4" w:space="0" w:color="auto"/>
              <w:bottom w:val="single" w:sz="4" w:space="0" w:color="auto"/>
              <w:right w:val="single" w:sz="4" w:space="0" w:color="auto"/>
            </w:tcBorders>
            <w:vAlign w:val="center"/>
          </w:tcPr>
          <w:p w14:paraId="658AD491"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2023</w:t>
            </w:r>
          </w:p>
        </w:tc>
        <w:tc>
          <w:tcPr>
            <w:tcW w:w="583" w:type="dxa"/>
            <w:tcBorders>
              <w:left w:val="single" w:sz="4" w:space="0" w:color="auto"/>
              <w:right w:val="single" w:sz="4" w:space="0" w:color="auto"/>
            </w:tcBorders>
            <w:vAlign w:val="center"/>
          </w:tcPr>
          <w:p w14:paraId="1A09BD15" w14:textId="77777777" w:rsidR="009B7BA9" w:rsidRPr="00046E24"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2024</w:t>
            </w:r>
          </w:p>
        </w:tc>
        <w:tc>
          <w:tcPr>
            <w:tcW w:w="581" w:type="dxa"/>
            <w:tcBorders>
              <w:left w:val="single" w:sz="4" w:space="0" w:color="auto"/>
              <w:right w:val="single" w:sz="8" w:space="0" w:color="auto"/>
            </w:tcBorders>
            <w:vAlign w:val="center"/>
          </w:tcPr>
          <w:p w14:paraId="02A79285" w14:textId="77777777" w:rsidR="009B7BA9"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2025</w:t>
            </w:r>
          </w:p>
        </w:tc>
        <w:tc>
          <w:tcPr>
            <w:tcW w:w="862" w:type="dxa"/>
            <w:tcBorders>
              <w:left w:val="single" w:sz="8" w:space="0" w:color="auto"/>
              <w:right w:val="single" w:sz="8" w:space="0" w:color="auto"/>
            </w:tcBorders>
          </w:tcPr>
          <w:p w14:paraId="71AC9B28" w14:textId="77777777" w:rsidR="009B7BA9"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2025</w:t>
            </w:r>
          </w:p>
        </w:tc>
        <w:tc>
          <w:tcPr>
            <w:tcW w:w="850" w:type="dxa"/>
            <w:tcBorders>
              <w:left w:val="single" w:sz="8" w:space="0" w:color="auto"/>
            </w:tcBorders>
            <w:tcMar>
              <w:left w:w="57" w:type="dxa"/>
              <w:right w:w="57" w:type="dxa"/>
            </w:tcMar>
            <w:vAlign w:val="center"/>
          </w:tcPr>
          <w:p w14:paraId="05C93922" w14:textId="77777777" w:rsidR="009B7BA9" w:rsidRPr="00046E24"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2025</w:t>
            </w:r>
          </w:p>
        </w:tc>
      </w:tr>
      <w:tr w:rsidR="009B7BA9" w:rsidRPr="00CE0F33" w14:paraId="0E8DEC97" w14:textId="77777777" w:rsidTr="00261B26">
        <w:trPr>
          <w:jc w:val="center"/>
        </w:trPr>
        <w:tc>
          <w:tcPr>
            <w:tcW w:w="851" w:type="dxa"/>
            <w:vAlign w:val="center"/>
          </w:tcPr>
          <w:p w14:paraId="385BF9B8"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Māori</w:t>
            </w:r>
          </w:p>
        </w:tc>
        <w:tc>
          <w:tcPr>
            <w:tcW w:w="694" w:type="dxa"/>
            <w:tcMar>
              <w:left w:w="57" w:type="dxa"/>
              <w:right w:w="57" w:type="dxa"/>
            </w:tcMar>
            <w:vAlign w:val="center"/>
          </w:tcPr>
          <w:p w14:paraId="3B87DED6"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33</w:t>
            </w:r>
          </w:p>
        </w:tc>
        <w:tc>
          <w:tcPr>
            <w:tcW w:w="657" w:type="dxa"/>
            <w:tcMar>
              <w:left w:w="57" w:type="dxa"/>
              <w:right w:w="57" w:type="dxa"/>
            </w:tcMar>
            <w:vAlign w:val="center"/>
          </w:tcPr>
          <w:p w14:paraId="667C8D29"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36</w:t>
            </w:r>
          </w:p>
        </w:tc>
        <w:tc>
          <w:tcPr>
            <w:tcW w:w="657" w:type="dxa"/>
            <w:tcMar>
              <w:left w:w="57" w:type="dxa"/>
              <w:right w:w="57" w:type="dxa"/>
            </w:tcMar>
            <w:vAlign w:val="center"/>
          </w:tcPr>
          <w:p w14:paraId="53403A6E"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34</w:t>
            </w:r>
          </w:p>
        </w:tc>
        <w:tc>
          <w:tcPr>
            <w:tcW w:w="657" w:type="dxa"/>
            <w:tcMar>
              <w:left w:w="57" w:type="dxa"/>
              <w:right w:w="57" w:type="dxa"/>
            </w:tcMar>
            <w:vAlign w:val="center"/>
          </w:tcPr>
          <w:p w14:paraId="620E7450"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24</w:t>
            </w:r>
          </w:p>
        </w:tc>
        <w:tc>
          <w:tcPr>
            <w:tcW w:w="553" w:type="dxa"/>
            <w:tcMar>
              <w:left w:w="57" w:type="dxa"/>
              <w:right w:w="57" w:type="dxa"/>
            </w:tcMar>
            <w:vAlign w:val="center"/>
          </w:tcPr>
          <w:p w14:paraId="5F90FF8C"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24</w:t>
            </w:r>
          </w:p>
        </w:tc>
        <w:tc>
          <w:tcPr>
            <w:tcW w:w="553" w:type="dxa"/>
            <w:tcMar>
              <w:left w:w="57" w:type="dxa"/>
              <w:right w:w="57" w:type="dxa"/>
            </w:tcMar>
            <w:vAlign w:val="center"/>
          </w:tcPr>
          <w:p w14:paraId="58A87992"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19</w:t>
            </w:r>
          </w:p>
        </w:tc>
        <w:tc>
          <w:tcPr>
            <w:tcW w:w="585" w:type="dxa"/>
            <w:tcBorders>
              <w:left w:val="single" w:sz="4" w:space="0" w:color="auto"/>
              <w:right w:val="single" w:sz="4" w:space="0" w:color="auto"/>
            </w:tcBorders>
            <w:vAlign w:val="center"/>
          </w:tcPr>
          <w:p w14:paraId="524CBC77"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22</w:t>
            </w:r>
          </w:p>
        </w:tc>
        <w:tc>
          <w:tcPr>
            <w:tcW w:w="583" w:type="dxa"/>
            <w:tcBorders>
              <w:left w:val="single" w:sz="4" w:space="0" w:color="auto"/>
              <w:right w:val="single" w:sz="4" w:space="0" w:color="auto"/>
            </w:tcBorders>
            <w:vAlign w:val="center"/>
          </w:tcPr>
          <w:p w14:paraId="64E706AE"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23</w:t>
            </w:r>
          </w:p>
        </w:tc>
        <w:tc>
          <w:tcPr>
            <w:tcW w:w="581" w:type="dxa"/>
            <w:tcBorders>
              <w:left w:val="single" w:sz="4" w:space="0" w:color="auto"/>
              <w:right w:val="single" w:sz="8" w:space="0" w:color="auto"/>
            </w:tcBorders>
            <w:vAlign w:val="center"/>
          </w:tcPr>
          <w:p w14:paraId="0DF83F2B"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25</w:t>
            </w:r>
          </w:p>
        </w:tc>
        <w:tc>
          <w:tcPr>
            <w:tcW w:w="862" w:type="dxa"/>
            <w:tcBorders>
              <w:left w:val="single" w:sz="8" w:space="0" w:color="auto"/>
              <w:right w:val="single" w:sz="8" w:space="0" w:color="auto"/>
            </w:tcBorders>
            <w:vAlign w:val="center"/>
          </w:tcPr>
          <w:p w14:paraId="079C1510"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32</w:t>
            </w:r>
          </w:p>
        </w:tc>
        <w:tc>
          <w:tcPr>
            <w:tcW w:w="850" w:type="dxa"/>
            <w:tcBorders>
              <w:left w:val="single" w:sz="8" w:space="0" w:color="auto"/>
            </w:tcBorders>
            <w:tcMar>
              <w:left w:w="57" w:type="dxa"/>
              <w:right w:w="85" w:type="dxa"/>
            </w:tcMar>
            <w:vAlign w:val="center"/>
          </w:tcPr>
          <w:p w14:paraId="09E0C262"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20</w:t>
            </w:r>
          </w:p>
        </w:tc>
      </w:tr>
      <w:tr w:rsidR="009B7BA9" w:rsidRPr="00CE0F33" w14:paraId="016A9297" w14:textId="77777777" w:rsidTr="00261B26">
        <w:trPr>
          <w:jc w:val="center"/>
        </w:trPr>
        <w:tc>
          <w:tcPr>
            <w:tcW w:w="851" w:type="dxa"/>
            <w:vAlign w:val="center"/>
          </w:tcPr>
          <w:p w14:paraId="75BA1F2A"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Pacific</w:t>
            </w:r>
          </w:p>
        </w:tc>
        <w:tc>
          <w:tcPr>
            <w:tcW w:w="694" w:type="dxa"/>
            <w:tcMar>
              <w:left w:w="57" w:type="dxa"/>
              <w:right w:w="57" w:type="dxa"/>
            </w:tcMar>
            <w:vAlign w:val="center"/>
          </w:tcPr>
          <w:p w14:paraId="004A84F3"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44</w:t>
            </w:r>
          </w:p>
        </w:tc>
        <w:tc>
          <w:tcPr>
            <w:tcW w:w="657" w:type="dxa"/>
            <w:tcMar>
              <w:left w:w="57" w:type="dxa"/>
              <w:right w:w="57" w:type="dxa"/>
            </w:tcMar>
            <w:vAlign w:val="center"/>
          </w:tcPr>
          <w:p w14:paraId="45DB06F7"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47</w:t>
            </w:r>
          </w:p>
        </w:tc>
        <w:tc>
          <w:tcPr>
            <w:tcW w:w="657" w:type="dxa"/>
            <w:tcMar>
              <w:left w:w="57" w:type="dxa"/>
              <w:right w:w="57" w:type="dxa"/>
            </w:tcMar>
            <w:vAlign w:val="center"/>
          </w:tcPr>
          <w:p w14:paraId="7EA6FD68"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47</w:t>
            </w:r>
          </w:p>
        </w:tc>
        <w:tc>
          <w:tcPr>
            <w:tcW w:w="657" w:type="dxa"/>
            <w:tcMar>
              <w:left w:w="57" w:type="dxa"/>
              <w:right w:w="57" w:type="dxa"/>
            </w:tcMar>
            <w:vAlign w:val="center"/>
          </w:tcPr>
          <w:p w14:paraId="6754788A"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34</w:t>
            </w:r>
          </w:p>
        </w:tc>
        <w:tc>
          <w:tcPr>
            <w:tcW w:w="553" w:type="dxa"/>
            <w:tcMar>
              <w:left w:w="57" w:type="dxa"/>
              <w:right w:w="57" w:type="dxa"/>
            </w:tcMar>
            <w:vAlign w:val="center"/>
          </w:tcPr>
          <w:p w14:paraId="2EA1266B"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32</w:t>
            </w:r>
          </w:p>
        </w:tc>
        <w:tc>
          <w:tcPr>
            <w:tcW w:w="553" w:type="dxa"/>
            <w:tcMar>
              <w:left w:w="57" w:type="dxa"/>
              <w:right w:w="57" w:type="dxa"/>
            </w:tcMar>
            <w:vAlign w:val="center"/>
          </w:tcPr>
          <w:p w14:paraId="774B9A01"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29</w:t>
            </w:r>
          </w:p>
        </w:tc>
        <w:tc>
          <w:tcPr>
            <w:tcW w:w="585" w:type="dxa"/>
            <w:tcBorders>
              <w:left w:val="single" w:sz="4" w:space="0" w:color="auto"/>
              <w:right w:val="single" w:sz="4" w:space="0" w:color="auto"/>
            </w:tcBorders>
            <w:vAlign w:val="center"/>
          </w:tcPr>
          <w:p w14:paraId="2A600EFA"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32</w:t>
            </w:r>
          </w:p>
        </w:tc>
        <w:tc>
          <w:tcPr>
            <w:tcW w:w="583" w:type="dxa"/>
            <w:tcBorders>
              <w:left w:val="single" w:sz="4" w:space="0" w:color="auto"/>
              <w:right w:val="single" w:sz="4" w:space="0" w:color="auto"/>
            </w:tcBorders>
            <w:vAlign w:val="center"/>
          </w:tcPr>
          <w:p w14:paraId="422B54FA"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31</w:t>
            </w:r>
          </w:p>
        </w:tc>
        <w:tc>
          <w:tcPr>
            <w:tcW w:w="581" w:type="dxa"/>
            <w:tcBorders>
              <w:left w:val="single" w:sz="4" w:space="0" w:color="auto"/>
              <w:right w:val="single" w:sz="8" w:space="0" w:color="auto"/>
            </w:tcBorders>
            <w:vAlign w:val="center"/>
          </w:tcPr>
          <w:p w14:paraId="1367D197"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31</w:t>
            </w:r>
          </w:p>
        </w:tc>
        <w:tc>
          <w:tcPr>
            <w:tcW w:w="862" w:type="dxa"/>
            <w:tcBorders>
              <w:left w:val="single" w:sz="8" w:space="0" w:color="auto"/>
              <w:right w:val="single" w:sz="8" w:space="0" w:color="auto"/>
            </w:tcBorders>
            <w:vAlign w:val="center"/>
          </w:tcPr>
          <w:p w14:paraId="10E04E5F"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23</w:t>
            </w:r>
          </w:p>
        </w:tc>
        <w:tc>
          <w:tcPr>
            <w:tcW w:w="850" w:type="dxa"/>
            <w:tcBorders>
              <w:left w:val="single" w:sz="8" w:space="0" w:color="auto"/>
            </w:tcBorders>
            <w:tcMar>
              <w:left w:w="57" w:type="dxa"/>
              <w:right w:w="85" w:type="dxa"/>
            </w:tcMar>
            <w:vAlign w:val="center"/>
          </w:tcPr>
          <w:p w14:paraId="082B550D"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12</w:t>
            </w:r>
          </w:p>
        </w:tc>
      </w:tr>
      <w:tr w:rsidR="009B7BA9" w:rsidRPr="00CE0F33" w14:paraId="08F80CB1" w14:textId="77777777" w:rsidTr="00261B26">
        <w:trPr>
          <w:jc w:val="center"/>
        </w:trPr>
        <w:tc>
          <w:tcPr>
            <w:tcW w:w="851" w:type="dxa"/>
            <w:vAlign w:val="center"/>
          </w:tcPr>
          <w:p w14:paraId="70866D8A"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European</w:t>
            </w:r>
          </w:p>
        </w:tc>
        <w:tc>
          <w:tcPr>
            <w:tcW w:w="694" w:type="dxa"/>
            <w:tcMar>
              <w:left w:w="57" w:type="dxa"/>
              <w:right w:w="57" w:type="dxa"/>
            </w:tcMar>
            <w:vAlign w:val="center"/>
          </w:tcPr>
          <w:p w14:paraId="70253A4C"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14</w:t>
            </w:r>
          </w:p>
        </w:tc>
        <w:tc>
          <w:tcPr>
            <w:tcW w:w="657" w:type="dxa"/>
            <w:tcMar>
              <w:left w:w="57" w:type="dxa"/>
              <w:right w:w="57" w:type="dxa"/>
            </w:tcMar>
            <w:vAlign w:val="center"/>
          </w:tcPr>
          <w:p w14:paraId="5F3A6207"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18</w:t>
            </w:r>
          </w:p>
        </w:tc>
        <w:tc>
          <w:tcPr>
            <w:tcW w:w="657" w:type="dxa"/>
            <w:tcMar>
              <w:left w:w="57" w:type="dxa"/>
              <w:right w:w="57" w:type="dxa"/>
            </w:tcMar>
            <w:vAlign w:val="center"/>
          </w:tcPr>
          <w:p w14:paraId="5DCFA073"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13</w:t>
            </w:r>
          </w:p>
        </w:tc>
        <w:tc>
          <w:tcPr>
            <w:tcW w:w="657" w:type="dxa"/>
            <w:tcMar>
              <w:left w:w="57" w:type="dxa"/>
              <w:right w:w="57" w:type="dxa"/>
            </w:tcMar>
            <w:vAlign w:val="center"/>
          </w:tcPr>
          <w:p w14:paraId="014B49ED"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10</w:t>
            </w:r>
          </w:p>
        </w:tc>
        <w:tc>
          <w:tcPr>
            <w:tcW w:w="553" w:type="dxa"/>
            <w:tcMar>
              <w:left w:w="57" w:type="dxa"/>
              <w:right w:w="57" w:type="dxa"/>
            </w:tcMar>
            <w:vAlign w:val="center"/>
          </w:tcPr>
          <w:p w14:paraId="405FBD06"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10</w:t>
            </w:r>
          </w:p>
        </w:tc>
        <w:tc>
          <w:tcPr>
            <w:tcW w:w="553" w:type="dxa"/>
            <w:tcMar>
              <w:left w:w="57" w:type="dxa"/>
              <w:right w:w="57" w:type="dxa"/>
            </w:tcMar>
            <w:vAlign w:val="center"/>
          </w:tcPr>
          <w:p w14:paraId="33E3644D"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9</w:t>
            </w:r>
          </w:p>
        </w:tc>
        <w:tc>
          <w:tcPr>
            <w:tcW w:w="585" w:type="dxa"/>
            <w:tcBorders>
              <w:left w:val="single" w:sz="4" w:space="0" w:color="auto"/>
              <w:right w:val="single" w:sz="4" w:space="0" w:color="auto"/>
            </w:tcBorders>
            <w:vAlign w:val="center"/>
          </w:tcPr>
          <w:p w14:paraId="358BAA1A"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10</w:t>
            </w:r>
          </w:p>
        </w:tc>
        <w:tc>
          <w:tcPr>
            <w:tcW w:w="583" w:type="dxa"/>
            <w:tcBorders>
              <w:left w:val="single" w:sz="4" w:space="0" w:color="auto"/>
              <w:right w:val="single" w:sz="4" w:space="0" w:color="auto"/>
            </w:tcBorders>
            <w:vAlign w:val="center"/>
          </w:tcPr>
          <w:p w14:paraId="4A096FE7"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10</w:t>
            </w:r>
          </w:p>
        </w:tc>
        <w:tc>
          <w:tcPr>
            <w:tcW w:w="581" w:type="dxa"/>
            <w:tcBorders>
              <w:left w:val="single" w:sz="4" w:space="0" w:color="auto"/>
              <w:right w:val="single" w:sz="8" w:space="0" w:color="auto"/>
            </w:tcBorders>
            <w:vAlign w:val="center"/>
          </w:tcPr>
          <w:p w14:paraId="6716BD31"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12</w:t>
            </w:r>
          </w:p>
        </w:tc>
        <w:tc>
          <w:tcPr>
            <w:tcW w:w="862" w:type="dxa"/>
            <w:tcBorders>
              <w:left w:val="single" w:sz="8" w:space="0" w:color="auto"/>
              <w:right w:val="single" w:sz="8" w:space="0" w:color="auto"/>
            </w:tcBorders>
            <w:vAlign w:val="center"/>
          </w:tcPr>
          <w:p w14:paraId="6E64FD8E"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37</w:t>
            </w:r>
          </w:p>
        </w:tc>
        <w:tc>
          <w:tcPr>
            <w:tcW w:w="850" w:type="dxa"/>
            <w:tcBorders>
              <w:left w:val="single" w:sz="8" w:space="0" w:color="auto"/>
            </w:tcBorders>
            <w:tcMar>
              <w:left w:w="57" w:type="dxa"/>
              <w:right w:w="85" w:type="dxa"/>
            </w:tcMar>
            <w:vAlign w:val="center"/>
          </w:tcPr>
          <w:p w14:paraId="33601AFC"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49</w:t>
            </w:r>
          </w:p>
        </w:tc>
      </w:tr>
      <w:tr w:rsidR="009B7BA9" w:rsidRPr="00CE0F33" w14:paraId="683A990D" w14:textId="77777777" w:rsidTr="00261B26">
        <w:trPr>
          <w:jc w:val="center"/>
        </w:trPr>
        <w:tc>
          <w:tcPr>
            <w:tcW w:w="851" w:type="dxa"/>
            <w:vAlign w:val="center"/>
          </w:tcPr>
          <w:p w14:paraId="2F0B9F4B"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Asian</w:t>
            </w:r>
          </w:p>
        </w:tc>
        <w:tc>
          <w:tcPr>
            <w:tcW w:w="694" w:type="dxa"/>
            <w:tcMar>
              <w:left w:w="57" w:type="dxa"/>
              <w:right w:w="57" w:type="dxa"/>
            </w:tcMar>
            <w:vAlign w:val="center"/>
          </w:tcPr>
          <w:p w14:paraId="6BEAD48A"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19</w:t>
            </w:r>
          </w:p>
        </w:tc>
        <w:tc>
          <w:tcPr>
            <w:tcW w:w="657" w:type="dxa"/>
            <w:tcMar>
              <w:left w:w="57" w:type="dxa"/>
              <w:right w:w="57" w:type="dxa"/>
            </w:tcMar>
            <w:vAlign w:val="center"/>
          </w:tcPr>
          <w:p w14:paraId="2AE8993C"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16</w:t>
            </w:r>
          </w:p>
        </w:tc>
        <w:tc>
          <w:tcPr>
            <w:tcW w:w="657" w:type="dxa"/>
            <w:tcMar>
              <w:left w:w="57" w:type="dxa"/>
              <w:right w:w="57" w:type="dxa"/>
            </w:tcMar>
            <w:vAlign w:val="center"/>
          </w:tcPr>
          <w:p w14:paraId="384B6A3D"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8</w:t>
            </w:r>
          </w:p>
        </w:tc>
        <w:tc>
          <w:tcPr>
            <w:tcW w:w="657" w:type="dxa"/>
            <w:tcMar>
              <w:left w:w="57" w:type="dxa"/>
              <w:right w:w="57" w:type="dxa"/>
            </w:tcMar>
            <w:vAlign w:val="center"/>
          </w:tcPr>
          <w:p w14:paraId="40377F07"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553" w:type="dxa"/>
            <w:tcMar>
              <w:left w:w="57" w:type="dxa"/>
              <w:right w:w="57" w:type="dxa"/>
            </w:tcMar>
            <w:vAlign w:val="center"/>
          </w:tcPr>
          <w:p w14:paraId="2C10F35B"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553" w:type="dxa"/>
            <w:tcMar>
              <w:left w:w="57" w:type="dxa"/>
              <w:right w:w="57" w:type="dxa"/>
            </w:tcMar>
            <w:vAlign w:val="center"/>
          </w:tcPr>
          <w:p w14:paraId="2154AC4C"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5</w:t>
            </w:r>
          </w:p>
        </w:tc>
        <w:tc>
          <w:tcPr>
            <w:tcW w:w="585" w:type="dxa"/>
            <w:tcBorders>
              <w:left w:val="single" w:sz="4" w:space="0" w:color="auto"/>
              <w:right w:val="single" w:sz="4" w:space="0" w:color="auto"/>
            </w:tcBorders>
            <w:vAlign w:val="center"/>
          </w:tcPr>
          <w:p w14:paraId="4862A8F7"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w:t>
            </w:r>
          </w:p>
        </w:tc>
        <w:tc>
          <w:tcPr>
            <w:tcW w:w="583" w:type="dxa"/>
            <w:tcBorders>
              <w:left w:val="single" w:sz="4" w:space="0" w:color="auto"/>
              <w:right w:val="single" w:sz="4" w:space="0" w:color="auto"/>
            </w:tcBorders>
            <w:vAlign w:val="center"/>
          </w:tcPr>
          <w:p w14:paraId="0BF8DEE8"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581" w:type="dxa"/>
            <w:tcBorders>
              <w:left w:val="single" w:sz="4" w:space="0" w:color="auto"/>
              <w:right w:val="single" w:sz="8" w:space="0" w:color="auto"/>
            </w:tcBorders>
            <w:vAlign w:val="center"/>
          </w:tcPr>
          <w:p w14:paraId="658C0F38"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862" w:type="dxa"/>
            <w:tcBorders>
              <w:left w:val="single" w:sz="8" w:space="0" w:color="auto"/>
              <w:right w:val="single" w:sz="8" w:space="0" w:color="auto"/>
            </w:tcBorders>
            <w:vAlign w:val="center"/>
          </w:tcPr>
          <w:p w14:paraId="4930C63D"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850" w:type="dxa"/>
            <w:tcBorders>
              <w:left w:val="single" w:sz="8" w:space="0" w:color="auto"/>
            </w:tcBorders>
            <w:tcMar>
              <w:left w:w="57" w:type="dxa"/>
              <w:right w:w="85" w:type="dxa"/>
            </w:tcMar>
            <w:vAlign w:val="center"/>
          </w:tcPr>
          <w:p w14:paraId="6F31E567"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16</w:t>
            </w:r>
          </w:p>
        </w:tc>
      </w:tr>
      <w:tr w:rsidR="009B7BA9" w:rsidRPr="00CE0F33" w14:paraId="09558083" w14:textId="77777777" w:rsidTr="00261B26">
        <w:trPr>
          <w:jc w:val="center"/>
        </w:trPr>
        <w:tc>
          <w:tcPr>
            <w:tcW w:w="851" w:type="dxa"/>
            <w:vAlign w:val="center"/>
          </w:tcPr>
          <w:p w14:paraId="2B0E72A6"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ALL</w:t>
            </w:r>
          </w:p>
        </w:tc>
        <w:tc>
          <w:tcPr>
            <w:tcW w:w="694" w:type="dxa"/>
            <w:tcMar>
              <w:left w:w="57" w:type="dxa"/>
              <w:right w:w="57" w:type="dxa"/>
            </w:tcMar>
            <w:vAlign w:val="center"/>
          </w:tcPr>
          <w:p w14:paraId="6451057F"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657" w:type="dxa"/>
            <w:tcMar>
              <w:left w:w="57" w:type="dxa"/>
              <w:right w:w="57" w:type="dxa"/>
            </w:tcMar>
            <w:vAlign w:val="center"/>
          </w:tcPr>
          <w:p w14:paraId="134CC603"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657" w:type="dxa"/>
            <w:tcMar>
              <w:left w:w="57" w:type="dxa"/>
              <w:right w:w="57" w:type="dxa"/>
            </w:tcMar>
            <w:vAlign w:val="center"/>
          </w:tcPr>
          <w:p w14:paraId="035511A6"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657" w:type="dxa"/>
            <w:tcMar>
              <w:left w:w="57" w:type="dxa"/>
              <w:right w:w="57" w:type="dxa"/>
            </w:tcMar>
            <w:vAlign w:val="center"/>
          </w:tcPr>
          <w:p w14:paraId="7192B563"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553" w:type="dxa"/>
            <w:tcMar>
              <w:left w:w="57" w:type="dxa"/>
              <w:right w:w="57" w:type="dxa"/>
            </w:tcMar>
            <w:vAlign w:val="center"/>
          </w:tcPr>
          <w:p w14:paraId="24459DFD"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553" w:type="dxa"/>
            <w:tcMar>
              <w:left w:w="57" w:type="dxa"/>
              <w:right w:w="57" w:type="dxa"/>
            </w:tcMar>
            <w:vAlign w:val="center"/>
          </w:tcPr>
          <w:p w14:paraId="1DCAC99B"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585" w:type="dxa"/>
            <w:tcBorders>
              <w:left w:val="single" w:sz="4" w:space="0" w:color="auto"/>
              <w:right w:val="single" w:sz="4" w:space="0" w:color="auto"/>
            </w:tcBorders>
            <w:vAlign w:val="center"/>
          </w:tcPr>
          <w:p w14:paraId="07A4F8DB"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583" w:type="dxa"/>
            <w:tcBorders>
              <w:left w:val="single" w:sz="4" w:space="0" w:color="auto"/>
              <w:right w:val="single" w:sz="4" w:space="0" w:color="auto"/>
            </w:tcBorders>
            <w:vAlign w:val="center"/>
          </w:tcPr>
          <w:p w14:paraId="5EEBB037"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w:t>
            </w:r>
          </w:p>
        </w:tc>
        <w:tc>
          <w:tcPr>
            <w:tcW w:w="581" w:type="dxa"/>
            <w:tcBorders>
              <w:left w:val="single" w:sz="4" w:space="0" w:color="auto"/>
              <w:right w:val="single" w:sz="8" w:space="0" w:color="auto"/>
            </w:tcBorders>
            <w:vAlign w:val="center"/>
          </w:tcPr>
          <w:p w14:paraId="12D412D6"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w:t>
            </w:r>
          </w:p>
        </w:tc>
        <w:tc>
          <w:tcPr>
            <w:tcW w:w="862" w:type="dxa"/>
            <w:tcBorders>
              <w:left w:val="single" w:sz="8" w:space="0" w:color="auto"/>
              <w:right w:val="single" w:sz="8" w:space="0" w:color="auto"/>
            </w:tcBorders>
            <w:vAlign w:val="center"/>
          </w:tcPr>
          <w:p w14:paraId="6CE361F3"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100</w:t>
            </w:r>
          </w:p>
        </w:tc>
        <w:tc>
          <w:tcPr>
            <w:tcW w:w="850" w:type="dxa"/>
            <w:tcBorders>
              <w:left w:val="single" w:sz="8" w:space="0" w:color="auto"/>
            </w:tcBorders>
            <w:tcMar>
              <w:left w:w="57" w:type="dxa"/>
              <w:right w:w="85" w:type="dxa"/>
            </w:tcMar>
            <w:vAlign w:val="center"/>
          </w:tcPr>
          <w:p w14:paraId="6A3188AF"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100</w:t>
            </w:r>
          </w:p>
        </w:tc>
      </w:tr>
    </w:tbl>
    <w:p w14:paraId="302FDA63" w14:textId="1D075E3B" w:rsidR="009B7BA9" w:rsidRPr="00614F64" w:rsidRDefault="009B7BA9" w:rsidP="00F23F6B">
      <w:pPr>
        <w:spacing w:before="60" w:after="20" w:line="240" w:lineRule="auto"/>
        <w:ind w:left="567" w:hanging="142"/>
        <w:rPr>
          <w:rFonts w:ascii="Arial" w:eastAsia="Times New Roman" w:hAnsi="Arial" w:cs="Times New Roman"/>
          <w:bCs/>
          <w:color w:val="000000"/>
          <w:sz w:val="16"/>
          <w:szCs w:val="16"/>
          <w:lang w:val="en-GB"/>
        </w:rPr>
      </w:pPr>
      <w:r w:rsidRPr="00614F64">
        <w:rPr>
          <w:rFonts w:ascii="Arial" w:eastAsia="Times New Roman" w:hAnsi="Arial" w:cs="Times New Roman"/>
          <w:bCs/>
          <w:color w:val="000000"/>
          <w:sz w:val="16"/>
          <w:szCs w:val="16"/>
          <w:lang w:val="en-GB"/>
        </w:rPr>
        <w:t xml:space="preserve">Notes for Table </w:t>
      </w:r>
      <w:r w:rsidR="006B6068">
        <w:rPr>
          <w:rFonts w:ascii="Arial" w:eastAsia="Times New Roman" w:hAnsi="Arial" w:cs="Times New Roman"/>
          <w:bCs/>
          <w:color w:val="000000"/>
          <w:sz w:val="16"/>
          <w:szCs w:val="16"/>
          <w:lang w:val="en-GB"/>
        </w:rPr>
        <w:t>F</w:t>
      </w:r>
      <w:r w:rsidRPr="00614F64">
        <w:rPr>
          <w:rFonts w:ascii="Arial" w:eastAsia="Times New Roman" w:hAnsi="Arial" w:cs="Times New Roman"/>
          <w:bCs/>
          <w:color w:val="000000"/>
          <w:sz w:val="16"/>
          <w:szCs w:val="16"/>
          <w:lang w:val="en-GB"/>
        </w:rPr>
        <w:t>.</w:t>
      </w:r>
      <w:r>
        <w:rPr>
          <w:rFonts w:ascii="Arial" w:eastAsia="Times New Roman" w:hAnsi="Arial" w:cs="Times New Roman"/>
          <w:bCs/>
          <w:color w:val="000000"/>
          <w:sz w:val="16"/>
          <w:szCs w:val="16"/>
          <w:lang w:val="en-GB"/>
        </w:rPr>
        <w:t>1</w:t>
      </w:r>
      <w:r w:rsidRPr="00614F64">
        <w:rPr>
          <w:rFonts w:ascii="Arial" w:eastAsia="Times New Roman" w:hAnsi="Arial" w:cs="Times New Roman"/>
          <w:bCs/>
          <w:color w:val="000000"/>
          <w:sz w:val="16"/>
          <w:szCs w:val="16"/>
          <w:lang w:val="en-GB"/>
        </w:rPr>
        <w:t>a</w:t>
      </w:r>
    </w:p>
    <w:p w14:paraId="36D9D5AB" w14:textId="39E6EC8A" w:rsidR="009B7BA9" w:rsidRPr="00614F64" w:rsidRDefault="009B7BA9" w:rsidP="00F23F6B">
      <w:pPr>
        <w:numPr>
          <w:ilvl w:val="0"/>
          <w:numId w:val="66"/>
        </w:numPr>
        <w:spacing w:after="40" w:line="240" w:lineRule="auto"/>
        <w:ind w:left="851" w:hanging="283"/>
        <w:rPr>
          <w:rFonts w:ascii="Arial" w:hAnsi="Arial"/>
          <w:color w:val="000000"/>
          <w:sz w:val="16"/>
          <w:szCs w:val="16"/>
        </w:rPr>
      </w:pPr>
      <w:r w:rsidRPr="00614F64">
        <w:rPr>
          <w:rFonts w:ascii="Arial" w:hAnsi="Arial"/>
          <w:color w:val="000000"/>
          <w:sz w:val="16"/>
          <w:szCs w:val="16"/>
        </w:rPr>
        <w:t xml:space="preserve">There are 40,000 in the ‘Other’ category – this includes MELAA and “Other” ethnicities (including “New Zealander”), both of which groups have low numbers and high sampling error. For example, in 2025 the sampling error for the “Other” subgroup was of the order of 12 ppt on a point estimate of around 26% for material hardship, and for MELAA 8 ppt on a point estimate of 14%. The row is suppressed in Tables </w:t>
      </w:r>
      <w:r w:rsidR="006B6068">
        <w:rPr>
          <w:rFonts w:ascii="Arial" w:hAnsi="Arial"/>
          <w:color w:val="000000"/>
          <w:sz w:val="16"/>
          <w:szCs w:val="16"/>
        </w:rPr>
        <w:t>F</w:t>
      </w:r>
      <w:r w:rsidRPr="00614F64">
        <w:rPr>
          <w:rFonts w:ascii="Arial" w:hAnsi="Arial"/>
          <w:color w:val="000000"/>
          <w:sz w:val="16"/>
          <w:szCs w:val="16"/>
        </w:rPr>
        <w:t>.</w:t>
      </w:r>
      <w:r w:rsidR="006B6068">
        <w:rPr>
          <w:rFonts w:ascii="Arial" w:hAnsi="Arial"/>
          <w:color w:val="000000"/>
          <w:sz w:val="16"/>
          <w:szCs w:val="16"/>
        </w:rPr>
        <w:t>1</w:t>
      </w:r>
      <w:r w:rsidRPr="00614F64">
        <w:rPr>
          <w:rFonts w:ascii="Arial" w:hAnsi="Arial"/>
          <w:color w:val="000000"/>
          <w:sz w:val="16"/>
          <w:szCs w:val="16"/>
        </w:rPr>
        <w:t xml:space="preserve">a and </w:t>
      </w:r>
      <w:r w:rsidR="006B6068">
        <w:rPr>
          <w:rFonts w:ascii="Arial" w:hAnsi="Arial"/>
          <w:color w:val="000000"/>
          <w:sz w:val="16"/>
          <w:szCs w:val="16"/>
        </w:rPr>
        <w:t>F</w:t>
      </w:r>
      <w:r w:rsidRPr="00614F64">
        <w:rPr>
          <w:rFonts w:ascii="Arial" w:hAnsi="Arial"/>
          <w:color w:val="000000"/>
          <w:sz w:val="16"/>
          <w:szCs w:val="16"/>
        </w:rPr>
        <w:t>.</w:t>
      </w:r>
      <w:r w:rsidR="006B6068">
        <w:rPr>
          <w:rFonts w:ascii="Arial" w:hAnsi="Arial"/>
          <w:color w:val="000000"/>
          <w:sz w:val="16"/>
          <w:szCs w:val="16"/>
        </w:rPr>
        <w:t>1</w:t>
      </w:r>
      <w:r w:rsidRPr="00614F64">
        <w:rPr>
          <w:rFonts w:ascii="Arial" w:hAnsi="Arial"/>
          <w:color w:val="000000"/>
          <w:sz w:val="16"/>
          <w:szCs w:val="16"/>
        </w:rPr>
        <w:t>b.</w:t>
      </w:r>
    </w:p>
    <w:p w14:paraId="5DE6C275" w14:textId="02BC077E" w:rsidR="009B7BA9" w:rsidRPr="00903E31" w:rsidRDefault="009B7BA9" w:rsidP="00F23F6B">
      <w:pPr>
        <w:numPr>
          <w:ilvl w:val="0"/>
          <w:numId w:val="32"/>
        </w:numPr>
        <w:spacing w:after="0" w:line="240" w:lineRule="auto"/>
        <w:ind w:left="851" w:hanging="283"/>
        <w:contextualSpacing/>
        <w:rPr>
          <w:rFonts w:ascii="Arial" w:hAnsi="Arial"/>
          <w:color w:val="000000"/>
          <w:sz w:val="16"/>
          <w:szCs w:val="16"/>
        </w:rPr>
      </w:pPr>
      <w:r w:rsidRPr="00903E31">
        <w:rPr>
          <w:rFonts w:ascii="Arial" w:hAnsi="Arial"/>
          <w:color w:val="000000" w:themeColor="text1"/>
          <w:sz w:val="16"/>
          <w:szCs w:val="16"/>
        </w:rPr>
        <w:t xml:space="preserve">See </w:t>
      </w:r>
      <w:r w:rsidRPr="00903E31">
        <w:rPr>
          <w:rFonts w:ascii="Arial" w:hAnsi="Arial"/>
          <w:b/>
          <w:bCs/>
          <w:color w:val="000000" w:themeColor="text1"/>
          <w:sz w:val="16"/>
          <w:szCs w:val="16"/>
        </w:rPr>
        <w:t xml:space="preserve">Section </w:t>
      </w:r>
      <w:r w:rsidR="00A56680" w:rsidRPr="00903E31">
        <w:rPr>
          <w:rFonts w:ascii="Arial" w:hAnsi="Arial"/>
          <w:b/>
          <w:bCs/>
          <w:color w:val="000000" w:themeColor="text1"/>
          <w:sz w:val="16"/>
          <w:szCs w:val="16"/>
        </w:rPr>
        <w:t xml:space="preserve">E </w:t>
      </w:r>
      <w:r w:rsidRPr="00903E31">
        <w:rPr>
          <w:rFonts w:ascii="Arial" w:hAnsi="Arial"/>
          <w:color w:val="000000" w:themeColor="text1"/>
          <w:sz w:val="16"/>
          <w:szCs w:val="16"/>
        </w:rPr>
        <w:t xml:space="preserve">for </w:t>
      </w:r>
      <w:r w:rsidRPr="00903E31">
        <w:rPr>
          <w:rFonts w:ascii="Arial" w:hAnsi="Arial"/>
          <w:color w:val="000000"/>
          <w:sz w:val="16"/>
          <w:szCs w:val="16"/>
        </w:rPr>
        <w:t>discussion of the counting approach used for ‘total ethnicity’</w:t>
      </w:r>
      <w:r w:rsidR="007F273D" w:rsidRPr="00903E31">
        <w:rPr>
          <w:rFonts w:ascii="Arial" w:hAnsi="Arial"/>
          <w:color w:val="000000"/>
          <w:sz w:val="16"/>
          <w:szCs w:val="16"/>
        </w:rPr>
        <w:t>.</w:t>
      </w:r>
    </w:p>
    <w:bookmarkEnd w:id="16"/>
    <w:p w14:paraId="78BEEB53" w14:textId="77777777" w:rsidR="009B7BA9" w:rsidRDefault="009B7BA9" w:rsidP="009B7BA9">
      <w:pPr>
        <w:spacing w:after="0" w:line="240" w:lineRule="auto"/>
        <w:rPr>
          <w:rFonts w:ascii="Arial" w:hAnsi="Arial"/>
          <w:b/>
          <w:bCs/>
          <w:color w:val="3333FF"/>
        </w:rPr>
      </w:pPr>
    </w:p>
    <w:p w14:paraId="4F56D3C6" w14:textId="4D160D8A" w:rsidR="009B7BA9" w:rsidRPr="007B3F93" w:rsidRDefault="009B7BA9" w:rsidP="009B7BA9">
      <w:pPr>
        <w:spacing w:after="0" w:line="240" w:lineRule="auto"/>
        <w:rPr>
          <w:rFonts w:ascii="Arial" w:hAnsi="Arial"/>
          <w:color w:val="000000" w:themeColor="text1"/>
        </w:rPr>
      </w:pPr>
      <w:r w:rsidRPr="007B3F93">
        <w:rPr>
          <w:rFonts w:ascii="Arial" w:hAnsi="Arial"/>
          <w:b/>
          <w:bCs/>
          <w:color w:val="000000" w:themeColor="text1"/>
        </w:rPr>
        <w:t xml:space="preserve">Table </w:t>
      </w:r>
      <w:r w:rsidR="00A56680">
        <w:rPr>
          <w:rFonts w:ascii="Arial" w:hAnsi="Arial"/>
          <w:b/>
          <w:bCs/>
          <w:color w:val="000000" w:themeColor="text1"/>
        </w:rPr>
        <w:t>F</w:t>
      </w:r>
      <w:r w:rsidRPr="007B3F93">
        <w:rPr>
          <w:rFonts w:ascii="Arial" w:hAnsi="Arial"/>
          <w:b/>
          <w:bCs/>
          <w:color w:val="000000" w:themeColor="text1"/>
        </w:rPr>
        <w:t>.</w:t>
      </w:r>
      <w:r w:rsidR="00A56680">
        <w:rPr>
          <w:rFonts w:ascii="Arial" w:hAnsi="Arial"/>
          <w:b/>
          <w:bCs/>
          <w:color w:val="000000" w:themeColor="text1"/>
        </w:rPr>
        <w:t>1</w:t>
      </w:r>
      <w:r w:rsidRPr="007B3F93">
        <w:rPr>
          <w:rFonts w:ascii="Arial" w:hAnsi="Arial"/>
          <w:b/>
          <w:bCs/>
          <w:color w:val="000000" w:themeColor="text1"/>
        </w:rPr>
        <w:t>b</w:t>
      </w:r>
      <w:r w:rsidRPr="007B3F93">
        <w:rPr>
          <w:rFonts w:ascii="Arial" w:hAnsi="Arial"/>
          <w:color w:val="000000" w:themeColor="text1"/>
        </w:rPr>
        <w:t xml:space="preserve"> repeats the analysis in Table </w:t>
      </w:r>
      <w:r w:rsidR="006B6068">
        <w:rPr>
          <w:rFonts w:ascii="Arial" w:hAnsi="Arial"/>
          <w:color w:val="000000" w:themeColor="text1"/>
        </w:rPr>
        <w:t>F</w:t>
      </w:r>
      <w:r w:rsidRPr="007B3F93">
        <w:rPr>
          <w:rFonts w:ascii="Arial" w:hAnsi="Arial"/>
          <w:color w:val="000000" w:themeColor="text1"/>
        </w:rPr>
        <w:t>.</w:t>
      </w:r>
      <w:r w:rsidR="006B6068">
        <w:rPr>
          <w:rFonts w:ascii="Arial" w:hAnsi="Arial"/>
          <w:color w:val="000000" w:themeColor="text1"/>
        </w:rPr>
        <w:t>1</w:t>
      </w:r>
      <w:r w:rsidRPr="007B3F93">
        <w:rPr>
          <w:rFonts w:ascii="Arial" w:hAnsi="Arial"/>
          <w:color w:val="000000" w:themeColor="text1"/>
        </w:rPr>
        <w:t>a but uses the ‘prioritised’ conceptualisation of ethnicity. Māori rates of course remain the same.  Pacific rates also remain much the same, but European and Asian rates fall a little. The main takeaways are the same whichever approach is used.</w:t>
      </w:r>
    </w:p>
    <w:p w14:paraId="51074040" w14:textId="77777777" w:rsidR="009B7BA9" w:rsidRDefault="009B7BA9" w:rsidP="009B7BA9">
      <w:pPr>
        <w:spacing w:after="0" w:line="240" w:lineRule="auto"/>
        <w:rPr>
          <w:rFonts w:ascii="Arial" w:hAnsi="Arial"/>
          <w:color w:val="000000" w:themeColor="text1"/>
        </w:rPr>
      </w:pPr>
    </w:p>
    <w:p w14:paraId="1E38B19E" w14:textId="12202097" w:rsidR="009B7BA9" w:rsidRPr="00CE0F33" w:rsidRDefault="009B7BA9" w:rsidP="009B7BA9">
      <w:pPr>
        <w:spacing w:after="0" w:line="240" w:lineRule="auto"/>
        <w:jc w:val="center"/>
        <w:rPr>
          <w:rFonts w:ascii="Arial" w:eastAsia="Times New Roman" w:hAnsi="Arial" w:cs="Times New Roman"/>
          <w:b/>
          <w:bCs/>
          <w:color w:val="000000"/>
          <w:sz w:val="18"/>
          <w:szCs w:val="18"/>
          <w:lang w:val="en-GB"/>
        </w:rPr>
      </w:pPr>
      <w:r w:rsidRPr="00C914D9">
        <w:rPr>
          <w:rFonts w:ascii="Arial" w:hAnsi="Arial"/>
          <w:b/>
          <w:bCs/>
          <w:color w:val="000000"/>
          <w:sz w:val="18"/>
          <w:szCs w:val="18"/>
        </w:rPr>
        <w:t xml:space="preserve">Table </w:t>
      </w:r>
      <w:r w:rsidR="00A56680">
        <w:rPr>
          <w:rFonts w:ascii="Arial" w:hAnsi="Arial"/>
          <w:b/>
          <w:bCs/>
          <w:color w:val="000000"/>
          <w:sz w:val="18"/>
          <w:szCs w:val="18"/>
        </w:rPr>
        <w:t>F</w:t>
      </w:r>
      <w:r>
        <w:rPr>
          <w:rFonts w:ascii="Arial" w:hAnsi="Arial"/>
          <w:b/>
          <w:bCs/>
          <w:color w:val="000000"/>
          <w:sz w:val="18"/>
          <w:szCs w:val="18"/>
        </w:rPr>
        <w:t>.1b</w:t>
      </w:r>
    </w:p>
    <w:p w14:paraId="0002B020" w14:textId="77777777" w:rsidR="009B7BA9" w:rsidRPr="00CE0F33" w:rsidRDefault="009B7BA9" w:rsidP="009B7BA9">
      <w:pPr>
        <w:spacing w:after="0" w:line="240" w:lineRule="auto"/>
        <w:ind w:left="360" w:hanging="274"/>
        <w:jc w:val="center"/>
        <w:rPr>
          <w:rFonts w:ascii="Arial" w:eastAsia="Times New Roman" w:hAnsi="Arial" w:cs="Times New Roman"/>
          <w:b/>
          <w:color w:val="000000"/>
          <w:sz w:val="18"/>
          <w:szCs w:val="18"/>
          <w:lang w:val="en-GB"/>
        </w:rPr>
      </w:pPr>
      <w:r w:rsidRPr="00CE0F33">
        <w:rPr>
          <w:rFonts w:ascii="Arial" w:eastAsia="Times New Roman" w:hAnsi="Arial" w:cs="Times New Roman"/>
          <w:b/>
          <w:color w:val="000000"/>
          <w:sz w:val="18"/>
          <w:szCs w:val="18"/>
          <w:lang w:val="en-GB"/>
        </w:rPr>
        <w:t>Material hardship rates for children by ethnic grouping (</w:t>
      </w:r>
      <w:r>
        <w:rPr>
          <w:rFonts w:ascii="Arial" w:eastAsia="Times New Roman" w:hAnsi="Arial" w:cs="Times New Roman"/>
          <w:b/>
          <w:color w:val="000000"/>
          <w:sz w:val="18"/>
          <w:szCs w:val="18"/>
          <w:lang w:val="en-GB"/>
        </w:rPr>
        <w:t>prioritised</w:t>
      </w:r>
      <w:r w:rsidRPr="00CE0F33">
        <w:rPr>
          <w:rFonts w:ascii="Arial" w:eastAsia="Times New Roman" w:hAnsi="Arial" w:cs="Times New Roman"/>
          <w:b/>
          <w:color w:val="000000"/>
          <w:sz w:val="18"/>
          <w:szCs w:val="18"/>
          <w:lang w:val="en-GB"/>
        </w:rPr>
        <w:t xml:space="preserve"> ethnicity approach), 2007 to 202</w:t>
      </w:r>
      <w:r>
        <w:rPr>
          <w:rFonts w:ascii="Arial" w:eastAsia="Times New Roman" w:hAnsi="Arial" w:cs="Times New Roman"/>
          <w:b/>
          <w:color w:val="000000"/>
          <w:sz w:val="18"/>
          <w:szCs w:val="18"/>
          <w:lang w:val="en-GB"/>
        </w:rPr>
        <w:t>5</w:t>
      </w:r>
      <w:r w:rsidRPr="00CE0F33">
        <w:rPr>
          <w:rFonts w:ascii="Arial" w:eastAsia="Times New Roman" w:hAnsi="Arial" w:cs="Times New Roman"/>
          <w:b/>
          <w:color w:val="000000"/>
          <w:sz w:val="18"/>
          <w:szCs w:val="18"/>
          <w:lang w:val="en-GB"/>
        </w:rPr>
        <w:t>,</w:t>
      </w:r>
    </w:p>
    <w:p w14:paraId="022B782C" w14:textId="77777777" w:rsidR="009B7BA9" w:rsidRPr="00CE0F33" w:rsidRDefault="009B7BA9" w:rsidP="009B7BA9">
      <w:pPr>
        <w:spacing w:after="0" w:line="240" w:lineRule="auto"/>
        <w:ind w:left="360" w:hanging="274"/>
        <w:jc w:val="center"/>
        <w:rPr>
          <w:rFonts w:ascii="Arial" w:eastAsia="Times New Roman" w:hAnsi="Arial" w:cs="Times New Roman"/>
          <w:b/>
          <w:color w:val="000000"/>
          <w:sz w:val="18"/>
          <w:szCs w:val="18"/>
          <w:lang w:val="en-GB"/>
        </w:rPr>
      </w:pPr>
      <w:r w:rsidRPr="00CE0F33">
        <w:rPr>
          <w:rFonts w:ascii="Arial" w:eastAsia="Times New Roman" w:hAnsi="Arial" w:cs="Times New Roman"/>
          <w:b/>
          <w:color w:val="000000"/>
          <w:sz w:val="18"/>
          <w:szCs w:val="18"/>
          <w:lang w:val="en-GB"/>
        </w:rPr>
        <w:t>using the same ELSI / MWI spliced series as in Figure F.1 to F.</w:t>
      </w:r>
      <w:r>
        <w:rPr>
          <w:rFonts w:ascii="Arial" w:eastAsia="Times New Roman" w:hAnsi="Arial" w:cs="Times New Roman"/>
          <w:b/>
          <w:color w:val="000000"/>
          <w:sz w:val="18"/>
          <w:szCs w:val="18"/>
          <w:lang w:val="en-GB"/>
        </w:rPr>
        <w:t>3</w:t>
      </w:r>
      <w:r w:rsidRPr="00CE0F33">
        <w:rPr>
          <w:rFonts w:ascii="Arial" w:eastAsia="Times New Roman" w:hAnsi="Arial" w:cs="Times New Roman"/>
          <w:b/>
          <w:color w:val="000000"/>
          <w:sz w:val="18"/>
          <w:szCs w:val="18"/>
          <w:lang w:val="en-GB"/>
        </w:rPr>
        <w:t xml:space="preserve"> </w:t>
      </w:r>
    </w:p>
    <w:p w14:paraId="58ADDA78" w14:textId="77777777" w:rsidR="009B7BA9" w:rsidRPr="00CE0F33" w:rsidRDefault="009B7BA9" w:rsidP="009B7BA9">
      <w:pPr>
        <w:spacing w:line="240" w:lineRule="auto"/>
        <w:ind w:left="357" w:hanging="272"/>
        <w:jc w:val="center"/>
        <w:rPr>
          <w:rFonts w:ascii="Arial" w:eastAsia="Times New Roman" w:hAnsi="Arial" w:cs="Times New Roman"/>
          <w:b/>
          <w:color w:val="000000"/>
          <w:sz w:val="18"/>
          <w:szCs w:val="18"/>
          <w:lang w:val="en-GB"/>
        </w:rPr>
      </w:pPr>
      <w:r w:rsidRPr="00CE0F33">
        <w:rPr>
          <w:rFonts w:ascii="Arial" w:eastAsia="Times New Roman" w:hAnsi="Arial" w:cs="Times New Roman"/>
          <w:b/>
          <w:color w:val="000000"/>
          <w:sz w:val="18"/>
          <w:szCs w:val="18"/>
          <w:lang w:val="en-GB"/>
        </w:rPr>
        <w:t xml:space="preserve">(three-year groupings </w:t>
      </w:r>
      <w:r w:rsidRPr="009356D3">
        <w:rPr>
          <w:rFonts w:ascii="Arial" w:eastAsia="Times New Roman" w:hAnsi="Arial" w:cs="Times New Roman"/>
          <w:b/>
          <w:color w:val="000000"/>
          <w:sz w:val="18"/>
          <w:szCs w:val="18"/>
          <w:lang w:val="en-GB"/>
        </w:rPr>
        <w:t xml:space="preserve">to </w:t>
      </w:r>
      <w:r>
        <w:rPr>
          <w:rFonts w:ascii="Arial" w:eastAsia="Times New Roman" w:hAnsi="Arial" w:cs="Times New Roman"/>
          <w:b/>
          <w:color w:val="000000"/>
          <w:sz w:val="18"/>
          <w:szCs w:val="18"/>
          <w:lang w:val="en-GB"/>
        </w:rPr>
        <w:t>2018</w:t>
      </w:r>
      <w:r w:rsidRPr="009356D3">
        <w:rPr>
          <w:rFonts w:ascii="Arial" w:eastAsia="Times New Roman" w:hAnsi="Arial" w:cs="Times New Roman"/>
          <w:b/>
          <w:color w:val="000000"/>
          <w:sz w:val="18"/>
          <w:szCs w:val="18"/>
          <w:lang w:val="en-GB"/>
        </w:rPr>
        <w:t xml:space="preserve">) </w:t>
      </w:r>
    </w:p>
    <w:tbl>
      <w:tblPr>
        <w:tblStyle w:val="TableGrid"/>
        <w:tblW w:w="0" w:type="auto"/>
        <w:jc w:val="center"/>
        <w:tblLook w:val="04A0" w:firstRow="1" w:lastRow="0" w:firstColumn="1" w:lastColumn="0" w:noHBand="0" w:noVBand="1"/>
      </w:tblPr>
      <w:tblGrid>
        <w:gridCol w:w="851"/>
        <w:gridCol w:w="694"/>
        <w:gridCol w:w="657"/>
        <w:gridCol w:w="657"/>
        <w:gridCol w:w="657"/>
        <w:gridCol w:w="553"/>
        <w:gridCol w:w="553"/>
        <w:gridCol w:w="585"/>
        <w:gridCol w:w="583"/>
        <w:gridCol w:w="581"/>
        <w:gridCol w:w="862"/>
        <w:gridCol w:w="850"/>
      </w:tblGrid>
      <w:tr w:rsidR="009B7BA9" w:rsidRPr="00CE0F33" w14:paraId="1580CB34" w14:textId="77777777" w:rsidTr="00261B26">
        <w:trPr>
          <w:jc w:val="center"/>
        </w:trPr>
        <w:tc>
          <w:tcPr>
            <w:tcW w:w="851" w:type="dxa"/>
          </w:tcPr>
          <w:p w14:paraId="20A314E5" w14:textId="77777777" w:rsidR="009B7BA9" w:rsidRPr="00CE0F33" w:rsidRDefault="009B7BA9" w:rsidP="00261B26">
            <w:pPr>
              <w:spacing w:before="40" w:after="40" w:line="240" w:lineRule="auto"/>
              <w:jc w:val="center"/>
              <w:rPr>
                <w:rFonts w:ascii="Arial" w:hAnsi="Arial"/>
                <w:b/>
                <w:bCs/>
                <w:color w:val="000000"/>
                <w:sz w:val="14"/>
                <w:szCs w:val="14"/>
              </w:rPr>
            </w:pPr>
          </w:p>
        </w:tc>
        <w:tc>
          <w:tcPr>
            <w:tcW w:w="5520" w:type="dxa"/>
            <w:gridSpan w:val="9"/>
            <w:tcBorders>
              <w:right w:val="single" w:sz="8" w:space="0" w:color="auto"/>
            </w:tcBorders>
            <w:vAlign w:val="center"/>
          </w:tcPr>
          <w:p w14:paraId="2B656AC3" w14:textId="77777777" w:rsidR="009B7BA9" w:rsidRPr="0074386B" w:rsidRDefault="009B7BA9" w:rsidP="00261B26">
            <w:pPr>
              <w:spacing w:before="40" w:after="40" w:line="240" w:lineRule="auto"/>
              <w:jc w:val="center"/>
              <w:rPr>
                <w:rFonts w:ascii="Arial" w:hAnsi="Arial"/>
                <w:b/>
                <w:bCs/>
                <w:color w:val="000000"/>
                <w:sz w:val="14"/>
                <w:szCs w:val="14"/>
              </w:rPr>
            </w:pPr>
            <w:r w:rsidRPr="0074386B">
              <w:rPr>
                <w:rFonts w:ascii="Arial" w:hAnsi="Arial"/>
                <w:b/>
                <w:bCs/>
                <w:color w:val="000000"/>
                <w:sz w:val="14"/>
                <w:szCs w:val="14"/>
              </w:rPr>
              <w:t>Material hardship rates (%)</w:t>
            </w:r>
          </w:p>
        </w:tc>
        <w:tc>
          <w:tcPr>
            <w:tcW w:w="854" w:type="dxa"/>
            <w:tcBorders>
              <w:right w:val="single" w:sz="8" w:space="0" w:color="auto"/>
            </w:tcBorders>
            <w:vAlign w:val="center"/>
          </w:tcPr>
          <w:p w14:paraId="6CBD7EF2" w14:textId="77777777" w:rsidR="009B7BA9" w:rsidRPr="0074386B" w:rsidRDefault="009B7BA9" w:rsidP="00261B26">
            <w:pPr>
              <w:spacing w:before="40" w:after="40" w:line="240" w:lineRule="auto"/>
              <w:jc w:val="center"/>
              <w:rPr>
                <w:rFonts w:ascii="Arial" w:hAnsi="Arial"/>
                <w:b/>
                <w:bCs/>
                <w:color w:val="000000"/>
                <w:sz w:val="14"/>
                <w:szCs w:val="14"/>
              </w:rPr>
            </w:pPr>
            <w:r w:rsidRPr="0074386B">
              <w:rPr>
                <w:rFonts w:ascii="Arial" w:hAnsi="Arial"/>
                <w:b/>
                <w:bCs/>
                <w:color w:val="000000"/>
                <w:sz w:val="14"/>
                <w:szCs w:val="14"/>
              </w:rPr>
              <w:t>MH Composn (%)</w:t>
            </w:r>
          </w:p>
        </w:tc>
        <w:tc>
          <w:tcPr>
            <w:tcW w:w="850" w:type="dxa"/>
            <w:tcBorders>
              <w:left w:val="single" w:sz="8" w:space="0" w:color="auto"/>
            </w:tcBorders>
            <w:tcMar>
              <w:left w:w="28" w:type="dxa"/>
              <w:right w:w="28" w:type="dxa"/>
            </w:tcMar>
            <w:vAlign w:val="center"/>
          </w:tcPr>
          <w:p w14:paraId="3CBC0E63" w14:textId="77777777" w:rsidR="009B7BA9" w:rsidRPr="0074386B" w:rsidRDefault="009B7BA9" w:rsidP="00261B26">
            <w:pPr>
              <w:spacing w:before="40" w:after="40" w:line="240" w:lineRule="auto"/>
              <w:jc w:val="center"/>
              <w:rPr>
                <w:rFonts w:ascii="Arial" w:hAnsi="Arial"/>
                <w:b/>
                <w:bCs/>
                <w:color w:val="000000"/>
                <w:sz w:val="14"/>
                <w:szCs w:val="14"/>
              </w:rPr>
            </w:pPr>
            <w:r w:rsidRPr="0074386B">
              <w:rPr>
                <w:rFonts w:ascii="Arial" w:hAnsi="Arial"/>
                <w:b/>
                <w:bCs/>
                <w:color w:val="000000"/>
                <w:sz w:val="14"/>
                <w:szCs w:val="14"/>
              </w:rPr>
              <w:t>Overall Composn (%)</w:t>
            </w:r>
          </w:p>
        </w:tc>
      </w:tr>
      <w:tr w:rsidR="009B7BA9" w:rsidRPr="00CE0F33" w14:paraId="491EBAC1" w14:textId="77777777" w:rsidTr="00261B26">
        <w:trPr>
          <w:jc w:val="center"/>
        </w:trPr>
        <w:tc>
          <w:tcPr>
            <w:tcW w:w="851" w:type="dxa"/>
          </w:tcPr>
          <w:p w14:paraId="09003833" w14:textId="77777777" w:rsidR="009B7BA9" w:rsidRPr="00CE0F33" w:rsidRDefault="009B7BA9" w:rsidP="00261B26">
            <w:pPr>
              <w:spacing w:before="40" w:after="40" w:line="240" w:lineRule="auto"/>
              <w:jc w:val="center"/>
              <w:rPr>
                <w:rFonts w:ascii="Arial" w:hAnsi="Arial"/>
                <w:b/>
                <w:bCs/>
                <w:color w:val="000000"/>
                <w:sz w:val="14"/>
                <w:szCs w:val="14"/>
              </w:rPr>
            </w:pPr>
          </w:p>
        </w:tc>
        <w:tc>
          <w:tcPr>
            <w:tcW w:w="694" w:type="dxa"/>
            <w:tcBorders>
              <w:bottom w:val="single" w:sz="4" w:space="0" w:color="auto"/>
            </w:tcBorders>
            <w:tcMar>
              <w:left w:w="57" w:type="dxa"/>
              <w:right w:w="57" w:type="dxa"/>
            </w:tcMar>
            <w:vAlign w:val="center"/>
          </w:tcPr>
          <w:p w14:paraId="6878B9BE"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2007-09</w:t>
            </w:r>
          </w:p>
        </w:tc>
        <w:tc>
          <w:tcPr>
            <w:tcW w:w="657" w:type="dxa"/>
            <w:tcBorders>
              <w:bottom w:val="single" w:sz="4" w:space="0" w:color="auto"/>
            </w:tcBorders>
            <w:tcMar>
              <w:left w:w="57" w:type="dxa"/>
              <w:right w:w="57" w:type="dxa"/>
            </w:tcMar>
            <w:vAlign w:val="center"/>
          </w:tcPr>
          <w:p w14:paraId="7A7A9738"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2010-12</w:t>
            </w:r>
          </w:p>
        </w:tc>
        <w:tc>
          <w:tcPr>
            <w:tcW w:w="657" w:type="dxa"/>
            <w:tcBorders>
              <w:bottom w:val="single" w:sz="4" w:space="0" w:color="auto"/>
            </w:tcBorders>
            <w:tcMar>
              <w:left w:w="57" w:type="dxa"/>
              <w:right w:w="57" w:type="dxa"/>
            </w:tcMar>
            <w:vAlign w:val="center"/>
          </w:tcPr>
          <w:p w14:paraId="4C084072"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2013-15</w:t>
            </w:r>
          </w:p>
        </w:tc>
        <w:tc>
          <w:tcPr>
            <w:tcW w:w="657" w:type="dxa"/>
            <w:tcBorders>
              <w:bottom w:val="single" w:sz="4" w:space="0" w:color="auto"/>
            </w:tcBorders>
            <w:tcMar>
              <w:left w:w="57" w:type="dxa"/>
              <w:right w:w="57" w:type="dxa"/>
            </w:tcMar>
            <w:vAlign w:val="center"/>
          </w:tcPr>
          <w:p w14:paraId="739D2E0D"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2016-18</w:t>
            </w:r>
          </w:p>
        </w:tc>
        <w:tc>
          <w:tcPr>
            <w:tcW w:w="553" w:type="dxa"/>
            <w:tcBorders>
              <w:bottom w:val="single" w:sz="4" w:space="0" w:color="auto"/>
            </w:tcBorders>
            <w:tcMar>
              <w:left w:w="57" w:type="dxa"/>
              <w:right w:w="57" w:type="dxa"/>
            </w:tcMar>
            <w:vAlign w:val="center"/>
          </w:tcPr>
          <w:p w14:paraId="6FFCA45A"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2019</w:t>
            </w:r>
          </w:p>
        </w:tc>
        <w:tc>
          <w:tcPr>
            <w:tcW w:w="553" w:type="dxa"/>
            <w:tcBorders>
              <w:bottom w:val="single" w:sz="4" w:space="0" w:color="auto"/>
            </w:tcBorders>
            <w:tcMar>
              <w:left w:w="57" w:type="dxa"/>
              <w:right w:w="57" w:type="dxa"/>
            </w:tcMar>
            <w:vAlign w:val="center"/>
          </w:tcPr>
          <w:p w14:paraId="4A3A05CF"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2020</w:t>
            </w:r>
          </w:p>
        </w:tc>
        <w:tc>
          <w:tcPr>
            <w:tcW w:w="585" w:type="dxa"/>
            <w:tcBorders>
              <w:left w:val="single" w:sz="4" w:space="0" w:color="auto"/>
              <w:bottom w:val="single" w:sz="4" w:space="0" w:color="auto"/>
              <w:right w:val="single" w:sz="4" w:space="0" w:color="auto"/>
            </w:tcBorders>
            <w:vAlign w:val="center"/>
          </w:tcPr>
          <w:p w14:paraId="2EFDAC71" w14:textId="77777777" w:rsidR="009B7BA9" w:rsidRPr="00CE0F33"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2023</w:t>
            </w:r>
          </w:p>
        </w:tc>
        <w:tc>
          <w:tcPr>
            <w:tcW w:w="583" w:type="dxa"/>
            <w:tcBorders>
              <w:left w:val="single" w:sz="4" w:space="0" w:color="auto"/>
              <w:right w:val="single" w:sz="4" w:space="0" w:color="auto"/>
            </w:tcBorders>
            <w:vAlign w:val="center"/>
          </w:tcPr>
          <w:p w14:paraId="54CD4783" w14:textId="77777777" w:rsidR="009B7BA9" w:rsidRPr="00046E24"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2024</w:t>
            </w:r>
          </w:p>
        </w:tc>
        <w:tc>
          <w:tcPr>
            <w:tcW w:w="581" w:type="dxa"/>
            <w:tcBorders>
              <w:left w:val="single" w:sz="4" w:space="0" w:color="auto"/>
              <w:right w:val="single" w:sz="8" w:space="0" w:color="auto"/>
            </w:tcBorders>
            <w:vAlign w:val="center"/>
          </w:tcPr>
          <w:p w14:paraId="623D4BF9" w14:textId="77777777" w:rsidR="009B7BA9"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2025</w:t>
            </w:r>
          </w:p>
        </w:tc>
        <w:tc>
          <w:tcPr>
            <w:tcW w:w="854" w:type="dxa"/>
            <w:tcBorders>
              <w:left w:val="single" w:sz="8" w:space="0" w:color="auto"/>
              <w:right w:val="single" w:sz="8" w:space="0" w:color="auto"/>
            </w:tcBorders>
            <w:vAlign w:val="center"/>
          </w:tcPr>
          <w:p w14:paraId="64987210" w14:textId="77777777" w:rsidR="009B7BA9"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2025</w:t>
            </w:r>
          </w:p>
        </w:tc>
        <w:tc>
          <w:tcPr>
            <w:tcW w:w="850" w:type="dxa"/>
            <w:tcBorders>
              <w:left w:val="single" w:sz="8" w:space="0" w:color="auto"/>
            </w:tcBorders>
            <w:tcMar>
              <w:left w:w="57" w:type="dxa"/>
              <w:right w:w="57" w:type="dxa"/>
            </w:tcMar>
            <w:vAlign w:val="center"/>
          </w:tcPr>
          <w:p w14:paraId="475CAB26" w14:textId="77777777" w:rsidR="009B7BA9" w:rsidRPr="00046E24" w:rsidRDefault="009B7BA9" w:rsidP="00261B26">
            <w:pPr>
              <w:spacing w:before="40" w:after="40" w:line="240" w:lineRule="auto"/>
              <w:jc w:val="center"/>
              <w:rPr>
                <w:rFonts w:ascii="Arial" w:hAnsi="Arial"/>
                <w:b/>
                <w:bCs/>
                <w:color w:val="000000"/>
                <w:sz w:val="14"/>
                <w:szCs w:val="14"/>
              </w:rPr>
            </w:pPr>
            <w:r>
              <w:rPr>
                <w:rFonts w:ascii="Arial" w:hAnsi="Arial"/>
                <w:b/>
                <w:bCs/>
                <w:color w:val="000000"/>
                <w:sz w:val="14"/>
                <w:szCs w:val="14"/>
              </w:rPr>
              <w:t>2025</w:t>
            </w:r>
          </w:p>
        </w:tc>
      </w:tr>
      <w:tr w:rsidR="009B7BA9" w:rsidRPr="00CE0F33" w14:paraId="44ADB659" w14:textId="77777777" w:rsidTr="00261B26">
        <w:trPr>
          <w:jc w:val="center"/>
        </w:trPr>
        <w:tc>
          <w:tcPr>
            <w:tcW w:w="851" w:type="dxa"/>
            <w:vAlign w:val="center"/>
          </w:tcPr>
          <w:p w14:paraId="3AEF51CF"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Māori</w:t>
            </w:r>
          </w:p>
        </w:tc>
        <w:tc>
          <w:tcPr>
            <w:tcW w:w="694" w:type="dxa"/>
            <w:tcMar>
              <w:left w:w="57" w:type="dxa"/>
              <w:right w:w="57" w:type="dxa"/>
            </w:tcMar>
            <w:vAlign w:val="center"/>
          </w:tcPr>
          <w:p w14:paraId="0A2247EC"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33</w:t>
            </w:r>
          </w:p>
        </w:tc>
        <w:tc>
          <w:tcPr>
            <w:tcW w:w="657" w:type="dxa"/>
            <w:tcMar>
              <w:left w:w="57" w:type="dxa"/>
              <w:right w:w="57" w:type="dxa"/>
            </w:tcMar>
            <w:vAlign w:val="center"/>
          </w:tcPr>
          <w:p w14:paraId="602DD46A"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36</w:t>
            </w:r>
          </w:p>
        </w:tc>
        <w:tc>
          <w:tcPr>
            <w:tcW w:w="657" w:type="dxa"/>
            <w:tcMar>
              <w:left w:w="57" w:type="dxa"/>
              <w:right w:w="57" w:type="dxa"/>
            </w:tcMar>
            <w:vAlign w:val="center"/>
          </w:tcPr>
          <w:p w14:paraId="593AE2BD"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34</w:t>
            </w:r>
          </w:p>
        </w:tc>
        <w:tc>
          <w:tcPr>
            <w:tcW w:w="657" w:type="dxa"/>
            <w:tcMar>
              <w:left w:w="57" w:type="dxa"/>
              <w:right w:w="57" w:type="dxa"/>
            </w:tcMar>
            <w:vAlign w:val="center"/>
          </w:tcPr>
          <w:p w14:paraId="43194CA5"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24</w:t>
            </w:r>
          </w:p>
        </w:tc>
        <w:tc>
          <w:tcPr>
            <w:tcW w:w="553" w:type="dxa"/>
            <w:tcMar>
              <w:left w:w="57" w:type="dxa"/>
              <w:right w:w="57" w:type="dxa"/>
            </w:tcMar>
            <w:vAlign w:val="center"/>
          </w:tcPr>
          <w:p w14:paraId="3C9E2391"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24</w:t>
            </w:r>
          </w:p>
        </w:tc>
        <w:tc>
          <w:tcPr>
            <w:tcW w:w="553" w:type="dxa"/>
            <w:tcMar>
              <w:left w:w="57" w:type="dxa"/>
              <w:right w:w="57" w:type="dxa"/>
            </w:tcMar>
            <w:vAlign w:val="center"/>
          </w:tcPr>
          <w:p w14:paraId="19C75269"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19</w:t>
            </w:r>
          </w:p>
        </w:tc>
        <w:tc>
          <w:tcPr>
            <w:tcW w:w="585" w:type="dxa"/>
            <w:tcBorders>
              <w:left w:val="single" w:sz="4" w:space="0" w:color="auto"/>
              <w:right w:val="single" w:sz="4" w:space="0" w:color="auto"/>
            </w:tcBorders>
            <w:vAlign w:val="center"/>
          </w:tcPr>
          <w:p w14:paraId="0EB14CBB"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22</w:t>
            </w:r>
          </w:p>
        </w:tc>
        <w:tc>
          <w:tcPr>
            <w:tcW w:w="583" w:type="dxa"/>
            <w:tcBorders>
              <w:left w:val="single" w:sz="4" w:space="0" w:color="auto"/>
              <w:right w:val="single" w:sz="4" w:space="0" w:color="auto"/>
            </w:tcBorders>
            <w:vAlign w:val="center"/>
          </w:tcPr>
          <w:p w14:paraId="42D95975"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23</w:t>
            </w:r>
          </w:p>
        </w:tc>
        <w:tc>
          <w:tcPr>
            <w:tcW w:w="581" w:type="dxa"/>
            <w:tcBorders>
              <w:left w:val="single" w:sz="4" w:space="0" w:color="auto"/>
              <w:right w:val="single" w:sz="8" w:space="0" w:color="auto"/>
            </w:tcBorders>
            <w:vAlign w:val="center"/>
          </w:tcPr>
          <w:p w14:paraId="2749A7D6"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25</w:t>
            </w:r>
          </w:p>
        </w:tc>
        <w:tc>
          <w:tcPr>
            <w:tcW w:w="854" w:type="dxa"/>
            <w:tcBorders>
              <w:left w:val="single" w:sz="8" w:space="0" w:color="auto"/>
              <w:right w:val="single" w:sz="8" w:space="0" w:color="auto"/>
            </w:tcBorders>
            <w:vAlign w:val="center"/>
          </w:tcPr>
          <w:p w14:paraId="4FB87769"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44</w:t>
            </w:r>
          </w:p>
        </w:tc>
        <w:tc>
          <w:tcPr>
            <w:tcW w:w="850" w:type="dxa"/>
            <w:tcBorders>
              <w:left w:val="single" w:sz="8" w:space="0" w:color="auto"/>
            </w:tcBorders>
            <w:tcMar>
              <w:left w:w="57" w:type="dxa"/>
              <w:right w:w="85" w:type="dxa"/>
            </w:tcMar>
            <w:vAlign w:val="center"/>
          </w:tcPr>
          <w:p w14:paraId="72C9D999"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26</w:t>
            </w:r>
          </w:p>
        </w:tc>
      </w:tr>
      <w:tr w:rsidR="009B7BA9" w:rsidRPr="00CE0F33" w14:paraId="0DF13AC0" w14:textId="77777777" w:rsidTr="00261B26">
        <w:trPr>
          <w:jc w:val="center"/>
        </w:trPr>
        <w:tc>
          <w:tcPr>
            <w:tcW w:w="851" w:type="dxa"/>
            <w:vAlign w:val="center"/>
          </w:tcPr>
          <w:p w14:paraId="5739403C"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Pacific</w:t>
            </w:r>
          </w:p>
        </w:tc>
        <w:tc>
          <w:tcPr>
            <w:tcW w:w="694" w:type="dxa"/>
            <w:tcMar>
              <w:left w:w="57" w:type="dxa"/>
              <w:right w:w="57" w:type="dxa"/>
            </w:tcMar>
            <w:vAlign w:val="center"/>
          </w:tcPr>
          <w:p w14:paraId="4A6217B6"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45</w:t>
            </w:r>
          </w:p>
        </w:tc>
        <w:tc>
          <w:tcPr>
            <w:tcW w:w="657" w:type="dxa"/>
            <w:tcMar>
              <w:left w:w="57" w:type="dxa"/>
              <w:right w:w="57" w:type="dxa"/>
            </w:tcMar>
            <w:vAlign w:val="center"/>
          </w:tcPr>
          <w:p w14:paraId="303479C2"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49</w:t>
            </w:r>
          </w:p>
        </w:tc>
        <w:tc>
          <w:tcPr>
            <w:tcW w:w="657" w:type="dxa"/>
            <w:tcMar>
              <w:left w:w="57" w:type="dxa"/>
              <w:right w:w="57" w:type="dxa"/>
            </w:tcMar>
            <w:vAlign w:val="center"/>
          </w:tcPr>
          <w:p w14:paraId="682FDCBE"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46</w:t>
            </w:r>
          </w:p>
        </w:tc>
        <w:tc>
          <w:tcPr>
            <w:tcW w:w="657" w:type="dxa"/>
            <w:tcMar>
              <w:left w:w="57" w:type="dxa"/>
              <w:right w:w="57" w:type="dxa"/>
            </w:tcMar>
            <w:vAlign w:val="center"/>
          </w:tcPr>
          <w:p w14:paraId="0F3459FD"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36</w:t>
            </w:r>
          </w:p>
        </w:tc>
        <w:tc>
          <w:tcPr>
            <w:tcW w:w="553" w:type="dxa"/>
            <w:tcMar>
              <w:left w:w="57" w:type="dxa"/>
              <w:right w:w="57" w:type="dxa"/>
            </w:tcMar>
            <w:vAlign w:val="center"/>
          </w:tcPr>
          <w:p w14:paraId="666D0724"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34</w:t>
            </w:r>
          </w:p>
        </w:tc>
        <w:tc>
          <w:tcPr>
            <w:tcW w:w="553" w:type="dxa"/>
            <w:tcMar>
              <w:left w:w="57" w:type="dxa"/>
              <w:right w:w="57" w:type="dxa"/>
            </w:tcMar>
            <w:vAlign w:val="center"/>
          </w:tcPr>
          <w:p w14:paraId="7FB7CDCF"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30</w:t>
            </w:r>
          </w:p>
        </w:tc>
        <w:tc>
          <w:tcPr>
            <w:tcW w:w="585" w:type="dxa"/>
            <w:tcBorders>
              <w:left w:val="single" w:sz="4" w:space="0" w:color="auto"/>
              <w:right w:val="single" w:sz="4" w:space="0" w:color="auto"/>
            </w:tcBorders>
            <w:vAlign w:val="center"/>
          </w:tcPr>
          <w:p w14:paraId="495F8751"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36</w:t>
            </w:r>
          </w:p>
        </w:tc>
        <w:tc>
          <w:tcPr>
            <w:tcW w:w="583" w:type="dxa"/>
            <w:tcBorders>
              <w:left w:val="single" w:sz="4" w:space="0" w:color="auto"/>
              <w:right w:val="single" w:sz="4" w:space="0" w:color="auto"/>
            </w:tcBorders>
            <w:vAlign w:val="center"/>
          </w:tcPr>
          <w:p w14:paraId="70D717D9"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34</w:t>
            </w:r>
          </w:p>
        </w:tc>
        <w:tc>
          <w:tcPr>
            <w:tcW w:w="581" w:type="dxa"/>
            <w:tcBorders>
              <w:left w:val="single" w:sz="4" w:space="0" w:color="auto"/>
              <w:right w:val="single" w:sz="8" w:space="0" w:color="auto"/>
            </w:tcBorders>
            <w:vAlign w:val="center"/>
          </w:tcPr>
          <w:p w14:paraId="06BACF7B"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32</w:t>
            </w:r>
          </w:p>
        </w:tc>
        <w:tc>
          <w:tcPr>
            <w:tcW w:w="854" w:type="dxa"/>
            <w:tcBorders>
              <w:left w:val="single" w:sz="8" w:space="0" w:color="auto"/>
              <w:right w:val="single" w:sz="8" w:space="0" w:color="auto"/>
            </w:tcBorders>
            <w:vAlign w:val="center"/>
          </w:tcPr>
          <w:p w14:paraId="47B647AC"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23</w:t>
            </w:r>
          </w:p>
        </w:tc>
        <w:tc>
          <w:tcPr>
            <w:tcW w:w="850" w:type="dxa"/>
            <w:tcBorders>
              <w:left w:val="single" w:sz="8" w:space="0" w:color="auto"/>
            </w:tcBorders>
            <w:tcMar>
              <w:left w:w="57" w:type="dxa"/>
              <w:right w:w="85" w:type="dxa"/>
            </w:tcMar>
            <w:vAlign w:val="center"/>
          </w:tcPr>
          <w:p w14:paraId="36E86ED9"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10</w:t>
            </w:r>
          </w:p>
        </w:tc>
      </w:tr>
      <w:tr w:rsidR="009B7BA9" w:rsidRPr="00CE0F33" w14:paraId="029F26D4" w14:textId="77777777" w:rsidTr="00261B26">
        <w:trPr>
          <w:jc w:val="center"/>
        </w:trPr>
        <w:tc>
          <w:tcPr>
            <w:tcW w:w="851" w:type="dxa"/>
            <w:vAlign w:val="center"/>
          </w:tcPr>
          <w:p w14:paraId="7A6788E6"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European</w:t>
            </w:r>
          </w:p>
        </w:tc>
        <w:tc>
          <w:tcPr>
            <w:tcW w:w="694" w:type="dxa"/>
            <w:tcMar>
              <w:left w:w="57" w:type="dxa"/>
              <w:right w:w="57" w:type="dxa"/>
            </w:tcMar>
            <w:vAlign w:val="center"/>
          </w:tcPr>
          <w:p w14:paraId="70FBE5C0"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11</w:t>
            </w:r>
          </w:p>
        </w:tc>
        <w:tc>
          <w:tcPr>
            <w:tcW w:w="657" w:type="dxa"/>
            <w:tcMar>
              <w:left w:w="57" w:type="dxa"/>
              <w:right w:w="57" w:type="dxa"/>
            </w:tcMar>
            <w:vAlign w:val="center"/>
          </w:tcPr>
          <w:p w14:paraId="0AA9DCE1"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15</w:t>
            </w:r>
          </w:p>
        </w:tc>
        <w:tc>
          <w:tcPr>
            <w:tcW w:w="657" w:type="dxa"/>
            <w:tcMar>
              <w:left w:w="57" w:type="dxa"/>
              <w:right w:w="57" w:type="dxa"/>
            </w:tcMar>
            <w:vAlign w:val="center"/>
          </w:tcPr>
          <w:p w14:paraId="318B6D65"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9</w:t>
            </w:r>
          </w:p>
        </w:tc>
        <w:tc>
          <w:tcPr>
            <w:tcW w:w="657" w:type="dxa"/>
            <w:tcMar>
              <w:left w:w="57" w:type="dxa"/>
              <w:right w:w="57" w:type="dxa"/>
            </w:tcMar>
            <w:vAlign w:val="center"/>
          </w:tcPr>
          <w:p w14:paraId="4CF0845F"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553" w:type="dxa"/>
            <w:tcMar>
              <w:left w:w="57" w:type="dxa"/>
              <w:right w:w="57" w:type="dxa"/>
            </w:tcMar>
            <w:vAlign w:val="center"/>
          </w:tcPr>
          <w:p w14:paraId="421311B2"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8</w:t>
            </w:r>
          </w:p>
        </w:tc>
        <w:tc>
          <w:tcPr>
            <w:tcW w:w="553" w:type="dxa"/>
            <w:tcMar>
              <w:left w:w="57" w:type="dxa"/>
              <w:right w:w="57" w:type="dxa"/>
            </w:tcMar>
            <w:vAlign w:val="center"/>
          </w:tcPr>
          <w:p w14:paraId="709AA3B1"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585" w:type="dxa"/>
            <w:tcBorders>
              <w:left w:val="single" w:sz="4" w:space="0" w:color="auto"/>
              <w:right w:val="single" w:sz="4" w:space="0" w:color="auto"/>
            </w:tcBorders>
            <w:vAlign w:val="center"/>
          </w:tcPr>
          <w:p w14:paraId="7786A8D2"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8</w:t>
            </w:r>
          </w:p>
        </w:tc>
        <w:tc>
          <w:tcPr>
            <w:tcW w:w="583" w:type="dxa"/>
            <w:tcBorders>
              <w:left w:val="single" w:sz="4" w:space="0" w:color="auto"/>
              <w:right w:val="single" w:sz="4" w:space="0" w:color="auto"/>
            </w:tcBorders>
            <w:vAlign w:val="center"/>
          </w:tcPr>
          <w:p w14:paraId="0407734F"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7</w:t>
            </w:r>
          </w:p>
        </w:tc>
        <w:tc>
          <w:tcPr>
            <w:tcW w:w="581" w:type="dxa"/>
            <w:tcBorders>
              <w:left w:val="single" w:sz="4" w:space="0" w:color="auto"/>
              <w:right w:val="single" w:sz="8" w:space="0" w:color="auto"/>
            </w:tcBorders>
            <w:vAlign w:val="center"/>
          </w:tcPr>
          <w:p w14:paraId="2CDF4A48"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8</w:t>
            </w:r>
          </w:p>
        </w:tc>
        <w:tc>
          <w:tcPr>
            <w:tcW w:w="854" w:type="dxa"/>
            <w:tcBorders>
              <w:left w:val="single" w:sz="8" w:space="0" w:color="auto"/>
              <w:right w:val="single" w:sz="8" w:space="0" w:color="auto"/>
            </w:tcBorders>
            <w:vAlign w:val="center"/>
          </w:tcPr>
          <w:p w14:paraId="0D3188EC"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24</w:t>
            </w:r>
          </w:p>
        </w:tc>
        <w:tc>
          <w:tcPr>
            <w:tcW w:w="850" w:type="dxa"/>
            <w:tcBorders>
              <w:left w:val="single" w:sz="8" w:space="0" w:color="auto"/>
            </w:tcBorders>
            <w:tcMar>
              <w:left w:w="57" w:type="dxa"/>
              <w:right w:w="85" w:type="dxa"/>
            </w:tcMar>
            <w:vAlign w:val="center"/>
          </w:tcPr>
          <w:p w14:paraId="405E7444"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43</w:t>
            </w:r>
          </w:p>
        </w:tc>
      </w:tr>
      <w:tr w:rsidR="009B7BA9" w:rsidRPr="00CE0F33" w14:paraId="414562D6" w14:textId="77777777" w:rsidTr="00261B26">
        <w:trPr>
          <w:jc w:val="center"/>
        </w:trPr>
        <w:tc>
          <w:tcPr>
            <w:tcW w:w="851" w:type="dxa"/>
            <w:vAlign w:val="center"/>
          </w:tcPr>
          <w:p w14:paraId="2EA1497D"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Asian</w:t>
            </w:r>
          </w:p>
        </w:tc>
        <w:tc>
          <w:tcPr>
            <w:tcW w:w="694" w:type="dxa"/>
            <w:tcMar>
              <w:left w:w="57" w:type="dxa"/>
              <w:right w:w="57" w:type="dxa"/>
            </w:tcMar>
            <w:vAlign w:val="center"/>
          </w:tcPr>
          <w:p w14:paraId="7C8D1C45"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17</w:t>
            </w:r>
          </w:p>
        </w:tc>
        <w:tc>
          <w:tcPr>
            <w:tcW w:w="657" w:type="dxa"/>
            <w:tcMar>
              <w:left w:w="57" w:type="dxa"/>
              <w:right w:w="57" w:type="dxa"/>
            </w:tcMar>
            <w:vAlign w:val="center"/>
          </w:tcPr>
          <w:p w14:paraId="4C828E6F"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16</w:t>
            </w:r>
          </w:p>
        </w:tc>
        <w:tc>
          <w:tcPr>
            <w:tcW w:w="657" w:type="dxa"/>
            <w:tcMar>
              <w:left w:w="57" w:type="dxa"/>
              <w:right w:w="57" w:type="dxa"/>
            </w:tcMar>
            <w:vAlign w:val="center"/>
          </w:tcPr>
          <w:p w14:paraId="479F0C78"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657" w:type="dxa"/>
            <w:tcMar>
              <w:left w:w="57" w:type="dxa"/>
              <w:right w:w="57" w:type="dxa"/>
            </w:tcMar>
            <w:vAlign w:val="center"/>
          </w:tcPr>
          <w:p w14:paraId="3BAE30C2"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553" w:type="dxa"/>
            <w:tcMar>
              <w:left w:w="57" w:type="dxa"/>
              <w:right w:w="57" w:type="dxa"/>
            </w:tcMar>
            <w:vAlign w:val="center"/>
          </w:tcPr>
          <w:p w14:paraId="24916229"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553" w:type="dxa"/>
            <w:tcMar>
              <w:left w:w="57" w:type="dxa"/>
              <w:right w:w="57" w:type="dxa"/>
            </w:tcMar>
            <w:vAlign w:val="center"/>
          </w:tcPr>
          <w:p w14:paraId="786F9702"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w:t>
            </w:r>
          </w:p>
        </w:tc>
        <w:tc>
          <w:tcPr>
            <w:tcW w:w="585" w:type="dxa"/>
            <w:tcBorders>
              <w:left w:val="single" w:sz="4" w:space="0" w:color="auto"/>
              <w:right w:val="single" w:sz="4" w:space="0" w:color="auto"/>
            </w:tcBorders>
            <w:vAlign w:val="center"/>
          </w:tcPr>
          <w:p w14:paraId="6C0118F1"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w:t>
            </w:r>
          </w:p>
        </w:tc>
        <w:tc>
          <w:tcPr>
            <w:tcW w:w="583" w:type="dxa"/>
            <w:tcBorders>
              <w:left w:val="single" w:sz="4" w:space="0" w:color="auto"/>
              <w:right w:val="single" w:sz="4" w:space="0" w:color="auto"/>
            </w:tcBorders>
            <w:vAlign w:val="center"/>
          </w:tcPr>
          <w:p w14:paraId="0126C114"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w:t>
            </w:r>
          </w:p>
        </w:tc>
        <w:tc>
          <w:tcPr>
            <w:tcW w:w="581" w:type="dxa"/>
            <w:tcBorders>
              <w:left w:val="single" w:sz="4" w:space="0" w:color="auto"/>
              <w:right w:val="single" w:sz="8" w:space="0" w:color="auto"/>
            </w:tcBorders>
            <w:vAlign w:val="center"/>
          </w:tcPr>
          <w:p w14:paraId="46C9C28E"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5</w:t>
            </w:r>
          </w:p>
        </w:tc>
        <w:tc>
          <w:tcPr>
            <w:tcW w:w="854" w:type="dxa"/>
            <w:tcBorders>
              <w:left w:val="single" w:sz="8" w:space="0" w:color="auto"/>
              <w:right w:val="single" w:sz="8" w:space="0" w:color="auto"/>
            </w:tcBorders>
            <w:vAlign w:val="center"/>
          </w:tcPr>
          <w:p w14:paraId="45399475"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w:t>
            </w:r>
          </w:p>
        </w:tc>
        <w:tc>
          <w:tcPr>
            <w:tcW w:w="850" w:type="dxa"/>
            <w:tcBorders>
              <w:left w:val="single" w:sz="8" w:space="0" w:color="auto"/>
            </w:tcBorders>
            <w:tcMar>
              <w:left w:w="57" w:type="dxa"/>
              <w:right w:w="85" w:type="dxa"/>
            </w:tcMar>
            <w:vAlign w:val="center"/>
          </w:tcPr>
          <w:p w14:paraId="4D012DC3"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20</w:t>
            </w:r>
          </w:p>
        </w:tc>
      </w:tr>
      <w:tr w:rsidR="009B7BA9" w:rsidRPr="00CE0F33" w14:paraId="6A698F2F" w14:textId="77777777" w:rsidTr="00261B26">
        <w:trPr>
          <w:jc w:val="center"/>
        </w:trPr>
        <w:tc>
          <w:tcPr>
            <w:tcW w:w="851" w:type="dxa"/>
            <w:tcBorders>
              <w:bottom w:val="single" w:sz="4" w:space="0" w:color="auto"/>
            </w:tcBorders>
            <w:vAlign w:val="center"/>
          </w:tcPr>
          <w:p w14:paraId="1DED9325" w14:textId="77777777" w:rsidR="009B7BA9" w:rsidRPr="00CE0F33" w:rsidRDefault="009B7BA9" w:rsidP="00261B26">
            <w:pPr>
              <w:spacing w:before="40" w:after="40" w:line="240" w:lineRule="auto"/>
              <w:rPr>
                <w:rFonts w:ascii="Arial" w:hAnsi="Arial"/>
                <w:b/>
                <w:bCs/>
                <w:color w:val="000000"/>
                <w:sz w:val="14"/>
                <w:szCs w:val="14"/>
              </w:rPr>
            </w:pPr>
            <w:r>
              <w:rPr>
                <w:rFonts w:ascii="Arial" w:hAnsi="Arial"/>
                <w:color w:val="000000"/>
                <w:sz w:val="14"/>
                <w:szCs w:val="14"/>
              </w:rPr>
              <w:t>ALL</w:t>
            </w:r>
          </w:p>
        </w:tc>
        <w:tc>
          <w:tcPr>
            <w:tcW w:w="694" w:type="dxa"/>
            <w:tcBorders>
              <w:bottom w:val="single" w:sz="4" w:space="0" w:color="auto"/>
            </w:tcBorders>
            <w:tcMar>
              <w:left w:w="57" w:type="dxa"/>
              <w:right w:w="57" w:type="dxa"/>
            </w:tcMar>
            <w:vAlign w:val="center"/>
          </w:tcPr>
          <w:p w14:paraId="3E32BF65"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20</w:t>
            </w:r>
          </w:p>
        </w:tc>
        <w:tc>
          <w:tcPr>
            <w:tcW w:w="657" w:type="dxa"/>
            <w:tcBorders>
              <w:bottom w:val="single" w:sz="4" w:space="0" w:color="auto"/>
            </w:tcBorders>
            <w:tcMar>
              <w:left w:w="57" w:type="dxa"/>
              <w:right w:w="57" w:type="dxa"/>
            </w:tcMar>
            <w:vAlign w:val="center"/>
          </w:tcPr>
          <w:p w14:paraId="3BE54E13"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24</w:t>
            </w:r>
          </w:p>
        </w:tc>
        <w:tc>
          <w:tcPr>
            <w:tcW w:w="657" w:type="dxa"/>
            <w:tcBorders>
              <w:bottom w:val="single" w:sz="4" w:space="0" w:color="auto"/>
            </w:tcBorders>
            <w:tcMar>
              <w:left w:w="57" w:type="dxa"/>
              <w:right w:w="57" w:type="dxa"/>
            </w:tcMar>
            <w:vAlign w:val="center"/>
          </w:tcPr>
          <w:p w14:paraId="66F0F435"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19</w:t>
            </w:r>
          </w:p>
        </w:tc>
        <w:tc>
          <w:tcPr>
            <w:tcW w:w="657" w:type="dxa"/>
            <w:tcBorders>
              <w:bottom w:val="single" w:sz="4" w:space="0" w:color="auto"/>
            </w:tcBorders>
            <w:tcMar>
              <w:left w:w="57" w:type="dxa"/>
              <w:right w:w="57" w:type="dxa"/>
            </w:tcMar>
            <w:vAlign w:val="center"/>
          </w:tcPr>
          <w:p w14:paraId="44D59621"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14</w:t>
            </w:r>
          </w:p>
        </w:tc>
        <w:tc>
          <w:tcPr>
            <w:tcW w:w="553" w:type="dxa"/>
            <w:tcBorders>
              <w:bottom w:val="single" w:sz="4" w:space="0" w:color="auto"/>
            </w:tcBorders>
            <w:tcMar>
              <w:left w:w="57" w:type="dxa"/>
              <w:right w:w="57" w:type="dxa"/>
            </w:tcMar>
            <w:vAlign w:val="center"/>
          </w:tcPr>
          <w:p w14:paraId="50ED5A03"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15</w:t>
            </w:r>
          </w:p>
        </w:tc>
        <w:tc>
          <w:tcPr>
            <w:tcW w:w="553" w:type="dxa"/>
            <w:tcBorders>
              <w:bottom w:val="single" w:sz="4" w:space="0" w:color="auto"/>
            </w:tcBorders>
            <w:tcMar>
              <w:left w:w="57" w:type="dxa"/>
              <w:right w:w="57" w:type="dxa"/>
            </w:tcMar>
            <w:vAlign w:val="center"/>
          </w:tcPr>
          <w:p w14:paraId="3CA2FFC1" w14:textId="77777777" w:rsidR="009B7BA9" w:rsidRPr="00CE0F33"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11</w:t>
            </w:r>
          </w:p>
        </w:tc>
        <w:tc>
          <w:tcPr>
            <w:tcW w:w="585" w:type="dxa"/>
            <w:tcBorders>
              <w:left w:val="single" w:sz="4" w:space="0" w:color="auto"/>
              <w:bottom w:val="single" w:sz="4" w:space="0" w:color="auto"/>
              <w:right w:val="single" w:sz="4" w:space="0" w:color="auto"/>
            </w:tcBorders>
            <w:vAlign w:val="center"/>
          </w:tcPr>
          <w:p w14:paraId="543A60B6" w14:textId="77777777" w:rsidR="009B7BA9" w:rsidRPr="00FB0CFE"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13</w:t>
            </w:r>
          </w:p>
        </w:tc>
        <w:tc>
          <w:tcPr>
            <w:tcW w:w="583" w:type="dxa"/>
            <w:tcBorders>
              <w:left w:val="single" w:sz="4" w:space="0" w:color="auto"/>
              <w:bottom w:val="single" w:sz="4" w:space="0" w:color="auto"/>
              <w:right w:val="single" w:sz="4" w:space="0" w:color="auto"/>
            </w:tcBorders>
            <w:vAlign w:val="center"/>
          </w:tcPr>
          <w:p w14:paraId="5E9CF889"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13</w:t>
            </w:r>
          </w:p>
        </w:tc>
        <w:tc>
          <w:tcPr>
            <w:tcW w:w="581" w:type="dxa"/>
            <w:tcBorders>
              <w:left w:val="single" w:sz="4" w:space="0" w:color="auto"/>
              <w:bottom w:val="single" w:sz="4" w:space="0" w:color="auto"/>
              <w:right w:val="single" w:sz="8" w:space="0" w:color="auto"/>
            </w:tcBorders>
            <w:vAlign w:val="center"/>
          </w:tcPr>
          <w:p w14:paraId="46F7987B"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14</w:t>
            </w:r>
          </w:p>
        </w:tc>
        <w:tc>
          <w:tcPr>
            <w:tcW w:w="854" w:type="dxa"/>
            <w:tcBorders>
              <w:left w:val="single" w:sz="8" w:space="0" w:color="auto"/>
              <w:bottom w:val="single" w:sz="4" w:space="0" w:color="auto"/>
              <w:right w:val="single" w:sz="8" w:space="0" w:color="auto"/>
            </w:tcBorders>
            <w:vAlign w:val="center"/>
          </w:tcPr>
          <w:p w14:paraId="23A17210"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100</w:t>
            </w:r>
          </w:p>
        </w:tc>
        <w:tc>
          <w:tcPr>
            <w:tcW w:w="850" w:type="dxa"/>
            <w:tcBorders>
              <w:left w:val="single" w:sz="8" w:space="0" w:color="auto"/>
              <w:bottom w:val="single" w:sz="4" w:space="0" w:color="auto"/>
            </w:tcBorders>
            <w:tcMar>
              <w:left w:w="57" w:type="dxa"/>
              <w:right w:w="85" w:type="dxa"/>
            </w:tcMar>
            <w:vAlign w:val="center"/>
          </w:tcPr>
          <w:p w14:paraId="03A19F51" w14:textId="77777777" w:rsidR="009B7BA9" w:rsidRPr="00046E24" w:rsidRDefault="009B7BA9" w:rsidP="00261B26">
            <w:pPr>
              <w:spacing w:before="40" w:after="40" w:line="240" w:lineRule="auto"/>
              <w:jc w:val="center"/>
              <w:rPr>
                <w:rFonts w:ascii="Arial" w:hAnsi="Arial"/>
                <w:color w:val="000000"/>
                <w:sz w:val="14"/>
                <w:szCs w:val="14"/>
                <w:highlight w:val="cyan"/>
              </w:rPr>
            </w:pPr>
            <w:r>
              <w:rPr>
                <w:rFonts w:ascii="Arial" w:hAnsi="Arial"/>
                <w:color w:val="000000"/>
                <w:sz w:val="14"/>
                <w:szCs w:val="14"/>
              </w:rPr>
              <w:t>100</w:t>
            </w:r>
          </w:p>
        </w:tc>
      </w:tr>
    </w:tbl>
    <w:p w14:paraId="6EA6F715" w14:textId="747E14A9" w:rsidR="009B7BA9" w:rsidRPr="007E0170" w:rsidRDefault="009B7BA9" w:rsidP="00A622E0">
      <w:pPr>
        <w:spacing w:before="60" w:after="0" w:line="240" w:lineRule="auto"/>
        <w:ind w:left="425"/>
        <w:rPr>
          <w:rFonts w:ascii="Arial" w:hAnsi="Arial"/>
          <w:color w:val="000000"/>
          <w:sz w:val="16"/>
          <w:szCs w:val="16"/>
        </w:rPr>
      </w:pPr>
      <w:r w:rsidRPr="007E0170">
        <w:rPr>
          <w:rFonts w:ascii="Arial" w:hAnsi="Arial"/>
          <w:color w:val="000000"/>
          <w:sz w:val="16"/>
          <w:szCs w:val="16"/>
        </w:rPr>
        <w:t xml:space="preserve">Notes for Table </w:t>
      </w:r>
      <w:r w:rsidR="006B6068">
        <w:rPr>
          <w:rFonts w:ascii="Arial" w:hAnsi="Arial"/>
          <w:color w:val="000000"/>
          <w:sz w:val="16"/>
          <w:szCs w:val="16"/>
        </w:rPr>
        <w:t>F</w:t>
      </w:r>
      <w:r>
        <w:rPr>
          <w:rFonts w:ascii="Arial" w:hAnsi="Arial"/>
          <w:color w:val="000000"/>
          <w:sz w:val="16"/>
          <w:szCs w:val="16"/>
        </w:rPr>
        <w:t>.1b</w:t>
      </w:r>
      <w:r w:rsidRPr="007E0170">
        <w:rPr>
          <w:rFonts w:ascii="Arial" w:hAnsi="Arial"/>
          <w:color w:val="000000"/>
          <w:sz w:val="16"/>
          <w:szCs w:val="16"/>
        </w:rPr>
        <w:t xml:space="preserve">: </w:t>
      </w:r>
    </w:p>
    <w:p w14:paraId="1661C7E2" w14:textId="77777777" w:rsidR="009B7BA9" w:rsidRPr="00614F64" w:rsidRDefault="009B7BA9">
      <w:pPr>
        <w:pStyle w:val="ListParagraph"/>
        <w:numPr>
          <w:ilvl w:val="0"/>
          <w:numId w:val="64"/>
        </w:numPr>
        <w:spacing w:before="20" w:after="0" w:line="240" w:lineRule="auto"/>
        <w:ind w:left="856" w:hanging="210"/>
        <w:contextualSpacing w:val="0"/>
        <w:rPr>
          <w:rFonts w:ascii="Arial" w:hAnsi="Arial"/>
          <w:color w:val="000000"/>
          <w:sz w:val="16"/>
          <w:szCs w:val="16"/>
        </w:rPr>
      </w:pPr>
      <w:r w:rsidRPr="00614F64">
        <w:rPr>
          <w:rFonts w:ascii="Arial" w:hAnsi="Arial"/>
          <w:color w:val="000000"/>
          <w:sz w:val="16"/>
          <w:szCs w:val="16"/>
        </w:rPr>
        <w:t xml:space="preserve">There are 18,000 in the ‘Other’ category – this row is suppressed – see note for Table </w:t>
      </w:r>
      <w:r>
        <w:rPr>
          <w:rFonts w:ascii="Arial" w:hAnsi="Arial"/>
          <w:color w:val="000000"/>
          <w:sz w:val="16"/>
          <w:szCs w:val="16"/>
        </w:rPr>
        <w:t>D.1</w:t>
      </w:r>
      <w:r w:rsidRPr="00614F64">
        <w:rPr>
          <w:rFonts w:ascii="Arial" w:hAnsi="Arial"/>
          <w:color w:val="000000"/>
          <w:sz w:val="16"/>
          <w:szCs w:val="16"/>
        </w:rPr>
        <w:t>a above.</w:t>
      </w:r>
    </w:p>
    <w:p w14:paraId="403DE844" w14:textId="1F49753F" w:rsidR="009B7BA9" w:rsidRDefault="009B7BA9" w:rsidP="009B7BA9">
      <w:pPr>
        <w:spacing w:after="0" w:line="240" w:lineRule="auto"/>
        <w:rPr>
          <w:rFonts w:ascii="Arial" w:hAnsi="Arial"/>
          <w:b/>
          <w:color w:val="000000" w:themeColor="text1"/>
          <w:sz w:val="24"/>
          <w:szCs w:val="28"/>
        </w:rPr>
      </w:pPr>
      <w:r>
        <w:rPr>
          <w:rFonts w:ascii="Arial" w:hAnsi="Arial"/>
          <w:b/>
          <w:color w:val="000000" w:themeColor="text1"/>
          <w:sz w:val="24"/>
          <w:szCs w:val="28"/>
        </w:rPr>
        <w:lastRenderedPageBreak/>
        <w:t>Material hardship by disability status</w:t>
      </w:r>
    </w:p>
    <w:p w14:paraId="22045744" w14:textId="77777777" w:rsidR="009B7BA9" w:rsidRPr="00B24E0E" w:rsidRDefault="009B7BA9" w:rsidP="009B7BA9">
      <w:pPr>
        <w:spacing w:after="0" w:line="240" w:lineRule="auto"/>
        <w:rPr>
          <w:rFonts w:ascii="Arial" w:hAnsi="Arial"/>
          <w:b/>
          <w:color w:val="000000" w:themeColor="text1"/>
          <w:szCs w:val="20"/>
        </w:rPr>
      </w:pPr>
    </w:p>
    <w:p w14:paraId="0D5747C6" w14:textId="2AD0260E" w:rsidR="00BB3C88" w:rsidRPr="00BB3C88" w:rsidRDefault="00BB3C88" w:rsidP="00BB3C88">
      <w:pPr>
        <w:spacing w:before="60" w:after="0" w:line="240" w:lineRule="auto"/>
        <w:rPr>
          <w:rFonts w:ascii="Arial" w:hAnsi="Arial"/>
          <w:bCs/>
          <w:color w:val="000000" w:themeColor="text1"/>
          <w:szCs w:val="20"/>
        </w:rPr>
      </w:pPr>
      <w:r w:rsidRPr="00BB3C88">
        <w:rPr>
          <w:rFonts w:ascii="Arial" w:hAnsi="Arial"/>
          <w:bCs/>
          <w:color w:val="000000" w:themeColor="text1"/>
          <w:szCs w:val="20"/>
        </w:rPr>
        <w:t>Questions relating to disability were added to HES in survey year 2019-20</w:t>
      </w:r>
      <w:r>
        <w:rPr>
          <w:rFonts w:ascii="Arial" w:hAnsi="Arial"/>
          <w:bCs/>
          <w:color w:val="000000" w:themeColor="text1"/>
          <w:szCs w:val="20"/>
        </w:rPr>
        <w:t>. This</w:t>
      </w:r>
      <w:r w:rsidRPr="00BB3C88">
        <w:rPr>
          <w:rFonts w:ascii="Arial" w:hAnsi="Arial"/>
          <w:bCs/>
          <w:color w:val="000000" w:themeColor="text1"/>
          <w:szCs w:val="20"/>
        </w:rPr>
        <w:t xml:space="preserve"> allows reporting on the disability status of individuals and their households for this and subsequent survey years.</w:t>
      </w:r>
    </w:p>
    <w:p w14:paraId="2C330A20" w14:textId="77777777" w:rsidR="009B7BA9" w:rsidRDefault="009B7BA9" w:rsidP="009B7BA9">
      <w:pPr>
        <w:spacing w:before="60" w:after="0" w:line="240" w:lineRule="auto"/>
        <w:rPr>
          <w:rFonts w:ascii="Arial" w:hAnsi="Arial"/>
          <w:bCs/>
          <w:color w:val="000000" w:themeColor="text1"/>
          <w:szCs w:val="20"/>
        </w:rPr>
      </w:pPr>
    </w:p>
    <w:p w14:paraId="3D182D17" w14:textId="76FB4741" w:rsidR="009B7BA9" w:rsidRDefault="009B7BA9" w:rsidP="009B7BA9">
      <w:pPr>
        <w:spacing w:after="0" w:line="240" w:lineRule="auto"/>
        <w:rPr>
          <w:rFonts w:ascii="Arial" w:eastAsia="Times New Roman" w:hAnsi="Arial"/>
          <w:color w:val="000000" w:themeColor="text1"/>
          <w:szCs w:val="20"/>
          <w:lang w:eastAsia="en-NZ"/>
        </w:rPr>
      </w:pPr>
      <w:r>
        <w:rPr>
          <w:rFonts w:ascii="Arial" w:eastAsia="Times New Roman" w:hAnsi="Arial"/>
          <w:color w:val="000000"/>
          <w:szCs w:val="20"/>
          <w:lang w:eastAsia="en-NZ"/>
        </w:rPr>
        <w:t xml:space="preserve">Material hardship rates for disabled children and children in disabled households were steady from 2019-20 to 2023-24 at close to the levels shown for HES 2023-24 in </w:t>
      </w:r>
      <w:r w:rsidRPr="00AA11B2">
        <w:rPr>
          <w:rFonts w:ascii="Arial" w:eastAsia="Times New Roman" w:hAnsi="Arial"/>
          <w:b/>
          <w:bCs/>
          <w:color w:val="000000"/>
          <w:szCs w:val="20"/>
          <w:lang w:eastAsia="en-NZ"/>
        </w:rPr>
        <w:t xml:space="preserve">Table </w:t>
      </w:r>
      <w:r w:rsidR="006B6068">
        <w:rPr>
          <w:rFonts w:ascii="Arial" w:eastAsia="Times New Roman" w:hAnsi="Arial"/>
          <w:b/>
          <w:bCs/>
          <w:color w:val="000000"/>
          <w:szCs w:val="20"/>
          <w:lang w:eastAsia="en-NZ"/>
        </w:rPr>
        <w:t>F</w:t>
      </w:r>
      <w:r w:rsidRPr="00AA11B2">
        <w:rPr>
          <w:rFonts w:ascii="Arial" w:eastAsia="Times New Roman" w:hAnsi="Arial"/>
          <w:b/>
          <w:bCs/>
          <w:color w:val="000000"/>
          <w:szCs w:val="20"/>
          <w:lang w:eastAsia="en-NZ"/>
        </w:rPr>
        <w:t>.2</w:t>
      </w:r>
      <w:r>
        <w:rPr>
          <w:rFonts w:ascii="Arial" w:eastAsia="Times New Roman" w:hAnsi="Arial"/>
          <w:color w:val="000000"/>
          <w:szCs w:val="20"/>
          <w:lang w:eastAsia="en-NZ"/>
        </w:rPr>
        <w:t xml:space="preserve"> below. There were no statistically significant </w:t>
      </w:r>
      <w:r w:rsidRPr="001808FF">
        <w:rPr>
          <w:rFonts w:ascii="Arial" w:eastAsia="Times New Roman" w:hAnsi="Arial"/>
          <w:color w:val="000000" w:themeColor="text1"/>
          <w:szCs w:val="20"/>
          <w:lang w:eastAsia="en-NZ"/>
        </w:rPr>
        <w:t>changes</w:t>
      </w:r>
      <w:r>
        <w:rPr>
          <w:rFonts w:ascii="Arial" w:eastAsia="Times New Roman" w:hAnsi="Arial"/>
          <w:color w:val="000000" w:themeColor="text1"/>
          <w:szCs w:val="20"/>
          <w:lang w:eastAsia="en-NZ"/>
        </w:rPr>
        <w:t xml:space="preserve"> in that period</w:t>
      </w:r>
      <w:r w:rsidRPr="001808FF">
        <w:rPr>
          <w:rFonts w:ascii="Arial" w:eastAsia="Times New Roman" w:hAnsi="Arial"/>
          <w:color w:val="000000" w:themeColor="text1"/>
          <w:szCs w:val="20"/>
          <w:lang w:eastAsia="en-NZ"/>
        </w:rPr>
        <w:t>.</w:t>
      </w:r>
      <w:r w:rsidRPr="001808FF">
        <w:rPr>
          <w:rStyle w:val="FootnoteReference"/>
          <w:rFonts w:ascii="Arial" w:eastAsia="Times New Roman" w:hAnsi="Arial"/>
          <w:color w:val="000000" w:themeColor="text1"/>
          <w:szCs w:val="20"/>
          <w:lang w:eastAsia="en-NZ"/>
        </w:rPr>
        <w:footnoteReference w:id="66"/>
      </w:r>
    </w:p>
    <w:p w14:paraId="63869F6C" w14:textId="77777777" w:rsidR="009B7BA9" w:rsidRDefault="009B7BA9" w:rsidP="009B7BA9">
      <w:pPr>
        <w:spacing w:line="240" w:lineRule="auto"/>
        <w:rPr>
          <w:rFonts w:ascii="Arial" w:eastAsia="Times New Roman" w:hAnsi="Arial"/>
          <w:color w:val="000000"/>
          <w:szCs w:val="20"/>
          <w:lang w:eastAsia="en-NZ"/>
        </w:rPr>
      </w:pPr>
    </w:p>
    <w:p w14:paraId="3E9EEACB" w14:textId="65E0C438" w:rsidR="009B7BA9" w:rsidRPr="00510F5A" w:rsidRDefault="009B7BA9" w:rsidP="009B7BA9">
      <w:pPr>
        <w:spacing w:after="0" w:line="240" w:lineRule="auto"/>
        <w:jc w:val="center"/>
        <w:rPr>
          <w:rFonts w:ascii="Arial" w:hAnsi="Arial"/>
          <w:b/>
          <w:color w:val="FF0000"/>
          <w:sz w:val="18"/>
          <w:szCs w:val="18"/>
        </w:rPr>
      </w:pPr>
      <w:r w:rsidRPr="00827424">
        <w:rPr>
          <w:rFonts w:ascii="Arial" w:hAnsi="Arial"/>
          <w:b/>
          <w:color w:val="000000" w:themeColor="text1"/>
          <w:sz w:val="18"/>
          <w:szCs w:val="18"/>
        </w:rPr>
        <w:t xml:space="preserve">Table </w:t>
      </w:r>
      <w:r w:rsidR="006B6068">
        <w:rPr>
          <w:rFonts w:ascii="Arial" w:hAnsi="Arial"/>
          <w:b/>
          <w:color w:val="000000" w:themeColor="text1"/>
          <w:sz w:val="18"/>
          <w:szCs w:val="18"/>
        </w:rPr>
        <w:t>F</w:t>
      </w:r>
      <w:r w:rsidRPr="00827424">
        <w:rPr>
          <w:rFonts w:ascii="Arial" w:hAnsi="Arial"/>
          <w:b/>
          <w:color w:val="000000" w:themeColor="text1"/>
          <w:sz w:val="18"/>
          <w:szCs w:val="18"/>
        </w:rPr>
        <w:t>.</w:t>
      </w:r>
      <w:r>
        <w:rPr>
          <w:rFonts w:ascii="Arial" w:hAnsi="Arial"/>
          <w:b/>
          <w:color w:val="000000" w:themeColor="text1"/>
          <w:sz w:val="18"/>
          <w:szCs w:val="18"/>
        </w:rPr>
        <w:t>2</w:t>
      </w:r>
    </w:p>
    <w:p w14:paraId="71A2518C" w14:textId="77777777" w:rsidR="009B7BA9" w:rsidRDefault="009B7BA9" w:rsidP="009B7BA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DEP-17 6+/17 material</w:t>
      </w:r>
      <w:r w:rsidRPr="00827424">
        <w:rPr>
          <w:rFonts w:ascii="Arial" w:hAnsi="Arial"/>
          <w:b/>
          <w:color w:val="000000" w:themeColor="text1"/>
          <w:sz w:val="18"/>
          <w:szCs w:val="18"/>
        </w:rPr>
        <w:t xml:space="preserve"> hardship rates (%)</w:t>
      </w:r>
      <w:r>
        <w:rPr>
          <w:rFonts w:ascii="Arial" w:hAnsi="Arial"/>
          <w:b/>
          <w:color w:val="000000" w:themeColor="text1"/>
          <w:sz w:val="18"/>
          <w:szCs w:val="18"/>
        </w:rPr>
        <w:t xml:space="preserve"> </w:t>
      </w:r>
      <w:r w:rsidRPr="00827424">
        <w:rPr>
          <w:rFonts w:ascii="Arial" w:hAnsi="Arial"/>
          <w:b/>
          <w:color w:val="000000" w:themeColor="text1"/>
          <w:sz w:val="18"/>
          <w:szCs w:val="18"/>
        </w:rPr>
        <w:t xml:space="preserve">for children by disability status,  </w:t>
      </w:r>
    </w:p>
    <w:p w14:paraId="7B1F65F6" w14:textId="77777777" w:rsidR="009B7BA9" w:rsidRDefault="009B7BA9" w:rsidP="009B7BA9">
      <w:pPr>
        <w:spacing w:line="240" w:lineRule="auto"/>
        <w:jc w:val="center"/>
        <w:rPr>
          <w:rFonts w:ascii="Arial" w:hAnsi="Arial"/>
          <w:b/>
          <w:color w:val="000000" w:themeColor="text1"/>
          <w:sz w:val="18"/>
          <w:szCs w:val="18"/>
        </w:rPr>
      </w:pPr>
      <w:r w:rsidRPr="00827424">
        <w:rPr>
          <w:rFonts w:ascii="Arial" w:hAnsi="Arial"/>
          <w:b/>
          <w:color w:val="000000" w:themeColor="text1"/>
          <w:sz w:val="18"/>
          <w:szCs w:val="18"/>
        </w:rPr>
        <w:t>HES 202</w:t>
      </w:r>
      <w:r>
        <w:rPr>
          <w:rFonts w:ascii="Arial" w:hAnsi="Arial"/>
          <w:b/>
          <w:color w:val="000000" w:themeColor="text1"/>
          <w:sz w:val="18"/>
          <w:szCs w:val="18"/>
        </w:rPr>
        <w:t>3</w:t>
      </w:r>
      <w:r w:rsidRPr="00827424">
        <w:rPr>
          <w:rFonts w:ascii="Arial" w:hAnsi="Arial"/>
          <w:b/>
          <w:color w:val="000000" w:themeColor="text1"/>
          <w:sz w:val="18"/>
          <w:szCs w:val="18"/>
        </w:rPr>
        <w:t>-2</w:t>
      </w:r>
      <w:r>
        <w:rPr>
          <w:rFonts w:ascii="Arial" w:hAnsi="Arial"/>
          <w:b/>
          <w:color w:val="000000" w:themeColor="text1"/>
          <w:sz w:val="18"/>
          <w:szCs w:val="18"/>
        </w:rPr>
        <w:t>4</w:t>
      </w:r>
    </w:p>
    <w:tbl>
      <w:tblPr>
        <w:tblStyle w:val="TableGrid"/>
        <w:tblW w:w="0" w:type="auto"/>
        <w:jc w:val="center"/>
        <w:tblLook w:val="04A0" w:firstRow="1" w:lastRow="0" w:firstColumn="1" w:lastColumn="0" w:noHBand="0" w:noVBand="1"/>
      </w:tblPr>
      <w:tblGrid>
        <w:gridCol w:w="2426"/>
        <w:gridCol w:w="1134"/>
        <w:gridCol w:w="1144"/>
        <w:gridCol w:w="1549"/>
        <w:gridCol w:w="1843"/>
      </w:tblGrid>
      <w:tr w:rsidR="009B7BA9" w14:paraId="62CF97F6" w14:textId="77777777" w:rsidTr="00D11EE7">
        <w:trPr>
          <w:jc w:val="center"/>
        </w:trPr>
        <w:tc>
          <w:tcPr>
            <w:tcW w:w="2426" w:type="dxa"/>
            <w:tcMar>
              <w:left w:w="57" w:type="dxa"/>
              <w:right w:w="57" w:type="dxa"/>
            </w:tcMar>
            <w:vAlign w:val="center"/>
          </w:tcPr>
          <w:p w14:paraId="7E97832D" w14:textId="77777777" w:rsidR="009B7BA9" w:rsidRPr="00827424" w:rsidRDefault="009B7BA9" w:rsidP="00D11EE7">
            <w:pPr>
              <w:spacing w:before="40" w:after="40" w:line="240" w:lineRule="auto"/>
              <w:ind w:left="82"/>
              <w:rPr>
                <w:rFonts w:ascii="Arial" w:hAnsi="Arial"/>
                <w:b/>
                <w:color w:val="000000" w:themeColor="text1"/>
                <w:sz w:val="14"/>
                <w:szCs w:val="14"/>
              </w:rPr>
            </w:pPr>
          </w:p>
        </w:tc>
        <w:tc>
          <w:tcPr>
            <w:tcW w:w="1134" w:type="dxa"/>
            <w:tcMar>
              <w:left w:w="57" w:type="dxa"/>
              <w:right w:w="57" w:type="dxa"/>
            </w:tcMar>
            <w:vAlign w:val="center"/>
          </w:tcPr>
          <w:p w14:paraId="15905C72"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Disabled children</w:t>
            </w:r>
          </w:p>
        </w:tc>
        <w:tc>
          <w:tcPr>
            <w:tcW w:w="1144" w:type="dxa"/>
            <w:tcBorders>
              <w:right w:val="single" w:sz="8" w:space="0" w:color="auto"/>
            </w:tcBorders>
            <w:tcMar>
              <w:left w:w="57" w:type="dxa"/>
              <w:right w:w="57" w:type="dxa"/>
            </w:tcMar>
            <w:vAlign w:val="center"/>
          </w:tcPr>
          <w:p w14:paraId="5E374812"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Non-disabled children</w:t>
            </w:r>
          </w:p>
        </w:tc>
        <w:tc>
          <w:tcPr>
            <w:tcW w:w="1549" w:type="dxa"/>
            <w:tcBorders>
              <w:left w:val="single" w:sz="8" w:space="0" w:color="auto"/>
            </w:tcBorders>
            <w:tcMar>
              <w:left w:w="57" w:type="dxa"/>
              <w:right w:w="57" w:type="dxa"/>
            </w:tcMar>
            <w:vAlign w:val="center"/>
          </w:tcPr>
          <w:p w14:paraId="09D4BF65"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Children in disabled household</w:t>
            </w:r>
          </w:p>
        </w:tc>
        <w:tc>
          <w:tcPr>
            <w:tcW w:w="1843" w:type="dxa"/>
            <w:tcMar>
              <w:left w:w="57" w:type="dxa"/>
              <w:right w:w="57" w:type="dxa"/>
            </w:tcMar>
            <w:vAlign w:val="center"/>
          </w:tcPr>
          <w:p w14:paraId="41BF4BE6"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Children in non-disabled household</w:t>
            </w:r>
          </w:p>
        </w:tc>
      </w:tr>
      <w:tr w:rsidR="009B7BA9" w14:paraId="071301B6" w14:textId="77777777" w:rsidTr="00D11EE7">
        <w:trPr>
          <w:jc w:val="center"/>
        </w:trPr>
        <w:tc>
          <w:tcPr>
            <w:tcW w:w="2426" w:type="dxa"/>
            <w:tcMar>
              <w:left w:w="57" w:type="dxa"/>
              <w:right w:w="57" w:type="dxa"/>
            </w:tcMar>
            <w:vAlign w:val="center"/>
          </w:tcPr>
          <w:p w14:paraId="5105974D"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Numbers in hardship</w:t>
            </w:r>
          </w:p>
        </w:tc>
        <w:tc>
          <w:tcPr>
            <w:tcW w:w="1134" w:type="dxa"/>
            <w:tcMar>
              <w:left w:w="57" w:type="dxa"/>
              <w:right w:w="57" w:type="dxa"/>
            </w:tcMar>
            <w:vAlign w:val="center"/>
          </w:tcPr>
          <w:p w14:paraId="5E8A4421"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26,000</w:t>
            </w:r>
          </w:p>
        </w:tc>
        <w:tc>
          <w:tcPr>
            <w:tcW w:w="1144" w:type="dxa"/>
            <w:tcBorders>
              <w:right w:val="single" w:sz="8" w:space="0" w:color="auto"/>
            </w:tcBorders>
            <w:tcMar>
              <w:left w:w="57" w:type="dxa"/>
              <w:right w:w="57" w:type="dxa"/>
            </w:tcMar>
            <w:vAlign w:val="center"/>
          </w:tcPr>
          <w:p w14:paraId="79649A0D"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115,000</w:t>
            </w:r>
          </w:p>
        </w:tc>
        <w:tc>
          <w:tcPr>
            <w:tcW w:w="1549" w:type="dxa"/>
            <w:tcBorders>
              <w:left w:val="single" w:sz="8" w:space="0" w:color="auto"/>
            </w:tcBorders>
            <w:tcMar>
              <w:left w:w="57" w:type="dxa"/>
              <w:right w:w="57" w:type="dxa"/>
            </w:tcMar>
            <w:vAlign w:val="center"/>
          </w:tcPr>
          <w:p w14:paraId="2376CC6D"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78,000</w:t>
            </w:r>
          </w:p>
        </w:tc>
        <w:tc>
          <w:tcPr>
            <w:tcW w:w="1843" w:type="dxa"/>
            <w:tcMar>
              <w:left w:w="57" w:type="dxa"/>
              <w:right w:w="57" w:type="dxa"/>
            </w:tcMar>
            <w:vAlign w:val="center"/>
          </w:tcPr>
          <w:p w14:paraId="1F8D3410"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79,000</w:t>
            </w:r>
          </w:p>
        </w:tc>
      </w:tr>
      <w:tr w:rsidR="009B7BA9" w14:paraId="37B42D96" w14:textId="77777777" w:rsidTr="00D11EE7">
        <w:trPr>
          <w:jc w:val="center"/>
        </w:trPr>
        <w:tc>
          <w:tcPr>
            <w:tcW w:w="2426" w:type="dxa"/>
            <w:tcMar>
              <w:left w:w="57" w:type="dxa"/>
              <w:right w:w="57" w:type="dxa"/>
            </w:tcMar>
            <w:vAlign w:val="center"/>
          </w:tcPr>
          <w:p w14:paraId="7F3569EC"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Hardship rate</w:t>
            </w:r>
          </w:p>
        </w:tc>
        <w:tc>
          <w:tcPr>
            <w:tcW w:w="1134" w:type="dxa"/>
            <w:tcMar>
              <w:left w:w="57" w:type="dxa"/>
              <w:right w:w="57" w:type="dxa"/>
            </w:tcMar>
            <w:vAlign w:val="center"/>
          </w:tcPr>
          <w:p w14:paraId="3F2D7586"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21</w:t>
            </w:r>
          </w:p>
        </w:tc>
        <w:tc>
          <w:tcPr>
            <w:tcW w:w="1144" w:type="dxa"/>
            <w:tcBorders>
              <w:right w:val="single" w:sz="8" w:space="0" w:color="auto"/>
            </w:tcBorders>
            <w:tcMar>
              <w:left w:w="57" w:type="dxa"/>
              <w:right w:w="57" w:type="dxa"/>
            </w:tcMar>
            <w:vAlign w:val="center"/>
          </w:tcPr>
          <w:p w14:paraId="4E027A02"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12</w:t>
            </w:r>
          </w:p>
        </w:tc>
        <w:tc>
          <w:tcPr>
            <w:tcW w:w="1549" w:type="dxa"/>
            <w:tcBorders>
              <w:left w:val="single" w:sz="8" w:space="0" w:color="auto"/>
            </w:tcBorders>
            <w:tcMar>
              <w:left w:w="57" w:type="dxa"/>
              <w:right w:w="57" w:type="dxa"/>
            </w:tcMar>
            <w:vAlign w:val="center"/>
          </w:tcPr>
          <w:p w14:paraId="500F80E2"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23</w:t>
            </w:r>
          </w:p>
        </w:tc>
        <w:tc>
          <w:tcPr>
            <w:tcW w:w="1843" w:type="dxa"/>
            <w:tcMar>
              <w:left w:w="57" w:type="dxa"/>
              <w:right w:w="57" w:type="dxa"/>
            </w:tcMar>
            <w:vAlign w:val="center"/>
          </w:tcPr>
          <w:p w14:paraId="7DD035FD"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10</w:t>
            </w:r>
          </w:p>
        </w:tc>
      </w:tr>
      <w:tr w:rsidR="009B7BA9" w14:paraId="5F30A18F" w14:textId="77777777" w:rsidTr="00D11EE7">
        <w:trPr>
          <w:jc w:val="center"/>
        </w:trPr>
        <w:tc>
          <w:tcPr>
            <w:tcW w:w="2426" w:type="dxa"/>
            <w:tcMar>
              <w:left w:w="57" w:type="dxa"/>
              <w:right w:w="57" w:type="dxa"/>
            </w:tcMar>
            <w:vAlign w:val="center"/>
          </w:tcPr>
          <w:p w14:paraId="1645A4F1"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Proportion of those in hardship</w:t>
            </w:r>
          </w:p>
        </w:tc>
        <w:tc>
          <w:tcPr>
            <w:tcW w:w="1134" w:type="dxa"/>
            <w:tcMar>
              <w:left w:w="57" w:type="dxa"/>
              <w:right w:w="57" w:type="dxa"/>
            </w:tcMar>
            <w:vAlign w:val="center"/>
          </w:tcPr>
          <w:p w14:paraId="08D5760A"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18</w:t>
            </w:r>
          </w:p>
        </w:tc>
        <w:tc>
          <w:tcPr>
            <w:tcW w:w="1144" w:type="dxa"/>
            <w:tcBorders>
              <w:right w:val="single" w:sz="8" w:space="0" w:color="auto"/>
            </w:tcBorders>
            <w:tcMar>
              <w:left w:w="57" w:type="dxa"/>
              <w:right w:w="57" w:type="dxa"/>
            </w:tcMar>
            <w:vAlign w:val="center"/>
          </w:tcPr>
          <w:p w14:paraId="001E11DD"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82</w:t>
            </w:r>
          </w:p>
        </w:tc>
        <w:tc>
          <w:tcPr>
            <w:tcW w:w="1549" w:type="dxa"/>
            <w:tcBorders>
              <w:left w:val="single" w:sz="8" w:space="0" w:color="auto"/>
            </w:tcBorders>
            <w:tcMar>
              <w:left w:w="57" w:type="dxa"/>
              <w:right w:w="57" w:type="dxa"/>
            </w:tcMar>
            <w:vAlign w:val="center"/>
          </w:tcPr>
          <w:p w14:paraId="1C9FEF8E"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50</w:t>
            </w:r>
          </w:p>
        </w:tc>
        <w:tc>
          <w:tcPr>
            <w:tcW w:w="1843" w:type="dxa"/>
            <w:tcMar>
              <w:left w:w="57" w:type="dxa"/>
              <w:right w:w="57" w:type="dxa"/>
            </w:tcMar>
            <w:vAlign w:val="center"/>
          </w:tcPr>
          <w:p w14:paraId="3EB5CAC4"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50</w:t>
            </w:r>
          </w:p>
        </w:tc>
      </w:tr>
      <w:tr w:rsidR="009B7BA9" w14:paraId="1A4F69C3" w14:textId="77777777" w:rsidTr="00D11EE7">
        <w:trPr>
          <w:jc w:val="center"/>
        </w:trPr>
        <w:tc>
          <w:tcPr>
            <w:tcW w:w="2426" w:type="dxa"/>
            <w:tcMar>
              <w:left w:w="57" w:type="dxa"/>
              <w:right w:w="57" w:type="dxa"/>
            </w:tcMar>
            <w:vAlign w:val="center"/>
          </w:tcPr>
          <w:p w14:paraId="67B2DB6A"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Numbers in severe hardship</w:t>
            </w:r>
          </w:p>
        </w:tc>
        <w:tc>
          <w:tcPr>
            <w:tcW w:w="1134" w:type="dxa"/>
            <w:tcMar>
              <w:left w:w="57" w:type="dxa"/>
              <w:right w:w="57" w:type="dxa"/>
            </w:tcMar>
            <w:vAlign w:val="center"/>
          </w:tcPr>
          <w:p w14:paraId="539863FF"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12,000</w:t>
            </w:r>
          </w:p>
        </w:tc>
        <w:tc>
          <w:tcPr>
            <w:tcW w:w="1144" w:type="dxa"/>
            <w:tcBorders>
              <w:right w:val="single" w:sz="8" w:space="0" w:color="auto"/>
            </w:tcBorders>
            <w:tcMar>
              <w:left w:w="57" w:type="dxa"/>
              <w:right w:w="57" w:type="dxa"/>
            </w:tcMar>
            <w:vAlign w:val="center"/>
          </w:tcPr>
          <w:p w14:paraId="18411C75"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45,000</w:t>
            </w:r>
          </w:p>
        </w:tc>
        <w:tc>
          <w:tcPr>
            <w:tcW w:w="1549" w:type="dxa"/>
            <w:tcBorders>
              <w:left w:val="single" w:sz="8" w:space="0" w:color="auto"/>
            </w:tcBorders>
            <w:tcMar>
              <w:left w:w="57" w:type="dxa"/>
              <w:right w:w="57" w:type="dxa"/>
            </w:tcMar>
            <w:vAlign w:val="center"/>
          </w:tcPr>
          <w:p w14:paraId="14ED80C9"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36,000</w:t>
            </w:r>
          </w:p>
        </w:tc>
        <w:tc>
          <w:tcPr>
            <w:tcW w:w="1843" w:type="dxa"/>
            <w:tcMar>
              <w:left w:w="57" w:type="dxa"/>
              <w:right w:w="57" w:type="dxa"/>
            </w:tcMar>
            <w:vAlign w:val="center"/>
          </w:tcPr>
          <w:p w14:paraId="76724F0C"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27,000</w:t>
            </w:r>
          </w:p>
        </w:tc>
      </w:tr>
      <w:tr w:rsidR="009B7BA9" w14:paraId="790DB0C3" w14:textId="77777777" w:rsidTr="00D11EE7">
        <w:trPr>
          <w:jc w:val="center"/>
        </w:trPr>
        <w:tc>
          <w:tcPr>
            <w:tcW w:w="2426" w:type="dxa"/>
            <w:tcMar>
              <w:left w:w="57" w:type="dxa"/>
              <w:right w:w="57" w:type="dxa"/>
            </w:tcMar>
            <w:vAlign w:val="center"/>
          </w:tcPr>
          <w:p w14:paraId="73990E9E"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Severe hardship rate</w:t>
            </w:r>
          </w:p>
        </w:tc>
        <w:tc>
          <w:tcPr>
            <w:tcW w:w="1134" w:type="dxa"/>
            <w:tcMar>
              <w:left w:w="57" w:type="dxa"/>
              <w:right w:w="57" w:type="dxa"/>
            </w:tcMar>
            <w:vAlign w:val="center"/>
          </w:tcPr>
          <w:p w14:paraId="51D2A6C1"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10</w:t>
            </w:r>
          </w:p>
        </w:tc>
        <w:tc>
          <w:tcPr>
            <w:tcW w:w="1144" w:type="dxa"/>
            <w:tcBorders>
              <w:right w:val="single" w:sz="8" w:space="0" w:color="auto"/>
            </w:tcBorders>
            <w:tcMar>
              <w:left w:w="57" w:type="dxa"/>
              <w:right w:w="57" w:type="dxa"/>
            </w:tcMar>
            <w:vAlign w:val="center"/>
          </w:tcPr>
          <w:p w14:paraId="19540E8F"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5</w:t>
            </w:r>
          </w:p>
        </w:tc>
        <w:tc>
          <w:tcPr>
            <w:tcW w:w="1549" w:type="dxa"/>
            <w:tcBorders>
              <w:left w:val="single" w:sz="8" w:space="0" w:color="auto"/>
            </w:tcBorders>
            <w:tcMar>
              <w:left w:w="57" w:type="dxa"/>
              <w:right w:w="57" w:type="dxa"/>
            </w:tcMar>
            <w:vAlign w:val="center"/>
          </w:tcPr>
          <w:p w14:paraId="48BF52A0"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10</w:t>
            </w:r>
          </w:p>
        </w:tc>
        <w:tc>
          <w:tcPr>
            <w:tcW w:w="1843" w:type="dxa"/>
            <w:tcMar>
              <w:left w:w="57" w:type="dxa"/>
              <w:right w:w="57" w:type="dxa"/>
            </w:tcMar>
            <w:vAlign w:val="center"/>
          </w:tcPr>
          <w:p w14:paraId="6ED19352"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w:t>
            </w:r>
          </w:p>
        </w:tc>
      </w:tr>
      <w:tr w:rsidR="009B7BA9" w14:paraId="0F5047F6" w14:textId="77777777" w:rsidTr="00D11EE7">
        <w:trPr>
          <w:jc w:val="center"/>
        </w:trPr>
        <w:tc>
          <w:tcPr>
            <w:tcW w:w="2426" w:type="dxa"/>
            <w:tcMar>
              <w:left w:w="57" w:type="dxa"/>
              <w:right w:w="57" w:type="dxa"/>
            </w:tcMar>
            <w:vAlign w:val="center"/>
          </w:tcPr>
          <w:p w14:paraId="1D433256"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Proportion of those in severe hardship</w:t>
            </w:r>
          </w:p>
        </w:tc>
        <w:tc>
          <w:tcPr>
            <w:tcW w:w="1134" w:type="dxa"/>
            <w:tcMar>
              <w:left w:w="57" w:type="dxa"/>
              <w:right w:w="57" w:type="dxa"/>
            </w:tcMar>
            <w:vAlign w:val="center"/>
          </w:tcPr>
          <w:p w14:paraId="35EECCB5"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21</w:t>
            </w:r>
          </w:p>
        </w:tc>
        <w:tc>
          <w:tcPr>
            <w:tcW w:w="1144" w:type="dxa"/>
            <w:tcBorders>
              <w:right w:val="single" w:sz="8" w:space="0" w:color="auto"/>
            </w:tcBorders>
            <w:tcMar>
              <w:left w:w="57" w:type="dxa"/>
              <w:right w:w="57" w:type="dxa"/>
            </w:tcMar>
            <w:vAlign w:val="center"/>
          </w:tcPr>
          <w:p w14:paraId="25300FD3"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79</w:t>
            </w:r>
          </w:p>
        </w:tc>
        <w:tc>
          <w:tcPr>
            <w:tcW w:w="1549" w:type="dxa"/>
            <w:tcBorders>
              <w:left w:val="single" w:sz="8" w:space="0" w:color="auto"/>
            </w:tcBorders>
            <w:tcMar>
              <w:left w:w="57" w:type="dxa"/>
              <w:right w:w="57" w:type="dxa"/>
            </w:tcMar>
            <w:vAlign w:val="center"/>
          </w:tcPr>
          <w:p w14:paraId="3FDBE3D9"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57</w:t>
            </w:r>
          </w:p>
        </w:tc>
        <w:tc>
          <w:tcPr>
            <w:tcW w:w="1843" w:type="dxa"/>
            <w:tcMar>
              <w:left w:w="57" w:type="dxa"/>
              <w:right w:w="57" w:type="dxa"/>
            </w:tcMar>
            <w:vAlign w:val="center"/>
          </w:tcPr>
          <w:p w14:paraId="71C0DFA2"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43</w:t>
            </w:r>
          </w:p>
        </w:tc>
      </w:tr>
      <w:tr w:rsidR="009B7BA9" w14:paraId="5A3CE231" w14:textId="77777777" w:rsidTr="00D11EE7">
        <w:trPr>
          <w:jc w:val="center"/>
        </w:trPr>
        <w:tc>
          <w:tcPr>
            <w:tcW w:w="2426" w:type="dxa"/>
            <w:tcMar>
              <w:left w:w="57" w:type="dxa"/>
              <w:right w:w="57" w:type="dxa"/>
            </w:tcMar>
            <w:vAlign w:val="center"/>
          </w:tcPr>
          <w:p w14:paraId="15E55075"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Size of group (#)</w:t>
            </w:r>
          </w:p>
        </w:tc>
        <w:tc>
          <w:tcPr>
            <w:tcW w:w="1134" w:type="dxa"/>
            <w:tcMar>
              <w:left w:w="57" w:type="dxa"/>
              <w:right w:w="57" w:type="dxa"/>
            </w:tcMar>
            <w:vAlign w:val="center"/>
          </w:tcPr>
          <w:p w14:paraId="194C52CD"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124,000</w:t>
            </w:r>
          </w:p>
        </w:tc>
        <w:tc>
          <w:tcPr>
            <w:tcW w:w="1144" w:type="dxa"/>
            <w:tcBorders>
              <w:right w:val="single" w:sz="8" w:space="0" w:color="auto"/>
            </w:tcBorders>
            <w:tcMar>
              <w:left w:w="57" w:type="dxa"/>
              <w:right w:w="57" w:type="dxa"/>
            </w:tcMar>
            <w:vAlign w:val="center"/>
          </w:tcPr>
          <w:p w14:paraId="20114217"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931,000</w:t>
            </w:r>
          </w:p>
        </w:tc>
        <w:tc>
          <w:tcPr>
            <w:tcW w:w="1549" w:type="dxa"/>
            <w:tcBorders>
              <w:left w:val="single" w:sz="8" w:space="0" w:color="auto"/>
            </w:tcBorders>
            <w:tcMar>
              <w:left w:w="57" w:type="dxa"/>
              <w:right w:w="57" w:type="dxa"/>
            </w:tcMar>
            <w:vAlign w:val="center"/>
          </w:tcPr>
          <w:p w14:paraId="512127FF"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345,000</w:t>
            </w:r>
          </w:p>
        </w:tc>
        <w:tc>
          <w:tcPr>
            <w:tcW w:w="1843" w:type="dxa"/>
            <w:tcMar>
              <w:left w:w="57" w:type="dxa"/>
              <w:right w:w="57" w:type="dxa"/>
            </w:tcMar>
            <w:vAlign w:val="center"/>
          </w:tcPr>
          <w:p w14:paraId="000851F5"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827,000</w:t>
            </w:r>
          </w:p>
        </w:tc>
      </w:tr>
      <w:tr w:rsidR="009B7BA9" w14:paraId="5F4816E8" w14:textId="77777777" w:rsidTr="00D11EE7">
        <w:trPr>
          <w:jc w:val="center"/>
        </w:trPr>
        <w:tc>
          <w:tcPr>
            <w:tcW w:w="2426" w:type="dxa"/>
            <w:tcMar>
              <w:left w:w="57" w:type="dxa"/>
              <w:right w:w="57" w:type="dxa"/>
            </w:tcMar>
            <w:vAlign w:val="center"/>
          </w:tcPr>
          <w:p w14:paraId="6CBE68DC" w14:textId="77777777" w:rsidR="009B7BA9" w:rsidRPr="00D11EE7" w:rsidRDefault="009B7BA9" w:rsidP="00D11EE7">
            <w:pPr>
              <w:spacing w:before="40" w:after="40" w:line="240" w:lineRule="auto"/>
              <w:ind w:left="82"/>
              <w:rPr>
                <w:rFonts w:ascii="Arial" w:hAnsi="Arial"/>
                <w:color w:val="000000" w:themeColor="text1"/>
                <w:sz w:val="14"/>
                <w:szCs w:val="14"/>
              </w:rPr>
            </w:pPr>
            <w:r w:rsidRPr="00D11EE7">
              <w:rPr>
                <w:rFonts w:ascii="Arial" w:hAnsi="Arial"/>
                <w:color w:val="000000" w:themeColor="text1"/>
                <w:sz w:val="14"/>
                <w:szCs w:val="14"/>
              </w:rPr>
              <w:t>Size of group (%)</w:t>
            </w:r>
          </w:p>
        </w:tc>
        <w:tc>
          <w:tcPr>
            <w:tcW w:w="1134" w:type="dxa"/>
            <w:tcMar>
              <w:left w:w="57" w:type="dxa"/>
              <w:right w:w="57" w:type="dxa"/>
            </w:tcMar>
            <w:vAlign w:val="center"/>
          </w:tcPr>
          <w:p w14:paraId="5FC9BF73"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12</w:t>
            </w:r>
          </w:p>
        </w:tc>
        <w:tc>
          <w:tcPr>
            <w:tcW w:w="1144" w:type="dxa"/>
            <w:tcBorders>
              <w:right w:val="single" w:sz="8" w:space="0" w:color="auto"/>
            </w:tcBorders>
            <w:tcMar>
              <w:left w:w="57" w:type="dxa"/>
              <w:right w:w="57" w:type="dxa"/>
            </w:tcMar>
            <w:vAlign w:val="center"/>
          </w:tcPr>
          <w:p w14:paraId="59C27E9C"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88</w:t>
            </w:r>
          </w:p>
        </w:tc>
        <w:tc>
          <w:tcPr>
            <w:tcW w:w="1549" w:type="dxa"/>
            <w:tcBorders>
              <w:left w:val="single" w:sz="8" w:space="0" w:color="auto"/>
            </w:tcBorders>
            <w:tcMar>
              <w:left w:w="57" w:type="dxa"/>
              <w:right w:w="57" w:type="dxa"/>
            </w:tcMar>
            <w:vAlign w:val="center"/>
          </w:tcPr>
          <w:p w14:paraId="15800CBA"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29</w:t>
            </w:r>
          </w:p>
        </w:tc>
        <w:tc>
          <w:tcPr>
            <w:tcW w:w="1843" w:type="dxa"/>
            <w:tcMar>
              <w:left w:w="57" w:type="dxa"/>
              <w:right w:w="57" w:type="dxa"/>
            </w:tcMar>
            <w:vAlign w:val="center"/>
          </w:tcPr>
          <w:p w14:paraId="6C74FE2E"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71</w:t>
            </w:r>
          </w:p>
        </w:tc>
      </w:tr>
    </w:tbl>
    <w:p w14:paraId="6BA3A735" w14:textId="03D0E6B5" w:rsidR="009B7BA9" w:rsidRDefault="009B7BA9" w:rsidP="00A622E0">
      <w:pPr>
        <w:spacing w:before="60" w:after="0" w:line="240" w:lineRule="auto"/>
        <w:ind w:left="284"/>
        <w:rPr>
          <w:rFonts w:ascii="Arial" w:hAnsi="Arial"/>
          <w:bCs/>
          <w:color w:val="000000" w:themeColor="text1"/>
          <w:sz w:val="16"/>
          <w:szCs w:val="16"/>
        </w:rPr>
      </w:pPr>
      <w:r w:rsidRPr="00E811F4">
        <w:rPr>
          <w:rFonts w:ascii="Arial" w:hAnsi="Arial"/>
          <w:bCs/>
          <w:color w:val="000000" w:themeColor="text1"/>
          <w:sz w:val="16"/>
          <w:szCs w:val="16"/>
        </w:rPr>
        <w:t>Note</w:t>
      </w:r>
      <w:r>
        <w:rPr>
          <w:rFonts w:ascii="Arial" w:hAnsi="Arial"/>
          <w:bCs/>
          <w:color w:val="000000" w:themeColor="text1"/>
          <w:sz w:val="16"/>
          <w:szCs w:val="16"/>
        </w:rPr>
        <w:t>s</w:t>
      </w:r>
      <w:r w:rsidRPr="00E811F4">
        <w:rPr>
          <w:rFonts w:ascii="Arial" w:hAnsi="Arial"/>
          <w:bCs/>
          <w:color w:val="000000" w:themeColor="text1"/>
          <w:sz w:val="16"/>
          <w:szCs w:val="16"/>
        </w:rPr>
        <w:t xml:space="preserve"> for</w:t>
      </w:r>
      <w:r>
        <w:rPr>
          <w:rFonts w:ascii="Arial" w:hAnsi="Arial"/>
          <w:bCs/>
          <w:color w:val="000000" w:themeColor="text1"/>
          <w:sz w:val="16"/>
          <w:szCs w:val="16"/>
        </w:rPr>
        <w:t xml:space="preserve"> Table </w:t>
      </w:r>
      <w:r w:rsidR="006B6068">
        <w:rPr>
          <w:rFonts w:ascii="Arial" w:hAnsi="Arial"/>
          <w:bCs/>
          <w:color w:val="000000" w:themeColor="text1"/>
          <w:sz w:val="16"/>
          <w:szCs w:val="16"/>
        </w:rPr>
        <w:t>F.2</w:t>
      </w:r>
      <w:r>
        <w:rPr>
          <w:rFonts w:ascii="Arial" w:hAnsi="Arial"/>
          <w:bCs/>
          <w:color w:val="000000" w:themeColor="text1"/>
          <w:sz w:val="16"/>
          <w:szCs w:val="16"/>
        </w:rPr>
        <w:t xml:space="preserve"> </w:t>
      </w:r>
    </w:p>
    <w:p w14:paraId="00528FCC" w14:textId="77777777" w:rsidR="009B7BA9" w:rsidRPr="004C4618" w:rsidRDefault="009B7BA9">
      <w:pPr>
        <w:pStyle w:val="ListParagraph"/>
        <w:numPr>
          <w:ilvl w:val="0"/>
          <w:numId w:val="59"/>
        </w:numPr>
        <w:spacing w:before="20" w:after="0" w:line="240" w:lineRule="auto"/>
        <w:ind w:left="567" w:firstLine="0"/>
        <w:contextualSpacing w:val="0"/>
        <w:rPr>
          <w:rFonts w:ascii="Arial" w:hAnsi="Arial"/>
          <w:bCs/>
          <w:color w:val="000000" w:themeColor="text1"/>
          <w:sz w:val="16"/>
          <w:szCs w:val="16"/>
        </w:rPr>
      </w:pPr>
      <w:r w:rsidRPr="004C4618">
        <w:rPr>
          <w:rFonts w:ascii="Arial" w:hAnsi="Arial"/>
          <w:bCs/>
          <w:color w:val="000000" w:themeColor="text1"/>
          <w:sz w:val="16"/>
          <w:szCs w:val="16"/>
        </w:rPr>
        <w:t>A disabled household is one with at least one disabled person.</w:t>
      </w:r>
    </w:p>
    <w:p w14:paraId="7A633C2E" w14:textId="77777777" w:rsidR="009B7BA9" w:rsidRDefault="009B7BA9">
      <w:pPr>
        <w:pStyle w:val="ListParagraph"/>
        <w:numPr>
          <w:ilvl w:val="0"/>
          <w:numId w:val="59"/>
        </w:numPr>
        <w:spacing w:before="20" w:after="0" w:line="240" w:lineRule="auto"/>
        <w:ind w:left="567" w:firstLine="0"/>
        <w:contextualSpacing w:val="0"/>
        <w:rPr>
          <w:rFonts w:ascii="Arial" w:hAnsi="Arial"/>
          <w:bCs/>
          <w:color w:val="000000" w:themeColor="text1"/>
          <w:sz w:val="16"/>
          <w:szCs w:val="16"/>
        </w:rPr>
      </w:pPr>
      <w:r w:rsidRPr="004C4618">
        <w:rPr>
          <w:rFonts w:ascii="Arial" w:hAnsi="Arial"/>
          <w:bCs/>
          <w:color w:val="000000" w:themeColor="text1"/>
          <w:sz w:val="16"/>
          <w:szCs w:val="16"/>
        </w:rPr>
        <w:t xml:space="preserve">Numbers of disabled &amp; non-disabled children relate </w:t>
      </w:r>
      <w:r>
        <w:rPr>
          <w:rFonts w:ascii="Arial" w:hAnsi="Arial"/>
          <w:bCs/>
          <w:color w:val="000000" w:themeColor="text1"/>
          <w:sz w:val="16"/>
          <w:szCs w:val="16"/>
        </w:rPr>
        <w:t xml:space="preserve">only </w:t>
      </w:r>
      <w:r w:rsidRPr="004C4618">
        <w:rPr>
          <w:rFonts w:ascii="Arial" w:hAnsi="Arial"/>
          <w:bCs/>
          <w:color w:val="000000" w:themeColor="text1"/>
          <w:sz w:val="16"/>
          <w:szCs w:val="16"/>
        </w:rPr>
        <w:t>to those age</w:t>
      </w:r>
      <w:r>
        <w:rPr>
          <w:rFonts w:ascii="Arial" w:hAnsi="Arial"/>
          <w:bCs/>
          <w:color w:val="000000" w:themeColor="text1"/>
          <w:sz w:val="16"/>
          <w:szCs w:val="16"/>
        </w:rPr>
        <w:t>d</w:t>
      </w:r>
      <w:r w:rsidRPr="004C4618">
        <w:rPr>
          <w:rFonts w:ascii="Arial" w:hAnsi="Arial"/>
          <w:bCs/>
          <w:color w:val="000000" w:themeColor="text1"/>
          <w:sz w:val="16"/>
          <w:szCs w:val="16"/>
        </w:rPr>
        <w:t xml:space="preserve"> 2 to 17</w:t>
      </w:r>
      <w:r>
        <w:rPr>
          <w:rFonts w:ascii="Arial" w:hAnsi="Arial"/>
          <w:bCs/>
          <w:color w:val="000000" w:themeColor="text1"/>
          <w:sz w:val="16"/>
          <w:szCs w:val="16"/>
        </w:rPr>
        <w:t xml:space="preserve"> yrs.</w:t>
      </w:r>
    </w:p>
    <w:p w14:paraId="4C089DF5" w14:textId="77777777" w:rsidR="009B7BA9" w:rsidRPr="004C4618" w:rsidRDefault="009B7BA9">
      <w:pPr>
        <w:pStyle w:val="ListParagraph"/>
        <w:numPr>
          <w:ilvl w:val="0"/>
          <w:numId w:val="59"/>
        </w:numPr>
        <w:spacing w:before="20" w:after="0" w:line="240" w:lineRule="auto"/>
        <w:ind w:left="567" w:firstLine="0"/>
        <w:contextualSpacing w:val="0"/>
        <w:rPr>
          <w:rFonts w:ascii="Arial" w:hAnsi="Arial"/>
          <w:bCs/>
          <w:color w:val="000000" w:themeColor="text1"/>
          <w:sz w:val="16"/>
          <w:szCs w:val="16"/>
        </w:rPr>
      </w:pPr>
      <w:r>
        <w:rPr>
          <w:rFonts w:ascii="Arial" w:hAnsi="Arial"/>
          <w:bCs/>
          <w:color w:val="000000" w:themeColor="text1"/>
          <w:sz w:val="16"/>
          <w:szCs w:val="16"/>
        </w:rPr>
        <w:t>Children of all ages are included in the numbers for disabled and non-disabled households.</w:t>
      </w:r>
    </w:p>
    <w:p w14:paraId="01A0A1CA" w14:textId="77777777" w:rsidR="009B7BA9" w:rsidRDefault="009B7BA9" w:rsidP="009B7BA9">
      <w:pPr>
        <w:spacing w:after="0" w:line="240" w:lineRule="auto"/>
        <w:jc w:val="center"/>
      </w:pPr>
    </w:p>
    <w:p w14:paraId="0A6B7770" w14:textId="77777777" w:rsidR="009B7BA9" w:rsidRPr="00FC5C9C" w:rsidRDefault="009B7BA9" w:rsidP="00FC7E7F">
      <w:pPr>
        <w:spacing w:after="0" w:line="240" w:lineRule="auto"/>
        <w:rPr>
          <w:rFonts w:ascii="Arial" w:hAnsi="Arial"/>
          <w:b/>
          <w:color w:val="000000" w:themeColor="text1"/>
          <w:szCs w:val="20"/>
        </w:rPr>
      </w:pPr>
      <w:r w:rsidRPr="00FC5C9C">
        <w:rPr>
          <w:rFonts w:ascii="Arial" w:hAnsi="Arial"/>
          <w:b/>
          <w:color w:val="000000" w:themeColor="text1"/>
          <w:szCs w:val="20"/>
        </w:rPr>
        <w:t xml:space="preserve"> Definition </w:t>
      </w:r>
      <w:r>
        <w:rPr>
          <w:rFonts w:ascii="Arial" w:hAnsi="Arial"/>
          <w:b/>
          <w:color w:val="000000" w:themeColor="text1"/>
          <w:szCs w:val="20"/>
        </w:rPr>
        <w:t>revisions</w:t>
      </w:r>
      <w:r w:rsidRPr="00FC5C9C">
        <w:rPr>
          <w:rFonts w:ascii="Arial" w:hAnsi="Arial"/>
          <w:b/>
          <w:color w:val="000000" w:themeColor="text1"/>
          <w:szCs w:val="20"/>
        </w:rPr>
        <w:t xml:space="preserve"> for HILS 2024-25 – break in time series</w:t>
      </w:r>
    </w:p>
    <w:p w14:paraId="57D1A7E1" w14:textId="77777777" w:rsidR="009B7BA9" w:rsidRDefault="009B7BA9" w:rsidP="009B7BA9">
      <w:pPr>
        <w:spacing w:after="0" w:line="240" w:lineRule="auto"/>
        <w:rPr>
          <w:rFonts w:ascii="Arial" w:hAnsi="Arial"/>
          <w:bCs/>
          <w:color w:val="000000" w:themeColor="text1"/>
          <w:szCs w:val="20"/>
        </w:rPr>
      </w:pPr>
    </w:p>
    <w:p w14:paraId="21223DD1" w14:textId="77777777" w:rsidR="009B7BA9" w:rsidRDefault="009B7BA9" w:rsidP="00FC7E7F">
      <w:pPr>
        <w:spacing w:after="0" w:line="240" w:lineRule="auto"/>
        <w:rPr>
          <w:rFonts w:ascii="Arial" w:hAnsi="Arial"/>
          <w:bCs/>
          <w:color w:val="000000" w:themeColor="text1"/>
          <w:szCs w:val="20"/>
        </w:rPr>
      </w:pPr>
      <w:r>
        <w:rPr>
          <w:rFonts w:ascii="Arial" w:hAnsi="Arial"/>
          <w:bCs/>
          <w:color w:val="000000" w:themeColor="text1"/>
          <w:szCs w:val="20"/>
        </w:rPr>
        <w:t>For the 2024-25 HILS the definitions were revised in several ways:</w:t>
      </w:r>
    </w:p>
    <w:p w14:paraId="39AA3944" w14:textId="4BF683AD" w:rsidR="009B7BA9" w:rsidRPr="00377008" w:rsidRDefault="009B7BA9">
      <w:pPr>
        <w:numPr>
          <w:ilvl w:val="0"/>
          <w:numId w:val="65"/>
        </w:numPr>
        <w:spacing w:before="60" w:after="0" w:line="240" w:lineRule="auto"/>
        <w:ind w:left="567" w:hanging="357"/>
        <w:rPr>
          <w:rFonts w:ascii="Arial" w:hAnsi="Arial"/>
          <w:bCs/>
          <w:color w:val="000000" w:themeColor="text1"/>
          <w:sz w:val="18"/>
          <w:szCs w:val="18"/>
        </w:rPr>
      </w:pPr>
      <w:r w:rsidRPr="00377008">
        <w:rPr>
          <w:rFonts w:ascii="Arial" w:hAnsi="Arial"/>
          <w:bCs/>
          <w:color w:val="000000" w:themeColor="text1"/>
          <w:sz w:val="18"/>
          <w:szCs w:val="18"/>
        </w:rPr>
        <w:t>15 to 17-year-olds are now asked the adult set of questions. This aligns with how the questions are asked in the Health and Disability Survey, and with advice received from the W</w:t>
      </w:r>
      <w:r>
        <w:rPr>
          <w:rFonts w:ascii="Arial" w:hAnsi="Arial"/>
          <w:bCs/>
          <w:color w:val="000000" w:themeColor="text1"/>
          <w:sz w:val="18"/>
          <w:szCs w:val="18"/>
        </w:rPr>
        <w:t>ashington</w:t>
      </w:r>
      <w:r w:rsidRPr="00377008">
        <w:rPr>
          <w:rFonts w:ascii="Arial" w:hAnsi="Arial"/>
          <w:bCs/>
          <w:color w:val="000000" w:themeColor="text1"/>
          <w:sz w:val="18"/>
          <w:szCs w:val="18"/>
        </w:rPr>
        <w:t xml:space="preserve"> Group</w:t>
      </w:r>
      <w:r>
        <w:rPr>
          <w:rFonts w:ascii="Arial" w:hAnsi="Arial"/>
          <w:bCs/>
          <w:color w:val="000000" w:themeColor="text1"/>
          <w:sz w:val="18"/>
          <w:szCs w:val="18"/>
        </w:rPr>
        <w:t>.</w:t>
      </w:r>
      <w:r w:rsidR="000F5FEE">
        <w:rPr>
          <w:rStyle w:val="FootnoteReference"/>
          <w:rFonts w:ascii="Arial" w:hAnsi="Arial"/>
          <w:bCs/>
          <w:color w:val="000000" w:themeColor="text1"/>
          <w:sz w:val="18"/>
          <w:szCs w:val="18"/>
        </w:rPr>
        <w:footnoteReference w:id="67"/>
      </w:r>
    </w:p>
    <w:p w14:paraId="5263C456" w14:textId="77777777" w:rsidR="009B7BA9" w:rsidRPr="00377008" w:rsidRDefault="009B7BA9">
      <w:pPr>
        <w:numPr>
          <w:ilvl w:val="0"/>
          <w:numId w:val="65"/>
        </w:numPr>
        <w:spacing w:before="60" w:after="0" w:line="240" w:lineRule="auto"/>
        <w:ind w:left="567" w:hanging="357"/>
        <w:rPr>
          <w:rFonts w:ascii="Arial" w:hAnsi="Arial"/>
          <w:bCs/>
          <w:color w:val="000000" w:themeColor="text1"/>
          <w:sz w:val="18"/>
          <w:szCs w:val="18"/>
        </w:rPr>
      </w:pPr>
      <w:r>
        <w:rPr>
          <w:rFonts w:ascii="Arial" w:hAnsi="Arial"/>
          <w:bCs/>
          <w:color w:val="000000" w:themeColor="text1"/>
          <w:sz w:val="18"/>
          <w:szCs w:val="18"/>
        </w:rPr>
        <w:t>I</w:t>
      </w:r>
      <w:r w:rsidRPr="00377008">
        <w:rPr>
          <w:rFonts w:ascii="Arial" w:hAnsi="Arial"/>
          <w:bCs/>
          <w:color w:val="000000" w:themeColor="text1"/>
          <w:sz w:val="18"/>
          <w:szCs w:val="18"/>
        </w:rPr>
        <w:t>mprovements have been made to disability question wording across the survey. The questions now clarify that they are about long-term health issues or conditions (with ‘long-term’ defined as longer than six months). Further, the questions reflect updates made to WG module documentation and feedback from cognitive testing.</w:t>
      </w:r>
    </w:p>
    <w:p w14:paraId="587000E4" w14:textId="77777777" w:rsidR="009B7BA9" w:rsidRDefault="009B7BA9">
      <w:pPr>
        <w:numPr>
          <w:ilvl w:val="0"/>
          <w:numId w:val="65"/>
        </w:numPr>
        <w:spacing w:before="60" w:after="0" w:line="240" w:lineRule="auto"/>
        <w:ind w:left="567"/>
        <w:rPr>
          <w:rFonts w:ascii="Arial" w:hAnsi="Arial"/>
          <w:bCs/>
          <w:color w:val="000000" w:themeColor="text1"/>
          <w:sz w:val="18"/>
          <w:szCs w:val="18"/>
        </w:rPr>
      </w:pPr>
      <w:r>
        <w:rPr>
          <w:rFonts w:ascii="Arial" w:hAnsi="Arial"/>
          <w:bCs/>
          <w:color w:val="000000" w:themeColor="text1"/>
          <w:sz w:val="18"/>
          <w:szCs w:val="18"/>
        </w:rPr>
        <w:t>A</w:t>
      </w:r>
      <w:r w:rsidRPr="00377008">
        <w:rPr>
          <w:rFonts w:ascii="Arial" w:hAnsi="Arial"/>
          <w:bCs/>
          <w:color w:val="000000" w:themeColor="text1"/>
          <w:sz w:val="18"/>
          <w:szCs w:val="18"/>
        </w:rPr>
        <w:t>dding clarifying text: in addition to defining “long-term difficulty” in the module introductions, clarifying text is now incorporated throughout the question set to better communicate the intended scope of the question.</w:t>
      </w:r>
    </w:p>
    <w:p w14:paraId="5BDF0903" w14:textId="77777777" w:rsidR="009B7BA9" w:rsidRDefault="009B7BA9" w:rsidP="009B7BA9">
      <w:pPr>
        <w:spacing w:after="0" w:line="240" w:lineRule="auto"/>
        <w:rPr>
          <w:rFonts w:ascii="Arial" w:hAnsi="Arial"/>
          <w:bCs/>
          <w:color w:val="000000" w:themeColor="text1"/>
          <w:sz w:val="18"/>
          <w:szCs w:val="18"/>
        </w:rPr>
      </w:pPr>
    </w:p>
    <w:p w14:paraId="16699E4B" w14:textId="35C1412F" w:rsidR="009B7BA9" w:rsidRPr="008C66E4" w:rsidRDefault="009B7BA9" w:rsidP="009B7BA9">
      <w:pPr>
        <w:spacing w:line="240" w:lineRule="auto"/>
        <w:rPr>
          <w:rFonts w:ascii="Arial" w:hAnsi="Arial"/>
          <w:bCs/>
          <w:color w:val="000000" w:themeColor="text1"/>
          <w:szCs w:val="20"/>
        </w:rPr>
      </w:pPr>
      <w:r w:rsidRPr="008C66E4">
        <w:rPr>
          <w:rFonts w:ascii="Arial" w:hAnsi="Arial"/>
          <w:bCs/>
          <w:color w:val="000000" w:themeColor="text1"/>
          <w:szCs w:val="20"/>
        </w:rPr>
        <w:t>The following definitions are used in HILS 2024-25:</w:t>
      </w:r>
    </w:p>
    <w:p w14:paraId="6CEA73CB" w14:textId="77777777" w:rsidR="009B7BA9" w:rsidRPr="008C66E4" w:rsidRDefault="009B7BA9">
      <w:pPr>
        <w:pStyle w:val="ListParagraph"/>
        <w:numPr>
          <w:ilvl w:val="0"/>
          <w:numId w:val="40"/>
        </w:numPr>
        <w:spacing w:after="60" w:line="240" w:lineRule="auto"/>
        <w:ind w:left="567" w:hanging="352"/>
        <w:contextualSpacing w:val="0"/>
        <w:rPr>
          <w:rFonts w:ascii="Arial Mäori" w:eastAsia="Times New Roman" w:hAnsi="Arial Mäori" w:cs="Times New Roman"/>
          <w:color w:val="000000"/>
          <w:sz w:val="18"/>
          <w:szCs w:val="18"/>
          <w:lang w:eastAsia="en-NZ"/>
        </w:rPr>
      </w:pPr>
      <w:r w:rsidRPr="008C66E4">
        <w:rPr>
          <w:rFonts w:ascii="Arial Mäori" w:eastAsia="Times New Roman" w:hAnsi="Arial Mäori" w:cs="Times New Roman"/>
          <w:color w:val="000000"/>
          <w:sz w:val="18"/>
          <w:szCs w:val="18"/>
          <w:lang w:eastAsia="en-NZ"/>
        </w:rPr>
        <w:t>Children under 2 years old are not assessed for disability.</w:t>
      </w:r>
    </w:p>
    <w:p w14:paraId="796916B3" w14:textId="77777777" w:rsidR="009B7BA9" w:rsidRPr="008C66E4" w:rsidRDefault="009B7BA9">
      <w:pPr>
        <w:pStyle w:val="ListParagraph"/>
        <w:numPr>
          <w:ilvl w:val="0"/>
          <w:numId w:val="40"/>
        </w:numPr>
        <w:spacing w:after="60" w:line="240" w:lineRule="auto"/>
        <w:ind w:left="567" w:hanging="352"/>
        <w:contextualSpacing w:val="0"/>
        <w:rPr>
          <w:rFonts w:ascii="Arial" w:hAnsi="Arial"/>
          <w:bCs/>
          <w:color w:val="000000" w:themeColor="text1"/>
          <w:sz w:val="18"/>
          <w:szCs w:val="18"/>
        </w:rPr>
      </w:pPr>
      <w:r w:rsidRPr="008C66E4">
        <w:rPr>
          <w:rFonts w:ascii="Arial" w:hAnsi="Arial"/>
          <w:bCs/>
          <w:color w:val="000000" w:themeColor="text1"/>
          <w:sz w:val="18"/>
          <w:szCs w:val="18"/>
        </w:rPr>
        <w:t xml:space="preserve">People aged 2 to 4 are disabled if they have serious difficulty with at least one of the following: seeing (even with glasses), hearing (even with hearing aids), walking (without the use of equipment or assistance), manual dexterity, communicating, learning, playing, or controlling their own behaviour. </w:t>
      </w:r>
    </w:p>
    <w:p w14:paraId="4F98B6DB" w14:textId="77777777" w:rsidR="009B7BA9" w:rsidRPr="008C66E4" w:rsidRDefault="009B7BA9">
      <w:pPr>
        <w:pStyle w:val="ListParagraph"/>
        <w:numPr>
          <w:ilvl w:val="0"/>
          <w:numId w:val="40"/>
        </w:numPr>
        <w:spacing w:after="60" w:line="240" w:lineRule="auto"/>
        <w:ind w:left="567" w:hanging="352"/>
        <w:contextualSpacing w:val="0"/>
        <w:rPr>
          <w:rFonts w:ascii="Arial" w:hAnsi="Arial"/>
          <w:bCs/>
          <w:color w:val="000000" w:themeColor="text1"/>
          <w:sz w:val="18"/>
          <w:szCs w:val="18"/>
        </w:rPr>
      </w:pPr>
      <w:r w:rsidRPr="008C66E4">
        <w:rPr>
          <w:rFonts w:ascii="Arial" w:hAnsi="Arial"/>
          <w:bCs/>
          <w:color w:val="000000" w:themeColor="text1"/>
          <w:sz w:val="18"/>
          <w:szCs w:val="18"/>
        </w:rPr>
        <w:t xml:space="preserve">People aged 5 to 14 are disabled if they have serious difficulty with at least one of the following: seeing (even with glasses or contact lenses), hearing (even with hearing aids), walking (without the use of equipment or assistance), personal care such as feeding or dressing themselves, communicating, learning, remembering, concentrating, accepting change, controlling their own behaviour, making friends, anxiety, or depression. </w:t>
      </w:r>
    </w:p>
    <w:p w14:paraId="30ABC3B4" w14:textId="77777777" w:rsidR="009B7BA9" w:rsidRPr="008C66E4" w:rsidRDefault="009B7BA9">
      <w:pPr>
        <w:pStyle w:val="ListParagraph"/>
        <w:numPr>
          <w:ilvl w:val="0"/>
          <w:numId w:val="40"/>
        </w:numPr>
        <w:spacing w:after="60" w:line="240" w:lineRule="auto"/>
        <w:ind w:left="567" w:hanging="352"/>
        <w:contextualSpacing w:val="0"/>
        <w:rPr>
          <w:rFonts w:ascii="Arial" w:hAnsi="Arial"/>
          <w:bCs/>
          <w:color w:val="000000" w:themeColor="text1"/>
          <w:sz w:val="18"/>
          <w:szCs w:val="18"/>
        </w:rPr>
      </w:pPr>
      <w:r w:rsidRPr="008C66E4">
        <w:rPr>
          <w:rFonts w:ascii="Arial" w:hAnsi="Arial"/>
          <w:bCs/>
          <w:color w:val="000000" w:themeColor="text1"/>
          <w:sz w:val="18"/>
          <w:szCs w:val="18"/>
        </w:rPr>
        <w:t xml:space="preserve">People aged 15 or over are disabled if they have serious difficulty with at least one of the following: seeing (even with glasses or contact lenses), hearing (even with hearing aids), walking (without the use of equipment or assistance), manual dexterity, upper body strength, personal care such as washing and dressing, communicating, remembering or concentrating (due to a long-term condition or health problem), anxiety, or depression.  </w:t>
      </w:r>
    </w:p>
    <w:p w14:paraId="64988C44" w14:textId="77777777" w:rsidR="009B7BA9" w:rsidRPr="003B359D" w:rsidRDefault="009B7BA9" w:rsidP="009B7BA9">
      <w:pPr>
        <w:spacing w:after="0" w:line="240" w:lineRule="auto"/>
        <w:rPr>
          <w:rFonts w:ascii="Arial" w:hAnsi="Arial"/>
          <w:bCs/>
          <w:color w:val="000000" w:themeColor="text1"/>
          <w:szCs w:val="20"/>
        </w:rPr>
      </w:pPr>
      <w:r w:rsidRPr="003B359D">
        <w:rPr>
          <w:rFonts w:ascii="Arial" w:hAnsi="Arial"/>
          <w:bCs/>
          <w:color w:val="000000" w:themeColor="text1"/>
          <w:szCs w:val="20"/>
        </w:rPr>
        <w:lastRenderedPageBreak/>
        <w:t xml:space="preserve">The changes </w:t>
      </w:r>
      <w:r>
        <w:rPr>
          <w:rFonts w:ascii="Arial" w:hAnsi="Arial"/>
          <w:bCs/>
          <w:color w:val="000000" w:themeColor="text1"/>
          <w:szCs w:val="20"/>
        </w:rPr>
        <w:t xml:space="preserve">to the definition and conceptualisation of disability status </w:t>
      </w:r>
      <w:r w:rsidRPr="003B359D">
        <w:rPr>
          <w:rFonts w:ascii="Arial" w:hAnsi="Arial"/>
          <w:bCs/>
          <w:color w:val="000000" w:themeColor="text1"/>
          <w:szCs w:val="20"/>
        </w:rPr>
        <w:t xml:space="preserve">and their interaction with the revised MWQs mean that there is a break in the MH </w:t>
      </w:r>
      <w:r>
        <w:rPr>
          <w:rFonts w:ascii="Arial" w:hAnsi="Arial"/>
          <w:bCs/>
          <w:color w:val="000000" w:themeColor="text1"/>
          <w:szCs w:val="20"/>
        </w:rPr>
        <w:t xml:space="preserve">disability </w:t>
      </w:r>
      <w:r w:rsidRPr="003B359D">
        <w:rPr>
          <w:rFonts w:ascii="Arial" w:hAnsi="Arial"/>
          <w:bCs/>
          <w:color w:val="000000" w:themeColor="text1"/>
          <w:szCs w:val="20"/>
        </w:rPr>
        <w:t>time series starting with the 2024-25 HILS. The 2024-25 rates should not be compared with the earlier HES-based rates.</w:t>
      </w:r>
      <w:r>
        <w:rPr>
          <w:rStyle w:val="FootnoteReference"/>
          <w:rFonts w:ascii="Arial" w:hAnsi="Arial"/>
          <w:bCs/>
          <w:color w:val="000000" w:themeColor="text1"/>
          <w:szCs w:val="20"/>
        </w:rPr>
        <w:footnoteReference w:id="68"/>
      </w:r>
    </w:p>
    <w:p w14:paraId="4B4A0B2F" w14:textId="77777777" w:rsidR="009B7BA9" w:rsidRDefault="009B7BA9" w:rsidP="009B7BA9">
      <w:pPr>
        <w:spacing w:after="0" w:line="240" w:lineRule="auto"/>
        <w:rPr>
          <w:rFonts w:ascii="Arial" w:hAnsi="Arial"/>
          <w:b/>
          <w:color w:val="000000" w:themeColor="text1"/>
          <w:szCs w:val="20"/>
        </w:rPr>
      </w:pPr>
    </w:p>
    <w:p w14:paraId="729BD4ED" w14:textId="59624F47" w:rsidR="009B7BA9" w:rsidRPr="00E94BB3" w:rsidRDefault="009B7BA9" w:rsidP="009B7BA9">
      <w:pPr>
        <w:spacing w:line="240" w:lineRule="auto"/>
        <w:rPr>
          <w:rFonts w:ascii="Arial" w:eastAsia="Times New Roman" w:hAnsi="Arial"/>
          <w:color w:val="000000"/>
          <w:szCs w:val="20"/>
          <w:lang w:eastAsia="en-NZ"/>
        </w:rPr>
      </w:pPr>
      <w:r w:rsidRPr="00CE6689">
        <w:rPr>
          <w:rFonts w:ascii="Arial" w:hAnsi="Arial"/>
          <w:bCs/>
          <w:color w:val="000000" w:themeColor="text1"/>
          <w:szCs w:val="20"/>
        </w:rPr>
        <w:t>The material hardship figures in</w:t>
      </w:r>
      <w:r>
        <w:rPr>
          <w:rFonts w:ascii="Arial" w:hAnsi="Arial"/>
          <w:b/>
          <w:color w:val="000000" w:themeColor="text1"/>
          <w:szCs w:val="20"/>
        </w:rPr>
        <w:t xml:space="preserve"> </w:t>
      </w:r>
      <w:r w:rsidRPr="00E86023">
        <w:rPr>
          <w:rFonts w:ascii="Arial" w:hAnsi="Arial"/>
          <w:b/>
          <w:color w:val="000000" w:themeColor="text1"/>
          <w:szCs w:val="20"/>
        </w:rPr>
        <w:t xml:space="preserve">Table </w:t>
      </w:r>
      <w:r w:rsidR="006B6068">
        <w:rPr>
          <w:rFonts w:ascii="Arial" w:hAnsi="Arial"/>
          <w:b/>
          <w:color w:val="000000" w:themeColor="text1"/>
          <w:szCs w:val="20"/>
        </w:rPr>
        <w:t>F</w:t>
      </w:r>
      <w:r>
        <w:rPr>
          <w:rFonts w:ascii="Arial" w:hAnsi="Arial"/>
          <w:b/>
          <w:color w:val="000000" w:themeColor="text1"/>
          <w:szCs w:val="20"/>
        </w:rPr>
        <w:t>.3</w:t>
      </w:r>
      <w:r>
        <w:rPr>
          <w:rFonts w:ascii="Arial" w:hAnsi="Arial"/>
          <w:bCs/>
          <w:color w:val="000000" w:themeColor="text1"/>
          <w:szCs w:val="20"/>
        </w:rPr>
        <w:t xml:space="preserve"> are the first figures in the new time series starting in HILS</w:t>
      </w:r>
      <w:r w:rsidR="00FC7E7F">
        <w:rPr>
          <w:rFonts w:ascii="Arial" w:hAnsi="Arial"/>
          <w:bCs/>
          <w:color w:val="000000" w:themeColor="text1"/>
          <w:szCs w:val="20"/>
        </w:rPr>
        <w:t xml:space="preserve"> </w:t>
      </w:r>
      <w:r>
        <w:rPr>
          <w:rFonts w:ascii="Arial" w:hAnsi="Arial"/>
          <w:bCs/>
          <w:color w:val="000000" w:themeColor="text1"/>
          <w:szCs w:val="20"/>
        </w:rPr>
        <w:t>2024-25. The</w:t>
      </w:r>
      <w:r w:rsidRPr="00E86023">
        <w:rPr>
          <w:rFonts w:ascii="Arial" w:hAnsi="Arial"/>
          <w:bCs/>
          <w:color w:val="000000" w:themeColor="text1"/>
          <w:szCs w:val="20"/>
        </w:rPr>
        <w:t xml:space="preserve"> numbers are drawn directly from Stats NZ’s February 202</w:t>
      </w:r>
      <w:r>
        <w:rPr>
          <w:rFonts w:ascii="Arial" w:hAnsi="Arial"/>
          <w:bCs/>
          <w:color w:val="000000" w:themeColor="text1"/>
          <w:szCs w:val="20"/>
        </w:rPr>
        <w:t xml:space="preserve">6 </w:t>
      </w:r>
      <w:r w:rsidRPr="00E86023">
        <w:rPr>
          <w:rFonts w:ascii="Arial" w:hAnsi="Arial"/>
          <w:bCs/>
          <w:color w:val="000000" w:themeColor="text1"/>
          <w:szCs w:val="20"/>
        </w:rPr>
        <w:t>Child Poverty release</w:t>
      </w:r>
      <w:r>
        <w:rPr>
          <w:rFonts w:ascii="Arial" w:hAnsi="Arial"/>
          <w:bCs/>
          <w:color w:val="000000" w:themeColor="text1"/>
          <w:szCs w:val="20"/>
        </w:rPr>
        <w:t xml:space="preserve"> (</w:t>
      </w:r>
      <w:r w:rsidRPr="00E94BB3">
        <w:rPr>
          <w:rFonts w:ascii="Arial" w:hAnsi="Arial"/>
          <w:bCs/>
          <w:color w:val="000000" w:themeColor="text1"/>
          <w:szCs w:val="20"/>
        </w:rPr>
        <w:t>Tables 3.04 and 8.04), with some rounding.</w:t>
      </w:r>
      <w:r w:rsidRPr="00E94BB3">
        <w:rPr>
          <w:rStyle w:val="FootnoteReference"/>
          <w:rFonts w:ascii="Arial" w:hAnsi="Arial"/>
          <w:bCs/>
          <w:color w:val="000000" w:themeColor="text1"/>
          <w:szCs w:val="20"/>
        </w:rPr>
        <w:footnoteReference w:id="69"/>
      </w:r>
      <w:r w:rsidRPr="00E94BB3">
        <w:rPr>
          <w:rFonts w:ascii="Arial" w:hAnsi="Arial"/>
          <w:bCs/>
          <w:color w:val="000000" w:themeColor="text1"/>
          <w:szCs w:val="20"/>
        </w:rPr>
        <w:t xml:space="preserve"> </w:t>
      </w:r>
    </w:p>
    <w:p w14:paraId="5F44738B" w14:textId="77777777" w:rsidR="009B7BA9" w:rsidRDefault="009B7BA9" w:rsidP="009B7BA9">
      <w:pPr>
        <w:spacing w:after="0" w:line="240" w:lineRule="auto"/>
        <w:rPr>
          <w:rFonts w:ascii="Arial" w:eastAsia="Times New Roman" w:hAnsi="Arial"/>
          <w:color w:val="000000"/>
          <w:szCs w:val="20"/>
          <w:lang w:eastAsia="en-NZ"/>
        </w:rPr>
      </w:pPr>
    </w:p>
    <w:p w14:paraId="6011879E" w14:textId="1AA5E230" w:rsidR="009B7BA9" w:rsidRPr="00510F5A" w:rsidRDefault="009B7BA9" w:rsidP="009B7BA9">
      <w:pPr>
        <w:spacing w:after="0" w:line="240" w:lineRule="auto"/>
        <w:jc w:val="center"/>
        <w:rPr>
          <w:rFonts w:ascii="Arial" w:hAnsi="Arial"/>
          <w:b/>
          <w:color w:val="FF0000"/>
          <w:sz w:val="18"/>
          <w:szCs w:val="18"/>
        </w:rPr>
      </w:pPr>
      <w:r w:rsidRPr="00827424">
        <w:rPr>
          <w:rFonts w:ascii="Arial" w:hAnsi="Arial"/>
          <w:b/>
          <w:color w:val="000000" w:themeColor="text1"/>
          <w:sz w:val="18"/>
          <w:szCs w:val="18"/>
        </w:rPr>
        <w:t xml:space="preserve">Table </w:t>
      </w:r>
      <w:r w:rsidR="006B6068">
        <w:rPr>
          <w:rFonts w:ascii="Arial" w:hAnsi="Arial"/>
          <w:b/>
          <w:color w:val="000000" w:themeColor="text1"/>
          <w:sz w:val="18"/>
          <w:szCs w:val="18"/>
        </w:rPr>
        <w:t>F</w:t>
      </w:r>
      <w:r w:rsidRPr="00827424">
        <w:rPr>
          <w:rFonts w:ascii="Arial" w:hAnsi="Arial"/>
          <w:b/>
          <w:color w:val="000000" w:themeColor="text1"/>
          <w:sz w:val="18"/>
          <w:szCs w:val="18"/>
        </w:rPr>
        <w:t>.</w:t>
      </w:r>
      <w:r>
        <w:rPr>
          <w:rFonts w:ascii="Arial" w:hAnsi="Arial"/>
          <w:b/>
          <w:color w:val="000000" w:themeColor="text1"/>
          <w:sz w:val="18"/>
          <w:szCs w:val="18"/>
        </w:rPr>
        <w:t xml:space="preserve">3 </w:t>
      </w:r>
    </w:p>
    <w:p w14:paraId="1B8C965C" w14:textId="77777777" w:rsidR="009B7BA9" w:rsidRDefault="009B7BA9" w:rsidP="009B7BA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MH-18 7+/17 material</w:t>
      </w:r>
      <w:r w:rsidRPr="00827424">
        <w:rPr>
          <w:rFonts w:ascii="Arial" w:hAnsi="Arial"/>
          <w:b/>
          <w:color w:val="000000" w:themeColor="text1"/>
          <w:sz w:val="18"/>
          <w:szCs w:val="18"/>
        </w:rPr>
        <w:t xml:space="preserve"> hardship rates (%)</w:t>
      </w:r>
      <w:r>
        <w:rPr>
          <w:rFonts w:ascii="Arial" w:hAnsi="Arial"/>
          <w:b/>
          <w:color w:val="000000" w:themeColor="text1"/>
          <w:sz w:val="18"/>
          <w:szCs w:val="18"/>
        </w:rPr>
        <w:t xml:space="preserve"> </w:t>
      </w:r>
      <w:r w:rsidRPr="00827424">
        <w:rPr>
          <w:rFonts w:ascii="Arial" w:hAnsi="Arial"/>
          <w:b/>
          <w:color w:val="000000" w:themeColor="text1"/>
          <w:sz w:val="18"/>
          <w:szCs w:val="18"/>
        </w:rPr>
        <w:t xml:space="preserve">for children by disability status,  </w:t>
      </w:r>
    </w:p>
    <w:p w14:paraId="7B7118B7" w14:textId="77777777" w:rsidR="009B7BA9" w:rsidRDefault="009B7BA9" w:rsidP="009B7BA9">
      <w:pPr>
        <w:spacing w:line="240" w:lineRule="auto"/>
        <w:jc w:val="center"/>
        <w:rPr>
          <w:rFonts w:ascii="Arial" w:hAnsi="Arial"/>
          <w:b/>
          <w:color w:val="000000" w:themeColor="text1"/>
          <w:sz w:val="18"/>
          <w:szCs w:val="18"/>
        </w:rPr>
      </w:pPr>
      <w:r w:rsidRPr="00827424">
        <w:rPr>
          <w:rFonts w:ascii="Arial" w:hAnsi="Arial"/>
          <w:b/>
          <w:color w:val="000000" w:themeColor="text1"/>
          <w:sz w:val="18"/>
          <w:szCs w:val="18"/>
        </w:rPr>
        <w:t>H</w:t>
      </w:r>
      <w:r>
        <w:rPr>
          <w:rFonts w:ascii="Arial" w:hAnsi="Arial"/>
          <w:b/>
          <w:color w:val="000000" w:themeColor="text1"/>
          <w:sz w:val="18"/>
          <w:szCs w:val="18"/>
        </w:rPr>
        <w:t>IL</w:t>
      </w:r>
      <w:r w:rsidRPr="00827424">
        <w:rPr>
          <w:rFonts w:ascii="Arial" w:hAnsi="Arial"/>
          <w:b/>
          <w:color w:val="000000" w:themeColor="text1"/>
          <w:sz w:val="18"/>
          <w:szCs w:val="18"/>
        </w:rPr>
        <w:t>S 202</w:t>
      </w:r>
      <w:r>
        <w:rPr>
          <w:rFonts w:ascii="Arial" w:hAnsi="Arial"/>
          <w:b/>
          <w:color w:val="000000" w:themeColor="text1"/>
          <w:sz w:val="18"/>
          <w:szCs w:val="18"/>
        </w:rPr>
        <w:t>4</w:t>
      </w:r>
      <w:r w:rsidRPr="00827424">
        <w:rPr>
          <w:rFonts w:ascii="Arial" w:hAnsi="Arial"/>
          <w:b/>
          <w:color w:val="000000" w:themeColor="text1"/>
          <w:sz w:val="18"/>
          <w:szCs w:val="18"/>
        </w:rPr>
        <w:t>-2</w:t>
      </w:r>
      <w:r>
        <w:rPr>
          <w:rFonts w:ascii="Arial" w:hAnsi="Arial"/>
          <w:b/>
          <w:color w:val="000000" w:themeColor="text1"/>
          <w:sz w:val="18"/>
          <w:szCs w:val="18"/>
        </w:rPr>
        <w:t>5</w:t>
      </w:r>
    </w:p>
    <w:tbl>
      <w:tblPr>
        <w:tblStyle w:val="TableGrid"/>
        <w:tblW w:w="0" w:type="auto"/>
        <w:jc w:val="center"/>
        <w:tblLook w:val="04A0" w:firstRow="1" w:lastRow="0" w:firstColumn="1" w:lastColumn="0" w:noHBand="0" w:noVBand="1"/>
      </w:tblPr>
      <w:tblGrid>
        <w:gridCol w:w="2842"/>
        <w:gridCol w:w="1134"/>
        <w:gridCol w:w="1144"/>
        <w:gridCol w:w="1549"/>
        <w:gridCol w:w="1843"/>
      </w:tblGrid>
      <w:tr w:rsidR="009B7BA9" w14:paraId="0177262F" w14:textId="77777777" w:rsidTr="00261B26">
        <w:trPr>
          <w:jc w:val="center"/>
        </w:trPr>
        <w:tc>
          <w:tcPr>
            <w:tcW w:w="2842" w:type="dxa"/>
            <w:tcMar>
              <w:left w:w="57" w:type="dxa"/>
              <w:right w:w="57" w:type="dxa"/>
            </w:tcMar>
            <w:vAlign w:val="center"/>
          </w:tcPr>
          <w:p w14:paraId="3CCE27C1" w14:textId="77777777" w:rsidR="009B7BA9" w:rsidRPr="00827424" w:rsidRDefault="009B7BA9" w:rsidP="00261B26">
            <w:pPr>
              <w:spacing w:before="40" w:after="40" w:line="240" w:lineRule="auto"/>
              <w:rPr>
                <w:rFonts w:ascii="Arial" w:hAnsi="Arial"/>
                <w:b/>
                <w:color w:val="000000" w:themeColor="text1"/>
                <w:sz w:val="14"/>
                <w:szCs w:val="14"/>
              </w:rPr>
            </w:pPr>
          </w:p>
        </w:tc>
        <w:tc>
          <w:tcPr>
            <w:tcW w:w="1134" w:type="dxa"/>
            <w:tcMar>
              <w:left w:w="57" w:type="dxa"/>
              <w:right w:w="57" w:type="dxa"/>
            </w:tcMar>
            <w:vAlign w:val="center"/>
          </w:tcPr>
          <w:p w14:paraId="4BD7F9F1"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Disabled children</w:t>
            </w:r>
          </w:p>
        </w:tc>
        <w:tc>
          <w:tcPr>
            <w:tcW w:w="1144" w:type="dxa"/>
            <w:tcBorders>
              <w:right w:val="single" w:sz="8" w:space="0" w:color="auto"/>
            </w:tcBorders>
            <w:tcMar>
              <w:left w:w="57" w:type="dxa"/>
              <w:right w:w="57" w:type="dxa"/>
            </w:tcMar>
            <w:vAlign w:val="center"/>
          </w:tcPr>
          <w:p w14:paraId="379C82CB"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Non-disabled children</w:t>
            </w:r>
          </w:p>
        </w:tc>
        <w:tc>
          <w:tcPr>
            <w:tcW w:w="1549" w:type="dxa"/>
            <w:tcBorders>
              <w:left w:val="single" w:sz="8" w:space="0" w:color="auto"/>
            </w:tcBorders>
            <w:tcMar>
              <w:left w:w="57" w:type="dxa"/>
              <w:right w:w="57" w:type="dxa"/>
            </w:tcMar>
            <w:vAlign w:val="center"/>
          </w:tcPr>
          <w:p w14:paraId="0A528356"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Children in disabled household</w:t>
            </w:r>
          </w:p>
        </w:tc>
        <w:tc>
          <w:tcPr>
            <w:tcW w:w="1843" w:type="dxa"/>
            <w:tcMar>
              <w:left w:w="57" w:type="dxa"/>
              <w:right w:w="57" w:type="dxa"/>
            </w:tcMar>
            <w:vAlign w:val="center"/>
          </w:tcPr>
          <w:p w14:paraId="1A8528B3" w14:textId="77777777" w:rsidR="009B7BA9" w:rsidRPr="00827424" w:rsidRDefault="009B7BA9" w:rsidP="00261B26">
            <w:pPr>
              <w:spacing w:before="40" w:after="40" w:line="240" w:lineRule="auto"/>
              <w:jc w:val="center"/>
              <w:rPr>
                <w:rFonts w:ascii="Arial" w:hAnsi="Arial"/>
                <w:b/>
                <w:color w:val="000000" w:themeColor="text1"/>
                <w:sz w:val="14"/>
                <w:szCs w:val="14"/>
              </w:rPr>
            </w:pPr>
            <w:r w:rsidRPr="00827424">
              <w:rPr>
                <w:rFonts w:ascii="Arial" w:hAnsi="Arial"/>
                <w:b/>
                <w:color w:val="000000" w:themeColor="text1"/>
                <w:sz w:val="14"/>
                <w:szCs w:val="14"/>
              </w:rPr>
              <w:t>Children in non-disabled household</w:t>
            </w:r>
          </w:p>
        </w:tc>
      </w:tr>
      <w:tr w:rsidR="009B7BA9" w14:paraId="477A62AD" w14:textId="77777777" w:rsidTr="00261B26">
        <w:trPr>
          <w:jc w:val="center"/>
        </w:trPr>
        <w:tc>
          <w:tcPr>
            <w:tcW w:w="2842" w:type="dxa"/>
            <w:tcMar>
              <w:left w:w="57" w:type="dxa"/>
              <w:right w:w="57" w:type="dxa"/>
            </w:tcMar>
            <w:vAlign w:val="center"/>
          </w:tcPr>
          <w:p w14:paraId="530093AB"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Numbers in hardship</w:t>
            </w:r>
          </w:p>
        </w:tc>
        <w:tc>
          <w:tcPr>
            <w:tcW w:w="1134" w:type="dxa"/>
            <w:tcMar>
              <w:left w:w="57" w:type="dxa"/>
              <w:right w:w="57" w:type="dxa"/>
            </w:tcMar>
            <w:vAlign w:val="center"/>
          </w:tcPr>
          <w:p w14:paraId="582DE29C"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32,000</w:t>
            </w:r>
          </w:p>
        </w:tc>
        <w:tc>
          <w:tcPr>
            <w:tcW w:w="1144" w:type="dxa"/>
            <w:tcBorders>
              <w:right w:val="single" w:sz="8" w:space="0" w:color="auto"/>
            </w:tcBorders>
            <w:tcMar>
              <w:left w:w="57" w:type="dxa"/>
              <w:right w:w="57" w:type="dxa"/>
            </w:tcMar>
            <w:vAlign w:val="center"/>
          </w:tcPr>
          <w:p w14:paraId="735B57A8"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121,000</w:t>
            </w:r>
          </w:p>
        </w:tc>
        <w:tc>
          <w:tcPr>
            <w:tcW w:w="1549" w:type="dxa"/>
            <w:tcBorders>
              <w:left w:val="single" w:sz="8" w:space="0" w:color="auto"/>
            </w:tcBorders>
            <w:tcMar>
              <w:left w:w="57" w:type="dxa"/>
              <w:right w:w="57" w:type="dxa"/>
            </w:tcMar>
            <w:vAlign w:val="center"/>
          </w:tcPr>
          <w:p w14:paraId="123EB1D5"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100,000</w:t>
            </w:r>
          </w:p>
        </w:tc>
        <w:tc>
          <w:tcPr>
            <w:tcW w:w="1843" w:type="dxa"/>
            <w:tcMar>
              <w:left w:w="57" w:type="dxa"/>
              <w:right w:w="57" w:type="dxa"/>
            </w:tcMar>
            <w:vAlign w:val="center"/>
          </w:tcPr>
          <w:p w14:paraId="0A38FE24"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69,000</w:t>
            </w:r>
          </w:p>
        </w:tc>
      </w:tr>
      <w:tr w:rsidR="009B7BA9" w14:paraId="4CD4EC9C" w14:textId="77777777" w:rsidTr="00261B26">
        <w:trPr>
          <w:jc w:val="center"/>
        </w:trPr>
        <w:tc>
          <w:tcPr>
            <w:tcW w:w="2842" w:type="dxa"/>
            <w:tcMar>
              <w:left w:w="57" w:type="dxa"/>
              <w:right w:w="57" w:type="dxa"/>
            </w:tcMar>
            <w:vAlign w:val="center"/>
          </w:tcPr>
          <w:p w14:paraId="3D285825"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Hardship rate</w:t>
            </w:r>
          </w:p>
        </w:tc>
        <w:tc>
          <w:tcPr>
            <w:tcW w:w="1134" w:type="dxa"/>
            <w:tcMar>
              <w:left w:w="57" w:type="dxa"/>
              <w:right w:w="57" w:type="dxa"/>
            </w:tcMar>
            <w:vAlign w:val="center"/>
          </w:tcPr>
          <w:p w14:paraId="4FCA605A"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27</w:t>
            </w:r>
          </w:p>
        </w:tc>
        <w:tc>
          <w:tcPr>
            <w:tcW w:w="1144" w:type="dxa"/>
            <w:tcBorders>
              <w:right w:val="single" w:sz="8" w:space="0" w:color="auto"/>
            </w:tcBorders>
            <w:tcMar>
              <w:left w:w="57" w:type="dxa"/>
              <w:right w:w="57" w:type="dxa"/>
            </w:tcMar>
            <w:vAlign w:val="center"/>
          </w:tcPr>
          <w:p w14:paraId="21DF3F87"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13</w:t>
            </w:r>
          </w:p>
        </w:tc>
        <w:tc>
          <w:tcPr>
            <w:tcW w:w="1549" w:type="dxa"/>
            <w:tcBorders>
              <w:left w:val="single" w:sz="8" w:space="0" w:color="auto"/>
            </w:tcBorders>
            <w:tcMar>
              <w:left w:w="57" w:type="dxa"/>
              <w:right w:w="57" w:type="dxa"/>
            </w:tcMar>
            <w:vAlign w:val="center"/>
          </w:tcPr>
          <w:p w14:paraId="0C94E7ED"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28</w:t>
            </w:r>
          </w:p>
        </w:tc>
        <w:tc>
          <w:tcPr>
            <w:tcW w:w="1843" w:type="dxa"/>
            <w:tcMar>
              <w:left w:w="57" w:type="dxa"/>
              <w:right w:w="57" w:type="dxa"/>
            </w:tcMar>
            <w:vAlign w:val="center"/>
          </w:tcPr>
          <w:p w14:paraId="47922652"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8</w:t>
            </w:r>
          </w:p>
        </w:tc>
      </w:tr>
      <w:tr w:rsidR="009B7BA9" w14:paraId="3D6E9083" w14:textId="77777777" w:rsidTr="00261B26">
        <w:trPr>
          <w:jc w:val="center"/>
        </w:trPr>
        <w:tc>
          <w:tcPr>
            <w:tcW w:w="2842" w:type="dxa"/>
            <w:tcMar>
              <w:left w:w="57" w:type="dxa"/>
              <w:right w:w="57" w:type="dxa"/>
            </w:tcMar>
            <w:vAlign w:val="center"/>
          </w:tcPr>
          <w:p w14:paraId="1F85E7D4"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Proportion of those in hardship</w:t>
            </w:r>
          </w:p>
        </w:tc>
        <w:tc>
          <w:tcPr>
            <w:tcW w:w="1134" w:type="dxa"/>
            <w:tcMar>
              <w:left w:w="57" w:type="dxa"/>
              <w:right w:w="57" w:type="dxa"/>
            </w:tcMar>
            <w:vAlign w:val="center"/>
          </w:tcPr>
          <w:p w14:paraId="6F1B6A9B"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21</w:t>
            </w:r>
          </w:p>
        </w:tc>
        <w:tc>
          <w:tcPr>
            <w:tcW w:w="1144" w:type="dxa"/>
            <w:tcBorders>
              <w:right w:val="single" w:sz="8" w:space="0" w:color="auto"/>
            </w:tcBorders>
            <w:tcMar>
              <w:left w:w="57" w:type="dxa"/>
              <w:right w:w="57" w:type="dxa"/>
            </w:tcMar>
            <w:vAlign w:val="center"/>
          </w:tcPr>
          <w:p w14:paraId="09D5BE2A"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79</w:t>
            </w:r>
          </w:p>
        </w:tc>
        <w:tc>
          <w:tcPr>
            <w:tcW w:w="1549" w:type="dxa"/>
            <w:tcBorders>
              <w:left w:val="single" w:sz="8" w:space="0" w:color="auto"/>
            </w:tcBorders>
            <w:tcMar>
              <w:left w:w="57" w:type="dxa"/>
              <w:right w:w="57" w:type="dxa"/>
            </w:tcMar>
            <w:vAlign w:val="center"/>
          </w:tcPr>
          <w:p w14:paraId="67ECFC7D"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59</w:t>
            </w:r>
          </w:p>
        </w:tc>
        <w:tc>
          <w:tcPr>
            <w:tcW w:w="1843" w:type="dxa"/>
            <w:tcMar>
              <w:left w:w="57" w:type="dxa"/>
              <w:right w:w="57" w:type="dxa"/>
            </w:tcMar>
            <w:vAlign w:val="center"/>
          </w:tcPr>
          <w:p w14:paraId="099F4033"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41</w:t>
            </w:r>
          </w:p>
        </w:tc>
      </w:tr>
      <w:tr w:rsidR="009B7BA9" w14:paraId="378D80C5" w14:textId="77777777" w:rsidTr="00261B26">
        <w:trPr>
          <w:jc w:val="center"/>
        </w:trPr>
        <w:tc>
          <w:tcPr>
            <w:tcW w:w="2842" w:type="dxa"/>
            <w:tcMar>
              <w:left w:w="57" w:type="dxa"/>
              <w:right w:w="57" w:type="dxa"/>
            </w:tcMar>
            <w:vAlign w:val="center"/>
          </w:tcPr>
          <w:p w14:paraId="55AABCF7"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Numbers in severe hardship</w:t>
            </w:r>
          </w:p>
        </w:tc>
        <w:tc>
          <w:tcPr>
            <w:tcW w:w="1134" w:type="dxa"/>
            <w:tcMar>
              <w:left w:w="57" w:type="dxa"/>
              <w:right w:w="57" w:type="dxa"/>
            </w:tcMar>
            <w:vAlign w:val="center"/>
          </w:tcPr>
          <w:p w14:paraId="12204599"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16,000</w:t>
            </w:r>
          </w:p>
        </w:tc>
        <w:tc>
          <w:tcPr>
            <w:tcW w:w="1144" w:type="dxa"/>
            <w:tcBorders>
              <w:right w:val="single" w:sz="8" w:space="0" w:color="auto"/>
            </w:tcBorders>
            <w:tcMar>
              <w:left w:w="57" w:type="dxa"/>
              <w:right w:w="57" w:type="dxa"/>
            </w:tcMar>
            <w:vAlign w:val="center"/>
          </w:tcPr>
          <w:p w14:paraId="7B1AA757"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49,000</w:t>
            </w:r>
          </w:p>
        </w:tc>
        <w:tc>
          <w:tcPr>
            <w:tcW w:w="1549" w:type="dxa"/>
            <w:tcBorders>
              <w:left w:val="single" w:sz="8" w:space="0" w:color="auto"/>
            </w:tcBorders>
            <w:tcMar>
              <w:left w:w="57" w:type="dxa"/>
              <w:right w:w="57" w:type="dxa"/>
            </w:tcMar>
            <w:vAlign w:val="center"/>
          </w:tcPr>
          <w:p w14:paraId="4892AD9D"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48,000</w:t>
            </w:r>
          </w:p>
        </w:tc>
        <w:tc>
          <w:tcPr>
            <w:tcW w:w="1843" w:type="dxa"/>
            <w:tcMar>
              <w:left w:w="57" w:type="dxa"/>
              <w:right w:w="57" w:type="dxa"/>
            </w:tcMar>
            <w:vAlign w:val="center"/>
          </w:tcPr>
          <w:p w14:paraId="3E1B475D"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24,000</w:t>
            </w:r>
          </w:p>
        </w:tc>
      </w:tr>
      <w:tr w:rsidR="009B7BA9" w14:paraId="700DA303" w14:textId="77777777" w:rsidTr="00261B26">
        <w:trPr>
          <w:jc w:val="center"/>
        </w:trPr>
        <w:tc>
          <w:tcPr>
            <w:tcW w:w="2842" w:type="dxa"/>
            <w:tcMar>
              <w:left w:w="57" w:type="dxa"/>
              <w:right w:w="57" w:type="dxa"/>
            </w:tcMar>
            <w:vAlign w:val="center"/>
          </w:tcPr>
          <w:p w14:paraId="4A91D211"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Severe hardship rate</w:t>
            </w:r>
          </w:p>
        </w:tc>
        <w:tc>
          <w:tcPr>
            <w:tcW w:w="1134" w:type="dxa"/>
            <w:tcMar>
              <w:left w:w="57" w:type="dxa"/>
              <w:right w:w="57" w:type="dxa"/>
            </w:tcMar>
            <w:vAlign w:val="center"/>
          </w:tcPr>
          <w:p w14:paraId="5734C179"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14</w:t>
            </w:r>
          </w:p>
        </w:tc>
        <w:tc>
          <w:tcPr>
            <w:tcW w:w="1144" w:type="dxa"/>
            <w:tcBorders>
              <w:right w:val="single" w:sz="8" w:space="0" w:color="auto"/>
            </w:tcBorders>
            <w:tcMar>
              <w:left w:w="57" w:type="dxa"/>
              <w:right w:w="57" w:type="dxa"/>
            </w:tcMar>
            <w:vAlign w:val="center"/>
          </w:tcPr>
          <w:p w14:paraId="1DEF1CFF"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5</w:t>
            </w:r>
          </w:p>
        </w:tc>
        <w:tc>
          <w:tcPr>
            <w:tcW w:w="1549" w:type="dxa"/>
            <w:tcBorders>
              <w:left w:val="single" w:sz="8" w:space="0" w:color="auto"/>
            </w:tcBorders>
            <w:tcMar>
              <w:left w:w="57" w:type="dxa"/>
              <w:right w:w="57" w:type="dxa"/>
            </w:tcMar>
            <w:vAlign w:val="center"/>
          </w:tcPr>
          <w:p w14:paraId="79381489"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13</w:t>
            </w:r>
          </w:p>
        </w:tc>
        <w:tc>
          <w:tcPr>
            <w:tcW w:w="1843" w:type="dxa"/>
            <w:tcMar>
              <w:left w:w="57" w:type="dxa"/>
              <w:right w:w="57" w:type="dxa"/>
            </w:tcMar>
            <w:vAlign w:val="center"/>
          </w:tcPr>
          <w:p w14:paraId="7778CAEB"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w:t>
            </w:r>
          </w:p>
        </w:tc>
      </w:tr>
      <w:tr w:rsidR="009B7BA9" w14:paraId="7A8B2556" w14:textId="77777777" w:rsidTr="00261B26">
        <w:trPr>
          <w:jc w:val="center"/>
        </w:trPr>
        <w:tc>
          <w:tcPr>
            <w:tcW w:w="2842" w:type="dxa"/>
            <w:tcMar>
              <w:left w:w="57" w:type="dxa"/>
              <w:right w:w="57" w:type="dxa"/>
            </w:tcMar>
            <w:vAlign w:val="center"/>
          </w:tcPr>
          <w:p w14:paraId="56339DDA"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Proportion of those in severe hardship</w:t>
            </w:r>
          </w:p>
        </w:tc>
        <w:tc>
          <w:tcPr>
            <w:tcW w:w="1134" w:type="dxa"/>
            <w:tcMar>
              <w:left w:w="57" w:type="dxa"/>
              <w:right w:w="57" w:type="dxa"/>
            </w:tcMar>
            <w:vAlign w:val="center"/>
          </w:tcPr>
          <w:p w14:paraId="153BA677"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25</w:t>
            </w:r>
          </w:p>
        </w:tc>
        <w:tc>
          <w:tcPr>
            <w:tcW w:w="1144" w:type="dxa"/>
            <w:tcBorders>
              <w:right w:val="single" w:sz="8" w:space="0" w:color="auto"/>
            </w:tcBorders>
            <w:tcMar>
              <w:left w:w="57" w:type="dxa"/>
              <w:right w:w="57" w:type="dxa"/>
            </w:tcMar>
            <w:vAlign w:val="center"/>
          </w:tcPr>
          <w:p w14:paraId="2C6DD6C8"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75</w:t>
            </w:r>
          </w:p>
        </w:tc>
        <w:tc>
          <w:tcPr>
            <w:tcW w:w="1549" w:type="dxa"/>
            <w:tcBorders>
              <w:left w:val="single" w:sz="8" w:space="0" w:color="auto"/>
            </w:tcBorders>
            <w:tcMar>
              <w:left w:w="57" w:type="dxa"/>
              <w:right w:w="57" w:type="dxa"/>
            </w:tcMar>
            <w:vAlign w:val="center"/>
          </w:tcPr>
          <w:p w14:paraId="0CD58F4D"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67</w:t>
            </w:r>
          </w:p>
        </w:tc>
        <w:tc>
          <w:tcPr>
            <w:tcW w:w="1843" w:type="dxa"/>
            <w:tcMar>
              <w:left w:w="57" w:type="dxa"/>
              <w:right w:w="57" w:type="dxa"/>
            </w:tcMar>
            <w:vAlign w:val="center"/>
          </w:tcPr>
          <w:p w14:paraId="77E72BE0" w14:textId="77777777" w:rsidR="009B7BA9" w:rsidRDefault="009B7BA9" w:rsidP="00261B26">
            <w:pPr>
              <w:spacing w:before="40" w:after="40" w:line="240" w:lineRule="auto"/>
              <w:jc w:val="center"/>
              <w:rPr>
                <w:rFonts w:ascii="Arial" w:hAnsi="Arial"/>
                <w:color w:val="000000"/>
                <w:sz w:val="14"/>
                <w:szCs w:val="14"/>
              </w:rPr>
            </w:pPr>
            <w:r>
              <w:rPr>
                <w:rFonts w:ascii="Arial" w:hAnsi="Arial"/>
                <w:color w:val="000000"/>
                <w:sz w:val="14"/>
                <w:szCs w:val="14"/>
              </w:rPr>
              <w:t>33</w:t>
            </w:r>
          </w:p>
        </w:tc>
      </w:tr>
      <w:tr w:rsidR="009B7BA9" w14:paraId="18A869C1" w14:textId="77777777" w:rsidTr="00261B26">
        <w:trPr>
          <w:jc w:val="center"/>
        </w:trPr>
        <w:tc>
          <w:tcPr>
            <w:tcW w:w="2842" w:type="dxa"/>
            <w:tcMar>
              <w:left w:w="57" w:type="dxa"/>
              <w:right w:w="57" w:type="dxa"/>
            </w:tcMar>
            <w:vAlign w:val="center"/>
          </w:tcPr>
          <w:p w14:paraId="472442E9"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Size of group (#)</w:t>
            </w:r>
          </w:p>
        </w:tc>
        <w:tc>
          <w:tcPr>
            <w:tcW w:w="1134" w:type="dxa"/>
            <w:tcMar>
              <w:left w:w="57" w:type="dxa"/>
              <w:right w:w="57" w:type="dxa"/>
            </w:tcMar>
            <w:vAlign w:val="center"/>
          </w:tcPr>
          <w:p w14:paraId="5527C96C"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118,000</w:t>
            </w:r>
          </w:p>
        </w:tc>
        <w:tc>
          <w:tcPr>
            <w:tcW w:w="1144" w:type="dxa"/>
            <w:tcBorders>
              <w:right w:val="single" w:sz="8" w:space="0" w:color="auto"/>
            </w:tcBorders>
            <w:tcMar>
              <w:left w:w="57" w:type="dxa"/>
              <w:right w:w="57" w:type="dxa"/>
            </w:tcMar>
            <w:vAlign w:val="center"/>
          </w:tcPr>
          <w:p w14:paraId="726719D6"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954,000</w:t>
            </w:r>
          </w:p>
        </w:tc>
        <w:tc>
          <w:tcPr>
            <w:tcW w:w="1549" w:type="dxa"/>
            <w:tcBorders>
              <w:left w:val="single" w:sz="8" w:space="0" w:color="auto"/>
            </w:tcBorders>
            <w:tcMar>
              <w:left w:w="57" w:type="dxa"/>
              <w:right w:w="57" w:type="dxa"/>
            </w:tcMar>
            <w:vAlign w:val="center"/>
          </w:tcPr>
          <w:p w14:paraId="78570C44"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365,000</w:t>
            </w:r>
          </w:p>
        </w:tc>
        <w:tc>
          <w:tcPr>
            <w:tcW w:w="1843" w:type="dxa"/>
            <w:tcMar>
              <w:left w:w="57" w:type="dxa"/>
              <w:right w:w="57" w:type="dxa"/>
            </w:tcMar>
            <w:vAlign w:val="center"/>
          </w:tcPr>
          <w:p w14:paraId="3E7E91B4" w14:textId="77777777" w:rsidR="009B7BA9" w:rsidRPr="00827424"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818,000</w:t>
            </w:r>
          </w:p>
        </w:tc>
      </w:tr>
      <w:tr w:rsidR="009B7BA9" w14:paraId="62CD4FD1" w14:textId="77777777" w:rsidTr="00261B26">
        <w:trPr>
          <w:jc w:val="center"/>
        </w:trPr>
        <w:tc>
          <w:tcPr>
            <w:tcW w:w="2842" w:type="dxa"/>
            <w:tcMar>
              <w:left w:w="57" w:type="dxa"/>
              <w:right w:w="57" w:type="dxa"/>
            </w:tcMar>
            <w:vAlign w:val="center"/>
          </w:tcPr>
          <w:p w14:paraId="0FEDCFE8" w14:textId="77777777" w:rsidR="009B7BA9" w:rsidRPr="000E4031" w:rsidRDefault="009B7BA9" w:rsidP="00261B26">
            <w:pPr>
              <w:spacing w:before="40" w:after="40" w:line="240" w:lineRule="auto"/>
              <w:rPr>
                <w:rFonts w:ascii="Arial" w:hAnsi="Arial"/>
                <w:b/>
                <w:color w:val="000000" w:themeColor="text1"/>
                <w:sz w:val="14"/>
                <w:szCs w:val="14"/>
              </w:rPr>
            </w:pPr>
            <w:r>
              <w:rPr>
                <w:rFonts w:ascii="Arial" w:hAnsi="Arial"/>
                <w:b/>
                <w:bCs/>
                <w:color w:val="000000" w:themeColor="text1"/>
                <w:sz w:val="14"/>
                <w:szCs w:val="14"/>
              </w:rPr>
              <w:t>Size of group (%)</w:t>
            </w:r>
          </w:p>
        </w:tc>
        <w:tc>
          <w:tcPr>
            <w:tcW w:w="1134" w:type="dxa"/>
            <w:tcMar>
              <w:left w:w="57" w:type="dxa"/>
              <w:right w:w="57" w:type="dxa"/>
            </w:tcMar>
            <w:vAlign w:val="center"/>
          </w:tcPr>
          <w:p w14:paraId="314DB300"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11</w:t>
            </w:r>
          </w:p>
        </w:tc>
        <w:tc>
          <w:tcPr>
            <w:tcW w:w="1144" w:type="dxa"/>
            <w:tcBorders>
              <w:right w:val="single" w:sz="8" w:space="0" w:color="auto"/>
            </w:tcBorders>
            <w:tcMar>
              <w:left w:w="57" w:type="dxa"/>
              <w:right w:w="57" w:type="dxa"/>
            </w:tcMar>
            <w:vAlign w:val="center"/>
          </w:tcPr>
          <w:p w14:paraId="0CD8D7ED"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89</w:t>
            </w:r>
          </w:p>
        </w:tc>
        <w:tc>
          <w:tcPr>
            <w:tcW w:w="1549" w:type="dxa"/>
            <w:tcBorders>
              <w:left w:val="single" w:sz="8" w:space="0" w:color="auto"/>
            </w:tcBorders>
            <w:tcMar>
              <w:left w:w="57" w:type="dxa"/>
              <w:right w:w="57" w:type="dxa"/>
            </w:tcMar>
            <w:vAlign w:val="center"/>
          </w:tcPr>
          <w:p w14:paraId="75E0592A"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31</w:t>
            </w:r>
          </w:p>
        </w:tc>
        <w:tc>
          <w:tcPr>
            <w:tcW w:w="1843" w:type="dxa"/>
            <w:tcMar>
              <w:left w:w="57" w:type="dxa"/>
              <w:right w:w="57" w:type="dxa"/>
            </w:tcMar>
            <w:vAlign w:val="center"/>
          </w:tcPr>
          <w:p w14:paraId="3AC997B2" w14:textId="77777777" w:rsidR="009B7BA9" w:rsidRDefault="009B7BA9" w:rsidP="00261B26">
            <w:pPr>
              <w:spacing w:before="40" w:after="40" w:line="240" w:lineRule="auto"/>
              <w:jc w:val="center"/>
              <w:rPr>
                <w:rFonts w:ascii="Arial" w:hAnsi="Arial"/>
                <w:bCs/>
                <w:color w:val="000000" w:themeColor="text1"/>
                <w:sz w:val="14"/>
                <w:szCs w:val="14"/>
              </w:rPr>
            </w:pPr>
            <w:r>
              <w:rPr>
                <w:rFonts w:ascii="Arial" w:hAnsi="Arial"/>
                <w:color w:val="000000"/>
                <w:sz w:val="14"/>
                <w:szCs w:val="14"/>
              </w:rPr>
              <w:t>69</w:t>
            </w:r>
          </w:p>
        </w:tc>
      </w:tr>
    </w:tbl>
    <w:p w14:paraId="797C020E" w14:textId="6F827CD2" w:rsidR="009B7BA9" w:rsidRDefault="009B7BA9" w:rsidP="009B7BA9">
      <w:pPr>
        <w:spacing w:before="60" w:after="0" w:line="240" w:lineRule="auto"/>
        <w:ind w:left="284"/>
        <w:rPr>
          <w:rFonts w:ascii="Arial" w:hAnsi="Arial"/>
          <w:bCs/>
          <w:color w:val="000000" w:themeColor="text1"/>
          <w:sz w:val="16"/>
          <w:szCs w:val="16"/>
        </w:rPr>
      </w:pPr>
      <w:r w:rsidRPr="00E811F4">
        <w:rPr>
          <w:rFonts w:ascii="Arial" w:hAnsi="Arial"/>
          <w:bCs/>
          <w:color w:val="000000" w:themeColor="text1"/>
          <w:sz w:val="16"/>
          <w:szCs w:val="16"/>
        </w:rPr>
        <w:t>Note</w:t>
      </w:r>
      <w:r>
        <w:rPr>
          <w:rFonts w:ascii="Arial" w:hAnsi="Arial"/>
          <w:bCs/>
          <w:color w:val="000000" w:themeColor="text1"/>
          <w:sz w:val="16"/>
          <w:szCs w:val="16"/>
        </w:rPr>
        <w:t>s</w:t>
      </w:r>
      <w:r w:rsidRPr="00E811F4">
        <w:rPr>
          <w:rFonts w:ascii="Arial" w:hAnsi="Arial"/>
          <w:bCs/>
          <w:color w:val="000000" w:themeColor="text1"/>
          <w:sz w:val="16"/>
          <w:szCs w:val="16"/>
        </w:rPr>
        <w:t xml:space="preserve"> for </w:t>
      </w:r>
      <w:r>
        <w:rPr>
          <w:rFonts w:ascii="Arial" w:hAnsi="Arial"/>
          <w:bCs/>
          <w:color w:val="000000" w:themeColor="text1"/>
          <w:sz w:val="16"/>
          <w:szCs w:val="16"/>
        </w:rPr>
        <w:t xml:space="preserve">Table </w:t>
      </w:r>
      <w:r w:rsidR="006B6068">
        <w:rPr>
          <w:rFonts w:ascii="Arial" w:hAnsi="Arial"/>
          <w:bCs/>
          <w:color w:val="000000" w:themeColor="text1"/>
          <w:sz w:val="16"/>
          <w:szCs w:val="16"/>
        </w:rPr>
        <w:t>F.3</w:t>
      </w:r>
      <w:r w:rsidRPr="00E811F4">
        <w:rPr>
          <w:rFonts w:ascii="Arial" w:hAnsi="Arial"/>
          <w:bCs/>
          <w:color w:val="000000" w:themeColor="text1"/>
          <w:sz w:val="16"/>
          <w:szCs w:val="16"/>
        </w:rPr>
        <w:t>:</w:t>
      </w:r>
      <w:r>
        <w:rPr>
          <w:rFonts w:ascii="Arial" w:hAnsi="Arial"/>
          <w:bCs/>
          <w:color w:val="000000" w:themeColor="text1"/>
          <w:sz w:val="16"/>
          <w:szCs w:val="16"/>
        </w:rPr>
        <w:t xml:space="preserve"> </w:t>
      </w:r>
    </w:p>
    <w:p w14:paraId="2567B9F7" w14:textId="77777777" w:rsidR="009B7BA9" w:rsidRPr="004C4618" w:rsidRDefault="009B7BA9">
      <w:pPr>
        <w:pStyle w:val="ListParagraph"/>
        <w:numPr>
          <w:ilvl w:val="0"/>
          <w:numId w:val="59"/>
        </w:numPr>
        <w:spacing w:before="20" w:after="0" w:line="240" w:lineRule="auto"/>
        <w:ind w:left="567" w:firstLine="0"/>
        <w:contextualSpacing w:val="0"/>
        <w:rPr>
          <w:rFonts w:ascii="Arial" w:hAnsi="Arial"/>
          <w:bCs/>
          <w:color w:val="000000" w:themeColor="text1"/>
          <w:sz w:val="16"/>
          <w:szCs w:val="16"/>
        </w:rPr>
      </w:pPr>
      <w:r w:rsidRPr="004C4618">
        <w:rPr>
          <w:rFonts w:ascii="Arial" w:hAnsi="Arial"/>
          <w:bCs/>
          <w:color w:val="000000" w:themeColor="text1"/>
          <w:sz w:val="16"/>
          <w:szCs w:val="16"/>
        </w:rPr>
        <w:t>A disabled household is one with at least one disabled person.</w:t>
      </w:r>
    </w:p>
    <w:p w14:paraId="1755FB58" w14:textId="77777777" w:rsidR="009B7BA9" w:rsidRDefault="009B7BA9">
      <w:pPr>
        <w:pStyle w:val="ListParagraph"/>
        <w:numPr>
          <w:ilvl w:val="0"/>
          <w:numId w:val="59"/>
        </w:numPr>
        <w:spacing w:before="20" w:after="0" w:line="240" w:lineRule="auto"/>
        <w:ind w:left="567" w:firstLine="0"/>
        <w:contextualSpacing w:val="0"/>
        <w:rPr>
          <w:rFonts w:ascii="Arial" w:hAnsi="Arial"/>
          <w:bCs/>
          <w:color w:val="000000" w:themeColor="text1"/>
          <w:sz w:val="16"/>
          <w:szCs w:val="16"/>
        </w:rPr>
      </w:pPr>
      <w:r w:rsidRPr="004C4618">
        <w:rPr>
          <w:rFonts w:ascii="Arial" w:hAnsi="Arial"/>
          <w:bCs/>
          <w:color w:val="000000" w:themeColor="text1"/>
          <w:sz w:val="16"/>
          <w:szCs w:val="16"/>
        </w:rPr>
        <w:t xml:space="preserve">Numbers of disabled &amp; non-disabled children relate </w:t>
      </w:r>
      <w:r>
        <w:rPr>
          <w:rFonts w:ascii="Arial" w:hAnsi="Arial"/>
          <w:bCs/>
          <w:color w:val="000000" w:themeColor="text1"/>
          <w:sz w:val="16"/>
          <w:szCs w:val="16"/>
        </w:rPr>
        <w:t xml:space="preserve">only </w:t>
      </w:r>
      <w:r w:rsidRPr="004C4618">
        <w:rPr>
          <w:rFonts w:ascii="Arial" w:hAnsi="Arial"/>
          <w:bCs/>
          <w:color w:val="000000" w:themeColor="text1"/>
          <w:sz w:val="16"/>
          <w:szCs w:val="16"/>
        </w:rPr>
        <w:t>to those age</w:t>
      </w:r>
      <w:r>
        <w:rPr>
          <w:rFonts w:ascii="Arial" w:hAnsi="Arial"/>
          <w:bCs/>
          <w:color w:val="000000" w:themeColor="text1"/>
          <w:sz w:val="16"/>
          <w:szCs w:val="16"/>
        </w:rPr>
        <w:t>d</w:t>
      </w:r>
      <w:r w:rsidRPr="004C4618">
        <w:rPr>
          <w:rFonts w:ascii="Arial" w:hAnsi="Arial"/>
          <w:bCs/>
          <w:color w:val="000000" w:themeColor="text1"/>
          <w:sz w:val="16"/>
          <w:szCs w:val="16"/>
        </w:rPr>
        <w:t xml:space="preserve"> 2 to 17</w:t>
      </w:r>
      <w:r>
        <w:rPr>
          <w:rFonts w:ascii="Arial" w:hAnsi="Arial"/>
          <w:bCs/>
          <w:color w:val="000000" w:themeColor="text1"/>
          <w:sz w:val="16"/>
          <w:szCs w:val="16"/>
        </w:rPr>
        <w:t xml:space="preserve"> yrs.</w:t>
      </w:r>
    </w:p>
    <w:p w14:paraId="589824CD" w14:textId="77777777" w:rsidR="009B7BA9" w:rsidRPr="004C4618" w:rsidRDefault="009B7BA9">
      <w:pPr>
        <w:pStyle w:val="ListParagraph"/>
        <w:numPr>
          <w:ilvl w:val="0"/>
          <w:numId w:val="59"/>
        </w:numPr>
        <w:spacing w:before="20" w:after="0" w:line="240" w:lineRule="auto"/>
        <w:ind w:left="567" w:firstLine="0"/>
        <w:contextualSpacing w:val="0"/>
        <w:rPr>
          <w:rFonts w:ascii="Arial" w:hAnsi="Arial"/>
          <w:bCs/>
          <w:color w:val="000000" w:themeColor="text1"/>
          <w:sz w:val="16"/>
          <w:szCs w:val="16"/>
        </w:rPr>
      </w:pPr>
      <w:r>
        <w:rPr>
          <w:rFonts w:ascii="Arial" w:hAnsi="Arial"/>
          <w:bCs/>
          <w:color w:val="000000" w:themeColor="text1"/>
          <w:sz w:val="16"/>
          <w:szCs w:val="16"/>
        </w:rPr>
        <w:t>Children of all ages are included in the numbers for disabled and non-disabled households.</w:t>
      </w:r>
    </w:p>
    <w:p w14:paraId="5FC8B166" w14:textId="77777777" w:rsidR="009B7BA9" w:rsidRDefault="009B7BA9" w:rsidP="009B7BA9">
      <w:pPr>
        <w:spacing w:after="0" w:line="240" w:lineRule="auto"/>
        <w:rPr>
          <w:rFonts w:ascii="Arial" w:eastAsia="Times New Roman" w:hAnsi="Arial"/>
          <w:color w:val="000000"/>
          <w:szCs w:val="20"/>
          <w:lang w:eastAsia="en-NZ"/>
        </w:rPr>
      </w:pPr>
    </w:p>
    <w:p w14:paraId="314A8998" w14:textId="77777777" w:rsidR="009B7BA9" w:rsidRDefault="009B7BA9" w:rsidP="009B7BA9">
      <w:pPr>
        <w:spacing w:after="0" w:line="240" w:lineRule="auto"/>
        <w:rPr>
          <w:rFonts w:ascii="Arial" w:eastAsia="Times New Roman" w:hAnsi="Arial"/>
          <w:color w:val="000000" w:themeColor="text1"/>
          <w:szCs w:val="20"/>
          <w:lang w:eastAsia="en-NZ"/>
        </w:rPr>
      </w:pPr>
    </w:p>
    <w:p w14:paraId="138D6982" w14:textId="4A9C4238" w:rsidR="009B7BA9" w:rsidRPr="006B1B17" w:rsidRDefault="009B7BA9" w:rsidP="009B7BA9">
      <w:pPr>
        <w:spacing w:after="0" w:line="240" w:lineRule="auto"/>
        <w:rPr>
          <w:rFonts w:ascii="Arial" w:eastAsia="Times New Roman" w:hAnsi="Arial"/>
          <w:color w:val="000000" w:themeColor="text1"/>
          <w:szCs w:val="20"/>
          <w:lang w:eastAsia="en-NZ"/>
        </w:rPr>
      </w:pPr>
      <w:r w:rsidRPr="006B1B17">
        <w:rPr>
          <w:rFonts w:ascii="Arial" w:eastAsia="Times New Roman" w:hAnsi="Arial"/>
          <w:color w:val="000000" w:themeColor="text1"/>
          <w:szCs w:val="20"/>
          <w:lang w:eastAsia="en-NZ"/>
        </w:rPr>
        <w:t xml:space="preserve">For more detailed analysis, see Wilson and </w:t>
      </w:r>
      <w:r w:rsidR="006B1B17" w:rsidRPr="006B1B17">
        <w:rPr>
          <w:rFonts w:ascii="Arial" w:eastAsia="Times New Roman" w:hAnsi="Arial"/>
          <w:color w:val="000000" w:themeColor="text1"/>
          <w:szCs w:val="20"/>
          <w:lang w:eastAsia="en-NZ"/>
        </w:rPr>
        <w:t>McLeod (2025) and Wilson, McLeod and</w:t>
      </w:r>
      <w:r w:rsidR="006B1B17">
        <w:rPr>
          <w:rFonts w:ascii="Arial" w:eastAsia="Times New Roman" w:hAnsi="Arial"/>
          <w:color w:val="000000" w:themeColor="text1"/>
          <w:szCs w:val="20"/>
          <w:lang w:eastAsia="en-NZ"/>
        </w:rPr>
        <w:t xml:space="preserve"> Godfrey</w:t>
      </w:r>
      <w:r w:rsidR="006B1B17" w:rsidRPr="006B1B17">
        <w:rPr>
          <w:rFonts w:ascii="Arial" w:eastAsia="Times New Roman" w:hAnsi="Arial"/>
          <w:color w:val="000000" w:themeColor="text1"/>
          <w:szCs w:val="20"/>
          <w:lang w:eastAsia="en-NZ"/>
        </w:rPr>
        <w:t xml:space="preserve"> (2025)</w:t>
      </w:r>
      <w:r w:rsidRPr="006B1B17">
        <w:rPr>
          <w:rFonts w:ascii="Arial" w:eastAsia="Times New Roman" w:hAnsi="Arial"/>
          <w:color w:val="000000" w:themeColor="text1"/>
          <w:szCs w:val="20"/>
          <w:lang w:eastAsia="en-NZ"/>
        </w:rPr>
        <w:t>.</w:t>
      </w:r>
    </w:p>
    <w:p w14:paraId="79A6B812" w14:textId="77777777" w:rsidR="006B6068" w:rsidRPr="006B1B17" w:rsidRDefault="006B6068" w:rsidP="009B7BA9">
      <w:pPr>
        <w:spacing w:after="0" w:line="240" w:lineRule="auto"/>
        <w:rPr>
          <w:rFonts w:ascii="Arial" w:eastAsia="Times New Roman" w:hAnsi="Arial"/>
          <w:color w:val="000000" w:themeColor="text1"/>
          <w:szCs w:val="20"/>
          <w:lang w:eastAsia="en-NZ"/>
        </w:rPr>
      </w:pPr>
    </w:p>
    <w:p w14:paraId="259471F2" w14:textId="72C17E2F" w:rsidR="006B6068" w:rsidRPr="003269D9" w:rsidRDefault="006B6068" w:rsidP="009B7BA9">
      <w:pPr>
        <w:spacing w:after="0" w:line="240" w:lineRule="auto"/>
        <w:rPr>
          <w:rFonts w:ascii="Arial" w:hAnsi="Arial"/>
          <w:bCs/>
          <w:color w:val="000000" w:themeColor="text1"/>
          <w:szCs w:val="20"/>
        </w:rPr>
      </w:pPr>
      <w:r w:rsidRPr="006B1B17">
        <w:rPr>
          <w:rFonts w:ascii="Arial" w:eastAsia="Times New Roman" w:hAnsi="Arial"/>
          <w:color w:val="000000" w:themeColor="text1"/>
          <w:szCs w:val="20"/>
          <w:lang w:eastAsia="en-NZ"/>
        </w:rPr>
        <w:t>See also Section E above.</w:t>
      </w:r>
    </w:p>
    <w:p w14:paraId="3315592C" w14:textId="77777777" w:rsidR="009B7BA9" w:rsidRPr="00F93B6E" w:rsidRDefault="009B7BA9" w:rsidP="009B7BA9">
      <w:pPr>
        <w:spacing w:after="0" w:line="240" w:lineRule="auto"/>
        <w:rPr>
          <w:rFonts w:ascii="Arial" w:eastAsia="Times New Roman" w:hAnsi="Arial"/>
          <w:color w:val="0000FF"/>
          <w:szCs w:val="20"/>
          <w:lang w:eastAsia="en-NZ"/>
        </w:rPr>
      </w:pPr>
    </w:p>
    <w:p w14:paraId="19BF5B39" w14:textId="77777777" w:rsidR="009B7BA9" w:rsidRDefault="009B7BA9" w:rsidP="009B7BA9">
      <w:pPr>
        <w:spacing w:after="0" w:line="240" w:lineRule="auto"/>
        <w:rPr>
          <w:rFonts w:ascii="Arial" w:hAnsi="Arial"/>
          <w:b/>
          <w:bCs/>
          <w:color w:val="0000FF"/>
          <w:sz w:val="24"/>
          <w:szCs w:val="28"/>
        </w:rPr>
      </w:pPr>
    </w:p>
    <w:p w14:paraId="5D1B5CEB" w14:textId="77777777" w:rsidR="009B7BA9" w:rsidRDefault="009B7BA9" w:rsidP="009B7BA9">
      <w:pPr>
        <w:spacing w:after="0" w:line="240" w:lineRule="auto"/>
        <w:rPr>
          <w:rFonts w:ascii="Arial" w:hAnsi="Arial"/>
          <w:b/>
          <w:bCs/>
          <w:color w:val="000000" w:themeColor="text1"/>
          <w:sz w:val="24"/>
          <w:szCs w:val="28"/>
        </w:rPr>
      </w:pPr>
      <w:r>
        <w:rPr>
          <w:rFonts w:ascii="Arial" w:hAnsi="Arial"/>
          <w:b/>
          <w:bCs/>
          <w:color w:val="000000" w:themeColor="text1"/>
          <w:sz w:val="24"/>
          <w:szCs w:val="28"/>
        </w:rPr>
        <w:br w:type="page"/>
      </w:r>
    </w:p>
    <w:p w14:paraId="7DC87A96" w14:textId="77777777" w:rsidR="009B7BA9" w:rsidRPr="005078C4" w:rsidRDefault="009B7BA9" w:rsidP="009B7BA9">
      <w:pPr>
        <w:spacing w:after="0" w:line="240" w:lineRule="auto"/>
        <w:rPr>
          <w:rFonts w:ascii="Arial" w:hAnsi="Arial"/>
          <w:b/>
          <w:bCs/>
          <w:color w:val="000000" w:themeColor="text1"/>
          <w:sz w:val="24"/>
          <w:szCs w:val="28"/>
        </w:rPr>
      </w:pPr>
      <w:r w:rsidRPr="005078C4">
        <w:rPr>
          <w:rFonts w:ascii="Arial" w:hAnsi="Arial"/>
          <w:b/>
          <w:bCs/>
          <w:color w:val="000000" w:themeColor="text1"/>
          <w:sz w:val="24"/>
          <w:szCs w:val="28"/>
        </w:rPr>
        <w:lastRenderedPageBreak/>
        <w:t>Children in ‘working’ and ‘beneficiary’ households</w:t>
      </w:r>
    </w:p>
    <w:p w14:paraId="0F13B6D2" w14:textId="77777777" w:rsidR="009B7BA9" w:rsidRPr="002C3EA2" w:rsidRDefault="009B7BA9" w:rsidP="009B7BA9">
      <w:pPr>
        <w:spacing w:after="0" w:line="240" w:lineRule="auto"/>
        <w:rPr>
          <w:rFonts w:ascii="Arial" w:hAnsi="Arial"/>
          <w:color w:val="000000"/>
        </w:rPr>
      </w:pPr>
    </w:p>
    <w:p w14:paraId="0259402E" w14:textId="77777777" w:rsidR="009B7BA9" w:rsidRPr="00F036F5" w:rsidRDefault="009B7BA9" w:rsidP="009B7BA9">
      <w:pPr>
        <w:spacing w:after="0" w:line="240" w:lineRule="auto"/>
        <w:rPr>
          <w:rFonts w:ascii="Arial" w:hAnsi="Arial"/>
          <w:color w:val="000000" w:themeColor="text1"/>
        </w:rPr>
      </w:pPr>
      <w:r w:rsidRPr="00F036F5">
        <w:rPr>
          <w:rFonts w:ascii="Arial" w:hAnsi="Arial"/>
          <w:color w:val="000000" w:themeColor="text1"/>
        </w:rPr>
        <w:t>In this section, ‘working’ means that most of the income for the household comes from the market, and ‘beneficiary’ means that most of the income comes from the government.</w:t>
      </w:r>
      <w:r w:rsidRPr="00F036F5">
        <w:rPr>
          <w:rFonts w:ascii="Arial" w:hAnsi="Arial"/>
          <w:color w:val="000000" w:themeColor="text1"/>
          <w:vertAlign w:val="superscript"/>
        </w:rPr>
        <w:footnoteReference w:id="70"/>
      </w:r>
      <w:r w:rsidRPr="00F036F5">
        <w:rPr>
          <w:rFonts w:ascii="Arial" w:hAnsi="Arial"/>
          <w:color w:val="000000" w:themeColor="text1"/>
        </w:rPr>
        <w:t xml:space="preserve">  </w:t>
      </w:r>
    </w:p>
    <w:p w14:paraId="34FFC66E" w14:textId="77777777" w:rsidR="009B7BA9" w:rsidRPr="00F036F5" w:rsidRDefault="009B7BA9" w:rsidP="009B7BA9">
      <w:pPr>
        <w:spacing w:after="0" w:line="240" w:lineRule="auto"/>
        <w:rPr>
          <w:rFonts w:ascii="Arial" w:hAnsi="Arial"/>
          <w:color w:val="000000" w:themeColor="text1"/>
        </w:rPr>
      </w:pPr>
    </w:p>
    <w:p w14:paraId="536C39C3" w14:textId="562E7CF2" w:rsidR="009B7BA9" w:rsidRPr="00F036F5" w:rsidRDefault="009B7BA9" w:rsidP="009B7BA9">
      <w:pPr>
        <w:spacing w:after="0" w:line="240" w:lineRule="auto"/>
        <w:rPr>
          <w:rFonts w:ascii="Arial" w:hAnsi="Arial"/>
          <w:color w:val="000000" w:themeColor="text1"/>
        </w:rPr>
      </w:pPr>
      <w:r w:rsidRPr="00F036F5">
        <w:rPr>
          <w:rFonts w:ascii="Arial" w:hAnsi="Arial"/>
          <w:b/>
          <w:bCs/>
          <w:color w:val="000000" w:themeColor="text1"/>
        </w:rPr>
        <w:t xml:space="preserve">Figure </w:t>
      </w:r>
      <w:r w:rsidR="006B6068">
        <w:rPr>
          <w:rFonts w:ascii="Arial" w:hAnsi="Arial"/>
          <w:b/>
          <w:bCs/>
          <w:color w:val="000000" w:themeColor="text1"/>
        </w:rPr>
        <w:t>F</w:t>
      </w:r>
      <w:r w:rsidRPr="00F036F5">
        <w:rPr>
          <w:rFonts w:ascii="Arial" w:hAnsi="Arial"/>
          <w:b/>
          <w:bCs/>
          <w:color w:val="000000" w:themeColor="text1"/>
        </w:rPr>
        <w:t>.</w:t>
      </w:r>
      <w:r>
        <w:rPr>
          <w:rFonts w:ascii="Arial" w:hAnsi="Arial"/>
          <w:b/>
          <w:bCs/>
          <w:color w:val="000000" w:themeColor="text1"/>
        </w:rPr>
        <w:t>4</w:t>
      </w:r>
      <w:r w:rsidRPr="00F036F5">
        <w:rPr>
          <w:rFonts w:ascii="Arial" w:hAnsi="Arial"/>
          <w:b/>
          <w:bCs/>
          <w:color w:val="000000" w:themeColor="text1"/>
        </w:rPr>
        <w:t xml:space="preserve"> </w:t>
      </w:r>
      <w:r w:rsidRPr="00F036F5">
        <w:rPr>
          <w:rFonts w:ascii="Arial" w:hAnsi="Arial"/>
          <w:color w:val="000000" w:themeColor="text1"/>
        </w:rPr>
        <w:t>shows the MH trends for the two groups of children, with beneficiary MH rates being around four to five times the rates for children in working households (42% and 9% respectively in 2023-24).</w:t>
      </w:r>
      <w:r w:rsidRPr="00F036F5">
        <w:rPr>
          <w:rStyle w:val="FootnoteReference"/>
          <w:rFonts w:ascii="Arial" w:hAnsi="Arial"/>
          <w:color w:val="000000" w:themeColor="text1"/>
        </w:rPr>
        <w:footnoteReference w:id="71"/>
      </w:r>
      <w:r w:rsidR="00D43B6D">
        <w:rPr>
          <w:rFonts w:ascii="Arial" w:hAnsi="Arial"/>
          <w:color w:val="000000" w:themeColor="text1"/>
        </w:rPr>
        <w:t xml:space="preserve">  In Section E there is more detail on the characteristics of the two groups</w:t>
      </w:r>
      <w:r w:rsidR="00CD3908">
        <w:rPr>
          <w:rFonts w:ascii="Arial" w:hAnsi="Arial"/>
          <w:color w:val="000000" w:themeColor="text1"/>
        </w:rPr>
        <w:t xml:space="preserve"> (pp43ff)</w:t>
      </w:r>
      <w:r w:rsidR="00D43B6D">
        <w:rPr>
          <w:rFonts w:ascii="Arial" w:hAnsi="Arial"/>
          <w:color w:val="000000" w:themeColor="text1"/>
        </w:rPr>
        <w:t>.</w:t>
      </w:r>
    </w:p>
    <w:p w14:paraId="79F0C979" w14:textId="31AD2D35" w:rsidR="009B7BA9" w:rsidRPr="00F036F5" w:rsidRDefault="009B7BA9" w:rsidP="009B7BA9">
      <w:pPr>
        <w:spacing w:after="0" w:line="240" w:lineRule="auto"/>
        <w:jc w:val="center"/>
        <w:rPr>
          <w:rFonts w:ascii="Arial" w:hAnsi="Arial"/>
          <w:b/>
          <w:bCs/>
          <w:color w:val="000000" w:themeColor="text1"/>
          <w:sz w:val="18"/>
          <w:szCs w:val="20"/>
        </w:rPr>
      </w:pPr>
    </w:p>
    <w:p w14:paraId="256E2CC8" w14:textId="4F044E30" w:rsidR="009B7BA9" w:rsidRPr="002C3EA2" w:rsidRDefault="009B7BA9" w:rsidP="009B7BA9">
      <w:pPr>
        <w:spacing w:after="0" w:line="240" w:lineRule="auto"/>
        <w:jc w:val="center"/>
        <w:rPr>
          <w:rFonts w:ascii="Arial" w:hAnsi="Arial"/>
          <w:b/>
          <w:bCs/>
          <w:color w:val="000000"/>
          <w:sz w:val="18"/>
          <w:szCs w:val="20"/>
        </w:rPr>
      </w:pPr>
      <w:r w:rsidRPr="00F036F5">
        <w:rPr>
          <w:rFonts w:ascii="Arial" w:hAnsi="Arial"/>
          <w:b/>
          <w:bCs/>
          <w:color w:val="000000" w:themeColor="text1"/>
          <w:sz w:val="18"/>
          <w:szCs w:val="20"/>
        </w:rPr>
        <w:t xml:space="preserve">Figure </w:t>
      </w:r>
      <w:r w:rsidR="006B6068">
        <w:rPr>
          <w:rFonts w:ascii="Arial" w:hAnsi="Arial"/>
          <w:b/>
          <w:bCs/>
          <w:color w:val="000000" w:themeColor="text1"/>
          <w:sz w:val="18"/>
          <w:szCs w:val="20"/>
        </w:rPr>
        <w:t>F</w:t>
      </w:r>
      <w:r w:rsidRPr="00F036F5">
        <w:rPr>
          <w:rFonts w:ascii="Arial" w:hAnsi="Arial"/>
          <w:b/>
          <w:bCs/>
          <w:color w:val="000000" w:themeColor="text1"/>
          <w:sz w:val="18"/>
          <w:szCs w:val="20"/>
        </w:rPr>
        <w:t>.</w:t>
      </w:r>
      <w:r>
        <w:rPr>
          <w:rFonts w:ascii="Arial" w:hAnsi="Arial"/>
          <w:b/>
          <w:bCs/>
          <w:color w:val="000000" w:themeColor="text1"/>
          <w:sz w:val="18"/>
          <w:szCs w:val="20"/>
        </w:rPr>
        <w:t>4</w:t>
      </w:r>
      <w:r w:rsidRPr="00F036F5">
        <w:rPr>
          <w:rFonts w:ascii="Arial" w:hAnsi="Arial"/>
          <w:b/>
          <w:bCs/>
          <w:color w:val="000000" w:themeColor="text1"/>
          <w:sz w:val="18"/>
          <w:szCs w:val="20"/>
        </w:rPr>
        <w:t xml:space="preserve"> </w:t>
      </w:r>
      <w:r>
        <w:rPr>
          <w:rFonts w:ascii="Arial" w:hAnsi="Arial"/>
          <w:b/>
          <w:bCs/>
          <w:color w:val="FF0000"/>
          <w:sz w:val="18"/>
          <w:szCs w:val="20"/>
        </w:rPr>
        <w:t xml:space="preserve"> </w:t>
      </w:r>
    </w:p>
    <w:p w14:paraId="0EB8B805" w14:textId="178B4EE2" w:rsidR="009B7BA9" w:rsidRPr="00F036F5" w:rsidRDefault="009B7BA9" w:rsidP="009B7BA9">
      <w:pPr>
        <w:spacing w:after="0" w:line="240" w:lineRule="auto"/>
        <w:jc w:val="center"/>
        <w:rPr>
          <w:rFonts w:ascii="Arial" w:hAnsi="Arial"/>
          <w:b/>
          <w:bCs/>
          <w:color w:val="000000" w:themeColor="text1"/>
          <w:sz w:val="18"/>
          <w:szCs w:val="20"/>
        </w:rPr>
      </w:pPr>
      <w:r w:rsidRPr="006468C2">
        <w:rPr>
          <w:noProof/>
        </w:rPr>
        <w:drawing>
          <wp:anchor distT="0" distB="0" distL="114300" distR="114300" simplePos="0" relativeHeight="252967936" behindDoc="0" locked="0" layoutInCell="1" allowOverlap="1" wp14:anchorId="3CD4DFB7" wp14:editId="4D97530F">
            <wp:simplePos x="0" y="0"/>
            <wp:positionH relativeFrom="margin">
              <wp:align>center</wp:align>
            </wp:positionH>
            <wp:positionV relativeFrom="paragraph">
              <wp:posOffset>170815</wp:posOffset>
            </wp:positionV>
            <wp:extent cx="3600450" cy="2127250"/>
            <wp:effectExtent l="0" t="0" r="0" b="6350"/>
            <wp:wrapTopAndBottom/>
            <wp:docPr id="1772343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343796"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600450" cy="2127250"/>
                    </a:xfrm>
                    <a:prstGeom prst="rect">
                      <a:avLst/>
                    </a:prstGeom>
                  </pic:spPr>
                </pic:pic>
              </a:graphicData>
            </a:graphic>
            <wp14:sizeRelH relativeFrom="page">
              <wp14:pctWidth>0</wp14:pctWidth>
            </wp14:sizeRelH>
            <wp14:sizeRelV relativeFrom="page">
              <wp14:pctHeight>0</wp14:pctHeight>
            </wp14:sizeRelV>
          </wp:anchor>
        </w:drawing>
      </w:r>
      <w:r w:rsidRPr="00FE4522">
        <w:rPr>
          <w:rFonts w:ascii="Arial" w:hAnsi="Arial"/>
          <w:b/>
          <w:bCs/>
          <w:color w:val="0000FF"/>
          <w:sz w:val="18"/>
          <w:szCs w:val="20"/>
        </w:rPr>
        <w:t xml:space="preserve"> </w:t>
      </w:r>
      <w:r w:rsidRPr="00F036F5">
        <w:rPr>
          <w:rFonts w:ascii="Arial" w:hAnsi="Arial"/>
          <w:b/>
          <w:bCs/>
          <w:color w:val="000000" w:themeColor="text1"/>
          <w:sz w:val="18"/>
          <w:szCs w:val="20"/>
        </w:rPr>
        <w:t>Trends in material hardship rates for children (0-17 yrs), by main source of household income</w:t>
      </w:r>
    </w:p>
    <w:p w14:paraId="5F78569B" w14:textId="38EEAA9D" w:rsidR="009B7BA9" w:rsidRDefault="009B7BA9" w:rsidP="009B7BA9">
      <w:pPr>
        <w:spacing w:after="0" w:line="240" w:lineRule="auto"/>
        <w:rPr>
          <w:rFonts w:ascii="Arial" w:hAnsi="Arial"/>
          <w:b/>
          <w:bCs/>
          <w:color w:val="000000"/>
        </w:rPr>
      </w:pPr>
    </w:p>
    <w:p w14:paraId="269F5A64" w14:textId="26523EFB" w:rsidR="009B7BA9" w:rsidRDefault="009B7BA9" w:rsidP="009B7BA9">
      <w:pPr>
        <w:spacing w:after="0" w:line="240" w:lineRule="auto"/>
        <w:rPr>
          <w:rFonts w:ascii="Arial" w:hAnsi="Arial"/>
          <w:color w:val="000000"/>
        </w:rPr>
      </w:pPr>
      <w:r w:rsidRPr="002C3EA2">
        <w:rPr>
          <w:rFonts w:ascii="Arial" w:hAnsi="Arial"/>
          <w:b/>
          <w:bCs/>
          <w:color w:val="000000"/>
        </w:rPr>
        <w:t xml:space="preserve">Figure </w:t>
      </w:r>
      <w:r w:rsidR="006B6068">
        <w:rPr>
          <w:rFonts w:ascii="Arial" w:hAnsi="Arial"/>
          <w:b/>
          <w:bCs/>
          <w:color w:val="000000"/>
        </w:rPr>
        <w:t>F</w:t>
      </w:r>
      <w:r>
        <w:rPr>
          <w:rFonts w:ascii="Arial" w:hAnsi="Arial"/>
          <w:b/>
          <w:bCs/>
          <w:color w:val="000000"/>
        </w:rPr>
        <w:t>.5</w:t>
      </w:r>
      <w:r w:rsidRPr="002C3EA2">
        <w:rPr>
          <w:rFonts w:ascii="Arial" w:hAnsi="Arial"/>
          <w:color w:val="000000"/>
        </w:rPr>
        <w:t xml:space="preserve"> reports on the composition of those in hardship</w:t>
      </w:r>
      <w:r>
        <w:rPr>
          <w:rFonts w:ascii="Arial" w:hAnsi="Arial"/>
          <w:color w:val="000000"/>
        </w:rPr>
        <w:t xml:space="preserve">. From 2016 to 2020, around 55% of children in MH came from ‘working’ households, and this pattern returned in 2022-23 and 2023-24 after the COVID-impacted years (2020-21 and 2021-22). </w:t>
      </w:r>
      <w:r w:rsidRPr="002C3EA2">
        <w:rPr>
          <w:rFonts w:ascii="Arial" w:hAnsi="Arial"/>
          <w:color w:val="000000"/>
        </w:rPr>
        <w:t xml:space="preserve">Although working households have lower hardship rates, there are many more such households than beneficiary households, so the numbers </w:t>
      </w:r>
      <w:r>
        <w:rPr>
          <w:rFonts w:ascii="Arial" w:hAnsi="Arial"/>
          <w:color w:val="000000"/>
        </w:rPr>
        <w:t xml:space="preserve">roughly </w:t>
      </w:r>
      <w:r w:rsidRPr="002C3EA2">
        <w:rPr>
          <w:rFonts w:ascii="Arial" w:hAnsi="Arial"/>
          <w:color w:val="000000"/>
        </w:rPr>
        <w:t>even up</w:t>
      </w:r>
      <w:r>
        <w:rPr>
          <w:rFonts w:ascii="Arial" w:hAnsi="Arial"/>
          <w:color w:val="000000"/>
        </w:rPr>
        <w:t xml:space="preserve">. </w:t>
      </w:r>
    </w:p>
    <w:p w14:paraId="4A5B7F40" w14:textId="77777777" w:rsidR="009B7BA9" w:rsidRPr="002C3EA2" w:rsidRDefault="009B7BA9" w:rsidP="009B7BA9">
      <w:pPr>
        <w:spacing w:after="0" w:line="240" w:lineRule="auto"/>
        <w:rPr>
          <w:rFonts w:ascii="Arial" w:hAnsi="Arial"/>
          <w:b/>
          <w:bCs/>
          <w:color w:val="000000"/>
        </w:rPr>
      </w:pPr>
    </w:p>
    <w:p w14:paraId="332D9AAF" w14:textId="35046BAF" w:rsidR="009B7BA9" w:rsidRPr="00413053" w:rsidRDefault="009B7BA9" w:rsidP="009B7BA9">
      <w:pPr>
        <w:spacing w:after="0" w:line="240" w:lineRule="auto"/>
        <w:jc w:val="center"/>
        <w:rPr>
          <w:rFonts w:ascii="Arial" w:hAnsi="Arial"/>
          <w:b/>
          <w:bCs/>
          <w:color w:val="FF0000"/>
          <w:sz w:val="18"/>
          <w:szCs w:val="20"/>
        </w:rPr>
      </w:pPr>
      <w:r w:rsidRPr="00F036F5">
        <w:rPr>
          <w:rFonts w:ascii="Arial" w:hAnsi="Arial"/>
          <w:b/>
          <w:bCs/>
          <w:color w:val="000000" w:themeColor="text1"/>
          <w:sz w:val="18"/>
          <w:szCs w:val="20"/>
        </w:rPr>
        <w:t xml:space="preserve">Figure </w:t>
      </w:r>
      <w:r w:rsidR="006B6068">
        <w:rPr>
          <w:rFonts w:ascii="Arial" w:hAnsi="Arial"/>
          <w:b/>
          <w:bCs/>
          <w:color w:val="000000" w:themeColor="text1"/>
          <w:sz w:val="18"/>
          <w:szCs w:val="20"/>
        </w:rPr>
        <w:t>F</w:t>
      </w:r>
      <w:r>
        <w:rPr>
          <w:rFonts w:ascii="Arial" w:hAnsi="Arial"/>
          <w:b/>
          <w:bCs/>
          <w:color w:val="000000" w:themeColor="text1"/>
          <w:sz w:val="18"/>
          <w:szCs w:val="20"/>
        </w:rPr>
        <w:t>.5</w:t>
      </w:r>
    </w:p>
    <w:p w14:paraId="7793FCA5" w14:textId="77777777" w:rsidR="009B7BA9" w:rsidRPr="001A1668" w:rsidRDefault="009B7BA9" w:rsidP="009B7BA9">
      <w:pPr>
        <w:spacing w:after="0" w:line="240" w:lineRule="auto"/>
        <w:jc w:val="center"/>
        <w:rPr>
          <w:rFonts w:ascii="Arial" w:hAnsi="Arial"/>
          <w:b/>
          <w:bCs/>
          <w:color w:val="0000FF"/>
          <w:sz w:val="18"/>
          <w:szCs w:val="20"/>
        </w:rPr>
      </w:pPr>
      <w:r w:rsidRPr="002C3EA2">
        <w:rPr>
          <w:rFonts w:ascii="Arial" w:hAnsi="Arial"/>
          <w:b/>
          <w:bCs/>
          <w:color w:val="000000"/>
          <w:sz w:val="18"/>
          <w:szCs w:val="20"/>
        </w:rPr>
        <w:t xml:space="preserve"> </w:t>
      </w:r>
      <w:r w:rsidRPr="00F036F5">
        <w:rPr>
          <w:rFonts w:ascii="Arial" w:hAnsi="Arial"/>
          <w:b/>
          <w:bCs/>
          <w:color w:val="000000" w:themeColor="text1"/>
          <w:sz w:val="18"/>
          <w:szCs w:val="20"/>
        </w:rPr>
        <w:t xml:space="preserve">Trends in the numbers of children (0-17 yrs) in households in material hardship, </w:t>
      </w:r>
    </w:p>
    <w:p w14:paraId="03503451" w14:textId="3B84E48A" w:rsidR="009B7BA9" w:rsidRPr="001A1668" w:rsidRDefault="009B7BA9" w:rsidP="009B7BA9">
      <w:pPr>
        <w:spacing w:after="0" w:line="240" w:lineRule="auto"/>
        <w:jc w:val="center"/>
        <w:rPr>
          <w:rFonts w:ascii="Arial" w:hAnsi="Arial"/>
          <w:b/>
          <w:bCs/>
          <w:color w:val="0000FF"/>
          <w:sz w:val="18"/>
          <w:szCs w:val="20"/>
        </w:rPr>
      </w:pPr>
      <w:r w:rsidRPr="006468C2">
        <w:rPr>
          <w:noProof/>
        </w:rPr>
        <w:drawing>
          <wp:anchor distT="0" distB="0" distL="114300" distR="114300" simplePos="0" relativeHeight="252965888" behindDoc="0" locked="0" layoutInCell="1" allowOverlap="1" wp14:anchorId="415A4FA6" wp14:editId="647CAC79">
            <wp:simplePos x="0" y="0"/>
            <wp:positionH relativeFrom="column">
              <wp:posOffset>-64135</wp:posOffset>
            </wp:positionH>
            <wp:positionV relativeFrom="paragraph">
              <wp:posOffset>232410</wp:posOffset>
            </wp:positionV>
            <wp:extent cx="2772410" cy="1708150"/>
            <wp:effectExtent l="0" t="0" r="8890" b="6350"/>
            <wp:wrapTopAndBottom/>
            <wp:docPr id="274167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6732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72410" cy="1708150"/>
                    </a:xfrm>
                    <a:prstGeom prst="rect">
                      <a:avLst/>
                    </a:prstGeom>
                  </pic:spPr>
                </pic:pic>
              </a:graphicData>
            </a:graphic>
            <wp14:sizeRelH relativeFrom="page">
              <wp14:pctWidth>0</wp14:pctWidth>
            </wp14:sizeRelH>
            <wp14:sizeRelV relativeFrom="page">
              <wp14:pctHeight>0</wp14:pctHeight>
            </wp14:sizeRelV>
          </wp:anchor>
        </w:drawing>
      </w:r>
      <w:r w:rsidRPr="006468C2">
        <w:rPr>
          <w:noProof/>
        </w:rPr>
        <w:drawing>
          <wp:anchor distT="0" distB="0" distL="114300" distR="114300" simplePos="0" relativeHeight="252966912" behindDoc="0" locked="0" layoutInCell="1" allowOverlap="1" wp14:anchorId="7EC0748F" wp14:editId="3844869D">
            <wp:simplePos x="0" y="0"/>
            <wp:positionH relativeFrom="column">
              <wp:posOffset>3009900</wp:posOffset>
            </wp:positionH>
            <wp:positionV relativeFrom="paragraph">
              <wp:posOffset>253365</wp:posOffset>
            </wp:positionV>
            <wp:extent cx="2787650" cy="1717675"/>
            <wp:effectExtent l="0" t="0" r="0" b="0"/>
            <wp:wrapTopAndBottom/>
            <wp:docPr id="142742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28079"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87650" cy="1717675"/>
                    </a:xfrm>
                    <a:prstGeom prst="rect">
                      <a:avLst/>
                    </a:prstGeom>
                  </pic:spPr>
                </pic:pic>
              </a:graphicData>
            </a:graphic>
            <wp14:sizeRelH relativeFrom="page">
              <wp14:pctWidth>0</wp14:pctWidth>
            </wp14:sizeRelH>
            <wp14:sizeRelV relativeFrom="page">
              <wp14:pctHeight>0</wp14:pctHeight>
            </wp14:sizeRelV>
          </wp:anchor>
        </w:drawing>
      </w:r>
      <w:r w:rsidRPr="00CC78AC">
        <w:rPr>
          <w:noProof/>
        </w:rPr>
        <w:t xml:space="preserve"> </w:t>
      </w:r>
      <w:r w:rsidRPr="00F036F5">
        <w:rPr>
          <w:rFonts w:ascii="Arial" w:hAnsi="Arial"/>
          <w:b/>
          <w:bCs/>
          <w:color w:val="000000" w:themeColor="text1"/>
          <w:sz w:val="18"/>
          <w:szCs w:val="20"/>
        </w:rPr>
        <w:t>by main source of household income</w:t>
      </w:r>
      <w:r w:rsidRPr="00F036F5">
        <w:rPr>
          <w:noProof/>
          <w:color w:val="000000" w:themeColor="text1"/>
        </w:rPr>
        <w:t xml:space="preserve"> </w:t>
      </w:r>
    </w:p>
    <w:p w14:paraId="0DB4DAAA" w14:textId="5D0A961B" w:rsidR="00EB7F15" w:rsidRPr="00EB7F15" w:rsidRDefault="00EB7F15" w:rsidP="00EB7F15">
      <w:pPr>
        <w:spacing w:before="40" w:after="20" w:line="240" w:lineRule="auto"/>
        <w:rPr>
          <w:rFonts w:ascii="Arial" w:eastAsia="Times New Roman" w:hAnsi="Arial"/>
          <w:bCs/>
          <w:color w:val="000000" w:themeColor="text1"/>
          <w:sz w:val="16"/>
          <w:szCs w:val="16"/>
          <w:lang w:val="en-GB"/>
        </w:rPr>
      </w:pPr>
      <w:r w:rsidRPr="00EB7F15">
        <w:rPr>
          <w:rFonts w:ascii="Arial" w:eastAsia="Times New Roman" w:hAnsi="Arial"/>
          <w:bCs/>
          <w:color w:val="000000" w:themeColor="text1"/>
          <w:sz w:val="16"/>
          <w:szCs w:val="16"/>
          <w:lang w:val="en-GB"/>
        </w:rPr>
        <w:t>Note for Figures F.4 and F.5</w:t>
      </w:r>
      <w:r>
        <w:rPr>
          <w:rFonts w:ascii="Arial" w:eastAsia="Times New Roman" w:hAnsi="Arial"/>
          <w:bCs/>
          <w:color w:val="000000" w:themeColor="text1"/>
          <w:sz w:val="16"/>
          <w:szCs w:val="16"/>
          <w:lang w:val="en-GB"/>
        </w:rPr>
        <w:t>:</w:t>
      </w:r>
    </w:p>
    <w:p w14:paraId="36F3A9F8" w14:textId="1B5A520E" w:rsidR="009B7BA9" w:rsidRPr="00EB7F15" w:rsidRDefault="00EB7F15">
      <w:pPr>
        <w:pStyle w:val="ListParagraph"/>
        <w:numPr>
          <w:ilvl w:val="0"/>
          <w:numId w:val="99"/>
        </w:numPr>
        <w:spacing w:after="0" w:line="240" w:lineRule="auto"/>
        <w:ind w:left="567" w:hanging="207"/>
        <w:rPr>
          <w:rFonts w:ascii="Arial" w:eastAsia="Times New Roman" w:hAnsi="Arial"/>
          <w:bCs/>
          <w:color w:val="000000" w:themeColor="text1"/>
          <w:sz w:val="16"/>
          <w:szCs w:val="16"/>
          <w:lang w:val="en-GB"/>
        </w:rPr>
      </w:pPr>
      <w:r w:rsidRPr="00EB7F15">
        <w:rPr>
          <w:rFonts w:ascii="Arial" w:eastAsia="Times New Roman" w:hAnsi="Arial"/>
          <w:bCs/>
          <w:color w:val="000000" w:themeColor="text1"/>
          <w:sz w:val="16"/>
          <w:szCs w:val="16"/>
          <w:lang w:val="en-GB"/>
        </w:rPr>
        <w:t>As for all Section F, the MH rates are produced from the MWI index – see further comment on the opening page of Section F</w:t>
      </w:r>
      <w:r>
        <w:rPr>
          <w:rFonts w:ascii="Arial" w:eastAsia="Times New Roman" w:hAnsi="Arial"/>
          <w:bCs/>
          <w:color w:val="000000" w:themeColor="text1"/>
          <w:sz w:val="16"/>
          <w:szCs w:val="16"/>
          <w:lang w:val="en-GB"/>
        </w:rPr>
        <w:t>.</w:t>
      </w:r>
    </w:p>
    <w:p w14:paraId="3CCC5ED2" w14:textId="2483B315" w:rsidR="009B7BA9" w:rsidRDefault="009B7BA9" w:rsidP="009B7BA9">
      <w:pPr>
        <w:spacing w:after="0" w:line="240" w:lineRule="auto"/>
        <w:rPr>
          <w:rFonts w:ascii="Arial" w:eastAsia="Times New Roman" w:hAnsi="Arial"/>
          <w:b/>
          <w:color w:val="0000FF"/>
          <w:sz w:val="24"/>
          <w:szCs w:val="24"/>
          <w:lang w:val="en-GB"/>
        </w:rPr>
      </w:pPr>
      <w:r>
        <w:rPr>
          <w:rFonts w:ascii="Arial" w:eastAsia="Times New Roman" w:hAnsi="Arial"/>
          <w:b/>
          <w:color w:val="0000FF"/>
          <w:sz w:val="24"/>
          <w:szCs w:val="24"/>
          <w:lang w:val="en-GB"/>
        </w:rPr>
        <w:br w:type="page"/>
      </w:r>
    </w:p>
    <w:p w14:paraId="075E72F6" w14:textId="77777777" w:rsidR="009B7BA9" w:rsidRPr="00F036F5" w:rsidRDefault="009B7BA9" w:rsidP="009B7BA9">
      <w:pPr>
        <w:spacing w:after="0" w:line="240" w:lineRule="auto"/>
        <w:rPr>
          <w:rFonts w:ascii="Arial" w:eastAsia="Times New Roman" w:hAnsi="Arial"/>
          <w:b/>
          <w:color w:val="000000" w:themeColor="text1"/>
          <w:sz w:val="24"/>
          <w:szCs w:val="24"/>
          <w:lang w:val="en-GB"/>
        </w:rPr>
      </w:pPr>
      <w:r w:rsidRPr="00F036F5">
        <w:rPr>
          <w:rFonts w:ascii="Arial" w:eastAsia="Times New Roman" w:hAnsi="Arial"/>
          <w:b/>
          <w:color w:val="000000" w:themeColor="text1"/>
          <w:sz w:val="24"/>
          <w:szCs w:val="24"/>
          <w:lang w:val="en-GB"/>
        </w:rPr>
        <w:lastRenderedPageBreak/>
        <w:t>Children in workless households: international comparisons</w:t>
      </w:r>
    </w:p>
    <w:p w14:paraId="4D6D0495" w14:textId="77777777" w:rsidR="009B7BA9" w:rsidRPr="00F036F5" w:rsidRDefault="009B7BA9" w:rsidP="009B7BA9">
      <w:pPr>
        <w:spacing w:after="0" w:line="240" w:lineRule="auto"/>
        <w:rPr>
          <w:rFonts w:ascii="Arial" w:eastAsia="Times New Roman" w:hAnsi="Arial" w:cs="Times New Roman"/>
          <w:b/>
          <w:color w:val="000000" w:themeColor="text1"/>
          <w:lang w:val="en-GB"/>
        </w:rPr>
      </w:pPr>
    </w:p>
    <w:p w14:paraId="6A55B153" w14:textId="0C20C86B" w:rsidR="009B7BA9" w:rsidRPr="00F036F5" w:rsidRDefault="009B7BA9" w:rsidP="009B7BA9">
      <w:pPr>
        <w:spacing w:after="0" w:line="240" w:lineRule="auto"/>
        <w:rPr>
          <w:rFonts w:ascii="Arial" w:eastAsia="Times New Roman" w:hAnsi="Arial" w:cs="Times New Roman"/>
          <w:color w:val="000000" w:themeColor="text1"/>
          <w:lang w:val="en-GB"/>
        </w:rPr>
      </w:pPr>
      <w:r w:rsidRPr="00F036F5">
        <w:rPr>
          <w:rFonts w:ascii="Arial" w:eastAsia="Times New Roman" w:hAnsi="Arial" w:cs="Times New Roman"/>
          <w:b/>
          <w:color w:val="000000" w:themeColor="text1"/>
          <w:lang w:val="en-GB"/>
        </w:rPr>
        <w:t>Table</w:t>
      </w:r>
      <w:r w:rsidR="006B6068">
        <w:rPr>
          <w:rFonts w:ascii="Arial" w:eastAsia="Times New Roman" w:hAnsi="Arial" w:cs="Times New Roman"/>
          <w:b/>
          <w:color w:val="000000" w:themeColor="text1"/>
          <w:lang w:val="en-GB"/>
        </w:rPr>
        <w:t xml:space="preserve"> F</w:t>
      </w:r>
      <w:r>
        <w:rPr>
          <w:rFonts w:ascii="Arial" w:eastAsia="Times New Roman" w:hAnsi="Arial" w:cs="Times New Roman"/>
          <w:b/>
          <w:color w:val="000000" w:themeColor="text1"/>
          <w:lang w:val="en-GB"/>
        </w:rPr>
        <w:t>.</w:t>
      </w:r>
      <w:r w:rsidR="006B6068">
        <w:rPr>
          <w:rFonts w:ascii="Arial" w:eastAsia="Times New Roman" w:hAnsi="Arial" w:cs="Times New Roman"/>
          <w:b/>
          <w:color w:val="000000" w:themeColor="text1"/>
          <w:lang w:val="en-GB"/>
        </w:rPr>
        <w:t>4</w:t>
      </w:r>
      <w:r w:rsidRPr="00F036F5">
        <w:rPr>
          <w:rFonts w:ascii="Arial" w:eastAsia="Times New Roman" w:hAnsi="Arial" w:cs="Times New Roman"/>
          <w:color w:val="000000" w:themeColor="text1"/>
          <w:lang w:val="en-GB"/>
        </w:rPr>
        <w:t xml:space="preserve"> compares New Zealand with EU countries on the proportion of children in workless households. In 2012, at the height of the GFC impact, New Zealand was at the high end of the table with a rate of 18%, similar to Hungary, Ireland and Bulgaria (16-20%). In 2024 the rate was 12%, but still at the top end of the table, and well above the EU median of 7% and the weighted average of 8%. The rates for Hungary, Ireland and Bulgaria have all fallen to lower levels than New Zealand (4-9%).</w:t>
      </w:r>
    </w:p>
    <w:p w14:paraId="7480BE40" w14:textId="77777777" w:rsidR="009B7BA9" w:rsidRDefault="009B7BA9" w:rsidP="009B7BA9">
      <w:pPr>
        <w:spacing w:after="0" w:line="240" w:lineRule="auto"/>
        <w:jc w:val="center"/>
        <w:rPr>
          <w:rFonts w:ascii="Arial" w:eastAsia="Times New Roman" w:hAnsi="Arial"/>
          <w:b/>
          <w:color w:val="000000" w:themeColor="text1"/>
          <w:sz w:val="18"/>
          <w:szCs w:val="20"/>
          <w:lang w:val="en-GB"/>
        </w:rPr>
      </w:pPr>
    </w:p>
    <w:p w14:paraId="0A0F9C2F" w14:textId="05A3E288" w:rsidR="009B7BA9" w:rsidRPr="00FB756C" w:rsidRDefault="009B7BA9" w:rsidP="009B7BA9">
      <w:pPr>
        <w:spacing w:after="0" w:line="240" w:lineRule="auto"/>
        <w:jc w:val="center"/>
        <w:rPr>
          <w:rFonts w:ascii="Arial" w:eastAsia="Times New Roman" w:hAnsi="Arial"/>
          <w:b/>
          <w:color w:val="FF0000"/>
          <w:sz w:val="18"/>
          <w:szCs w:val="20"/>
          <w:lang w:val="en-GB"/>
        </w:rPr>
      </w:pPr>
      <w:r w:rsidRPr="00F036F5">
        <w:rPr>
          <w:rFonts w:ascii="Arial" w:eastAsia="Times New Roman" w:hAnsi="Arial"/>
          <w:b/>
          <w:color w:val="000000" w:themeColor="text1"/>
          <w:sz w:val="18"/>
          <w:szCs w:val="20"/>
          <w:lang w:val="en-GB"/>
        </w:rPr>
        <w:t xml:space="preserve">Table </w:t>
      </w:r>
      <w:r w:rsidR="006B6068">
        <w:rPr>
          <w:rFonts w:ascii="Arial" w:eastAsia="Times New Roman" w:hAnsi="Arial"/>
          <w:b/>
          <w:color w:val="000000" w:themeColor="text1"/>
          <w:sz w:val="18"/>
          <w:szCs w:val="20"/>
          <w:lang w:val="en-GB"/>
        </w:rPr>
        <w:t>F.4</w:t>
      </w:r>
      <w:r w:rsidRPr="00F036F5">
        <w:rPr>
          <w:rFonts w:ascii="Arial" w:eastAsia="Times New Roman" w:hAnsi="Arial"/>
          <w:b/>
          <w:color w:val="000000" w:themeColor="text1"/>
          <w:sz w:val="18"/>
          <w:szCs w:val="20"/>
          <w:lang w:val="en-GB"/>
        </w:rPr>
        <w:t xml:space="preserve"> </w:t>
      </w:r>
    </w:p>
    <w:p w14:paraId="13E75F2A" w14:textId="77777777" w:rsidR="009B7BA9" w:rsidRPr="00BF2CF5" w:rsidRDefault="009B7BA9" w:rsidP="009B7BA9">
      <w:pPr>
        <w:spacing w:after="0" w:line="240" w:lineRule="auto"/>
        <w:jc w:val="center"/>
        <w:rPr>
          <w:rFonts w:ascii="Arial" w:eastAsia="Times New Roman" w:hAnsi="Arial"/>
          <w:b/>
          <w:color w:val="000000" w:themeColor="text1"/>
          <w:sz w:val="18"/>
          <w:szCs w:val="20"/>
          <w:lang w:val="en-GB"/>
        </w:rPr>
      </w:pPr>
      <w:r w:rsidRPr="00BF2CF5">
        <w:rPr>
          <w:rFonts w:ascii="Arial" w:eastAsia="Times New Roman" w:hAnsi="Arial"/>
          <w:b/>
          <w:color w:val="000000" w:themeColor="text1"/>
          <w:sz w:val="18"/>
          <w:szCs w:val="20"/>
          <w:lang w:val="en-GB"/>
        </w:rPr>
        <w:t xml:space="preserve">International comparisons of the proportion of children living in jobless households (%):  </w:t>
      </w:r>
    </w:p>
    <w:p w14:paraId="2E3A888E" w14:textId="77777777" w:rsidR="009B7BA9" w:rsidRPr="00BF2CF5" w:rsidRDefault="009B7BA9" w:rsidP="009B7BA9">
      <w:pPr>
        <w:spacing w:line="240" w:lineRule="auto"/>
        <w:jc w:val="center"/>
        <w:rPr>
          <w:rFonts w:ascii="Arial" w:eastAsia="Times New Roman" w:hAnsi="Arial"/>
          <w:b/>
          <w:color w:val="000000" w:themeColor="text1"/>
          <w:sz w:val="18"/>
          <w:szCs w:val="20"/>
          <w:lang w:val="en-GB"/>
        </w:rPr>
      </w:pPr>
      <w:r w:rsidRPr="00BF2CF5">
        <w:rPr>
          <w:rFonts w:ascii="Arial" w:eastAsia="Times New Roman" w:hAnsi="Arial"/>
          <w:b/>
          <w:color w:val="000000" w:themeColor="text1"/>
          <w:sz w:val="18"/>
          <w:szCs w:val="20"/>
          <w:lang w:val="en-GB"/>
        </w:rPr>
        <w:t>2008 to 202</w:t>
      </w:r>
      <w:r>
        <w:rPr>
          <w:rFonts w:ascii="Arial" w:eastAsia="Times New Roman" w:hAnsi="Arial"/>
          <w:b/>
          <w:color w:val="000000" w:themeColor="text1"/>
          <w:sz w:val="18"/>
          <w:szCs w:val="20"/>
          <w:lang w:val="en-GB"/>
        </w:rPr>
        <w:t>5</w:t>
      </w:r>
      <w:r w:rsidRPr="00BF2CF5">
        <w:rPr>
          <w:rFonts w:ascii="Arial" w:eastAsia="Times New Roman" w:hAnsi="Arial"/>
          <w:b/>
          <w:color w:val="000000" w:themeColor="text1"/>
          <w:sz w:val="18"/>
          <w:szCs w:val="20"/>
          <w:lang w:val="en-GB"/>
        </w:rPr>
        <w:t xml:space="preserve"> (calendar years)</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571"/>
        <w:gridCol w:w="571"/>
        <w:gridCol w:w="571"/>
        <w:gridCol w:w="571"/>
        <w:gridCol w:w="571"/>
        <w:gridCol w:w="571"/>
        <w:gridCol w:w="1043"/>
        <w:gridCol w:w="552"/>
        <w:gridCol w:w="552"/>
        <w:gridCol w:w="552"/>
        <w:gridCol w:w="552"/>
        <w:gridCol w:w="552"/>
        <w:gridCol w:w="552"/>
      </w:tblGrid>
      <w:tr w:rsidR="009B7BA9" w:rsidRPr="00BF2CF5" w14:paraId="281054BA" w14:textId="77777777" w:rsidTr="00261B26">
        <w:trPr>
          <w:jc w:val="center"/>
        </w:trPr>
        <w:tc>
          <w:tcPr>
            <w:tcW w:w="1289" w:type="dxa"/>
          </w:tcPr>
          <w:p w14:paraId="16956F34" w14:textId="77777777" w:rsidR="009B7BA9" w:rsidRPr="00BF2CF5" w:rsidRDefault="009B7BA9" w:rsidP="00261B26">
            <w:pPr>
              <w:spacing w:before="60" w:after="60" w:line="240" w:lineRule="auto"/>
              <w:rPr>
                <w:rFonts w:ascii="Arial" w:eastAsia="Times New Roman" w:hAnsi="Arial"/>
                <w:color w:val="000000" w:themeColor="text1"/>
                <w:sz w:val="14"/>
                <w:szCs w:val="14"/>
                <w:lang w:val="en-GB"/>
              </w:rPr>
            </w:pPr>
          </w:p>
        </w:tc>
        <w:tc>
          <w:tcPr>
            <w:tcW w:w="571" w:type="dxa"/>
          </w:tcPr>
          <w:p w14:paraId="7DD7D988"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2008</w:t>
            </w:r>
          </w:p>
        </w:tc>
        <w:tc>
          <w:tcPr>
            <w:tcW w:w="571" w:type="dxa"/>
          </w:tcPr>
          <w:p w14:paraId="5CC126B9"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2012</w:t>
            </w:r>
          </w:p>
        </w:tc>
        <w:tc>
          <w:tcPr>
            <w:tcW w:w="571" w:type="dxa"/>
          </w:tcPr>
          <w:p w14:paraId="78F76BD5"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2017</w:t>
            </w:r>
          </w:p>
        </w:tc>
        <w:tc>
          <w:tcPr>
            <w:tcW w:w="571" w:type="dxa"/>
          </w:tcPr>
          <w:p w14:paraId="46F0C869"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2019</w:t>
            </w:r>
          </w:p>
        </w:tc>
        <w:tc>
          <w:tcPr>
            <w:tcW w:w="571" w:type="dxa"/>
          </w:tcPr>
          <w:p w14:paraId="1E452BB4" w14:textId="77777777" w:rsidR="009B7BA9" w:rsidRDefault="009B7BA9" w:rsidP="00261B26">
            <w:pPr>
              <w:spacing w:before="60" w:after="60" w:line="240" w:lineRule="auto"/>
              <w:jc w:val="center"/>
              <w:rPr>
                <w:rFonts w:ascii="Arial" w:eastAsia="Times New Roman" w:hAnsi="Arial"/>
                <w:b/>
                <w:color w:val="000000" w:themeColor="text1"/>
                <w:sz w:val="14"/>
                <w:szCs w:val="14"/>
                <w:lang w:val="en-GB"/>
              </w:rPr>
            </w:pPr>
            <w:r>
              <w:rPr>
                <w:rFonts w:ascii="Arial" w:eastAsia="Times New Roman" w:hAnsi="Arial"/>
                <w:b/>
                <w:color w:val="000000" w:themeColor="text1"/>
                <w:sz w:val="14"/>
                <w:szCs w:val="14"/>
                <w:lang w:val="en-GB"/>
              </w:rPr>
              <w:t>2024</w:t>
            </w:r>
          </w:p>
        </w:tc>
        <w:tc>
          <w:tcPr>
            <w:tcW w:w="571" w:type="dxa"/>
          </w:tcPr>
          <w:p w14:paraId="5EAA5DC6"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Pr>
                <w:rFonts w:ascii="Arial" w:eastAsia="Times New Roman" w:hAnsi="Arial"/>
                <w:b/>
                <w:color w:val="000000" w:themeColor="text1"/>
                <w:sz w:val="14"/>
                <w:szCs w:val="14"/>
                <w:lang w:val="en-GB"/>
              </w:rPr>
              <w:t>2025</w:t>
            </w:r>
          </w:p>
        </w:tc>
        <w:tc>
          <w:tcPr>
            <w:tcW w:w="1043" w:type="dxa"/>
          </w:tcPr>
          <w:p w14:paraId="48DC5669"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p>
        </w:tc>
        <w:tc>
          <w:tcPr>
            <w:tcW w:w="552" w:type="dxa"/>
          </w:tcPr>
          <w:p w14:paraId="47EBE00C"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2008</w:t>
            </w:r>
          </w:p>
        </w:tc>
        <w:tc>
          <w:tcPr>
            <w:tcW w:w="552" w:type="dxa"/>
          </w:tcPr>
          <w:p w14:paraId="3EFF0766"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2012</w:t>
            </w:r>
          </w:p>
        </w:tc>
        <w:tc>
          <w:tcPr>
            <w:tcW w:w="552" w:type="dxa"/>
          </w:tcPr>
          <w:p w14:paraId="58CBA221"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2017</w:t>
            </w:r>
          </w:p>
        </w:tc>
        <w:tc>
          <w:tcPr>
            <w:tcW w:w="552" w:type="dxa"/>
          </w:tcPr>
          <w:p w14:paraId="1717B02C" w14:textId="77777777" w:rsidR="009B7BA9" w:rsidRPr="00BF2CF5" w:rsidRDefault="009B7BA9" w:rsidP="00261B26">
            <w:pPr>
              <w:spacing w:before="60" w:after="60" w:line="240" w:lineRule="auto"/>
              <w:jc w:val="center"/>
              <w:rPr>
                <w:rFonts w:ascii="Arial" w:eastAsia="Times New Roman" w:hAnsi="Arial"/>
                <w:b/>
                <w:color w:val="000000" w:themeColor="text1"/>
                <w:sz w:val="14"/>
                <w:szCs w:val="14"/>
                <w:lang w:val="en-GB"/>
              </w:rPr>
            </w:pPr>
            <w:r w:rsidRPr="00BF2CF5">
              <w:rPr>
                <w:rFonts w:ascii="Arial" w:eastAsia="Times New Roman" w:hAnsi="Arial"/>
                <w:b/>
                <w:color w:val="000000" w:themeColor="text1"/>
                <w:sz w:val="14"/>
                <w:szCs w:val="14"/>
                <w:lang w:val="en-GB"/>
              </w:rPr>
              <w:t>2019</w:t>
            </w:r>
          </w:p>
        </w:tc>
        <w:tc>
          <w:tcPr>
            <w:tcW w:w="552" w:type="dxa"/>
          </w:tcPr>
          <w:p w14:paraId="02CE35D8" w14:textId="77777777" w:rsidR="009B7BA9" w:rsidRDefault="009B7BA9" w:rsidP="00261B26">
            <w:pPr>
              <w:spacing w:before="60" w:after="60" w:line="240" w:lineRule="auto"/>
              <w:jc w:val="center"/>
              <w:rPr>
                <w:rFonts w:ascii="Arial" w:eastAsia="Times New Roman" w:hAnsi="Arial"/>
                <w:b/>
                <w:color w:val="000000" w:themeColor="text1"/>
                <w:sz w:val="14"/>
                <w:szCs w:val="14"/>
                <w:lang w:val="en-GB"/>
              </w:rPr>
            </w:pPr>
            <w:r>
              <w:rPr>
                <w:rFonts w:ascii="Arial" w:eastAsia="Times New Roman" w:hAnsi="Arial"/>
                <w:b/>
                <w:color w:val="000000" w:themeColor="text1"/>
                <w:sz w:val="14"/>
                <w:szCs w:val="14"/>
                <w:lang w:val="en-GB"/>
              </w:rPr>
              <w:t>2024</w:t>
            </w:r>
          </w:p>
        </w:tc>
        <w:tc>
          <w:tcPr>
            <w:tcW w:w="552" w:type="dxa"/>
          </w:tcPr>
          <w:p w14:paraId="3BF4593D" w14:textId="77777777" w:rsidR="009B7BA9" w:rsidRDefault="009B7BA9" w:rsidP="00261B26">
            <w:pPr>
              <w:spacing w:before="60" w:after="60" w:line="240" w:lineRule="auto"/>
              <w:jc w:val="center"/>
              <w:rPr>
                <w:rFonts w:ascii="Arial" w:eastAsia="Times New Roman" w:hAnsi="Arial"/>
                <w:b/>
                <w:color w:val="000000" w:themeColor="text1"/>
                <w:sz w:val="14"/>
                <w:szCs w:val="14"/>
                <w:lang w:val="en-GB"/>
              </w:rPr>
            </w:pPr>
            <w:r>
              <w:rPr>
                <w:rFonts w:ascii="Arial" w:eastAsia="Times New Roman" w:hAnsi="Arial"/>
                <w:b/>
                <w:color w:val="000000" w:themeColor="text1"/>
                <w:sz w:val="14"/>
                <w:szCs w:val="14"/>
                <w:lang w:val="en-GB"/>
              </w:rPr>
              <w:t>2025</w:t>
            </w:r>
          </w:p>
        </w:tc>
      </w:tr>
      <w:tr w:rsidR="009B7BA9" w:rsidRPr="00BF2CF5" w14:paraId="699DA063" w14:textId="77777777" w:rsidTr="00261B26">
        <w:trPr>
          <w:jc w:val="center"/>
        </w:trPr>
        <w:tc>
          <w:tcPr>
            <w:tcW w:w="1289" w:type="dxa"/>
            <w:tcMar>
              <w:right w:w="57" w:type="dxa"/>
            </w:tcMar>
            <w:vAlign w:val="center"/>
          </w:tcPr>
          <w:p w14:paraId="158F2CB4"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Romania</w:t>
            </w:r>
          </w:p>
        </w:tc>
        <w:tc>
          <w:tcPr>
            <w:tcW w:w="571" w:type="dxa"/>
            <w:vAlign w:val="center"/>
          </w:tcPr>
          <w:p w14:paraId="30B2B3A8"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10</w:t>
            </w:r>
          </w:p>
        </w:tc>
        <w:tc>
          <w:tcPr>
            <w:tcW w:w="571" w:type="dxa"/>
            <w:vAlign w:val="center"/>
          </w:tcPr>
          <w:p w14:paraId="52A30BB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12</w:t>
            </w:r>
          </w:p>
        </w:tc>
        <w:tc>
          <w:tcPr>
            <w:tcW w:w="571" w:type="dxa"/>
            <w:vAlign w:val="center"/>
          </w:tcPr>
          <w:p w14:paraId="5404996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71" w:type="dxa"/>
            <w:vAlign w:val="center"/>
          </w:tcPr>
          <w:p w14:paraId="4F7F152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71" w:type="dxa"/>
            <w:vAlign w:val="center"/>
          </w:tcPr>
          <w:p w14:paraId="595AA313"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15</w:t>
            </w:r>
          </w:p>
        </w:tc>
        <w:tc>
          <w:tcPr>
            <w:tcW w:w="571" w:type="dxa"/>
            <w:vAlign w:val="center"/>
          </w:tcPr>
          <w:p w14:paraId="052EF50F"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16</w:t>
            </w:r>
          </w:p>
        </w:tc>
        <w:tc>
          <w:tcPr>
            <w:tcW w:w="1043" w:type="dxa"/>
            <w:vAlign w:val="center"/>
          </w:tcPr>
          <w:p w14:paraId="757BFC2A"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Latvia</w:t>
            </w:r>
          </w:p>
        </w:tc>
        <w:tc>
          <w:tcPr>
            <w:tcW w:w="552" w:type="dxa"/>
            <w:vAlign w:val="center"/>
          </w:tcPr>
          <w:p w14:paraId="3085CE8B"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18518AEE"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552" w:type="dxa"/>
            <w:vAlign w:val="center"/>
          </w:tcPr>
          <w:p w14:paraId="0B4B9D8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6EE758C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52" w:type="dxa"/>
            <w:vAlign w:val="center"/>
          </w:tcPr>
          <w:p w14:paraId="3C459320"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552" w:type="dxa"/>
            <w:vAlign w:val="center"/>
          </w:tcPr>
          <w:p w14:paraId="5429FB61"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r>
      <w:tr w:rsidR="009B7BA9" w:rsidRPr="00BF2CF5" w14:paraId="7CD9289A" w14:textId="77777777" w:rsidTr="00261B26">
        <w:trPr>
          <w:jc w:val="center"/>
        </w:trPr>
        <w:tc>
          <w:tcPr>
            <w:tcW w:w="1289" w:type="dxa"/>
            <w:tcMar>
              <w:right w:w="57" w:type="dxa"/>
            </w:tcMar>
            <w:vAlign w:val="center"/>
          </w:tcPr>
          <w:p w14:paraId="5F1EE23C"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b/>
                <w:bCs/>
                <w:color w:val="000000"/>
                <w:sz w:val="14"/>
                <w:szCs w:val="14"/>
              </w:rPr>
              <w:t>New Zealand</w:t>
            </w:r>
          </w:p>
        </w:tc>
        <w:tc>
          <w:tcPr>
            <w:tcW w:w="571" w:type="dxa"/>
            <w:vAlign w:val="center"/>
          </w:tcPr>
          <w:p w14:paraId="3EDA03B2" w14:textId="77777777" w:rsidR="009B7BA9" w:rsidRPr="00FC7E7F" w:rsidRDefault="009B7BA9" w:rsidP="00261B26">
            <w:pPr>
              <w:spacing w:before="30" w:after="30" w:line="240" w:lineRule="auto"/>
              <w:jc w:val="center"/>
              <w:rPr>
                <w:rFonts w:ascii="Arial" w:eastAsia="Times New Roman" w:hAnsi="Arial"/>
                <w:color w:val="000000" w:themeColor="text1"/>
                <w:sz w:val="14"/>
                <w:szCs w:val="14"/>
                <w:lang w:val="en-GB"/>
              </w:rPr>
            </w:pPr>
            <w:r w:rsidRPr="00FC7E7F">
              <w:rPr>
                <w:rFonts w:ascii="Arial" w:hAnsi="Arial"/>
                <w:b/>
                <w:bCs/>
                <w:color w:val="000000"/>
                <w:sz w:val="14"/>
                <w:szCs w:val="14"/>
              </w:rPr>
              <w:t>17</w:t>
            </w:r>
          </w:p>
        </w:tc>
        <w:tc>
          <w:tcPr>
            <w:tcW w:w="571" w:type="dxa"/>
            <w:vAlign w:val="center"/>
          </w:tcPr>
          <w:p w14:paraId="4CCC8CB8" w14:textId="77777777" w:rsidR="009B7BA9" w:rsidRPr="00FC7E7F" w:rsidRDefault="009B7BA9" w:rsidP="00261B26">
            <w:pPr>
              <w:spacing w:before="30" w:after="30" w:line="240" w:lineRule="auto"/>
              <w:jc w:val="center"/>
              <w:rPr>
                <w:rFonts w:ascii="Arial" w:eastAsia="Times New Roman" w:hAnsi="Arial"/>
                <w:color w:val="000000" w:themeColor="text1"/>
                <w:sz w:val="14"/>
                <w:szCs w:val="14"/>
                <w:lang w:val="en-GB"/>
              </w:rPr>
            </w:pPr>
            <w:r w:rsidRPr="00FC7E7F">
              <w:rPr>
                <w:rFonts w:ascii="Arial" w:hAnsi="Arial"/>
                <w:b/>
                <w:bCs/>
                <w:color w:val="000000"/>
                <w:sz w:val="14"/>
                <w:szCs w:val="14"/>
              </w:rPr>
              <w:t>18</w:t>
            </w:r>
          </w:p>
        </w:tc>
        <w:tc>
          <w:tcPr>
            <w:tcW w:w="571" w:type="dxa"/>
            <w:vAlign w:val="center"/>
          </w:tcPr>
          <w:p w14:paraId="5E3F4C81" w14:textId="77777777" w:rsidR="009B7BA9" w:rsidRPr="00FC7E7F" w:rsidRDefault="009B7BA9" w:rsidP="00261B26">
            <w:pPr>
              <w:spacing w:before="30" w:after="30" w:line="240" w:lineRule="auto"/>
              <w:jc w:val="center"/>
              <w:rPr>
                <w:rFonts w:ascii="Arial" w:eastAsia="Times New Roman" w:hAnsi="Arial"/>
                <w:color w:val="000000" w:themeColor="text1"/>
                <w:sz w:val="14"/>
                <w:szCs w:val="14"/>
                <w:lang w:val="en-GB"/>
              </w:rPr>
            </w:pPr>
            <w:r w:rsidRPr="00FC7E7F">
              <w:rPr>
                <w:rFonts w:ascii="Arial" w:hAnsi="Arial"/>
                <w:b/>
                <w:bCs/>
                <w:color w:val="000000"/>
                <w:sz w:val="14"/>
                <w:szCs w:val="14"/>
              </w:rPr>
              <w:t>11</w:t>
            </w:r>
          </w:p>
        </w:tc>
        <w:tc>
          <w:tcPr>
            <w:tcW w:w="571" w:type="dxa"/>
            <w:vAlign w:val="center"/>
          </w:tcPr>
          <w:p w14:paraId="3D66CCA7" w14:textId="77777777" w:rsidR="009B7BA9" w:rsidRPr="00FC7E7F" w:rsidRDefault="009B7BA9" w:rsidP="00261B26">
            <w:pPr>
              <w:spacing w:before="30" w:after="30" w:line="240" w:lineRule="auto"/>
              <w:jc w:val="center"/>
              <w:rPr>
                <w:rFonts w:ascii="Arial" w:eastAsia="Times New Roman" w:hAnsi="Arial"/>
                <w:color w:val="000000" w:themeColor="text1"/>
                <w:sz w:val="14"/>
                <w:szCs w:val="14"/>
                <w:lang w:val="en-GB"/>
              </w:rPr>
            </w:pPr>
            <w:r w:rsidRPr="00FC7E7F">
              <w:rPr>
                <w:rFonts w:ascii="Arial" w:hAnsi="Arial"/>
                <w:b/>
                <w:bCs/>
                <w:color w:val="000000"/>
                <w:sz w:val="14"/>
                <w:szCs w:val="14"/>
              </w:rPr>
              <w:t>10</w:t>
            </w:r>
          </w:p>
        </w:tc>
        <w:tc>
          <w:tcPr>
            <w:tcW w:w="571" w:type="dxa"/>
            <w:vAlign w:val="center"/>
          </w:tcPr>
          <w:p w14:paraId="2BC5E9B4" w14:textId="2B88332E" w:rsidR="009B7BA9" w:rsidRPr="00FC7E7F" w:rsidRDefault="009B7BA9" w:rsidP="00261B26">
            <w:pPr>
              <w:spacing w:before="30" w:after="30" w:line="240" w:lineRule="auto"/>
              <w:jc w:val="center"/>
              <w:rPr>
                <w:rFonts w:ascii="Arial" w:hAnsi="Arial"/>
                <w:color w:val="000000"/>
                <w:sz w:val="14"/>
                <w:szCs w:val="14"/>
              </w:rPr>
            </w:pPr>
            <w:r w:rsidRPr="00FC7E7F">
              <w:rPr>
                <w:rFonts w:ascii="Arial" w:hAnsi="Arial"/>
                <w:b/>
                <w:bCs/>
                <w:color w:val="000000"/>
                <w:sz w:val="14"/>
                <w:szCs w:val="14"/>
              </w:rPr>
              <w:t>12</w:t>
            </w:r>
          </w:p>
        </w:tc>
        <w:tc>
          <w:tcPr>
            <w:tcW w:w="571" w:type="dxa"/>
            <w:vAlign w:val="center"/>
          </w:tcPr>
          <w:p w14:paraId="62A3595B" w14:textId="77777777" w:rsidR="009B7BA9" w:rsidRPr="00FC7E7F" w:rsidRDefault="009B7BA9" w:rsidP="00261B26">
            <w:pPr>
              <w:spacing w:before="30" w:after="30" w:line="240" w:lineRule="auto"/>
              <w:jc w:val="center"/>
              <w:rPr>
                <w:rFonts w:ascii="Arial" w:hAnsi="Arial"/>
                <w:color w:val="000000"/>
                <w:sz w:val="14"/>
                <w:szCs w:val="14"/>
              </w:rPr>
            </w:pPr>
            <w:r w:rsidRPr="00FC7E7F">
              <w:rPr>
                <w:rFonts w:ascii="Arial" w:hAnsi="Arial"/>
                <w:b/>
                <w:bCs/>
                <w:color w:val="000000"/>
                <w:sz w:val="14"/>
                <w:szCs w:val="14"/>
              </w:rPr>
              <w:t>-</w:t>
            </w:r>
          </w:p>
        </w:tc>
        <w:tc>
          <w:tcPr>
            <w:tcW w:w="1043" w:type="dxa"/>
            <w:vAlign w:val="center"/>
          </w:tcPr>
          <w:p w14:paraId="2FA7F664"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Slovakia</w:t>
            </w:r>
          </w:p>
        </w:tc>
        <w:tc>
          <w:tcPr>
            <w:tcW w:w="552" w:type="dxa"/>
            <w:vAlign w:val="center"/>
          </w:tcPr>
          <w:p w14:paraId="59A4173E"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52" w:type="dxa"/>
            <w:vAlign w:val="center"/>
          </w:tcPr>
          <w:p w14:paraId="071C9937"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10</w:t>
            </w:r>
          </w:p>
        </w:tc>
        <w:tc>
          <w:tcPr>
            <w:tcW w:w="552" w:type="dxa"/>
            <w:vAlign w:val="center"/>
          </w:tcPr>
          <w:p w14:paraId="6F2E97D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6983EA2C"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04BB7686"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c>
          <w:tcPr>
            <w:tcW w:w="552" w:type="dxa"/>
            <w:vAlign w:val="center"/>
          </w:tcPr>
          <w:p w14:paraId="26BEB2AC"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r>
      <w:tr w:rsidR="009B7BA9" w:rsidRPr="00BF2CF5" w14:paraId="7330CA41" w14:textId="77777777" w:rsidTr="00261B26">
        <w:trPr>
          <w:jc w:val="center"/>
        </w:trPr>
        <w:tc>
          <w:tcPr>
            <w:tcW w:w="1289" w:type="dxa"/>
            <w:tcMar>
              <w:right w:w="57" w:type="dxa"/>
            </w:tcMar>
            <w:vAlign w:val="center"/>
          </w:tcPr>
          <w:p w14:paraId="31F79E06"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Belgium</w:t>
            </w:r>
          </w:p>
        </w:tc>
        <w:tc>
          <w:tcPr>
            <w:tcW w:w="571" w:type="dxa"/>
            <w:vAlign w:val="center"/>
          </w:tcPr>
          <w:p w14:paraId="03760C3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571" w:type="dxa"/>
            <w:vAlign w:val="center"/>
          </w:tcPr>
          <w:p w14:paraId="62C08BF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12</w:t>
            </w:r>
          </w:p>
        </w:tc>
        <w:tc>
          <w:tcPr>
            <w:tcW w:w="571" w:type="dxa"/>
            <w:vAlign w:val="center"/>
          </w:tcPr>
          <w:p w14:paraId="0FC6CD6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12</w:t>
            </w:r>
          </w:p>
        </w:tc>
        <w:tc>
          <w:tcPr>
            <w:tcW w:w="571" w:type="dxa"/>
            <w:vAlign w:val="center"/>
          </w:tcPr>
          <w:p w14:paraId="58C31BF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12</w:t>
            </w:r>
          </w:p>
        </w:tc>
        <w:tc>
          <w:tcPr>
            <w:tcW w:w="571" w:type="dxa"/>
            <w:vAlign w:val="center"/>
          </w:tcPr>
          <w:p w14:paraId="5013F4D8"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12</w:t>
            </w:r>
          </w:p>
        </w:tc>
        <w:tc>
          <w:tcPr>
            <w:tcW w:w="571" w:type="dxa"/>
            <w:vAlign w:val="center"/>
          </w:tcPr>
          <w:p w14:paraId="28A4EBD2"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12</w:t>
            </w:r>
          </w:p>
        </w:tc>
        <w:tc>
          <w:tcPr>
            <w:tcW w:w="1043" w:type="dxa"/>
            <w:vAlign w:val="center"/>
          </w:tcPr>
          <w:p w14:paraId="59F79999"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Austria</w:t>
            </w:r>
          </w:p>
        </w:tc>
        <w:tc>
          <w:tcPr>
            <w:tcW w:w="552" w:type="dxa"/>
            <w:vAlign w:val="center"/>
          </w:tcPr>
          <w:p w14:paraId="0ACC794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61551B1D"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5</w:t>
            </w:r>
          </w:p>
        </w:tc>
        <w:tc>
          <w:tcPr>
            <w:tcW w:w="552" w:type="dxa"/>
            <w:vAlign w:val="center"/>
          </w:tcPr>
          <w:p w14:paraId="18FE1994"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52" w:type="dxa"/>
            <w:vAlign w:val="center"/>
          </w:tcPr>
          <w:p w14:paraId="672807C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05BF1BF0"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6</w:t>
            </w:r>
          </w:p>
        </w:tc>
        <w:tc>
          <w:tcPr>
            <w:tcW w:w="552" w:type="dxa"/>
            <w:vAlign w:val="center"/>
          </w:tcPr>
          <w:p w14:paraId="0F9F73F9"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r>
      <w:tr w:rsidR="009B7BA9" w:rsidRPr="00BF2CF5" w14:paraId="3FC98B7A" w14:textId="77777777" w:rsidTr="00261B26">
        <w:trPr>
          <w:jc w:val="center"/>
        </w:trPr>
        <w:tc>
          <w:tcPr>
            <w:tcW w:w="1289" w:type="dxa"/>
            <w:tcMar>
              <w:right w:w="57" w:type="dxa"/>
            </w:tcMar>
            <w:vAlign w:val="center"/>
          </w:tcPr>
          <w:p w14:paraId="31CC25A9" w14:textId="77777777" w:rsidR="009B7BA9" w:rsidRPr="00BF2CF5" w:rsidRDefault="009B7BA9" w:rsidP="00261B26">
            <w:pPr>
              <w:spacing w:before="30" w:after="30" w:line="240" w:lineRule="auto"/>
              <w:rPr>
                <w:rFonts w:ascii="Arial" w:eastAsia="Times New Roman" w:hAnsi="Arial"/>
                <w:b/>
                <w:color w:val="000000" w:themeColor="text1"/>
                <w:sz w:val="14"/>
                <w:szCs w:val="14"/>
                <w:lang w:val="en-GB"/>
              </w:rPr>
            </w:pPr>
            <w:r>
              <w:rPr>
                <w:rFonts w:ascii="Arial" w:hAnsi="Arial"/>
                <w:color w:val="000000"/>
                <w:sz w:val="14"/>
                <w:szCs w:val="14"/>
              </w:rPr>
              <w:t>France</w:t>
            </w:r>
          </w:p>
        </w:tc>
        <w:tc>
          <w:tcPr>
            <w:tcW w:w="571" w:type="dxa"/>
            <w:vAlign w:val="center"/>
          </w:tcPr>
          <w:p w14:paraId="7FCD9C95"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8</w:t>
            </w:r>
          </w:p>
        </w:tc>
        <w:tc>
          <w:tcPr>
            <w:tcW w:w="571" w:type="dxa"/>
            <w:vAlign w:val="center"/>
          </w:tcPr>
          <w:p w14:paraId="0DFCF851"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10</w:t>
            </w:r>
          </w:p>
        </w:tc>
        <w:tc>
          <w:tcPr>
            <w:tcW w:w="571" w:type="dxa"/>
            <w:vAlign w:val="center"/>
          </w:tcPr>
          <w:p w14:paraId="3CCEFC64"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12</w:t>
            </w:r>
          </w:p>
        </w:tc>
        <w:tc>
          <w:tcPr>
            <w:tcW w:w="571" w:type="dxa"/>
            <w:vAlign w:val="center"/>
          </w:tcPr>
          <w:p w14:paraId="6BB54E4F"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12</w:t>
            </w:r>
          </w:p>
        </w:tc>
        <w:tc>
          <w:tcPr>
            <w:tcW w:w="571" w:type="dxa"/>
            <w:vAlign w:val="center"/>
          </w:tcPr>
          <w:p w14:paraId="258A1F91"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10</w:t>
            </w:r>
          </w:p>
        </w:tc>
        <w:tc>
          <w:tcPr>
            <w:tcW w:w="571" w:type="dxa"/>
            <w:vAlign w:val="center"/>
          </w:tcPr>
          <w:p w14:paraId="3EE9C2AF"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10</w:t>
            </w:r>
          </w:p>
        </w:tc>
        <w:tc>
          <w:tcPr>
            <w:tcW w:w="1043" w:type="dxa"/>
            <w:vAlign w:val="center"/>
          </w:tcPr>
          <w:p w14:paraId="28DE9894" w14:textId="77777777" w:rsidR="009B7BA9" w:rsidRPr="00BF2CF5" w:rsidRDefault="009B7BA9" w:rsidP="00261B26">
            <w:pPr>
              <w:spacing w:before="30" w:after="30" w:line="240" w:lineRule="auto"/>
              <w:rPr>
                <w:rFonts w:ascii="Arial" w:eastAsia="Times New Roman" w:hAnsi="Arial"/>
                <w:b/>
                <w:color w:val="000000" w:themeColor="text1"/>
                <w:sz w:val="14"/>
                <w:szCs w:val="14"/>
                <w:lang w:val="en-GB"/>
              </w:rPr>
            </w:pPr>
            <w:r>
              <w:rPr>
                <w:rFonts w:ascii="Arial" w:hAnsi="Arial"/>
                <w:color w:val="000000"/>
                <w:sz w:val="14"/>
                <w:szCs w:val="14"/>
              </w:rPr>
              <w:t>Denmark</w:t>
            </w:r>
          </w:p>
        </w:tc>
        <w:tc>
          <w:tcPr>
            <w:tcW w:w="552" w:type="dxa"/>
            <w:vAlign w:val="center"/>
          </w:tcPr>
          <w:p w14:paraId="7E9039E8"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3</w:t>
            </w:r>
          </w:p>
        </w:tc>
        <w:tc>
          <w:tcPr>
            <w:tcW w:w="552" w:type="dxa"/>
            <w:vAlign w:val="center"/>
          </w:tcPr>
          <w:p w14:paraId="7E0A78CE"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8</w:t>
            </w:r>
          </w:p>
        </w:tc>
        <w:tc>
          <w:tcPr>
            <w:tcW w:w="552" w:type="dxa"/>
            <w:vAlign w:val="center"/>
          </w:tcPr>
          <w:p w14:paraId="72C97D08"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9</w:t>
            </w:r>
          </w:p>
        </w:tc>
        <w:tc>
          <w:tcPr>
            <w:tcW w:w="552" w:type="dxa"/>
            <w:vAlign w:val="center"/>
          </w:tcPr>
          <w:p w14:paraId="36CE8209"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8</w:t>
            </w:r>
          </w:p>
        </w:tc>
        <w:tc>
          <w:tcPr>
            <w:tcW w:w="552" w:type="dxa"/>
            <w:vAlign w:val="center"/>
          </w:tcPr>
          <w:p w14:paraId="2B5F5CED"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6</w:t>
            </w:r>
          </w:p>
        </w:tc>
        <w:tc>
          <w:tcPr>
            <w:tcW w:w="552" w:type="dxa"/>
            <w:vAlign w:val="center"/>
          </w:tcPr>
          <w:p w14:paraId="047CB8C8"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6</w:t>
            </w:r>
          </w:p>
        </w:tc>
      </w:tr>
      <w:tr w:rsidR="009B7BA9" w:rsidRPr="00BF2CF5" w14:paraId="6FABC8ED" w14:textId="77777777" w:rsidTr="00261B26">
        <w:trPr>
          <w:jc w:val="center"/>
        </w:trPr>
        <w:tc>
          <w:tcPr>
            <w:tcW w:w="1289" w:type="dxa"/>
            <w:tcMar>
              <w:right w:w="57" w:type="dxa"/>
            </w:tcMar>
            <w:vAlign w:val="center"/>
          </w:tcPr>
          <w:p w14:paraId="31F8915A" w14:textId="77777777" w:rsidR="009B7BA9" w:rsidRPr="00BF2CF5" w:rsidRDefault="009B7BA9" w:rsidP="00261B26">
            <w:pPr>
              <w:spacing w:before="30" w:after="30" w:line="240" w:lineRule="auto"/>
              <w:rPr>
                <w:rFonts w:ascii="Arial" w:eastAsia="Times New Roman" w:hAnsi="Arial"/>
                <w:b/>
                <w:color w:val="000000" w:themeColor="text1"/>
                <w:sz w:val="14"/>
                <w:szCs w:val="14"/>
                <w:lang w:val="en-GB"/>
              </w:rPr>
            </w:pPr>
            <w:r>
              <w:rPr>
                <w:rFonts w:ascii="Arial" w:hAnsi="Arial"/>
                <w:color w:val="000000"/>
                <w:sz w:val="14"/>
                <w:szCs w:val="14"/>
              </w:rPr>
              <w:t>Estonia</w:t>
            </w:r>
          </w:p>
        </w:tc>
        <w:tc>
          <w:tcPr>
            <w:tcW w:w="571" w:type="dxa"/>
            <w:vAlign w:val="center"/>
          </w:tcPr>
          <w:p w14:paraId="27ECEEDB"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7</w:t>
            </w:r>
          </w:p>
        </w:tc>
        <w:tc>
          <w:tcPr>
            <w:tcW w:w="571" w:type="dxa"/>
            <w:vAlign w:val="center"/>
          </w:tcPr>
          <w:p w14:paraId="47941423"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9</w:t>
            </w:r>
          </w:p>
        </w:tc>
        <w:tc>
          <w:tcPr>
            <w:tcW w:w="571" w:type="dxa"/>
            <w:vAlign w:val="center"/>
          </w:tcPr>
          <w:p w14:paraId="16D54E9F"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6</w:t>
            </w:r>
          </w:p>
        </w:tc>
        <w:tc>
          <w:tcPr>
            <w:tcW w:w="571" w:type="dxa"/>
            <w:vAlign w:val="center"/>
          </w:tcPr>
          <w:p w14:paraId="1035DD51"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8</w:t>
            </w:r>
          </w:p>
        </w:tc>
        <w:tc>
          <w:tcPr>
            <w:tcW w:w="571" w:type="dxa"/>
            <w:vAlign w:val="center"/>
          </w:tcPr>
          <w:p w14:paraId="7D781EB3"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8</w:t>
            </w:r>
          </w:p>
        </w:tc>
        <w:tc>
          <w:tcPr>
            <w:tcW w:w="571" w:type="dxa"/>
            <w:vAlign w:val="center"/>
          </w:tcPr>
          <w:p w14:paraId="043EB4AA"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10</w:t>
            </w:r>
          </w:p>
        </w:tc>
        <w:tc>
          <w:tcPr>
            <w:tcW w:w="1043" w:type="dxa"/>
            <w:vAlign w:val="center"/>
          </w:tcPr>
          <w:p w14:paraId="74A58624" w14:textId="77777777" w:rsidR="009B7BA9" w:rsidRPr="00BF2CF5" w:rsidRDefault="009B7BA9" w:rsidP="00261B26">
            <w:pPr>
              <w:spacing w:before="30" w:after="30" w:line="240" w:lineRule="auto"/>
              <w:rPr>
                <w:rFonts w:ascii="Arial" w:eastAsia="Times New Roman" w:hAnsi="Arial"/>
                <w:b/>
                <w:color w:val="000000" w:themeColor="text1"/>
                <w:sz w:val="14"/>
                <w:szCs w:val="14"/>
                <w:lang w:val="en-GB"/>
              </w:rPr>
            </w:pPr>
            <w:r>
              <w:rPr>
                <w:rFonts w:ascii="Arial" w:hAnsi="Arial"/>
                <w:color w:val="000000"/>
                <w:sz w:val="14"/>
                <w:szCs w:val="14"/>
              </w:rPr>
              <w:t>Portugal</w:t>
            </w:r>
          </w:p>
        </w:tc>
        <w:tc>
          <w:tcPr>
            <w:tcW w:w="552" w:type="dxa"/>
            <w:vAlign w:val="center"/>
          </w:tcPr>
          <w:p w14:paraId="0D180F9D"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5</w:t>
            </w:r>
          </w:p>
        </w:tc>
        <w:tc>
          <w:tcPr>
            <w:tcW w:w="552" w:type="dxa"/>
            <w:vAlign w:val="center"/>
          </w:tcPr>
          <w:p w14:paraId="6F1BA950"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9</w:t>
            </w:r>
          </w:p>
        </w:tc>
        <w:tc>
          <w:tcPr>
            <w:tcW w:w="552" w:type="dxa"/>
            <w:vAlign w:val="center"/>
          </w:tcPr>
          <w:p w14:paraId="133B5382"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6</w:t>
            </w:r>
          </w:p>
        </w:tc>
        <w:tc>
          <w:tcPr>
            <w:tcW w:w="552" w:type="dxa"/>
            <w:vAlign w:val="center"/>
          </w:tcPr>
          <w:p w14:paraId="65FF5600"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5</w:t>
            </w:r>
          </w:p>
        </w:tc>
        <w:tc>
          <w:tcPr>
            <w:tcW w:w="552" w:type="dxa"/>
            <w:vAlign w:val="center"/>
          </w:tcPr>
          <w:p w14:paraId="0F932B8C"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c>
          <w:tcPr>
            <w:tcW w:w="552" w:type="dxa"/>
            <w:vAlign w:val="center"/>
          </w:tcPr>
          <w:p w14:paraId="1BFA62C4"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r>
      <w:tr w:rsidR="009B7BA9" w:rsidRPr="00BF2CF5" w14:paraId="1C07FC3E" w14:textId="77777777" w:rsidTr="00261B26">
        <w:trPr>
          <w:jc w:val="center"/>
        </w:trPr>
        <w:tc>
          <w:tcPr>
            <w:tcW w:w="1289" w:type="dxa"/>
            <w:tcMar>
              <w:right w:w="57" w:type="dxa"/>
            </w:tcMar>
            <w:vAlign w:val="center"/>
          </w:tcPr>
          <w:p w14:paraId="2C481021"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Ireland</w:t>
            </w:r>
          </w:p>
        </w:tc>
        <w:tc>
          <w:tcPr>
            <w:tcW w:w="571" w:type="dxa"/>
            <w:vAlign w:val="center"/>
          </w:tcPr>
          <w:p w14:paraId="639F8858"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13</w:t>
            </w:r>
          </w:p>
        </w:tc>
        <w:tc>
          <w:tcPr>
            <w:tcW w:w="571" w:type="dxa"/>
            <w:vAlign w:val="center"/>
          </w:tcPr>
          <w:p w14:paraId="7A3E874F"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20</w:t>
            </w:r>
          </w:p>
        </w:tc>
        <w:tc>
          <w:tcPr>
            <w:tcW w:w="571" w:type="dxa"/>
            <w:vAlign w:val="center"/>
          </w:tcPr>
          <w:p w14:paraId="4BD9DEC1"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12</w:t>
            </w:r>
          </w:p>
        </w:tc>
        <w:tc>
          <w:tcPr>
            <w:tcW w:w="571" w:type="dxa"/>
            <w:vAlign w:val="center"/>
          </w:tcPr>
          <w:p w14:paraId="0043721A"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11</w:t>
            </w:r>
          </w:p>
        </w:tc>
        <w:tc>
          <w:tcPr>
            <w:tcW w:w="571" w:type="dxa"/>
            <w:vAlign w:val="center"/>
          </w:tcPr>
          <w:p w14:paraId="367CF6B5"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9</w:t>
            </w:r>
          </w:p>
        </w:tc>
        <w:tc>
          <w:tcPr>
            <w:tcW w:w="571" w:type="dxa"/>
            <w:vAlign w:val="center"/>
          </w:tcPr>
          <w:p w14:paraId="73115E7C"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9</w:t>
            </w:r>
          </w:p>
        </w:tc>
        <w:tc>
          <w:tcPr>
            <w:tcW w:w="1043" w:type="dxa"/>
            <w:vAlign w:val="center"/>
          </w:tcPr>
          <w:p w14:paraId="7C62B660"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Malta</w:t>
            </w:r>
          </w:p>
        </w:tc>
        <w:tc>
          <w:tcPr>
            <w:tcW w:w="552" w:type="dxa"/>
            <w:vAlign w:val="center"/>
          </w:tcPr>
          <w:p w14:paraId="71FB807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52" w:type="dxa"/>
            <w:vAlign w:val="center"/>
          </w:tcPr>
          <w:p w14:paraId="587CAF0C"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42543A6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3451292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52" w:type="dxa"/>
            <w:vAlign w:val="center"/>
          </w:tcPr>
          <w:p w14:paraId="28A3BB2B"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552" w:type="dxa"/>
            <w:vAlign w:val="center"/>
          </w:tcPr>
          <w:p w14:paraId="2C5034D8"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r>
      <w:tr w:rsidR="009B7BA9" w:rsidRPr="00BF2CF5" w14:paraId="1BC56F25" w14:textId="77777777" w:rsidTr="00261B26">
        <w:trPr>
          <w:jc w:val="center"/>
        </w:trPr>
        <w:tc>
          <w:tcPr>
            <w:tcW w:w="1289" w:type="dxa"/>
            <w:tcMar>
              <w:right w:w="57" w:type="dxa"/>
            </w:tcMar>
            <w:vAlign w:val="center"/>
          </w:tcPr>
          <w:p w14:paraId="79648BB8"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Finland</w:t>
            </w:r>
          </w:p>
        </w:tc>
        <w:tc>
          <w:tcPr>
            <w:tcW w:w="571" w:type="dxa"/>
            <w:vAlign w:val="center"/>
          </w:tcPr>
          <w:p w14:paraId="215110B3"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71" w:type="dxa"/>
            <w:vAlign w:val="center"/>
          </w:tcPr>
          <w:p w14:paraId="3DFA6A6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71" w:type="dxa"/>
            <w:vAlign w:val="center"/>
          </w:tcPr>
          <w:p w14:paraId="4AD2022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5</w:t>
            </w:r>
          </w:p>
        </w:tc>
        <w:tc>
          <w:tcPr>
            <w:tcW w:w="571" w:type="dxa"/>
            <w:vAlign w:val="center"/>
          </w:tcPr>
          <w:p w14:paraId="75A8BC13"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5</w:t>
            </w:r>
          </w:p>
        </w:tc>
        <w:tc>
          <w:tcPr>
            <w:tcW w:w="571" w:type="dxa"/>
            <w:vAlign w:val="center"/>
          </w:tcPr>
          <w:p w14:paraId="65440A0E"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571" w:type="dxa"/>
            <w:vAlign w:val="center"/>
          </w:tcPr>
          <w:p w14:paraId="7E429D50"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9</w:t>
            </w:r>
          </w:p>
        </w:tc>
        <w:tc>
          <w:tcPr>
            <w:tcW w:w="1043" w:type="dxa"/>
            <w:vAlign w:val="center"/>
          </w:tcPr>
          <w:p w14:paraId="5C9A0B49"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Netherlands</w:t>
            </w:r>
          </w:p>
        </w:tc>
        <w:tc>
          <w:tcPr>
            <w:tcW w:w="552" w:type="dxa"/>
            <w:vAlign w:val="center"/>
          </w:tcPr>
          <w:p w14:paraId="1CAFC7DD"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1E9322A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0DA64C4C"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52" w:type="dxa"/>
            <w:vAlign w:val="center"/>
          </w:tcPr>
          <w:p w14:paraId="3FC9C658"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5</w:t>
            </w:r>
          </w:p>
        </w:tc>
        <w:tc>
          <w:tcPr>
            <w:tcW w:w="552" w:type="dxa"/>
            <w:vAlign w:val="center"/>
          </w:tcPr>
          <w:p w14:paraId="3ACAE36E"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c>
          <w:tcPr>
            <w:tcW w:w="552" w:type="dxa"/>
            <w:vAlign w:val="center"/>
          </w:tcPr>
          <w:p w14:paraId="1483B50D"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r>
      <w:tr w:rsidR="009B7BA9" w:rsidRPr="00BF2CF5" w14:paraId="293CE875" w14:textId="77777777" w:rsidTr="00261B26">
        <w:trPr>
          <w:jc w:val="center"/>
        </w:trPr>
        <w:tc>
          <w:tcPr>
            <w:tcW w:w="1289" w:type="dxa"/>
            <w:tcMar>
              <w:right w:w="57" w:type="dxa"/>
            </w:tcMar>
            <w:vAlign w:val="center"/>
          </w:tcPr>
          <w:p w14:paraId="0045937F"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Germany</w:t>
            </w:r>
          </w:p>
        </w:tc>
        <w:tc>
          <w:tcPr>
            <w:tcW w:w="571" w:type="dxa"/>
            <w:vAlign w:val="center"/>
          </w:tcPr>
          <w:p w14:paraId="08381355"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10</w:t>
            </w:r>
          </w:p>
        </w:tc>
        <w:tc>
          <w:tcPr>
            <w:tcW w:w="571" w:type="dxa"/>
            <w:vAlign w:val="center"/>
          </w:tcPr>
          <w:p w14:paraId="6A4A4D17"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71" w:type="dxa"/>
            <w:vAlign w:val="center"/>
          </w:tcPr>
          <w:p w14:paraId="3F7C4FD3"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71" w:type="dxa"/>
            <w:vAlign w:val="center"/>
          </w:tcPr>
          <w:p w14:paraId="1F0F327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71" w:type="dxa"/>
            <w:vAlign w:val="center"/>
          </w:tcPr>
          <w:p w14:paraId="250FA66C"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9</w:t>
            </w:r>
          </w:p>
        </w:tc>
        <w:tc>
          <w:tcPr>
            <w:tcW w:w="571" w:type="dxa"/>
            <w:vAlign w:val="center"/>
          </w:tcPr>
          <w:p w14:paraId="647030A2"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9</w:t>
            </w:r>
          </w:p>
        </w:tc>
        <w:tc>
          <w:tcPr>
            <w:tcW w:w="1043" w:type="dxa"/>
            <w:vAlign w:val="center"/>
          </w:tcPr>
          <w:p w14:paraId="3F06A7EB" w14:textId="77777777" w:rsidR="009B7BA9" w:rsidRPr="00BF2CF5" w:rsidRDefault="009B7BA9" w:rsidP="00261B26">
            <w:pPr>
              <w:spacing w:before="30" w:after="30" w:line="240" w:lineRule="auto"/>
              <w:rPr>
                <w:rFonts w:ascii="Arial" w:eastAsia="Times New Roman" w:hAnsi="Arial"/>
                <w:b/>
                <w:color w:val="000000" w:themeColor="text1"/>
                <w:sz w:val="14"/>
                <w:szCs w:val="14"/>
                <w:lang w:val="en-GB"/>
              </w:rPr>
            </w:pPr>
            <w:r>
              <w:rPr>
                <w:rFonts w:ascii="Arial" w:hAnsi="Arial"/>
                <w:color w:val="000000"/>
                <w:sz w:val="14"/>
                <w:szCs w:val="14"/>
              </w:rPr>
              <w:t>Czechia</w:t>
            </w:r>
          </w:p>
        </w:tc>
        <w:tc>
          <w:tcPr>
            <w:tcW w:w="552" w:type="dxa"/>
            <w:vAlign w:val="center"/>
          </w:tcPr>
          <w:p w14:paraId="7D64BFE1"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7</w:t>
            </w:r>
          </w:p>
        </w:tc>
        <w:tc>
          <w:tcPr>
            <w:tcW w:w="552" w:type="dxa"/>
            <w:vAlign w:val="center"/>
          </w:tcPr>
          <w:p w14:paraId="1D220EF4"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9</w:t>
            </w:r>
          </w:p>
        </w:tc>
        <w:tc>
          <w:tcPr>
            <w:tcW w:w="552" w:type="dxa"/>
            <w:vAlign w:val="center"/>
          </w:tcPr>
          <w:p w14:paraId="3EA475FD"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6</w:t>
            </w:r>
          </w:p>
        </w:tc>
        <w:tc>
          <w:tcPr>
            <w:tcW w:w="552" w:type="dxa"/>
            <w:vAlign w:val="center"/>
          </w:tcPr>
          <w:p w14:paraId="464F5276"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6</w:t>
            </w:r>
          </w:p>
        </w:tc>
        <w:tc>
          <w:tcPr>
            <w:tcW w:w="552" w:type="dxa"/>
            <w:vAlign w:val="center"/>
          </w:tcPr>
          <w:p w14:paraId="6C1B53C1"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c>
          <w:tcPr>
            <w:tcW w:w="552" w:type="dxa"/>
            <w:vAlign w:val="center"/>
          </w:tcPr>
          <w:p w14:paraId="6F68F99D"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r>
      <w:tr w:rsidR="009B7BA9" w:rsidRPr="00BF2CF5" w14:paraId="694E85CD" w14:textId="77777777" w:rsidTr="00261B26">
        <w:trPr>
          <w:jc w:val="center"/>
        </w:trPr>
        <w:tc>
          <w:tcPr>
            <w:tcW w:w="1289" w:type="dxa"/>
            <w:tcMar>
              <w:right w:w="57" w:type="dxa"/>
            </w:tcMar>
            <w:vAlign w:val="center"/>
          </w:tcPr>
          <w:p w14:paraId="20AEA40D" w14:textId="77777777" w:rsidR="009B7BA9" w:rsidRPr="00BF2CF5" w:rsidRDefault="009B7BA9" w:rsidP="00261B26">
            <w:pPr>
              <w:spacing w:before="30" w:after="30" w:line="240" w:lineRule="auto"/>
              <w:rPr>
                <w:rFonts w:ascii="Arial" w:eastAsia="Times New Roman" w:hAnsi="Arial"/>
                <w:b/>
                <w:color w:val="000000" w:themeColor="text1"/>
                <w:sz w:val="14"/>
                <w:szCs w:val="14"/>
                <w:lang w:val="en-GB"/>
              </w:rPr>
            </w:pPr>
            <w:r>
              <w:rPr>
                <w:rFonts w:ascii="Arial" w:hAnsi="Arial"/>
                <w:color w:val="000000"/>
                <w:sz w:val="14"/>
                <w:szCs w:val="14"/>
              </w:rPr>
              <w:t>Italy</w:t>
            </w:r>
          </w:p>
        </w:tc>
        <w:tc>
          <w:tcPr>
            <w:tcW w:w="571" w:type="dxa"/>
            <w:vAlign w:val="center"/>
          </w:tcPr>
          <w:p w14:paraId="66D84E80"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7</w:t>
            </w:r>
          </w:p>
        </w:tc>
        <w:tc>
          <w:tcPr>
            <w:tcW w:w="571" w:type="dxa"/>
            <w:vAlign w:val="center"/>
          </w:tcPr>
          <w:p w14:paraId="13488528"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9</w:t>
            </w:r>
          </w:p>
        </w:tc>
        <w:tc>
          <w:tcPr>
            <w:tcW w:w="571" w:type="dxa"/>
            <w:vAlign w:val="center"/>
          </w:tcPr>
          <w:p w14:paraId="6028FE49"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10</w:t>
            </w:r>
          </w:p>
        </w:tc>
        <w:tc>
          <w:tcPr>
            <w:tcW w:w="571" w:type="dxa"/>
            <w:vAlign w:val="center"/>
          </w:tcPr>
          <w:p w14:paraId="1FB01D8C" w14:textId="77777777" w:rsidR="009B7BA9" w:rsidRPr="00BF2CF5" w:rsidRDefault="009B7BA9" w:rsidP="00261B26">
            <w:pPr>
              <w:spacing w:before="30" w:after="30" w:line="240" w:lineRule="auto"/>
              <w:jc w:val="center"/>
              <w:rPr>
                <w:rFonts w:ascii="Arial" w:eastAsia="Times New Roman" w:hAnsi="Arial"/>
                <w:b/>
                <w:color w:val="000000" w:themeColor="text1"/>
                <w:sz w:val="14"/>
                <w:szCs w:val="14"/>
                <w:lang w:val="en-GB"/>
              </w:rPr>
            </w:pPr>
            <w:r>
              <w:rPr>
                <w:rFonts w:ascii="Arial" w:hAnsi="Arial"/>
                <w:color w:val="000000"/>
                <w:sz w:val="14"/>
                <w:szCs w:val="14"/>
              </w:rPr>
              <w:t>9</w:t>
            </w:r>
          </w:p>
        </w:tc>
        <w:tc>
          <w:tcPr>
            <w:tcW w:w="571" w:type="dxa"/>
            <w:vAlign w:val="center"/>
          </w:tcPr>
          <w:p w14:paraId="426A5455"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9</w:t>
            </w:r>
          </w:p>
        </w:tc>
        <w:tc>
          <w:tcPr>
            <w:tcW w:w="571" w:type="dxa"/>
            <w:vAlign w:val="center"/>
          </w:tcPr>
          <w:p w14:paraId="04321DDE"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8</w:t>
            </w:r>
          </w:p>
        </w:tc>
        <w:tc>
          <w:tcPr>
            <w:tcW w:w="1043" w:type="dxa"/>
            <w:vAlign w:val="center"/>
          </w:tcPr>
          <w:p w14:paraId="11B09116"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Cyprus</w:t>
            </w:r>
          </w:p>
        </w:tc>
        <w:tc>
          <w:tcPr>
            <w:tcW w:w="552" w:type="dxa"/>
            <w:vAlign w:val="center"/>
          </w:tcPr>
          <w:p w14:paraId="3DBABEC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52" w:type="dxa"/>
            <w:vAlign w:val="center"/>
          </w:tcPr>
          <w:p w14:paraId="4034A9B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52" w:type="dxa"/>
            <w:vAlign w:val="center"/>
          </w:tcPr>
          <w:p w14:paraId="3F5F7C6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10</w:t>
            </w:r>
          </w:p>
        </w:tc>
        <w:tc>
          <w:tcPr>
            <w:tcW w:w="552" w:type="dxa"/>
            <w:vAlign w:val="center"/>
          </w:tcPr>
          <w:p w14:paraId="4D34CB6B"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7D6CAAB3"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c>
          <w:tcPr>
            <w:tcW w:w="552" w:type="dxa"/>
            <w:vAlign w:val="center"/>
          </w:tcPr>
          <w:p w14:paraId="4CDD8545"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r>
      <w:tr w:rsidR="009B7BA9" w:rsidRPr="00BF2CF5" w14:paraId="65CF5C99" w14:textId="77777777" w:rsidTr="00261B26">
        <w:trPr>
          <w:jc w:val="center"/>
        </w:trPr>
        <w:tc>
          <w:tcPr>
            <w:tcW w:w="1289" w:type="dxa"/>
            <w:tcMar>
              <w:right w:w="57" w:type="dxa"/>
            </w:tcMar>
            <w:vAlign w:val="center"/>
          </w:tcPr>
          <w:p w14:paraId="046FEC3B"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b/>
                <w:bCs/>
                <w:color w:val="000000"/>
                <w:sz w:val="14"/>
                <w:szCs w:val="14"/>
              </w:rPr>
              <w:t>EU-27 wgtd avg</w:t>
            </w:r>
          </w:p>
        </w:tc>
        <w:tc>
          <w:tcPr>
            <w:tcW w:w="571" w:type="dxa"/>
            <w:vAlign w:val="center"/>
          </w:tcPr>
          <w:p w14:paraId="54C65658" w14:textId="77777777" w:rsidR="009B7BA9" w:rsidRPr="0022429B"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b/>
                <w:bCs/>
                <w:color w:val="000000"/>
                <w:sz w:val="14"/>
                <w:szCs w:val="14"/>
              </w:rPr>
              <w:t>8</w:t>
            </w:r>
          </w:p>
        </w:tc>
        <w:tc>
          <w:tcPr>
            <w:tcW w:w="571" w:type="dxa"/>
            <w:vAlign w:val="center"/>
          </w:tcPr>
          <w:p w14:paraId="57EB4FAD" w14:textId="77777777" w:rsidR="009B7BA9" w:rsidRPr="0022429B"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b/>
                <w:bCs/>
                <w:color w:val="000000"/>
                <w:sz w:val="14"/>
                <w:szCs w:val="14"/>
              </w:rPr>
              <w:t>10</w:t>
            </w:r>
          </w:p>
        </w:tc>
        <w:tc>
          <w:tcPr>
            <w:tcW w:w="571" w:type="dxa"/>
            <w:vAlign w:val="center"/>
          </w:tcPr>
          <w:p w14:paraId="795C744A" w14:textId="77777777" w:rsidR="009B7BA9" w:rsidRPr="0022429B"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b/>
                <w:bCs/>
                <w:color w:val="000000"/>
                <w:sz w:val="14"/>
                <w:szCs w:val="14"/>
              </w:rPr>
              <w:t>9</w:t>
            </w:r>
          </w:p>
        </w:tc>
        <w:tc>
          <w:tcPr>
            <w:tcW w:w="571" w:type="dxa"/>
            <w:vAlign w:val="center"/>
          </w:tcPr>
          <w:p w14:paraId="6AE62FEB" w14:textId="77777777" w:rsidR="009B7BA9" w:rsidRPr="0022429B"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b/>
                <w:bCs/>
                <w:color w:val="000000"/>
                <w:sz w:val="14"/>
                <w:szCs w:val="14"/>
              </w:rPr>
              <w:t>9</w:t>
            </w:r>
          </w:p>
        </w:tc>
        <w:tc>
          <w:tcPr>
            <w:tcW w:w="571" w:type="dxa"/>
            <w:vAlign w:val="center"/>
          </w:tcPr>
          <w:p w14:paraId="1BC94016" w14:textId="77777777" w:rsidR="009B7BA9" w:rsidRDefault="009B7BA9" w:rsidP="00261B26">
            <w:pPr>
              <w:spacing w:before="30" w:after="30" w:line="240" w:lineRule="auto"/>
              <w:jc w:val="center"/>
              <w:rPr>
                <w:rFonts w:ascii="Arial" w:hAnsi="Arial"/>
                <w:color w:val="000000"/>
                <w:sz w:val="14"/>
                <w:szCs w:val="14"/>
              </w:rPr>
            </w:pPr>
            <w:r>
              <w:rPr>
                <w:rFonts w:ascii="Arial" w:hAnsi="Arial"/>
                <w:b/>
                <w:bCs/>
                <w:color w:val="000000"/>
                <w:sz w:val="14"/>
                <w:szCs w:val="14"/>
              </w:rPr>
              <w:t>8</w:t>
            </w:r>
          </w:p>
        </w:tc>
        <w:tc>
          <w:tcPr>
            <w:tcW w:w="571" w:type="dxa"/>
            <w:vAlign w:val="center"/>
          </w:tcPr>
          <w:p w14:paraId="12AC4D42" w14:textId="77777777" w:rsidR="009B7BA9" w:rsidRDefault="009B7BA9" w:rsidP="00261B26">
            <w:pPr>
              <w:spacing w:before="30" w:after="30" w:line="240" w:lineRule="auto"/>
              <w:jc w:val="center"/>
              <w:rPr>
                <w:rFonts w:ascii="Arial" w:hAnsi="Arial"/>
                <w:color w:val="000000"/>
                <w:sz w:val="14"/>
                <w:szCs w:val="14"/>
              </w:rPr>
            </w:pPr>
            <w:r>
              <w:rPr>
                <w:rFonts w:ascii="Arial" w:hAnsi="Arial"/>
                <w:b/>
                <w:bCs/>
                <w:color w:val="000000"/>
                <w:sz w:val="14"/>
                <w:szCs w:val="14"/>
              </w:rPr>
              <w:t>8</w:t>
            </w:r>
          </w:p>
        </w:tc>
        <w:tc>
          <w:tcPr>
            <w:tcW w:w="1043" w:type="dxa"/>
            <w:vAlign w:val="center"/>
          </w:tcPr>
          <w:p w14:paraId="771C9877"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Hungary</w:t>
            </w:r>
          </w:p>
        </w:tc>
        <w:tc>
          <w:tcPr>
            <w:tcW w:w="552" w:type="dxa"/>
            <w:vAlign w:val="center"/>
          </w:tcPr>
          <w:p w14:paraId="1F1215F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15</w:t>
            </w:r>
          </w:p>
        </w:tc>
        <w:tc>
          <w:tcPr>
            <w:tcW w:w="552" w:type="dxa"/>
            <w:vAlign w:val="center"/>
          </w:tcPr>
          <w:p w14:paraId="13E1DE55"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16</w:t>
            </w:r>
          </w:p>
        </w:tc>
        <w:tc>
          <w:tcPr>
            <w:tcW w:w="552" w:type="dxa"/>
            <w:vAlign w:val="center"/>
          </w:tcPr>
          <w:p w14:paraId="5B1B136E"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38C557C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05C52797"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c>
          <w:tcPr>
            <w:tcW w:w="552" w:type="dxa"/>
            <w:vAlign w:val="center"/>
          </w:tcPr>
          <w:p w14:paraId="778C8B77"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r>
      <w:tr w:rsidR="009B7BA9" w:rsidRPr="00BF2CF5" w14:paraId="4C2224DB" w14:textId="77777777" w:rsidTr="00261B26">
        <w:trPr>
          <w:jc w:val="center"/>
        </w:trPr>
        <w:tc>
          <w:tcPr>
            <w:tcW w:w="1289" w:type="dxa"/>
            <w:tcMar>
              <w:right w:w="57" w:type="dxa"/>
            </w:tcMar>
            <w:vAlign w:val="center"/>
          </w:tcPr>
          <w:p w14:paraId="5F2049E6"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Bulgaria</w:t>
            </w:r>
          </w:p>
        </w:tc>
        <w:tc>
          <w:tcPr>
            <w:tcW w:w="571" w:type="dxa"/>
            <w:vAlign w:val="center"/>
          </w:tcPr>
          <w:p w14:paraId="74BFE11B"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571" w:type="dxa"/>
            <w:vAlign w:val="center"/>
          </w:tcPr>
          <w:p w14:paraId="002BBFE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18</w:t>
            </w:r>
          </w:p>
        </w:tc>
        <w:tc>
          <w:tcPr>
            <w:tcW w:w="571" w:type="dxa"/>
            <w:vAlign w:val="center"/>
          </w:tcPr>
          <w:p w14:paraId="296C999E"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571" w:type="dxa"/>
            <w:vAlign w:val="center"/>
          </w:tcPr>
          <w:p w14:paraId="464E0071"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71" w:type="dxa"/>
            <w:vAlign w:val="center"/>
          </w:tcPr>
          <w:p w14:paraId="3973C033"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8</w:t>
            </w:r>
          </w:p>
        </w:tc>
        <w:tc>
          <w:tcPr>
            <w:tcW w:w="571" w:type="dxa"/>
            <w:vAlign w:val="center"/>
          </w:tcPr>
          <w:p w14:paraId="28A13381"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1043" w:type="dxa"/>
            <w:vAlign w:val="center"/>
          </w:tcPr>
          <w:p w14:paraId="4B41A092"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Poland</w:t>
            </w:r>
          </w:p>
        </w:tc>
        <w:tc>
          <w:tcPr>
            <w:tcW w:w="552" w:type="dxa"/>
            <w:vAlign w:val="center"/>
          </w:tcPr>
          <w:p w14:paraId="2FB9F08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0B4D760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52" w:type="dxa"/>
            <w:vAlign w:val="center"/>
          </w:tcPr>
          <w:p w14:paraId="35B60EF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2467D49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3E53A908"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c>
          <w:tcPr>
            <w:tcW w:w="552" w:type="dxa"/>
            <w:vAlign w:val="center"/>
          </w:tcPr>
          <w:p w14:paraId="2A885B45"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r>
      <w:tr w:rsidR="009B7BA9" w:rsidRPr="00BF2CF5" w14:paraId="0EF7AFFD" w14:textId="77777777" w:rsidTr="00261B26">
        <w:trPr>
          <w:trHeight w:val="50"/>
          <w:jc w:val="center"/>
        </w:trPr>
        <w:tc>
          <w:tcPr>
            <w:tcW w:w="1289" w:type="dxa"/>
            <w:tcMar>
              <w:right w:w="57" w:type="dxa"/>
            </w:tcMar>
            <w:vAlign w:val="center"/>
          </w:tcPr>
          <w:p w14:paraId="54ECC7A4"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Lithuania</w:t>
            </w:r>
          </w:p>
        </w:tc>
        <w:tc>
          <w:tcPr>
            <w:tcW w:w="571" w:type="dxa"/>
            <w:vAlign w:val="center"/>
          </w:tcPr>
          <w:p w14:paraId="1AB3AF81" w14:textId="77777777" w:rsidR="009B7BA9" w:rsidRPr="008109B5"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color w:val="000000"/>
                <w:sz w:val="14"/>
                <w:szCs w:val="14"/>
              </w:rPr>
              <w:t>11</w:t>
            </w:r>
          </w:p>
        </w:tc>
        <w:tc>
          <w:tcPr>
            <w:tcW w:w="571" w:type="dxa"/>
            <w:vAlign w:val="center"/>
          </w:tcPr>
          <w:p w14:paraId="7A60A1EE" w14:textId="77777777" w:rsidR="009B7BA9" w:rsidRPr="008109B5"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color w:val="000000"/>
                <w:sz w:val="14"/>
                <w:szCs w:val="14"/>
              </w:rPr>
              <w:t>12</w:t>
            </w:r>
          </w:p>
        </w:tc>
        <w:tc>
          <w:tcPr>
            <w:tcW w:w="571" w:type="dxa"/>
            <w:vAlign w:val="center"/>
          </w:tcPr>
          <w:p w14:paraId="68311EE5" w14:textId="77777777" w:rsidR="009B7BA9" w:rsidRPr="008109B5"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color w:val="000000"/>
                <w:sz w:val="14"/>
                <w:szCs w:val="14"/>
              </w:rPr>
              <w:t>10</w:t>
            </w:r>
          </w:p>
        </w:tc>
        <w:tc>
          <w:tcPr>
            <w:tcW w:w="571" w:type="dxa"/>
            <w:vAlign w:val="center"/>
          </w:tcPr>
          <w:p w14:paraId="3F7B25B6" w14:textId="77777777" w:rsidR="009B7BA9" w:rsidRPr="008109B5" w:rsidRDefault="009B7BA9" w:rsidP="00261B26">
            <w:pPr>
              <w:spacing w:before="30" w:after="30" w:line="240" w:lineRule="auto"/>
              <w:jc w:val="center"/>
              <w:rPr>
                <w:rFonts w:ascii="Arial" w:eastAsia="Times New Roman" w:hAnsi="Arial"/>
                <w:b/>
                <w:bCs/>
                <w:color w:val="000000" w:themeColor="text1"/>
                <w:sz w:val="14"/>
                <w:szCs w:val="14"/>
                <w:lang w:val="en-GB"/>
              </w:rPr>
            </w:pPr>
            <w:r>
              <w:rPr>
                <w:rFonts w:ascii="Arial" w:hAnsi="Arial"/>
                <w:color w:val="000000"/>
                <w:sz w:val="14"/>
                <w:szCs w:val="14"/>
              </w:rPr>
              <w:t>9</w:t>
            </w:r>
          </w:p>
        </w:tc>
        <w:tc>
          <w:tcPr>
            <w:tcW w:w="571" w:type="dxa"/>
            <w:vAlign w:val="center"/>
          </w:tcPr>
          <w:p w14:paraId="72628DE2"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6</w:t>
            </w:r>
          </w:p>
        </w:tc>
        <w:tc>
          <w:tcPr>
            <w:tcW w:w="571" w:type="dxa"/>
            <w:vAlign w:val="center"/>
          </w:tcPr>
          <w:p w14:paraId="49E9FDFA"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1043" w:type="dxa"/>
            <w:vAlign w:val="center"/>
          </w:tcPr>
          <w:p w14:paraId="30C148CC"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Greece</w:t>
            </w:r>
          </w:p>
        </w:tc>
        <w:tc>
          <w:tcPr>
            <w:tcW w:w="552" w:type="dxa"/>
            <w:vAlign w:val="center"/>
          </w:tcPr>
          <w:p w14:paraId="02127FF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52" w:type="dxa"/>
            <w:vAlign w:val="center"/>
          </w:tcPr>
          <w:p w14:paraId="1AC3257B"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13</w:t>
            </w:r>
          </w:p>
        </w:tc>
        <w:tc>
          <w:tcPr>
            <w:tcW w:w="552" w:type="dxa"/>
            <w:vAlign w:val="center"/>
          </w:tcPr>
          <w:p w14:paraId="4B81ACDD"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52" w:type="dxa"/>
            <w:vAlign w:val="center"/>
          </w:tcPr>
          <w:p w14:paraId="48D16836"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2497B5DD"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5</w:t>
            </w:r>
          </w:p>
        </w:tc>
        <w:tc>
          <w:tcPr>
            <w:tcW w:w="552" w:type="dxa"/>
            <w:vAlign w:val="center"/>
          </w:tcPr>
          <w:p w14:paraId="6B289562"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r>
      <w:tr w:rsidR="009B7BA9" w:rsidRPr="00BF2CF5" w14:paraId="4A8D78FA" w14:textId="77777777" w:rsidTr="00261B26">
        <w:trPr>
          <w:trHeight w:val="50"/>
          <w:jc w:val="center"/>
        </w:trPr>
        <w:tc>
          <w:tcPr>
            <w:tcW w:w="1289" w:type="dxa"/>
            <w:tcMar>
              <w:right w:w="57" w:type="dxa"/>
            </w:tcMar>
            <w:vAlign w:val="center"/>
          </w:tcPr>
          <w:p w14:paraId="4F27393A"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Luxembourg</w:t>
            </w:r>
          </w:p>
        </w:tc>
        <w:tc>
          <w:tcPr>
            <w:tcW w:w="571" w:type="dxa"/>
            <w:vAlign w:val="center"/>
          </w:tcPr>
          <w:p w14:paraId="2ECB4861"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71" w:type="dxa"/>
            <w:vAlign w:val="center"/>
          </w:tcPr>
          <w:p w14:paraId="47A470B4"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71" w:type="dxa"/>
            <w:vAlign w:val="center"/>
          </w:tcPr>
          <w:p w14:paraId="0A847D77"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71" w:type="dxa"/>
            <w:vAlign w:val="center"/>
          </w:tcPr>
          <w:p w14:paraId="17CDEA11"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71" w:type="dxa"/>
            <w:vAlign w:val="center"/>
          </w:tcPr>
          <w:p w14:paraId="51994B9E"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c>
          <w:tcPr>
            <w:tcW w:w="571" w:type="dxa"/>
            <w:vAlign w:val="center"/>
          </w:tcPr>
          <w:p w14:paraId="00F6C425"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1043" w:type="dxa"/>
            <w:vAlign w:val="center"/>
          </w:tcPr>
          <w:p w14:paraId="15CF6775"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Croatia</w:t>
            </w:r>
          </w:p>
        </w:tc>
        <w:tc>
          <w:tcPr>
            <w:tcW w:w="552" w:type="dxa"/>
            <w:vAlign w:val="center"/>
          </w:tcPr>
          <w:p w14:paraId="50C0A6D5"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7</w:t>
            </w:r>
          </w:p>
        </w:tc>
        <w:tc>
          <w:tcPr>
            <w:tcW w:w="552" w:type="dxa"/>
            <w:vAlign w:val="center"/>
          </w:tcPr>
          <w:p w14:paraId="09CD089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552" w:type="dxa"/>
            <w:vAlign w:val="center"/>
          </w:tcPr>
          <w:p w14:paraId="19D05F48"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52" w:type="dxa"/>
            <w:vAlign w:val="center"/>
          </w:tcPr>
          <w:p w14:paraId="69E4046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52" w:type="dxa"/>
            <w:vAlign w:val="center"/>
          </w:tcPr>
          <w:p w14:paraId="6B88D20E"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4</w:t>
            </w:r>
          </w:p>
        </w:tc>
        <w:tc>
          <w:tcPr>
            <w:tcW w:w="552" w:type="dxa"/>
            <w:vAlign w:val="center"/>
          </w:tcPr>
          <w:p w14:paraId="7AEF5499"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3</w:t>
            </w:r>
          </w:p>
        </w:tc>
      </w:tr>
      <w:tr w:rsidR="009B7BA9" w:rsidRPr="00BF2CF5" w14:paraId="51AA53E6" w14:textId="77777777" w:rsidTr="00261B26">
        <w:trPr>
          <w:trHeight w:val="50"/>
          <w:jc w:val="center"/>
        </w:trPr>
        <w:tc>
          <w:tcPr>
            <w:tcW w:w="1289" w:type="dxa"/>
            <w:tcMar>
              <w:right w:w="57" w:type="dxa"/>
            </w:tcMar>
            <w:vAlign w:val="center"/>
          </w:tcPr>
          <w:p w14:paraId="3066F15A"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Spain</w:t>
            </w:r>
          </w:p>
        </w:tc>
        <w:tc>
          <w:tcPr>
            <w:tcW w:w="571" w:type="dxa"/>
            <w:vAlign w:val="center"/>
          </w:tcPr>
          <w:p w14:paraId="7845DE1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6</w:t>
            </w:r>
          </w:p>
        </w:tc>
        <w:tc>
          <w:tcPr>
            <w:tcW w:w="571" w:type="dxa"/>
            <w:vAlign w:val="center"/>
          </w:tcPr>
          <w:p w14:paraId="2B64F9E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13</w:t>
            </w:r>
          </w:p>
        </w:tc>
        <w:tc>
          <w:tcPr>
            <w:tcW w:w="571" w:type="dxa"/>
            <w:vAlign w:val="center"/>
          </w:tcPr>
          <w:p w14:paraId="5BD3267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9</w:t>
            </w:r>
          </w:p>
        </w:tc>
        <w:tc>
          <w:tcPr>
            <w:tcW w:w="571" w:type="dxa"/>
            <w:vAlign w:val="center"/>
          </w:tcPr>
          <w:p w14:paraId="4E78B658"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8</w:t>
            </w:r>
          </w:p>
        </w:tc>
        <w:tc>
          <w:tcPr>
            <w:tcW w:w="571" w:type="dxa"/>
            <w:vAlign w:val="center"/>
          </w:tcPr>
          <w:p w14:paraId="07F83081"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8</w:t>
            </w:r>
          </w:p>
        </w:tc>
        <w:tc>
          <w:tcPr>
            <w:tcW w:w="571" w:type="dxa"/>
            <w:vAlign w:val="center"/>
          </w:tcPr>
          <w:p w14:paraId="576972DE"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7</w:t>
            </w:r>
          </w:p>
        </w:tc>
        <w:tc>
          <w:tcPr>
            <w:tcW w:w="1043" w:type="dxa"/>
            <w:vAlign w:val="center"/>
          </w:tcPr>
          <w:p w14:paraId="03689CB9" w14:textId="77777777" w:rsidR="009B7BA9" w:rsidRPr="00BF2CF5" w:rsidRDefault="009B7BA9" w:rsidP="00261B26">
            <w:pPr>
              <w:spacing w:before="30" w:after="30" w:line="240" w:lineRule="auto"/>
              <w:rPr>
                <w:rFonts w:ascii="Arial" w:eastAsia="Times New Roman" w:hAnsi="Arial"/>
                <w:color w:val="000000" w:themeColor="text1"/>
                <w:sz w:val="14"/>
                <w:szCs w:val="14"/>
                <w:lang w:val="en-GB"/>
              </w:rPr>
            </w:pPr>
            <w:r>
              <w:rPr>
                <w:rFonts w:ascii="Arial" w:hAnsi="Arial"/>
                <w:color w:val="000000"/>
                <w:sz w:val="14"/>
                <w:szCs w:val="14"/>
              </w:rPr>
              <w:t>Slovenia</w:t>
            </w:r>
          </w:p>
        </w:tc>
        <w:tc>
          <w:tcPr>
            <w:tcW w:w="552" w:type="dxa"/>
            <w:vAlign w:val="center"/>
          </w:tcPr>
          <w:p w14:paraId="5F51122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3</w:t>
            </w:r>
          </w:p>
        </w:tc>
        <w:tc>
          <w:tcPr>
            <w:tcW w:w="552" w:type="dxa"/>
            <w:vAlign w:val="center"/>
          </w:tcPr>
          <w:p w14:paraId="4432AE7F"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4</w:t>
            </w:r>
          </w:p>
        </w:tc>
        <w:tc>
          <w:tcPr>
            <w:tcW w:w="552" w:type="dxa"/>
            <w:vAlign w:val="center"/>
          </w:tcPr>
          <w:p w14:paraId="675D24C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3</w:t>
            </w:r>
          </w:p>
        </w:tc>
        <w:tc>
          <w:tcPr>
            <w:tcW w:w="552" w:type="dxa"/>
            <w:vAlign w:val="center"/>
          </w:tcPr>
          <w:p w14:paraId="7B592D6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3</w:t>
            </w:r>
          </w:p>
        </w:tc>
        <w:tc>
          <w:tcPr>
            <w:tcW w:w="552" w:type="dxa"/>
            <w:vAlign w:val="center"/>
          </w:tcPr>
          <w:p w14:paraId="272EAD78"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2</w:t>
            </w:r>
          </w:p>
        </w:tc>
        <w:tc>
          <w:tcPr>
            <w:tcW w:w="552" w:type="dxa"/>
            <w:vAlign w:val="center"/>
          </w:tcPr>
          <w:p w14:paraId="44C19628"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2</w:t>
            </w:r>
          </w:p>
        </w:tc>
      </w:tr>
    </w:tbl>
    <w:p w14:paraId="0E617074" w14:textId="77777777" w:rsidR="009B7BA9" w:rsidRPr="00BF2CF5" w:rsidRDefault="009B7BA9">
      <w:pPr>
        <w:pStyle w:val="ListParagraph"/>
        <w:numPr>
          <w:ilvl w:val="0"/>
          <w:numId w:val="19"/>
        </w:numPr>
        <w:spacing w:before="60" w:after="0" w:line="240" w:lineRule="auto"/>
        <w:ind w:left="568" w:right="96" w:hanging="284"/>
        <w:rPr>
          <w:rFonts w:ascii="Arial" w:eastAsia="Times New Roman" w:hAnsi="Arial"/>
          <w:color w:val="000000" w:themeColor="text1"/>
          <w:sz w:val="16"/>
          <w:szCs w:val="16"/>
          <w:lang w:val="en-GB"/>
        </w:rPr>
      </w:pPr>
      <w:r w:rsidRPr="001579DB">
        <w:rPr>
          <w:rFonts w:ascii="Arial Mäori" w:eastAsia="Times New Roman" w:hAnsi="Arial Mäori"/>
          <w:color w:val="000000" w:themeColor="text1"/>
          <w:sz w:val="16"/>
          <w:szCs w:val="16"/>
          <w:lang w:val="en-GB"/>
        </w:rPr>
        <w:t>EU Source:</w:t>
      </w:r>
      <w:r w:rsidRPr="001579DB">
        <w:rPr>
          <w:rFonts w:ascii="Arial Mäori" w:hAnsi="Arial Mäori"/>
          <w:sz w:val="16"/>
          <w:szCs w:val="16"/>
        </w:rPr>
        <w:t xml:space="preserve"> </w:t>
      </w:r>
      <w:hyperlink r:id="rId52" w:history="1">
        <w:r w:rsidRPr="001579DB">
          <w:rPr>
            <w:rStyle w:val="Hyperlink"/>
            <w:rFonts w:ascii="Arial Mäori" w:hAnsi="Arial Mäori"/>
            <w:sz w:val="16"/>
            <w:szCs w:val="16"/>
          </w:rPr>
          <w:t>https://ec.europa.eu/eurostat/databrowser/view/LFSI_JHH_A/default/table?lang=en</w:t>
        </w:r>
      </w:hyperlink>
      <w:r w:rsidRPr="00BF2CF5">
        <w:rPr>
          <w:rFonts w:ascii="Arial" w:eastAsia="Times New Roman" w:hAnsi="Arial"/>
          <w:color w:val="000000" w:themeColor="text1"/>
          <w:sz w:val="16"/>
          <w:szCs w:val="16"/>
          <w:lang w:val="en-GB"/>
        </w:rPr>
        <w:t xml:space="preserve"> </w:t>
      </w:r>
      <w:r>
        <w:rPr>
          <w:rFonts w:ascii="Arial" w:eastAsia="Times New Roman" w:hAnsi="Arial"/>
          <w:color w:val="000000" w:themeColor="text1"/>
          <w:sz w:val="16"/>
          <w:szCs w:val="16"/>
          <w:lang w:val="en-GB"/>
        </w:rPr>
        <w:t>(19</w:t>
      </w:r>
      <w:r w:rsidRPr="00BF2CF5">
        <w:rPr>
          <w:rFonts w:ascii="Arial" w:eastAsia="Times New Roman" w:hAnsi="Arial"/>
          <w:color w:val="000000" w:themeColor="text1"/>
          <w:sz w:val="16"/>
          <w:szCs w:val="16"/>
          <w:lang w:val="en-GB"/>
        </w:rPr>
        <w:t xml:space="preserve"> </w:t>
      </w:r>
      <w:r>
        <w:rPr>
          <w:rFonts w:ascii="Arial" w:eastAsia="Times New Roman" w:hAnsi="Arial"/>
          <w:color w:val="000000" w:themeColor="text1"/>
          <w:sz w:val="16"/>
          <w:szCs w:val="16"/>
          <w:lang w:val="en-GB"/>
        </w:rPr>
        <w:t>May</w:t>
      </w:r>
      <w:r w:rsidRPr="00BF2CF5">
        <w:rPr>
          <w:rFonts w:ascii="Arial" w:eastAsia="Times New Roman" w:hAnsi="Arial"/>
          <w:color w:val="000000" w:themeColor="text1"/>
          <w:sz w:val="16"/>
          <w:szCs w:val="16"/>
          <w:lang w:val="en-GB"/>
        </w:rPr>
        <w:t xml:space="preserve"> 202</w:t>
      </w:r>
      <w:r>
        <w:rPr>
          <w:rFonts w:ascii="Arial" w:eastAsia="Times New Roman" w:hAnsi="Arial"/>
          <w:color w:val="000000" w:themeColor="text1"/>
          <w:sz w:val="16"/>
          <w:szCs w:val="16"/>
          <w:lang w:val="en-GB"/>
        </w:rPr>
        <w:t>6)</w:t>
      </w:r>
      <w:r w:rsidRPr="00BF2CF5">
        <w:rPr>
          <w:rFonts w:ascii="Arial" w:eastAsia="Times New Roman" w:hAnsi="Arial"/>
          <w:color w:val="000000" w:themeColor="text1"/>
          <w:sz w:val="16"/>
          <w:szCs w:val="16"/>
          <w:lang w:val="en-GB"/>
        </w:rPr>
        <w:t xml:space="preserve">. </w:t>
      </w:r>
    </w:p>
    <w:p w14:paraId="4B23DA12" w14:textId="77777777" w:rsidR="009B7BA9" w:rsidRPr="005143F7" w:rsidRDefault="009B7BA9">
      <w:pPr>
        <w:pStyle w:val="ListParagraph"/>
        <w:numPr>
          <w:ilvl w:val="0"/>
          <w:numId w:val="19"/>
        </w:numPr>
        <w:spacing w:before="40" w:after="0" w:line="240" w:lineRule="auto"/>
        <w:ind w:left="568" w:right="380" w:hanging="284"/>
        <w:contextualSpacing w:val="0"/>
        <w:rPr>
          <w:rFonts w:ascii="Arial" w:eastAsia="Times New Roman" w:hAnsi="Arial" w:cs="Times New Roman"/>
          <w:color w:val="000000" w:themeColor="text1"/>
          <w:sz w:val="16"/>
          <w:szCs w:val="18"/>
          <w:lang w:val="en-GB"/>
        </w:rPr>
      </w:pPr>
      <w:r w:rsidRPr="005143F7">
        <w:rPr>
          <w:rFonts w:ascii="Arial" w:eastAsia="Times New Roman" w:hAnsi="Arial" w:cs="Times New Roman"/>
          <w:color w:val="000000" w:themeColor="text1"/>
          <w:sz w:val="16"/>
          <w:szCs w:val="18"/>
          <w:lang w:val="en-GB"/>
        </w:rPr>
        <w:t>The reported EU proportions are for the calendar years specified. The HES cuts across adjacent calendar years. For example, the NZ figure for 2023 is the average of the HES 2022-23 and 2023-24. The 2024 figure for NZ is reported for HES 2023-24 as HILS 24-25 does not collect the relevant data</w:t>
      </w:r>
      <w:r>
        <w:rPr>
          <w:rFonts w:ascii="Arial" w:eastAsia="Times New Roman" w:hAnsi="Arial" w:cs="Times New Roman"/>
          <w:color w:val="000000" w:themeColor="text1"/>
          <w:sz w:val="16"/>
          <w:szCs w:val="18"/>
          <w:lang w:val="en-GB"/>
        </w:rPr>
        <w:t>.</w:t>
      </w:r>
    </w:p>
    <w:p w14:paraId="3971CCC4" w14:textId="77777777" w:rsidR="009B7BA9" w:rsidRDefault="009B7BA9">
      <w:pPr>
        <w:pStyle w:val="ListParagraph"/>
        <w:numPr>
          <w:ilvl w:val="0"/>
          <w:numId w:val="19"/>
        </w:numPr>
        <w:spacing w:before="40" w:after="0" w:line="240" w:lineRule="auto"/>
        <w:ind w:left="568" w:right="380" w:hanging="284"/>
        <w:contextualSpacing w:val="0"/>
        <w:rPr>
          <w:rFonts w:ascii="Arial" w:eastAsia="Times New Roman" w:hAnsi="Arial" w:cs="Times New Roman"/>
          <w:color w:val="000000" w:themeColor="text1"/>
          <w:sz w:val="16"/>
          <w:szCs w:val="18"/>
          <w:lang w:val="en-GB"/>
        </w:rPr>
      </w:pPr>
      <w:r w:rsidRPr="005143F7">
        <w:rPr>
          <w:rFonts w:ascii="Arial" w:eastAsia="Times New Roman" w:hAnsi="Arial" w:cs="Times New Roman"/>
          <w:color w:val="000000" w:themeColor="text1"/>
          <w:sz w:val="16"/>
          <w:szCs w:val="18"/>
          <w:lang w:val="en-GB"/>
        </w:rPr>
        <w:t>For the EU figures, ‘workless’ means ‘no paid work’. For the New Zealand figures ‘workless’</w:t>
      </w:r>
      <w:r>
        <w:rPr>
          <w:rFonts w:ascii="Arial" w:eastAsia="Times New Roman" w:hAnsi="Arial" w:cs="Times New Roman"/>
          <w:color w:val="000000" w:themeColor="text1"/>
          <w:sz w:val="16"/>
          <w:szCs w:val="18"/>
          <w:lang w:val="en-GB"/>
        </w:rPr>
        <w:t xml:space="preserve"> means ‘no adult in paid work for 5 or more hours per week’.</w:t>
      </w:r>
    </w:p>
    <w:p w14:paraId="5DC94814" w14:textId="77777777" w:rsidR="009B7BA9" w:rsidRDefault="009B7BA9">
      <w:pPr>
        <w:pStyle w:val="ListParagraph"/>
        <w:numPr>
          <w:ilvl w:val="0"/>
          <w:numId w:val="19"/>
        </w:numPr>
        <w:spacing w:before="40" w:after="0" w:line="240" w:lineRule="auto"/>
        <w:ind w:left="568" w:right="380" w:hanging="284"/>
        <w:contextualSpacing w:val="0"/>
        <w:rPr>
          <w:rFonts w:ascii="Arial" w:eastAsia="Times New Roman" w:hAnsi="Arial" w:cs="Times New Roman"/>
          <w:color w:val="000000" w:themeColor="text1"/>
          <w:sz w:val="16"/>
          <w:szCs w:val="18"/>
          <w:lang w:val="en-GB"/>
        </w:rPr>
      </w:pPr>
      <w:r>
        <w:rPr>
          <w:rFonts w:ascii="Arial" w:eastAsia="Times New Roman" w:hAnsi="Arial" w:cs="Times New Roman"/>
          <w:color w:val="000000" w:themeColor="text1"/>
          <w:sz w:val="16"/>
          <w:szCs w:val="18"/>
          <w:lang w:val="en-GB"/>
        </w:rPr>
        <w:t>Australia reports the number and proportion of children aged under 15 in workless families, not workless households (ABS Labour Force Status of Families). Given that 80-85% of children are in two parent or sole parent households, the size of the difference is not likely to be great.12% of children were in workless families in Australia in 2023.</w:t>
      </w:r>
    </w:p>
    <w:p w14:paraId="0DDF0F0B" w14:textId="77777777" w:rsidR="009B7BA9" w:rsidRDefault="009B7BA9" w:rsidP="009B7BA9">
      <w:pPr>
        <w:spacing w:after="0" w:line="240" w:lineRule="auto"/>
        <w:jc w:val="both"/>
        <w:rPr>
          <w:rFonts w:ascii="Arial" w:eastAsia="Times New Roman" w:hAnsi="Arial"/>
          <w:b/>
          <w:bCs/>
          <w:color w:val="000000" w:themeColor="text1"/>
          <w:szCs w:val="20"/>
          <w:lang w:val="en-GB"/>
        </w:rPr>
      </w:pPr>
    </w:p>
    <w:p w14:paraId="4150E26D" w14:textId="77777777" w:rsidR="009B7BA9" w:rsidRPr="001700E7" w:rsidRDefault="009B7BA9" w:rsidP="009B7BA9">
      <w:pPr>
        <w:spacing w:after="0" w:line="240" w:lineRule="auto"/>
        <w:jc w:val="both"/>
        <w:rPr>
          <w:rFonts w:ascii="Arial" w:eastAsia="Times New Roman" w:hAnsi="Arial"/>
          <w:b/>
          <w:bCs/>
          <w:color w:val="000000" w:themeColor="text1"/>
          <w:sz w:val="24"/>
          <w:szCs w:val="24"/>
          <w:lang w:val="en-GB"/>
        </w:rPr>
      </w:pPr>
      <w:r w:rsidRPr="001700E7">
        <w:rPr>
          <w:rFonts w:ascii="Arial" w:eastAsia="Times New Roman" w:hAnsi="Arial"/>
          <w:b/>
          <w:bCs/>
          <w:color w:val="000000" w:themeColor="text1"/>
          <w:sz w:val="24"/>
          <w:szCs w:val="24"/>
          <w:lang w:val="en-GB"/>
        </w:rPr>
        <w:t>Children in workless households, in households with no full-time paid worker and in families in receipt of a main benefit</w:t>
      </w:r>
    </w:p>
    <w:p w14:paraId="570B49BC" w14:textId="77777777" w:rsidR="009B7BA9" w:rsidRDefault="009B7BA9" w:rsidP="009B7BA9">
      <w:pPr>
        <w:spacing w:after="0" w:line="240" w:lineRule="auto"/>
        <w:jc w:val="both"/>
        <w:rPr>
          <w:rFonts w:ascii="Arial" w:eastAsia="Times New Roman" w:hAnsi="Arial"/>
          <w:color w:val="000000" w:themeColor="text1"/>
          <w:szCs w:val="20"/>
          <w:lang w:val="en-GB"/>
        </w:rPr>
      </w:pPr>
    </w:p>
    <w:p w14:paraId="67189ED7" w14:textId="5CDC4494" w:rsidR="009B7BA9" w:rsidRPr="004214B8" w:rsidRDefault="009B7BA9" w:rsidP="009B7BA9">
      <w:pPr>
        <w:spacing w:line="240" w:lineRule="auto"/>
        <w:jc w:val="both"/>
        <w:rPr>
          <w:rFonts w:ascii="Arial" w:eastAsia="Times New Roman" w:hAnsi="Arial"/>
          <w:color w:val="000000" w:themeColor="text1"/>
          <w:szCs w:val="20"/>
          <w:lang w:val="en-GB"/>
        </w:rPr>
      </w:pPr>
      <w:r w:rsidRPr="004214B8">
        <w:rPr>
          <w:rFonts w:ascii="Arial" w:eastAsia="Times New Roman" w:hAnsi="Arial"/>
          <w:color w:val="000000" w:themeColor="text1"/>
          <w:szCs w:val="20"/>
          <w:lang w:val="en-GB"/>
        </w:rPr>
        <w:t>Leading up to the GFC and in the downturn associated with it (2008 to 2012), around one in four New Zealand children lived in households where there was no adult in full-time employment. This dropped to around one in six in the 2016-17 HES and has been steady since then (</w:t>
      </w:r>
      <w:r w:rsidRPr="004214B8">
        <w:rPr>
          <w:rFonts w:ascii="Arial" w:eastAsia="Times New Roman" w:hAnsi="Arial"/>
          <w:b/>
          <w:bCs/>
          <w:color w:val="000000" w:themeColor="text1"/>
          <w:szCs w:val="20"/>
          <w:lang w:val="en-GB"/>
        </w:rPr>
        <w:t xml:space="preserve">Table </w:t>
      </w:r>
      <w:r w:rsidR="006B6068">
        <w:rPr>
          <w:rFonts w:ascii="Arial" w:eastAsia="Times New Roman" w:hAnsi="Arial"/>
          <w:b/>
          <w:bCs/>
          <w:color w:val="000000" w:themeColor="text1"/>
          <w:szCs w:val="20"/>
          <w:lang w:val="en-GB"/>
        </w:rPr>
        <w:t>F.5</w:t>
      </w:r>
      <w:r w:rsidRPr="004214B8">
        <w:rPr>
          <w:rFonts w:ascii="Arial" w:eastAsia="Times New Roman" w:hAnsi="Arial"/>
          <w:color w:val="000000" w:themeColor="text1"/>
          <w:szCs w:val="20"/>
          <w:lang w:val="en-GB"/>
        </w:rPr>
        <w:t>). This figure, like the 202</w:t>
      </w:r>
      <w:r>
        <w:rPr>
          <w:rFonts w:ascii="Arial" w:eastAsia="Times New Roman" w:hAnsi="Arial"/>
          <w:color w:val="000000" w:themeColor="text1"/>
          <w:szCs w:val="20"/>
          <w:lang w:val="en-GB"/>
        </w:rPr>
        <w:t>3</w:t>
      </w:r>
      <w:r w:rsidRPr="004214B8">
        <w:rPr>
          <w:rFonts w:ascii="Arial" w:eastAsia="Times New Roman" w:hAnsi="Arial"/>
          <w:color w:val="000000" w:themeColor="text1"/>
          <w:szCs w:val="20"/>
          <w:lang w:val="en-GB"/>
        </w:rPr>
        <w:t>-2</w:t>
      </w:r>
      <w:r>
        <w:rPr>
          <w:rFonts w:ascii="Arial" w:eastAsia="Times New Roman" w:hAnsi="Arial"/>
          <w:color w:val="000000" w:themeColor="text1"/>
          <w:szCs w:val="20"/>
          <w:lang w:val="en-GB"/>
        </w:rPr>
        <w:t>4</w:t>
      </w:r>
      <w:r w:rsidRPr="004214B8">
        <w:rPr>
          <w:rFonts w:ascii="Arial" w:eastAsia="Times New Roman" w:hAnsi="Arial"/>
          <w:color w:val="000000" w:themeColor="text1"/>
          <w:szCs w:val="20"/>
          <w:lang w:val="en-GB"/>
        </w:rPr>
        <w:t xml:space="preserve"> jobless figure (1</w:t>
      </w:r>
      <w:r>
        <w:rPr>
          <w:rFonts w:ascii="Arial" w:eastAsia="Times New Roman" w:hAnsi="Arial"/>
          <w:color w:val="000000" w:themeColor="text1"/>
          <w:szCs w:val="20"/>
          <w:lang w:val="en-GB"/>
        </w:rPr>
        <w:t>2</w:t>
      </w:r>
      <w:r w:rsidRPr="004214B8">
        <w:rPr>
          <w:rFonts w:ascii="Arial" w:eastAsia="Times New Roman" w:hAnsi="Arial"/>
          <w:color w:val="000000" w:themeColor="text1"/>
          <w:szCs w:val="20"/>
          <w:lang w:val="en-GB"/>
        </w:rPr>
        <w:t>%), is nevertheless high by EU standards</w:t>
      </w:r>
      <w:r>
        <w:rPr>
          <w:rFonts w:ascii="Arial" w:eastAsia="Times New Roman" w:hAnsi="Arial"/>
          <w:color w:val="000000" w:themeColor="text1"/>
          <w:szCs w:val="20"/>
          <w:lang w:val="en-GB"/>
        </w:rPr>
        <w:t xml:space="preserve"> (see Table </w:t>
      </w:r>
      <w:r w:rsidR="006B6068">
        <w:rPr>
          <w:rFonts w:ascii="Arial" w:eastAsia="Times New Roman" w:hAnsi="Arial"/>
          <w:color w:val="000000" w:themeColor="text1"/>
          <w:szCs w:val="20"/>
          <w:lang w:val="en-GB"/>
        </w:rPr>
        <w:t>F.4</w:t>
      </w:r>
      <w:r>
        <w:rPr>
          <w:rFonts w:ascii="Arial" w:eastAsia="Times New Roman" w:hAnsi="Arial"/>
          <w:color w:val="000000" w:themeColor="text1"/>
          <w:szCs w:val="20"/>
          <w:lang w:val="en-GB"/>
        </w:rPr>
        <w:t xml:space="preserve"> above)</w:t>
      </w:r>
      <w:r w:rsidRPr="004214B8">
        <w:rPr>
          <w:rFonts w:ascii="Arial" w:eastAsia="Times New Roman" w:hAnsi="Arial"/>
          <w:color w:val="000000" w:themeColor="text1"/>
          <w:szCs w:val="20"/>
          <w:lang w:val="en-GB"/>
        </w:rPr>
        <w:t xml:space="preserve">. </w:t>
      </w:r>
    </w:p>
    <w:p w14:paraId="36928D60" w14:textId="640C59A8" w:rsidR="009B7BA9" w:rsidRPr="00F036F5" w:rsidRDefault="009B7BA9" w:rsidP="009B7BA9">
      <w:pPr>
        <w:spacing w:after="0" w:line="240" w:lineRule="auto"/>
        <w:jc w:val="center"/>
        <w:rPr>
          <w:rFonts w:ascii="Arial" w:eastAsia="Times New Roman" w:hAnsi="Arial"/>
          <w:b/>
          <w:color w:val="000000" w:themeColor="text1"/>
          <w:sz w:val="18"/>
          <w:szCs w:val="20"/>
          <w:lang w:val="en-GB"/>
        </w:rPr>
      </w:pPr>
      <w:r w:rsidRPr="00F036F5">
        <w:rPr>
          <w:rFonts w:ascii="Arial" w:eastAsia="Times New Roman" w:hAnsi="Arial"/>
          <w:b/>
          <w:color w:val="000000" w:themeColor="text1"/>
          <w:sz w:val="18"/>
          <w:szCs w:val="20"/>
          <w:lang w:val="en-GB"/>
        </w:rPr>
        <w:t xml:space="preserve">Table </w:t>
      </w:r>
      <w:r w:rsidR="006B6068">
        <w:rPr>
          <w:rFonts w:ascii="Arial" w:eastAsia="Times New Roman" w:hAnsi="Arial"/>
          <w:b/>
          <w:color w:val="000000" w:themeColor="text1"/>
          <w:sz w:val="18"/>
          <w:szCs w:val="20"/>
          <w:lang w:val="en-GB"/>
        </w:rPr>
        <w:t>F.5</w:t>
      </w:r>
    </w:p>
    <w:p w14:paraId="2F466B9A" w14:textId="77777777" w:rsidR="009B7BA9" w:rsidRPr="00BF2CF5" w:rsidRDefault="009B7BA9" w:rsidP="009B7BA9">
      <w:pPr>
        <w:spacing w:line="240" w:lineRule="auto"/>
        <w:ind w:left="360" w:hanging="270"/>
        <w:jc w:val="center"/>
        <w:rPr>
          <w:rFonts w:ascii="Arial" w:eastAsia="Times New Roman" w:hAnsi="Arial" w:cs="Times New Roman"/>
          <w:color w:val="000000" w:themeColor="text1"/>
          <w:sz w:val="18"/>
          <w:szCs w:val="20"/>
          <w:lang w:val="en-GB"/>
        </w:rPr>
      </w:pPr>
      <w:r w:rsidRPr="00BF2CF5">
        <w:rPr>
          <w:rFonts w:ascii="Arial" w:eastAsia="Times New Roman" w:hAnsi="Arial" w:cs="Times New Roman"/>
          <w:b/>
          <w:color w:val="000000" w:themeColor="text1"/>
          <w:sz w:val="18"/>
          <w:szCs w:val="20"/>
          <w:lang w:val="en-GB"/>
        </w:rPr>
        <w:t>Proportion of children in ‘workless’ households (% of all children)</w:t>
      </w:r>
    </w:p>
    <w:tbl>
      <w:tblPr>
        <w:tblW w:w="8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2"/>
        <w:gridCol w:w="672"/>
        <w:gridCol w:w="672"/>
        <w:gridCol w:w="672"/>
        <w:gridCol w:w="673"/>
        <w:gridCol w:w="672"/>
        <w:gridCol w:w="672"/>
        <w:gridCol w:w="673"/>
        <w:gridCol w:w="673"/>
        <w:gridCol w:w="673"/>
        <w:gridCol w:w="673"/>
      </w:tblGrid>
      <w:tr w:rsidR="009B7BA9" w:rsidRPr="00BF2CF5" w14:paraId="0195581D" w14:textId="77777777" w:rsidTr="00261B26">
        <w:trPr>
          <w:jc w:val="center"/>
        </w:trPr>
        <w:tc>
          <w:tcPr>
            <w:tcW w:w="1952" w:type="dxa"/>
            <w:tcBorders>
              <w:bottom w:val="single" w:sz="4" w:space="0" w:color="auto"/>
            </w:tcBorders>
            <w:tcMar>
              <w:left w:w="115" w:type="dxa"/>
              <w:right w:w="115" w:type="dxa"/>
            </w:tcMar>
            <w:vAlign w:val="center"/>
          </w:tcPr>
          <w:p w14:paraId="3B9AB09D" w14:textId="77777777" w:rsidR="009B7BA9" w:rsidRPr="00BF2CF5" w:rsidRDefault="009B7BA9" w:rsidP="00261B26">
            <w:pPr>
              <w:spacing w:before="60" w:after="60" w:line="240" w:lineRule="auto"/>
              <w:ind w:left="86"/>
              <w:jc w:val="right"/>
              <w:rPr>
                <w:rFonts w:ascii="Arial" w:eastAsia="Times New Roman" w:hAnsi="Arial"/>
                <w:b/>
                <w:bCs/>
                <w:color w:val="000000" w:themeColor="text1"/>
                <w:sz w:val="14"/>
                <w:szCs w:val="16"/>
                <w:lang w:val="en-GB"/>
              </w:rPr>
            </w:pPr>
            <w:r w:rsidRPr="00BF2CF5">
              <w:rPr>
                <w:rFonts w:ascii="Arial" w:eastAsia="Times New Roman" w:hAnsi="Arial"/>
                <w:b/>
                <w:bCs/>
                <w:color w:val="000000" w:themeColor="text1"/>
                <w:sz w:val="14"/>
                <w:szCs w:val="16"/>
                <w:lang w:val="en-GB"/>
              </w:rPr>
              <w:t>HES survey year</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38763D52"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2007-08</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2B1B34CD"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2011-12</w:t>
            </w:r>
          </w:p>
        </w:tc>
        <w:tc>
          <w:tcPr>
            <w:tcW w:w="672" w:type="dxa"/>
            <w:tcBorders>
              <w:left w:val="single" w:sz="4" w:space="0" w:color="auto"/>
              <w:bottom w:val="single" w:sz="4" w:space="0" w:color="auto"/>
            </w:tcBorders>
            <w:tcMar>
              <w:left w:w="28" w:type="dxa"/>
              <w:right w:w="28" w:type="dxa"/>
            </w:tcMar>
          </w:tcPr>
          <w:p w14:paraId="4DC57749"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2016-17</w:t>
            </w:r>
          </w:p>
        </w:tc>
        <w:tc>
          <w:tcPr>
            <w:tcW w:w="673" w:type="dxa"/>
            <w:tcBorders>
              <w:left w:val="single" w:sz="4" w:space="0" w:color="auto"/>
              <w:bottom w:val="single" w:sz="4" w:space="0" w:color="auto"/>
            </w:tcBorders>
            <w:tcMar>
              <w:left w:w="28" w:type="dxa"/>
              <w:right w:w="28" w:type="dxa"/>
            </w:tcMar>
          </w:tcPr>
          <w:p w14:paraId="2B7E0B0E"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2017-18</w:t>
            </w:r>
          </w:p>
        </w:tc>
        <w:tc>
          <w:tcPr>
            <w:tcW w:w="672" w:type="dxa"/>
            <w:tcBorders>
              <w:left w:val="single" w:sz="4" w:space="0" w:color="auto"/>
              <w:bottom w:val="single" w:sz="4" w:space="0" w:color="auto"/>
            </w:tcBorders>
            <w:tcMar>
              <w:left w:w="28" w:type="dxa"/>
              <w:right w:w="28" w:type="dxa"/>
            </w:tcMar>
          </w:tcPr>
          <w:p w14:paraId="1D7AE244"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2018-19</w:t>
            </w:r>
          </w:p>
        </w:tc>
        <w:tc>
          <w:tcPr>
            <w:tcW w:w="672" w:type="dxa"/>
            <w:tcBorders>
              <w:left w:val="single" w:sz="4" w:space="0" w:color="auto"/>
              <w:bottom w:val="single" w:sz="4" w:space="0" w:color="auto"/>
              <w:right w:val="single" w:sz="4" w:space="0" w:color="auto"/>
            </w:tcBorders>
            <w:tcMar>
              <w:left w:w="28" w:type="dxa"/>
              <w:right w:w="28" w:type="dxa"/>
            </w:tcMar>
          </w:tcPr>
          <w:p w14:paraId="0E471DCD"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2019-20</w:t>
            </w:r>
          </w:p>
        </w:tc>
        <w:tc>
          <w:tcPr>
            <w:tcW w:w="673" w:type="dxa"/>
            <w:tcBorders>
              <w:left w:val="single" w:sz="4" w:space="0" w:color="auto"/>
              <w:bottom w:val="single" w:sz="4" w:space="0" w:color="auto"/>
            </w:tcBorders>
            <w:tcMar>
              <w:left w:w="28" w:type="dxa"/>
              <w:right w:w="28" w:type="dxa"/>
            </w:tcMar>
          </w:tcPr>
          <w:p w14:paraId="594F05CE"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2020-21</w:t>
            </w:r>
          </w:p>
        </w:tc>
        <w:tc>
          <w:tcPr>
            <w:tcW w:w="673" w:type="dxa"/>
            <w:tcBorders>
              <w:left w:val="single" w:sz="4" w:space="0" w:color="auto"/>
              <w:bottom w:val="single" w:sz="4" w:space="0" w:color="auto"/>
            </w:tcBorders>
          </w:tcPr>
          <w:p w14:paraId="479EA2DA"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202</w:t>
            </w:r>
            <w:r>
              <w:rPr>
                <w:rFonts w:ascii="Arial" w:eastAsia="Times New Roman" w:hAnsi="Arial"/>
                <w:b/>
                <w:color w:val="000000" w:themeColor="text1"/>
                <w:sz w:val="14"/>
                <w:szCs w:val="16"/>
                <w:lang w:val="en-GB"/>
              </w:rPr>
              <w:t>1</w:t>
            </w:r>
            <w:r w:rsidRPr="00BF2CF5">
              <w:rPr>
                <w:rFonts w:ascii="Arial" w:eastAsia="Times New Roman" w:hAnsi="Arial"/>
                <w:b/>
                <w:color w:val="000000" w:themeColor="text1"/>
                <w:sz w:val="14"/>
                <w:szCs w:val="16"/>
                <w:lang w:val="en-GB"/>
              </w:rPr>
              <w:t>-2</w:t>
            </w:r>
            <w:r>
              <w:rPr>
                <w:rFonts w:ascii="Arial" w:eastAsia="Times New Roman" w:hAnsi="Arial"/>
                <w:b/>
                <w:color w:val="000000" w:themeColor="text1"/>
                <w:sz w:val="14"/>
                <w:szCs w:val="16"/>
                <w:lang w:val="en-GB"/>
              </w:rPr>
              <w:t>2</w:t>
            </w:r>
          </w:p>
        </w:tc>
        <w:tc>
          <w:tcPr>
            <w:tcW w:w="673" w:type="dxa"/>
            <w:tcBorders>
              <w:left w:val="single" w:sz="4" w:space="0" w:color="auto"/>
              <w:bottom w:val="single" w:sz="4" w:space="0" w:color="auto"/>
            </w:tcBorders>
          </w:tcPr>
          <w:p w14:paraId="2BDA5811"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w:t>
            </w:r>
            <w:r>
              <w:rPr>
                <w:rFonts w:ascii="Arial" w:eastAsia="Times New Roman" w:hAnsi="Arial"/>
                <w:b/>
                <w:color w:val="000000" w:themeColor="text1"/>
                <w:sz w:val="14"/>
                <w:szCs w:val="16"/>
                <w:lang w:val="en-GB"/>
              </w:rPr>
              <w:t>22</w:t>
            </w:r>
            <w:r w:rsidRPr="00BF2CF5">
              <w:rPr>
                <w:rFonts w:ascii="Arial" w:eastAsia="Times New Roman" w:hAnsi="Arial"/>
                <w:b/>
                <w:color w:val="000000" w:themeColor="text1"/>
                <w:sz w:val="14"/>
                <w:szCs w:val="16"/>
                <w:lang w:val="en-GB"/>
              </w:rPr>
              <w:t>-2</w:t>
            </w:r>
            <w:r>
              <w:rPr>
                <w:rFonts w:ascii="Arial" w:eastAsia="Times New Roman" w:hAnsi="Arial"/>
                <w:b/>
                <w:color w:val="000000" w:themeColor="text1"/>
                <w:sz w:val="14"/>
                <w:szCs w:val="16"/>
                <w:lang w:val="en-GB"/>
              </w:rPr>
              <w:t>3</w:t>
            </w:r>
          </w:p>
        </w:tc>
        <w:tc>
          <w:tcPr>
            <w:tcW w:w="673" w:type="dxa"/>
            <w:tcBorders>
              <w:left w:val="single" w:sz="4" w:space="0" w:color="auto"/>
              <w:bottom w:val="single" w:sz="4" w:space="0" w:color="auto"/>
            </w:tcBorders>
          </w:tcPr>
          <w:p w14:paraId="727159F7" w14:textId="77777777" w:rsidR="009B7BA9" w:rsidRPr="00BF2CF5" w:rsidRDefault="009B7BA9" w:rsidP="00261B26">
            <w:pPr>
              <w:spacing w:before="60" w:after="60" w:line="240" w:lineRule="auto"/>
              <w:ind w:left="-115" w:right="-108"/>
              <w:jc w:val="center"/>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20</w:t>
            </w:r>
            <w:r>
              <w:rPr>
                <w:rFonts w:ascii="Arial" w:eastAsia="Times New Roman" w:hAnsi="Arial"/>
                <w:b/>
                <w:color w:val="000000" w:themeColor="text1"/>
                <w:sz w:val="14"/>
                <w:szCs w:val="16"/>
                <w:lang w:val="en-GB"/>
              </w:rPr>
              <w:t>23</w:t>
            </w:r>
            <w:r w:rsidRPr="00BF2CF5">
              <w:rPr>
                <w:rFonts w:ascii="Arial" w:eastAsia="Times New Roman" w:hAnsi="Arial"/>
                <w:b/>
                <w:color w:val="000000" w:themeColor="text1"/>
                <w:sz w:val="14"/>
                <w:szCs w:val="16"/>
                <w:lang w:val="en-GB"/>
              </w:rPr>
              <w:t>-2</w:t>
            </w:r>
            <w:r>
              <w:rPr>
                <w:rFonts w:ascii="Arial" w:eastAsia="Times New Roman" w:hAnsi="Arial"/>
                <w:b/>
                <w:color w:val="000000" w:themeColor="text1"/>
                <w:sz w:val="14"/>
                <w:szCs w:val="16"/>
                <w:lang w:val="en-GB"/>
              </w:rPr>
              <w:t>4</w:t>
            </w:r>
          </w:p>
        </w:tc>
      </w:tr>
      <w:tr w:rsidR="009B7BA9" w:rsidRPr="00BF2CF5" w14:paraId="3A2C9A5F" w14:textId="77777777" w:rsidTr="00261B26">
        <w:trPr>
          <w:jc w:val="center"/>
        </w:trPr>
        <w:tc>
          <w:tcPr>
            <w:tcW w:w="1952" w:type="dxa"/>
            <w:tcBorders>
              <w:bottom w:val="nil"/>
            </w:tcBorders>
            <w:vAlign w:val="center"/>
          </w:tcPr>
          <w:p w14:paraId="5961FBEB" w14:textId="77777777" w:rsidR="009B7BA9" w:rsidRPr="00BF2CF5" w:rsidRDefault="009B7BA9" w:rsidP="00261B26">
            <w:pPr>
              <w:tabs>
                <w:tab w:val="left" w:pos="1161"/>
              </w:tabs>
              <w:spacing w:before="30" w:after="30" w:line="240" w:lineRule="auto"/>
              <w:ind w:left="-4"/>
              <w:rPr>
                <w:rFonts w:ascii="Arial" w:eastAsia="Times New Roman" w:hAnsi="Arial"/>
                <w:color w:val="000000" w:themeColor="text1"/>
                <w:sz w:val="14"/>
                <w:szCs w:val="16"/>
                <w:lang w:val="en-GB"/>
              </w:rPr>
            </w:pPr>
            <w:r w:rsidRPr="00BF2CF5">
              <w:rPr>
                <w:rFonts w:ascii="Arial" w:eastAsia="Times New Roman" w:hAnsi="Arial"/>
                <w:b/>
                <w:color w:val="000000" w:themeColor="text1"/>
                <w:sz w:val="14"/>
                <w:szCs w:val="16"/>
                <w:lang w:val="en-GB"/>
              </w:rPr>
              <w:t>In jobless HHs</w:t>
            </w:r>
            <w:r w:rsidRPr="00BF2CF5">
              <w:rPr>
                <w:rFonts w:ascii="Arial" w:eastAsia="Times New Roman" w:hAnsi="Arial"/>
                <w:color w:val="000000" w:themeColor="text1"/>
                <w:sz w:val="14"/>
                <w:szCs w:val="16"/>
                <w:lang w:val="en-GB"/>
              </w:rPr>
              <w:t xml:space="preserve">  </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1F0A46BB"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17</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6848498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19</w:t>
            </w:r>
          </w:p>
        </w:tc>
        <w:tc>
          <w:tcPr>
            <w:tcW w:w="672" w:type="dxa"/>
            <w:tcBorders>
              <w:left w:val="single" w:sz="4" w:space="0" w:color="auto"/>
              <w:bottom w:val="single" w:sz="4" w:space="0" w:color="auto"/>
            </w:tcBorders>
            <w:tcMar>
              <w:left w:w="28" w:type="dxa"/>
              <w:right w:w="28" w:type="dxa"/>
            </w:tcMar>
            <w:vAlign w:val="center"/>
          </w:tcPr>
          <w:p w14:paraId="38389DF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673" w:type="dxa"/>
            <w:tcBorders>
              <w:left w:val="single" w:sz="4" w:space="0" w:color="auto"/>
              <w:bottom w:val="single" w:sz="4" w:space="0" w:color="auto"/>
            </w:tcBorders>
            <w:tcMar>
              <w:left w:w="28" w:type="dxa"/>
              <w:right w:w="28" w:type="dxa"/>
            </w:tcMar>
            <w:vAlign w:val="center"/>
          </w:tcPr>
          <w:p w14:paraId="6F11379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672" w:type="dxa"/>
            <w:tcBorders>
              <w:left w:val="single" w:sz="4" w:space="0" w:color="auto"/>
              <w:bottom w:val="single" w:sz="4" w:space="0" w:color="auto"/>
            </w:tcBorders>
            <w:tcMar>
              <w:left w:w="28" w:type="dxa"/>
              <w:right w:w="28" w:type="dxa"/>
            </w:tcMar>
            <w:vAlign w:val="center"/>
          </w:tcPr>
          <w:p w14:paraId="028D94EA"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10</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0C968364"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10</w:t>
            </w:r>
          </w:p>
        </w:tc>
        <w:tc>
          <w:tcPr>
            <w:tcW w:w="673" w:type="dxa"/>
            <w:tcBorders>
              <w:left w:val="single" w:sz="4" w:space="0" w:color="auto"/>
              <w:bottom w:val="single" w:sz="4" w:space="0" w:color="auto"/>
            </w:tcBorders>
            <w:tcMar>
              <w:left w:w="28" w:type="dxa"/>
              <w:right w:w="28" w:type="dxa"/>
            </w:tcMar>
            <w:vAlign w:val="center"/>
          </w:tcPr>
          <w:p w14:paraId="053B5785"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12</w:t>
            </w:r>
          </w:p>
        </w:tc>
        <w:tc>
          <w:tcPr>
            <w:tcW w:w="673" w:type="dxa"/>
            <w:tcBorders>
              <w:left w:val="single" w:sz="4" w:space="0" w:color="auto"/>
              <w:bottom w:val="single" w:sz="4" w:space="0" w:color="auto"/>
            </w:tcBorders>
            <w:vAlign w:val="center"/>
          </w:tcPr>
          <w:p w14:paraId="509938A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11</w:t>
            </w:r>
          </w:p>
        </w:tc>
        <w:tc>
          <w:tcPr>
            <w:tcW w:w="673" w:type="dxa"/>
            <w:tcBorders>
              <w:left w:val="single" w:sz="4" w:space="0" w:color="auto"/>
              <w:bottom w:val="single" w:sz="4" w:space="0" w:color="auto"/>
            </w:tcBorders>
            <w:vAlign w:val="center"/>
          </w:tcPr>
          <w:p w14:paraId="211F948D"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11</w:t>
            </w:r>
          </w:p>
        </w:tc>
        <w:tc>
          <w:tcPr>
            <w:tcW w:w="673" w:type="dxa"/>
            <w:tcBorders>
              <w:left w:val="single" w:sz="4" w:space="0" w:color="auto"/>
              <w:bottom w:val="single" w:sz="4" w:space="0" w:color="auto"/>
            </w:tcBorders>
            <w:vAlign w:val="center"/>
          </w:tcPr>
          <w:p w14:paraId="53929A0C"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12</w:t>
            </w:r>
          </w:p>
        </w:tc>
      </w:tr>
      <w:tr w:rsidR="009B7BA9" w:rsidRPr="00BF2CF5" w14:paraId="3DFBC0E9" w14:textId="77777777" w:rsidTr="00261B26">
        <w:trPr>
          <w:jc w:val="center"/>
        </w:trPr>
        <w:tc>
          <w:tcPr>
            <w:tcW w:w="1952" w:type="dxa"/>
            <w:tcBorders>
              <w:bottom w:val="nil"/>
            </w:tcBorders>
            <w:vAlign w:val="center"/>
          </w:tcPr>
          <w:p w14:paraId="5C2B0A73" w14:textId="77777777" w:rsidR="009B7BA9" w:rsidRPr="00BF2CF5" w:rsidRDefault="009B7BA9" w:rsidP="00261B26">
            <w:pPr>
              <w:tabs>
                <w:tab w:val="left" w:pos="1738"/>
              </w:tabs>
              <w:spacing w:before="30" w:after="30" w:line="240" w:lineRule="auto"/>
              <w:ind w:left="-4"/>
              <w:rPr>
                <w:rFonts w:ascii="Arial" w:eastAsia="Times New Roman" w:hAnsi="Arial"/>
                <w:color w:val="000000" w:themeColor="text1"/>
                <w:sz w:val="14"/>
                <w:szCs w:val="16"/>
                <w:lang w:val="en-GB"/>
              </w:rPr>
            </w:pPr>
            <w:r w:rsidRPr="00BF2CF5">
              <w:rPr>
                <w:rFonts w:ascii="Arial" w:eastAsia="Times New Roman" w:hAnsi="Arial"/>
                <w:b/>
                <w:color w:val="000000" w:themeColor="text1"/>
                <w:sz w:val="14"/>
                <w:szCs w:val="16"/>
                <w:lang w:val="en-GB"/>
              </w:rPr>
              <w:t>In HHs with no FT worker</w:t>
            </w:r>
            <w:r w:rsidRPr="00BF2CF5">
              <w:rPr>
                <w:rFonts w:ascii="Arial" w:eastAsia="Times New Roman" w:hAnsi="Arial"/>
                <w:color w:val="000000" w:themeColor="text1"/>
                <w:sz w:val="14"/>
                <w:szCs w:val="16"/>
                <w:lang w:val="en-GB"/>
              </w:rPr>
              <w:t xml:space="preserve"> </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7A3CB2BE"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24</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05A2227B"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25</w:t>
            </w:r>
          </w:p>
        </w:tc>
        <w:tc>
          <w:tcPr>
            <w:tcW w:w="672" w:type="dxa"/>
            <w:tcBorders>
              <w:left w:val="single" w:sz="4" w:space="0" w:color="auto"/>
              <w:bottom w:val="single" w:sz="4" w:space="0" w:color="auto"/>
            </w:tcBorders>
            <w:tcMar>
              <w:left w:w="28" w:type="dxa"/>
              <w:right w:w="28" w:type="dxa"/>
            </w:tcMar>
            <w:vAlign w:val="center"/>
          </w:tcPr>
          <w:p w14:paraId="38117B1C"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16</w:t>
            </w:r>
          </w:p>
        </w:tc>
        <w:tc>
          <w:tcPr>
            <w:tcW w:w="673" w:type="dxa"/>
            <w:tcBorders>
              <w:left w:val="single" w:sz="4" w:space="0" w:color="auto"/>
              <w:bottom w:val="single" w:sz="4" w:space="0" w:color="auto"/>
            </w:tcBorders>
            <w:tcMar>
              <w:left w:w="28" w:type="dxa"/>
              <w:right w:w="28" w:type="dxa"/>
            </w:tcMar>
            <w:vAlign w:val="center"/>
          </w:tcPr>
          <w:p w14:paraId="11ACC461"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17</w:t>
            </w:r>
          </w:p>
        </w:tc>
        <w:tc>
          <w:tcPr>
            <w:tcW w:w="672" w:type="dxa"/>
            <w:tcBorders>
              <w:left w:val="single" w:sz="4" w:space="0" w:color="auto"/>
              <w:bottom w:val="single" w:sz="4" w:space="0" w:color="auto"/>
            </w:tcBorders>
            <w:tcMar>
              <w:left w:w="28" w:type="dxa"/>
              <w:right w:w="28" w:type="dxa"/>
            </w:tcMar>
            <w:vAlign w:val="center"/>
          </w:tcPr>
          <w:p w14:paraId="2BF68399"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16</w:t>
            </w:r>
          </w:p>
        </w:tc>
        <w:tc>
          <w:tcPr>
            <w:tcW w:w="672" w:type="dxa"/>
            <w:tcBorders>
              <w:left w:val="single" w:sz="4" w:space="0" w:color="auto"/>
              <w:bottom w:val="single" w:sz="4" w:space="0" w:color="auto"/>
              <w:right w:val="single" w:sz="4" w:space="0" w:color="auto"/>
            </w:tcBorders>
            <w:tcMar>
              <w:left w:w="28" w:type="dxa"/>
              <w:right w:w="28" w:type="dxa"/>
            </w:tcMar>
            <w:vAlign w:val="center"/>
          </w:tcPr>
          <w:p w14:paraId="2B234D90"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16</w:t>
            </w:r>
          </w:p>
        </w:tc>
        <w:tc>
          <w:tcPr>
            <w:tcW w:w="673" w:type="dxa"/>
            <w:tcBorders>
              <w:left w:val="single" w:sz="4" w:space="0" w:color="auto"/>
              <w:bottom w:val="single" w:sz="4" w:space="0" w:color="auto"/>
            </w:tcBorders>
            <w:tcMar>
              <w:left w:w="28" w:type="dxa"/>
              <w:right w:w="28" w:type="dxa"/>
            </w:tcMar>
            <w:vAlign w:val="center"/>
          </w:tcPr>
          <w:p w14:paraId="04636402"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17</w:t>
            </w:r>
          </w:p>
        </w:tc>
        <w:tc>
          <w:tcPr>
            <w:tcW w:w="673" w:type="dxa"/>
            <w:tcBorders>
              <w:left w:val="single" w:sz="4" w:space="0" w:color="auto"/>
              <w:bottom w:val="single" w:sz="4" w:space="0" w:color="auto"/>
            </w:tcBorders>
            <w:vAlign w:val="center"/>
          </w:tcPr>
          <w:p w14:paraId="74005A45" w14:textId="77777777" w:rsidR="009B7BA9" w:rsidRPr="00BF2CF5" w:rsidRDefault="009B7BA9" w:rsidP="00261B26">
            <w:pPr>
              <w:spacing w:before="30" w:after="30" w:line="240" w:lineRule="auto"/>
              <w:jc w:val="center"/>
              <w:rPr>
                <w:rFonts w:ascii="Arial" w:eastAsia="Times New Roman" w:hAnsi="Arial"/>
                <w:color w:val="000000" w:themeColor="text1"/>
                <w:sz w:val="14"/>
                <w:szCs w:val="14"/>
                <w:lang w:val="en-GB"/>
              </w:rPr>
            </w:pPr>
            <w:r>
              <w:rPr>
                <w:rFonts w:ascii="Arial" w:hAnsi="Arial"/>
                <w:color w:val="000000"/>
                <w:sz w:val="14"/>
                <w:szCs w:val="14"/>
              </w:rPr>
              <w:t>17</w:t>
            </w:r>
          </w:p>
        </w:tc>
        <w:tc>
          <w:tcPr>
            <w:tcW w:w="673" w:type="dxa"/>
            <w:tcBorders>
              <w:left w:val="single" w:sz="4" w:space="0" w:color="auto"/>
              <w:bottom w:val="single" w:sz="4" w:space="0" w:color="auto"/>
            </w:tcBorders>
            <w:vAlign w:val="center"/>
          </w:tcPr>
          <w:p w14:paraId="4C93F616"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16</w:t>
            </w:r>
          </w:p>
        </w:tc>
        <w:tc>
          <w:tcPr>
            <w:tcW w:w="673" w:type="dxa"/>
            <w:tcBorders>
              <w:left w:val="single" w:sz="4" w:space="0" w:color="auto"/>
              <w:bottom w:val="single" w:sz="4" w:space="0" w:color="auto"/>
            </w:tcBorders>
            <w:vAlign w:val="center"/>
          </w:tcPr>
          <w:p w14:paraId="63548EEB" w14:textId="77777777" w:rsidR="009B7BA9" w:rsidRDefault="009B7BA9" w:rsidP="00261B26">
            <w:pPr>
              <w:spacing w:before="30" w:after="30" w:line="240" w:lineRule="auto"/>
              <w:jc w:val="center"/>
              <w:rPr>
                <w:rFonts w:ascii="Arial" w:hAnsi="Arial"/>
                <w:color w:val="000000"/>
                <w:sz w:val="14"/>
                <w:szCs w:val="14"/>
              </w:rPr>
            </w:pPr>
            <w:r>
              <w:rPr>
                <w:rFonts w:ascii="Arial" w:hAnsi="Arial"/>
                <w:color w:val="000000"/>
                <w:sz w:val="14"/>
                <w:szCs w:val="14"/>
              </w:rPr>
              <w:t>17</w:t>
            </w:r>
          </w:p>
        </w:tc>
      </w:tr>
      <w:tr w:rsidR="009B7BA9" w:rsidRPr="00BF2CF5" w14:paraId="308DD5CC" w14:textId="77777777" w:rsidTr="00261B26">
        <w:trPr>
          <w:jc w:val="center"/>
        </w:trPr>
        <w:tc>
          <w:tcPr>
            <w:tcW w:w="1952" w:type="dxa"/>
            <w:vAlign w:val="center"/>
          </w:tcPr>
          <w:p w14:paraId="7E2487ED" w14:textId="77777777" w:rsidR="009B7BA9" w:rsidRPr="00BF2CF5" w:rsidRDefault="009B7BA9" w:rsidP="00261B26">
            <w:pPr>
              <w:spacing w:before="30" w:after="30" w:line="240" w:lineRule="auto"/>
              <w:ind w:left="-4"/>
              <w:rPr>
                <w:rFonts w:ascii="Arial" w:eastAsia="Times New Roman" w:hAnsi="Arial"/>
                <w:b/>
                <w:color w:val="000000" w:themeColor="text1"/>
                <w:sz w:val="14"/>
                <w:szCs w:val="16"/>
                <w:lang w:val="en-GB"/>
              </w:rPr>
            </w:pPr>
            <w:r w:rsidRPr="00BF2CF5">
              <w:rPr>
                <w:rFonts w:ascii="Arial" w:eastAsia="Times New Roman" w:hAnsi="Arial"/>
                <w:b/>
                <w:color w:val="000000" w:themeColor="text1"/>
                <w:sz w:val="14"/>
                <w:szCs w:val="16"/>
                <w:lang w:val="en-GB"/>
              </w:rPr>
              <w:t>In beneficiary families</w:t>
            </w:r>
          </w:p>
        </w:tc>
        <w:tc>
          <w:tcPr>
            <w:tcW w:w="672" w:type="dxa"/>
            <w:tcBorders>
              <w:left w:val="single" w:sz="4" w:space="0" w:color="auto"/>
              <w:right w:val="single" w:sz="4" w:space="0" w:color="auto"/>
            </w:tcBorders>
            <w:tcMar>
              <w:left w:w="28" w:type="dxa"/>
              <w:right w:w="28" w:type="dxa"/>
            </w:tcMar>
            <w:vAlign w:val="center"/>
          </w:tcPr>
          <w:p w14:paraId="5A7F94C5" w14:textId="77777777" w:rsidR="009B7BA9" w:rsidRPr="00BF2CF5" w:rsidRDefault="009B7BA9" w:rsidP="00261B26">
            <w:pPr>
              <w:spacing w:before="30" w:after="30" w:line="240" w:lineRule="auto"/>
              <w:jc w:val="center"/>
              <w:rPr>
                <w:rFonts w:ascii="Arial" w:eastAsia="Times New Roman" w:hAnsi="Arial"/>
                <w:bCs/>
                <w:color w:val="000000" w:themeColor="text1"/>
                <w:sz w:val="14"/>
                <w:szCs w:val="16"/>
                <w:lang w:val="en-GB"/>
              </w:rPr>
            </w:pPr>
            <w:r>
              <w:rPr>
                <w:rFonts w:ascii="Arial" w:hAnsi="Arial"/>
                <w:color w:val="000000"/>
                <w:sz w:val="14"/>
                <w:szCs w:val="14"/>
              </w:rPr>
              <w:t>19</w:t>
            </w:r>
          </w:p>
        </w:tc>
        <w:tc>
          <w:tcPr>
            <w:tcW w:w="672" w:type="dxa"/>
            <w:tcBorders>
              <w:left w:val="single" w:sz="4" w:space="0" w:color="auto"/>
              <w:right w:val="single" w:sz="4" w:space="0" w:color="auto"/>
            </w:tcBorders>
            <w:tcMar>
              <w:left w:w="28" w:type="dxa"/>
              <w:right w:w="28" w:type="dxa"/>
            </w:tcMar>
            <w:vAlign w:val="center"/>
          </w:tcPr>
          <w:p w14:paraId="6B7B2534" w14:textId="77777777" w:rsidR="009B7BA9" w:rsidRPr="00BF2CF5" w:rsidRDefault="009B7BA9" w:rsidP="00261B26">
            <w:pPr>
              <w:spacing w:before="30" w:after="30" w:line="240" w:lineRule="auto"/>
              <w:jc w:val="center"/>
              <w:rPr>
                <w:rFonts w:ascii="Arial" w:eastAsia="Times New Roman" w:hAnsi="Arial"/>
                <w:bCs/>
                <w:color w:val="000000" w:themeColor="text1"/>
                <w:sz w:val="14"/>
                <w:szCs w:val="16"/>
                <w:lang w:val="en-GB"/>
              </w:rPr>
            </w:pPr>
            <w:r>
              <w:rPr>
                <w:rFonts w:ascii="Arial" w:hAnsi="Arial"/>
                <w:color w:val="000000"/>
                <w:sz w:val="14"/>
                <w:szCs w:val="14"/>
              </w:rPr>
              <w:t>21</w:t>
            </w:r>
          </w:p>
        </w:tc>
        <w:tc>
          <w:tcPr>
            <w:tcW w:w="672" w:type="dxa"/>
            <w:tcBorders>
              <w:left w:val="single" w:sz="4" w:space="0" w:color="auto"/>
            </w:tcBorders>
            <w:tcMar>
              <w:left w:w="28" w:type="dxa"/>
              <w:right w:w="28" w:type="dxa"/>
            </w:tcMar>
            <w:vAlign w:val="center"/>
          </w:tcPr>
          <w:p w14:paraId="6E4F1B59" w14:textId="77777777" w:rsidR="009B7BA9" w:rsidRPr="00BF2CF5" w:rsidRDefault="009B7BA9" w:rsidP="00261B26">
            <w:pPr>
              <w:spacing w:before="30" w:after="30" w:line="240" w:lineRule="auto"/>
              <w:jc w:val="center"/>
              <w:rPr>
                <w:rFonts w:ascii="Arial" w:eastAsia="Times New Roman" w:hAnsi="Arial"/>
                <w:bCs/>
                <w:color w:val="000000" w:themeColor="text1"/>
                <w:sz w:val="14"/>
                <w:szCs w:val="16"/>
                <w:lang w:val="en-GB"/>
              </w:rPr>
            </w:pPr>
            <w:r>
              <w:rPr>
                <w:rFonts w:ascii="Arial" w:hAnsi="Arial"/>
                <w:color w:val="000000"/>
                <w:sz w:val="14"/>
                <w:szCs w:val="14"/>
              </w:rPr>
              <w:t>16</w:t>
            </w:r>
          </w:p>
        </w:tc>
        <w:tc>
          <w:tcPr>
            <w:tcW w:w="673" w:type="dxa"/>
            <w:tcBorders>
              <w:left w:val="single" w:sz="4" w:space="0" w:color="auto"/>
            </w:tcBorders>
            <w:tcMar>
              <w:left w:w="28" w:type="dxa"/>
              <w:right w:w="28" w:type="dxa"/>
            </w:tcMar>
            <w:vAlign w:val="center"/>
          </w:tcPr>
          <w:p w14:paraId="6BD90F0E" w14:textId="77777777" w:rsidR="009B7BA9" w:rsidRPr="00BF2CF5" w:rsidRDefault="009B7BA9" w:rsidP="00261B26">
            <w:pPr>
              <w:spacing w:before="30" w:after="30" w:line="240" w:lineRule="auto"/>
              <w:jc w:val="center"/>
              <w:rPr>
                <w:rFonts w:ascii="Arial" w:eastAsia="Times New Roman" w:hAnsi="Arial"/>
                <w:color w:val="000000" w:themeColor="text1"/>
                <w:sz w:val="14"/>
                <w:szCs w:val="16"/>
                <w:lang w:val="en-GB"/>
              </w:rPr>
            </w:pPr>
            <w:r>
              <w:rPr>
                <w:rFonts w:ascii="Arial" w:hAnsi="Arial"/>
                <w:color w:val="000000"/>
                <w:sz w:val="14"/>
                <w:szCs w:val="14"/>
              </w:rPr>
              <w:t>15</w:t>
            </w:r>
          </w:p>
        </w:tc>
        <w:tc>
          <w:tcPr>
            <w:tcW w:w="672" w:type="dxa"/>
            <w:tcBorders>
              <w:left w:val="single" w:sz="4" w:space="0" w:color="auto"/>
            </w:tcBorders>
            <w:tcMar>
              <w:left w:w="28" w:type="dxa"/>
              <w:right w:w="28" w:type="dxa"/>
            </w:tcMar>
            <w:vAlign w:val="center"/>
          </w:tcPr>
          <w:p w14:paraId="01237151" w14:textId="77777777" w:rsidR="009B7BA9" w:rsidRPr="00BF2CF5" w:rsidRDefault="009B7BA9" w:rsidP="00261B26">
            <w:pPr>
              <w:spacing w:before="30" w:after="30" w:line="240" w:lineRule="auto"/>
              <w:jc w:val="center"/>
              <w:rPr>
                <w:rFonts w:ascii="Arial" w:eastAsia="Times New Roman" w:hAnsi="Arial"/>
                <w:color w:val="000000" w:themeColor="text1"/>
                <w:sz w:val="14"/>
                <w:szCs w:val="16"/>
                <w:lang w:val="en-GB"/>
              </w:rPr>
            </w:pPr>
            <w:r>
              <w:rPr>
                <w:rFonts w:ascii="Arial" w:hAnsi="Arial"/>
                <w:color w:val="000000"/>
                <w:sz w:val="14"/>
                <w:szCs w:val="14"/>
              </w:rPr>
              <w:t>15</w:t>
            </w:r>
          </w:p>
        </w:tc>
        <w:tc>
          <w:tcPr>
            <w:tcW w:w="672" w:type="dxa"/>
            <w:tcBorders>
              <w:left w:val="single" w:sz="4" w:space="0" w:color="auto"/>
              <w:right w:val="single" w:sz="4" w:space="0" w:color="auto"/>
            </w:tcBorders>
            <w:tcMar>
              <w:left w:w="28" w:type="dxa"/>
              <w:right w:w="28" w:type="dxa"/>
            </w:tcMar>
            <w:vAlign w:val="center"/>
          </w:tcPr>
          <w:p w14:paraId="47BEF330" w14:textId="77777777" w:rsidR="009B7BA9" w:rsidRPr="00BF2CF5" w:rsidRDefault="009B7BA9" w:rsidP="00261B26">
            <w:pPr>
              <w:spacing w:before="30" w:after="30" w:line="240" w:lineRule="auto"/>
              <w:jc w:val="center"/>
              <w:rPr>
                <w:rFonts w:ascii="Arial" w:eastAsia="Times New Roman" w:hAnsi="Arial"/>
                <w:color w:val="000000" w:themeColor="text1"/>
                <w:sz w:val="14"/>
                <w:szCs w:val="16"/>
                <w:lang w:val="en-GB"/>
              </w:rPr>
            </w:pPr>
            <w:r>
              <w:rPr>
                <w:rFonts w:ascii="Arial" w:hAnsi="Arial"/>
                <w:color w:val="000000"/>
                <w:sz w:val="14"/>
                <w:szCs w:val="14"/>
              </w:rPr>
              <w:t>16</w:t>
            </w:r>
          </w:p>
        </w:tc>
        <w:tc>
          <w:tcPr>
            <w:tcW w:w="673" w:type="dxa"/>
            <w:tcBorders>
              <w:left w:val="single" w:sz="4" w:space="0" w:color="auto"/>
            </w:tcBorders>
            <w:tcMar>
              <w:left w:w="28" w:type="dxa"/>
              <w:right w:w="28" w:type="dxa"/>
            </w:tcMar>
            <w:vAlign w:val="center"/>
          </w:tcPr>
          <w:p w14:paraId="03844C36" w14:textId="77777777" w:rsidR="009B7BA9" w:rsidRPr="00BF2CF5" w:rsidRDefault="009B7BA9" w:rsidP="00261B26">
            <w:pPr>
              <w:spacing w:before="30" w:after="30" w:line="240" w:lineRule="auto"/>
              <w:jc w:val="center"/>
              <w:rPr>
                <w:rFonts w:ascii="Arial" w:eastAsia="Times New Roman" w:hAnsi="Arial"/>
                <w:color w:val="000000" w:themeColor="text1"/>
                <w:sz w:val="14"/>
                <w:szCs w:val="16"/>
                <w:lang w:val="en-GB"/>
              </w:rPr>
            </w:pPr>
            <w:r>
              <w:rPr>
                <w:rFonts w:ascii="Arial" w:hAnsi="Arial"/>
                <w:color w:val="000000"/>
                <w:sz w:val="14"/>
                <w:szCs w:val="14"/>
              </w:rPr>
              <w:t>18</w:t>
            </w:r>
          </w:p>
        </w:tc>
        <w:tc>
          <w:tcPr>
            <w:tcW w:w="673" w:type="dxa"/>
            <w:tcBorders>
              <w:left w:val="single" w:sz="4" w:space="0" w:color="auto"/>
            </w:tcBorders>
            <w:vAlign w:val="center"/>
          </w:tcPr>
          <w:p w14:paraId="056C7568" w14:textId="77777777" w:rsidR="009B7BA9" w:rsidRPr="00BF2CF5" w:rsidRDefault="009B7BA9" w:rsidP="00261B26">
            <w:pPr>
              <w:spacing w:before="30" w:after="30" w:line="240" w:lineRule="auto"/>
              <w:jc w:val="center"/>
              <w:rPr>
                <w:rFonts w:ascii="Arial" w:eastAsia="Times New Roman" w:hAnsi="Arial"/>
                <w:color w:val="000000" w:themeColor="text1"/>
                <w:sz w:val="14"/>
                <w:szCs w:val="16"/>
                <w:lang w:val="en-GB"/>
              </w:rPr>
            </w:pPr>
            <w:r>
              <w:rPr>
                <w:rFonts w:ascii="Arial" w:hAnsi="Arial"/>
                <w:color w:val="000000"/>
                <w:sz w:val="14"/>
                <w:szCs w:val="14"/>
              </w:rPr>
              <w:t>18</w:t>
            </w:r>
          </w:p>
        </w:tc>
        <w:tc>
          <w:tcPr>
            <w:tcW w:w="673" w:type="dxa"/>
            <w:tcBorders>
              <w:left w:val="single" w:sz="4" w:space="0" w:color="auto"/>
            </w:tcBorders>
            <w:vAlign w:val="center"/>
          </w:tcPr>
          <w:p w14:paraId="2CE0DCB1" w14:textId="77777777" w:rsidR="009B7BA9" w:rsidRPr="00BF2CF5" w:rsidRDefault="009B7BA9" w:rsidP="00261B26">
            <w:pPr>
              <w:spacing w:before="30" w:after="30" w:line="240" w:lineRule="auto"/>
              <w:jc w:val="center"/>
              <w:rPr>
                <w:rFonts w:ascii="Arial" w:eastAsia="Times New Roman" w:hAnsi="Arial"/>
                <w:color w:val="000000" w:themeColor="text1"/>
                <w:sz w:val="14"/>
                <w:szCs w:val="16"/>
                <w:lang w:val="en-GB"/>
              </w:rPr>
            </w:pPr>
            <w:r>
              <w:rPr>
                <w:rFonts w:ascii="Arial" w:hAnsi="Arial"/>
                <w:color w:val="000000"/>
                <w:sz w:val="14"/>
                <w:szCs w:val="14"/>
              </w:rPr>
              <w:t>18</w:t>
            </w:r>
          </w:p>
        </w:tc>
        <w:tc>
          <w:tcPr>
            <w:tcW w:w="673" w:type="dxa"/>
            <w:tcBorders>
              <w:left w:val="single" w:sz="4" w:space="0" w:color="auto"/>
            </w:tcBorders>
            <w:vAlign w:val="center"/>
          </w:tcPr>
          <w:p w14:paraId="497F37D6" w14:textId="77777777" w:rsidR="009B7BA9" w:rsidRPr="0094183D" w:rsidRDefault="009B7BA9" w:rsidP="00261B26">
            <w:pPr>
              <w:spacing w:before="30" w:after="30" w:line="240" w:lineRule="auto"/>
              <w:jc w:val="center"/>
              <w:rPr>
                <w:rFonts w:ascii="Arial" w:hAnsi="Arial"/>
                <w:color w:val="000000"/>
                <w:sz w:val="14"/>
                <w:szCs w:val="14"/>
              </w:rPr>
            </w:pPr>
            <w:r w:rsidRPr="0094183D">
              <w:rPr>
                <w:rFonts w:ascii="Arial" w:hAnsi="Arial"/>
                <w:color w:val="000000"/>
                <w:sz w:val="14"/>
                <w:szCs w:val="14"/>
              </w:rPr>
              <w:t> 19</w:t>
            </w:r>
          </w:p>
        </w:tc>
      </w:tr>
    </w:tbl>
    <w:p w14:paraId="4C4FD0C5" w14:textId="5072D981" w:rsidR="009B7BA9" w:rsidRPr="00F036F5" w:rsidRDefault="009B7BA9" w:rsidP="009B7BA9">
      <w:pPr>
        <w:spacing w:before="120" w:after="0" w:line="240" w:lineRule="auto"/>
        <w:jc w:val="both"/>
        <w:rPr>
          <w:rFonts w:ascii="Arial" w:eastAsia="Times New Roman" w:hAnsi="Arial" w:cs="Times New Roman"/>
          <w:color w:val="000000" w:themeColor="text1"/>
          <w:szCs w:val="20"/>
          <w:lang w:val="en-GB"/>
        </w:rPr>
      </w:pPr>
      <w:r w:rsidRPr="00F036F5">
        <w:rPr>
          <w:rFonts w:ascii="Arial" w:eastAsia="Times New Roman" w:hAnsi="Arial" w:cs="Times New Roman"/>
          <w:color w:val="000000" w:themeColor="text1"/>
          <w:szCs w:val="20"/>
          <w:lang w:val="en-GB"/>
        </w:rPr>
        <w:t xml:space="preserve">The proportion of children in beneficiary families </w:t>
      </w:r>
      <w:r w:rsidR="00F23F6B">
        <w:rPr>
          <w:rFonts w:ascii="Arial" w:eastAsia="Times New Roman" w:hAnsi="Arial" w:cs="Times New Roman"/>
          <w:color w:val="000000" w:themeColor="text1"/>
          <w:szCs w:val="20"/>
          <w:lang w:val="en-GB"/>
        </w:rPr>
        <w:t xml:space="preserve">(bottom row) </w:t>
      </w:r>
      <w:r w:rsidRPr="00F036F5">
        <w:rPr>
          <w:rFonts w:ascii="Arial" w:eastAsia="Times New Roman" w:hAnsi="Arial" w:cs="Times New Roman"/>
          <w:color w:val="000000" w:themeColor="text1"/>
          <w:szCs w:val="20"/>
          <w:lang w:val="en-GB"/>
        </w:rPr>
        <w:t xml:space="preserve">is unlikely to ever match </w:t>
      </w:r>
      <w:r w:rsidR="00F23F6B">
        <w:rPr>
          <w:rFonts w:ascii="Arial" w:eastAsia="Times New Roman" w:hAnsi="Arial" w:cs="Times New Roman"/>
          <w:color w:val="000000" w:themeColor="text1"/>
          <w:szCs w:val="20"/>
          <w:lang w:val="en-GB"/>
        </w:rPr>
        <w:t xml:space="preserve">the proportions in </w:t>
      </w:r>
      <w:r w:rsidRPr="00F036F5">
        <w:rPr>
          <w:rFonts w:ascii="Arial" w:eastAsia="Times New Roman" w:hAnsi="Arial" w:cs="Times New Roman"/>
          <w:color w:val="000000" w:themeColor="text1"/>
          <w:szCs w:val="20"/>
          <w:lang w:val="en-GB"/>
        </w:rPr>
        <w:t xml:space="preserve">either of the other two </w:t>
      </w:r>
      <w:r w:rsidR="00F23F6B">
        <w:rPr>
          <w:rFonts w:ascii="Arial" w:eastAsia="Times New Roman" w:hAnsi="Arial" w:cs="Times New Roman"/>
          <w:color w:val="000000" w:themeColor="text1"/>
          <w:szCs w:val="20"/>
          <w:lang w:val="en-GB"/>
        </w:rPr>
        <w:t>rows</w:t>
      </w:r>
      <w:r w:rsidRPr="00F036F5">
        <w:rPr>
          <w:rFonts w:ascii="Arial" w:eastAsia="Times New Roman" w:hAnsi="Arial" w:cs="Times New Roman"/>
          <w:color w:val="000000" w:themeColor="text1"/>
          <w:szCs w:val="20"/>
          <w:lang w:val="en-GB"/>
        </w:rPr>
        <w:t xml:space="preserve"> for several reasons:</w:t>
      </w:r>
    </w:p>
    <w:p w14:paraId="2D08F15B" w14:textId="77777777" w:rsidR="009B7BA9" w:rsidRPr="00F036F5" w:rsidRDefault="009B7BA9">
      <w:pPr>
        <w:numPr>
          <w:ilvl w:val="0"/>
          <w:numId w:val="47"/>
        </w:numPr>
        <w:spacing w:before="40" w:after="0" w:line="240" w:lineRule="auto"/>
        <w:ind w:left="714" w:hanging="357"/>
        <w:jc w:val="both"/>
        <w:rPr>
          <w:rFonts w:ascii="Arial" w:eastAsia="Times New Roman" w:hAnsi="Arial" w:cs="Times New Roman"/>
          <w:color w:val="000000" w:themeColor="text1"/>
          <w:szCs w:val="20"/>
          <w:lang w:val="en-GB"/>
        </w:rPr>
      </w:pPr>
      <w:r w:rsidRPr="00F036F5">
        <w:rPr>
          <w:rFonts w:ascii="Arial" w:eastAsia="Times New Roman" w:hAnsi="Arial" w:cs="Times New Roman"/>
          <w:color w:val="000000" w:themeColor="text1"/>
          <w:szCs w:val="20"/>
          <w:lang w:val="en-GB"/>
        </w:rPr>
        <w:t>a beneficiary family may live in a household where an adult is in FT work (eg a sole parent family living with the mother’s parents or other relatives)</w:t>
      </w:r>
    </w:p>
    <w:p w14:paraId="4B1FF717" w14:textId="77777777" w:rsidR="009B7BA9" w:rsidRPr="00F036F5" w:rsidRDefault="009B7BA9">
      <w:pPr>
        <w:numPr>
          <w:ilvl w:val="0"/>
          <w:numId w:val="47"/>
        </w:numPr>
        <w:spacing w:before="40" w:after="0" w:line="240" w:lineRule="auto"/>
        <w:ind w:left="714" w:hanging="357"/>
        <w:jc w:val="both"/>
        <w:rPr>
          <w:rFonts w:ascii="Arial" w:eastAsia="Times New Roman" w:hAnsi="Arial" w:cs="Times New Roman"/>
          <w:color w:val="000000" w:themeColor="text1"/>
          <w:szCs w:val="20"/>
          <w:lang w:val="en-GB"/>
        </w:rPr>
      </w:pPr>
      <w:r w:rsidRPr="00F036F5">
        <w:rPr>
          <w:rFonts w:ascii="Arial" w:eastAsia="Times New Roman" w:hAnsi="Arial" w:cs="Times New Roman"/>
          <w:color w:val="000000" w:themeColor="text1"/>
          <w:szCs w:val="20"/>
          <w:lang w:val="en-GB"/>
        </w:rPr>
        <w:t>some beneficiary families receive income from part-time employment</w:t>
      </w:r>
    </w:p>
    <w:p w14:paraId="24570EB0" w14:textId="77777777" w:rsidR="009B7BA9" w:rsidRPr="00F036F5" w:rsidRDefault="009B7BA9">
      <w:pPr>
        <w:numPr>
          <w:ilvl w:val="0"/>
          <w:numId w:val="47"/>
        </w:numPr>
        <w:spacing w:before="40" w:after="0" w:line="240" w:lineRule="auto"/>
        <w:ind w:left="714" w:hanging="357"/>
        <w:jc w:val="both"/>
        <w:rPr>
          <w:rFonts w:ascii="Arial" w:eastAsia="Times New Roman" w:hAnsi="Arial" w:cs="Times New Roman"/>
          <w:b/>
          <w:color w:val="000000" w:themeColor="text1"/>
          <w:szCs w:val="20"/>
        </w:rPr>
      </w:pPr>
      <w:r w:rsidRPr="00F036F5">
        <w:rPr>
          <w:rFonts w:ascii="Arial" w:eastAsia="Times New Roman" w:hAnsi="Arial" w:cs="Times New Roman"/>
          <w:color w:val="000000" w:themeColor="text1"/>
          <w:szCs w:val="20"/>
          <w:lang w:val="en-GB"/>
        </w:rPr>
        <w:t xml:space="preserve">the beneficiary information is a snapshot at 31 March (from 2013 on), whereas the HES-based figures are an average over the full survey year. </w:t>
      </w:r>
    </w:p>
    <w:p w14:paraId="3ADB4DE7" w14:textId="77777777" w:rsidR="009B7BA9" w:rsidRDefault="009B7BA9" w:rsidP="009B7BA9">
      <w:pPr>
        <w:spacing w:after="0" w:line="240" w:lineRule="auto"/>
        <w:rPr>
          <w:rFonts w:ascii="Arial" w:eastAsia="Times New Roman" w:hAnsi="Arial"/>
          <w:b/>
          <w:bCs/>
          <w:color w:val="0000FF"/>
          <w:sz w:val="24"/>
          <w:szCs w:val="24"/>
          <w:lang w:eastAsia="en-NZ"/>
        </w:rPr>
      </w:pPr>
      <w:r>
        <w:rPr>
          <w:rFonts w:ascii="Arial" w:hAnsi="Arial"/>
          <w:b/>
          <w:bCs/>
          <w:color w:val="0000FF"/>
          <w:sz w:val="24"/>
          <w:szCs w:val="24"/>
        </w:rPr>
        <w:br w:type="page"/>
      </w:r>
    </w:p>
    <w:p w14:paraId="0A487A34" w14:textId="77777777" w:rsidR="009B7BA9" w:rsidRPr="00D40490" w:rsidRDefault="009B7BA9" w:rsidP="009B7BA9">
      <w:pPr>
        <w:spacing w:after="0" w:line="240" w:lineRule="auto"/>
        <w:rPr>
          <w:rFonts w:ascii="Arial" w:hAnsi="Arial"/>
          <w:b/>
          <w:bCs/>
          <w:color w:val="000000" w:themeColor="text1"/>
          <w:sz w:val="24"/>
          <w:szCs w:val="28"/>
        </w:rPr>
      </w:pPr>
      <w:r w:rsidRPr="00D40490">
        <w:rPr>
          <w:rFonts w:ascii="Arial" w:hAnsi="Arial"/>
          <w:b/>
          <w:bCs/>
          <w:color w:val="000000" w:themeColor="text1"/>
          <w:sz w:val="24"/>
          <w:szCs w:val="28"/>
        </w:rPr>
        <w:lastRenderedPageBreak/>
        <w:t>Trend in material wellbeing for children in households above the hardship threshold, with pre- and post-COVID comparisons</w:t>
      </w:r>
    </w:p>
    <w:p w14:paraId="1984C3DB" w14:textId="77777777" w:rsidR="009B7BA9" w:rsidRDefault="009B7BA9" w:rsidP="009B7BA9">
      <w:pPr>
        <w:spacing w:after="0" w:line="240" w:lineRule="auto"/>
        <w:rPr>
          <w:rFonts w:ascii="Arial" w:hAnsi="Arial"/>
          <w:b/>
          <w:bCs/>
          <w:color w:val="000000" w:themeColor="text1"/>
          <w:sz w:val="22"/>
          <w:szCs w:val="24"/>
        </w:rPr>
      </w:pPr>
    </w:p>
    <w:p w14:paraId="155A6D6C" w14:textId="77777777" w:rsidR="009B7BA9" w:rsidRPr="006A7ED7" w:rsidRDefault="009B7BA9" w:rsidP="009B7BA9">
      <w:pPr>
        <w:spacing w:after="0" w:line="240" w:lineRule="auto"/>
        <w:rPr>
          <w:rFonts w:ascii="Arial" w:hAnsi="Arial"/>
          <w:b/>
          <w:bCs/>
          <w:color w:val="000000" w:themeColor="text1"/>
        </w:rPr>
      </w:pPr>
      <w:r w:rsidRPr="006A7ED7">
        <w:rPr>
          <w:rFonts w:ascii="Arial" w:hAnsi="Arial"/>
          <w:color w:val="000000" w:themeColor="text1"/>
        </w:rPr>
        <w:t xml:space="preserve">The Child Poverty Report has a major focus on material hardship, low incomes and financial stress, all of which are matters of ongoing public policy interest. This justifiable focus can sometimes lead us to forget that the vast majority of New Zealand children are living in households in which their basic material needs are being consistently met. </w:t>
      </w:r>
    </w:p>
    <w:p w14:paraId="492478F0" w14:textId="77777777" w:rsidR="009B7BA9" w:rsidRPr="00BF2CF5" w:rsidRDefault="009B7BA9" w:rsidP="009B7BA9">
      <w:pPr>
        <w:spacing w:after="0" w:line="240" w:lineRule="auto"/>
        <w:rPr>
          <w:rFonts w:ascii="Arial" w:hAnsi="Arial"/>
          <w:b/>
          <w:bCs/>
          <w:color w:val="000000" w:themeColor="text1"/>
        </w:rPr>
      </w:pPr>
    </w:p>
    <w:p w14:paraId="17406B94" w14:textId="77777777" w:rsidR="009B7BA9" w:rsidRPr="00902015" w:rsidRDefault="009B7BA9" w:rsidP="009B7BA9">
      <w:pPr>
        <w:spacing w:after="0" w:line="240" w:lineRule="auto"/>
        <w:rPr>
          <w:rFonts w:ascii="Arial" w:hAnsi="Arial"/>
          <w:color w:val="FF0000"/>
        </w:rPr>
      </w:pPr>
      <w:r w:rsidRPr="00BF2CF5">
        <w:rPr>
          <w:rFonts w:ascii="Arial" w:hAnsi="Arial"/>
          <w:color w:val="000000" w:themeColor="text1"/>
        </w:rPr>
        <w:t>MSD’s Material Wellbeing Index (MWI) ranks households across the full material wellbeing spectrum from low to high, rather than just being focussed on the low end as the DEP-17</w:t>
      </w:r>
      <w:r>
        <w:rPr>
          <w:rFonts w:ascii="Arial" w:hAnsi="Arial"/>
          <w:color w:val="000000" w:themeColor="text1"/>
        </w:rPr>
        <w:t>, MH-18</w:t>
      </w:r>
      <w:r w:rsidRPr="00BF2CF5">
        <w:rPr>
          <w:rFonts w:ascii="Arial" w:hAnsi="Arial"/>
          <w:color w:val="000000" w:themeColor="text1"/>
        </w:rPr>
        <w:t xml:space="preserve"> and EU-13 indices are.</w:t>
      </w:r>
      <w:r w:rsidRPr="00BF2CF5">
        <w:rPr>
          <w:rStyle w:val="FootnoteReference"/>
          <w:rFonts w:ascii="Arial" w:hAnsi="Arial"/>
          <w:color w:val="000000" w:themeColor="text1"/>
        </w:rPr>
        <w:footnoteReference w:id="72"/>
      </w:r>
      <w:r w:rsidRPr="00BF2CF5">
        <w:rPr>
          <w:rFonts w:ascii="Arial" w:hAnsi="Arial"/>
          <w:color w:val="000000" w:themeColor="text1"/>
        </w:rPr>
        <w:t xml:space="preserve"> The maximum possible MWI score is 35. Material hardship rates </w:t>
      </w:r>
      <w:r>
        <w:rPr>
          <w:rFonts w:ascii="Arial" w:hAnsi="Arial"/>
          <w:color w:val="000000" w:themeColor="text1"/>
        </w:rPr>
        <w:t xml:space="preserve">to 2023-24 </w:t>
      </w:r>
      <w:r w:rsidRPr="00BF2CF5">
        <w:rPr>
          <w:rFonts w:ascii="Arial" w:hAnsi="Arial"/>
          <w:color w:val="000000" w:themeColor="text1"/>
        </w:rPr>
        <w:t>are calculated using an MWI score of 12 or less</w:t>
      </w:r>
      <w:r>
        <w:rPr>
          <w:rFonts w:ascii="Arial" w:hAnsi="Arial"/>
          <w:color w:val="000000" w:themeColor="text1"/>
        </w:rPr>
        <w:t xml:space="preserve">, equivalent to a DEP-17 score of 6+/17.  </w:t>
      </w:r>
      <w:r w:rsidRPr="00BF2CF5">
        <w:rPr>
          <w:rFonts w:ascii="Arial" w:hAnsi="Arial"/>
          <w:color w:val="000000" w:themeColor="text1"/>
        </w:rPr>
        <w:t xml:space="preserve">Applying the MWI to the </w:t>
      </w:r>
      <w:r>
        <w:rPr>
          <w:rFonts w:ascii="Arial" w:hAnsi="Arial"/>
          <w:color w:val="000000" w:themeColor="text1"/>
        </w:rPr>
        <w:t>HES</w:t>
      </w:r>
      <w:r w:rsidRPr="00BF2CF5">
        <w:rPr>
          <w:rFonts w:ascii="Arial" w:hAnsi="Arial"/>
          <w:color w:val="000000" w:themeColor="text1"/>
        </w:rPr>
        <w:t xml:space="preserve"> data enables the creation of a fuller pictur</w:t>
      </w:r>
      <w:r>
        <w:rPr>
          <w:rFonts w:ascii="Arial" w:hAnsi="Arial"/>
          <w:color w:val="000000" w:themeColor="text1"/>
        </w:rPr>
        <w:t>e of how</w:t>
      </w:r>
      <w:r w:rsidRPr="00BF2CF5">
        <w:rPr>
          <w:rFonts w:ascii="Arial" w:hAnsi="Arial"/>
          <w:color w:val="000000" w:themeColor="text1"/>
        </w:rPr>
        <w:t xml:space="preserve"> children are faring</w:t>
      </w:r>
      <w:r>
        <w:rPr>
          <w:rFonts w:ascii="Arial" w:hAnsi="Arial"/>
          <w:color w:val="000000" w:themeColor="text1"/>
        </w:rPr>
        <w:t>.</w:t>
      </w:r>
      <w:r>
        <w:rPr>
          <w:rStyle w:val="FootnoteReference"/>
          <w:rFonts w:ascii="Arial" w:hAnsi="Arial"/>
          <w:color w:val="000000" w:themeColor="text1"/>
        </w:rPr>
        <w:footnoteReference w:id="73"/>
      </w:r>
      <w:r>
        <w:rPr>
          <w:rFonts w:ascii="Arial" w:hAnsi="Arial"/>
          <w:color w:val="000000" w:themeColor="text1"/>
        </w:rPr>
        <w:t xml:space="preserve"> </w:t>
      </w:r>
    </w:p>
    <w:p w14:paraId="1D6BBED2" w14:textId="77777777" w:rsidR="009B7BA9" w:rsidRPr="00BF2CF5" w:rsidRDefault="009B7BA9" w:rsidP="009B7BA9">
      <w:pPr>
        <w:spacing w:after="0" w:line="240" w:lineRule="auto"/>
        <w:rPr>
          <w:rFonts w:ascii="Arial" w:hAnsi="Arial"/>
          <w:color w:val="000000" w:themeColor="text1"/>
        </w:rPr>
      </w:pPr>
    </w:p>
    <w:p w14:paraId="49843EA7" w14:textId="21D4C423" w:rsidR="009B7BA9" w:rsidRDefault="009B7BA9" w:rsidP="009B7BA9">
      <w:pPr>
        <w:spacing w:after="0" w:line="240" w:lineRule="auto"/>
        <w:rPr>
          <w:rFonts w:ascii="Arial" w:hAnsi="Arial"/>
          <w:color w:val="000000" w:themeColor="text1"/>
        </w:rPr>
      </w:pPr>
      <w:r w:rsidRPr="00BF2CF5">
        <w:rPr>
          <w:rFonts w:ascii="Arial" w:hAnsi="Arial"/>
          <w:color w:val="000000" w:themeColor="text1"/>
        </w:rPr>
        <w:t xml:space="preserve">Using the </w:t>
      </w:r>
      <w:r>
        <w:rPr>
          <w:rFonts w:ascii="Arial" w:hAnsi="Arial"/>
          <w:color w:val="000000" w:themeColor="text1"/>
        </w:rPr>
        <w:t>MWI</w:t>
      </w:r>
      <w:r w:rsidRPr="00BF2CF5">
        <w:rPr>
          <w:rFonts w:ascii="Arial" w:hAnsi="Arial"/>
          <w:color w:val="000000" w:themeColor="text1"/>
        </w:rPr>
        <w:t xml:space="preserve"> to report on trends is similar to using a fixed line household income measure. The same fixed standard is used from one survey to the next, whereas the moving or relative line approach for incomes uses a moving standard, namely, median household income. </w:t>
      </w:r>
      <w:r w:rsidRPr="00BF2CF5">
        <w:rPr>
          <w:rFonts w:ascii="Arial" w:hAnsi="Arial"/>
          <w:b/>
          <w:bCs/>
          <w:color w:val="000000" w:themeColor="text1"/>
        </w:rPr>
        <w:t xml:space="preserve">Figure </w:t>
      </w:r>
      <w:r w:rsidR="006B6068">
        <w:rPr>
          <w:rFonts w:ascii="Arial" w:hAnsi="Arial"/>
          <w:b/>
          <w:bCs/>
          <w:color w:val="000000" w:themeColor="text1"/>
        </w:rPr>
        <w:t>F</w:t>
      </w:r>
      <w:r>
        <w:rPr>
          <w:rFonts w:ascii="Arial" w:hAnsi="Arial"/>
          <w:b/>
          <w:bCs/>
          <w:color w:val="000000" w:themeColor="text1"/>
        </w:rPr>
        <w:t>.6</w:t>
      </w:r>
      <w:r w:rsidRPr="00BF2CF5">
        <w:rPr>
          <w:rFonts w:ascii="Arial" w:hAnsi="Arial"/>
          <w:color w:val="000000" w:themeColor="text1"/>
        </w:rPr>
        <w:t xml:space="preserve"> makes use of this feature</w:t>
      </w:r>
      <w:r>
        <w:rPr>
          <w:rFonts w:ascii="Arial" w:hAnsi="Arial"/>
          <w:color w:val="000000" w:themeColor="text1"/>
        </w:rPr>
        <w:t xml:space="preserve"> of the MWI</w:t>
      </w:r>
      <w:r w:rsidRPr="00BF2CF5">
        <w:rPr>
          <w:rFonts w:ascii="Arial" w:hAnsi="Arial"/>
          <w:color w:val="000000" w:themeColor="text1"/>
        </w:rPr>
        <w:t xml:space="preserve">, starting with a given MWI score </w:t>
      </w:r>
      <w:r>
        <w:rPr>
          <w:rFonts w:ascii="Arial" w:hAnsi="Arial"/>
          <w:color w:val="000000" w:themeColor="text1"/>
        </w:rPr>
        <w:t>(</w:t>
      </w:r>
      <w:r w:rsidRPr="00BF2CF5">
        <w:rPr>
          <w:rFonts w:ascii="Arial" w:hAnsi="Arial"/>
          <w:color w:val="000000" w:themeColor="text1"/>
        </w:rPr>
        <w:t>level of material wellbeing) in 2012-13</w:t>
      </w:r>
      <w:r>
        <w:rPr>
          <w:rFonts w:ascii="Arial" w:hAnsi="Arial"/>
          <w:color w:val="000000" w:themeColor="text1"/>
        </w:rPr>
        <w:t>,</w:t>
      </w:r>
      <w:r w:rsidRPr="00BF2CF5">
        <w:rPr>
          <w:rFonts w:ascii="Arial" w:hAnsi="Arial"/>
          <w:color w:val="000000" w:themeColor="text1"/>
        </w:rPr>
        <w:t xml:space="preserve"> and showing the increasing proportions of children in households achieving that level</w:t>
      </w:r>
      <w:r>
        <w:rPr>
          <w:rFonts w:ascii="Arial" w:hAnsi="Arial"/>
          <w:color w:val="000000" w:themeColor="text1"/>
        </w:rPr>
        <w:t xml:space="preserve"> or better</w:t>
      </w:r>
      <w:r w:rsidRPr="00BF2CF5">
        <w:rPr>
          <w:rFonts w:ascii="Arial" w:hAnsi="Arial"/>
          <w:color w:val="000000" w:themeColor="text1"/>
        </w:rPr>
        <w:t xml:space="preserve"> over the period to </w:t>
      </w:r>
      <w:r>
        <w:rPr>
          <w:rFonts w:ascii="Arial" w:hAnsi="Arial"/>
          <w:color w:val="000000" w:themeColor="text1"/>
        </w:rPr>
        <w:t>2019-20, followed by a small decrease for the post-COVID years , 2022-23 and 2023-24.</w:t>
      </w:r>
      <w:r>
        <w:rPr>
          <w:rStyle w:val="FootnoteReference"/>
          <w:rFonts w:ascii="Arial" w:hAnsi="Arial"/>
          <w:color w:val="000000" w:themeColor="text1"/>
        </w:rPr>
        <w:footnoteReference w:id="74"/>
      </w:r>
    </w:p>
    <w:p w14:paraId="716467A1" w14:textId="77777777" w:rsidR="009B7BA9" w:rsidRDefault="009B7BA9" w:rsidP="009B7BA9">
      <w:pPr>
        <w:spacing w:after="0" w:line="240" w:lineRule="auto"/>
        <w:rPr>
          <w:rFonts w:ascii="Arial" w:hAnsi="Arial"/>
          <w:color w:val="000000" w:themeColor="text1"/>
        </w:rPr>
      </w:pPr>
    </w:p>
    <w:p w14:paraId="33E878F6" w14:textId="77777777" w:rsidR="009B7BA9" w:rsidRDefault="009B7BA9" w:rsidP="009B7BA9">
      <w:pPr>
        <w:spacing w:after="0" w:line="240" w:lineRule="auto"/>
        <w:rPr>
          <w:rFonts w:ascii="Arial" w:hAnsi="Arial"/>
          <w:color w:val="000000" w:themeColor="text1"/>
        </w:rPr>
      </w:pPr>
      <w:r w:rsidRPr="000277E9">
        <w:rPr>
          <w:rFonts w:ascii="Arial" w:hAnsi="Arial"/>
          <w:color w:val="000000" w:themeColor="text1"/>
        </w:rPr>
        <w:t xml:space="preserve">The chart shows the trend in material wellbeing from 2013 on for those starting with a score of 25 or more in 2013, representing children in households with good to very good material living standards. 46% of children were in households with a score of 25+ in 2012-13. By 2019-20 this proportion had reached </w:t>
      </w:r>
      <w:r w:rsidRPr="000277E9">
        <w:rPr>
          <w:rFonts w:ascii="Arial" w:hAnsi="Arial"/>
          <w:color w:val="2F5496" w:themeColor="accent1" w:themeShade="BF"/>
        </w:rPr>
        <w:t>57</w:t>
      </w:r>
      <w:r w:rsidRPr="000277E9">
        <w:rPr>
          <w:rFonts w:ascii="Arial" w:hAnsi="Arial"/>
          <w:color w:val="000000" w:themeColor="text1"/>
        </w:rPr>
        <w:t>%. Following the COVID years it decreased to 54%,</w:t>
      </w:r>
      <w:r>
        <w:rPr>
          <w:rFonts w:ascii="Arial" w:hAnsi="Arial"/>
          <w:color w:val="000000" w:themeColor="text1"/>
        </w:rPr>
        <w:t xml:space="preserve"> in line with the economic slowdown and the flat-lining of real inflation-adjusted incomes.</w:t>
      </w:r>
      <w:r>
        <w:rPr>
          <w:rStyle w:val="FootnoteReference"/>
          <w:rFonts w:ascii="Arial" w:hAnsi="Arial"/>
          <w:color w:val="000000" w:themeColor="text1"/>
        </w:rPr>
        <w:footnoteReference w:id="75"/>
      </w:r>
    </w:p>
    <w:p w14:paraId="78753760" w14:textId="77777777" w:rsidR="009B7BA9" w:rsidRDefault="009B7BA9" w:rsidP="009B7BA9">
      <w:pPr>
        <w:pStyle w:val="ListParagraph"/>
        <w:spacing w:after="0" w:line="240" w:lineRule="auto"/>
        <w:ind w:left="0"/>
        <w:jc w:val="center"/>
        <w:rPr>
          <w:rFonts w:ascii="Arial" w:eastAsia="Times New Roman" w:hAnsi="Arial"/>
          <w:b/>
          <w:color w:val="3333FF"/>
          <w:sz w:val="18"/>
          <w:szCs w:val="18"/>
        </w:rPr>
      </w:pPr>
    </w:p>
    <w:p w14:paraId="43DA5F0D" w14:textId="7B363998" w:rsidR="009B7BA9" w:rsidRDefault="009B7BA9" w:rsidP="009B7BA9">
      <w:pPr>
        <w:pStyle w:val="ListParagraph"/>
        <w:spacing w:after="0" w:line="240" w:lineRule="auto"/>
        <w:ind w:left="0"/>
        <w:jc w:val="center"/>
        <w:rPr>
          <w:noProof/>
        </w:rPr>
      </w:pPr>
      <w:r w:rsidRPr="006D0F2D">
        <w:rPr>
          <w:rFonts w:ascii="Arial" w:eastAsia="Times New Roman" w:hAnsi="Arial"/>
          <w:b/>
          <w:color w:val="000000" w:themeColor="text1"/>
          <w:sz w:val="18"/>
          <w:szCs w:val="18"/>
        </w:rPr>
        <w:t xml:space="preserve">Figure </w:t>
      </w:r>
      <w:r w:rsidR="006B6068">
        <w:rPr>
          <w:rFonts w:ascii="Arial" w:eastAsia="Times New Roman" w:hAnsi="Arial"/>
          <w:b/>
          <w:color w:val="000000" w:themeColor="text1"/>
          <w:sz w:val="18"/>
          <w:szCs w:val="18"/>
        </w:rPr>
        <w:t>F</w:t>
      </w:r>
      <w:r>
        <w:rPr>
          <w:rFonts w:ascii="Arial" w:eastAsia="Times New Roman" w:hAnsi="Arial"/>
          <w:b/>
          <w:color w:val="000000" w:themeColor="text1"/>
          <w:sz w:val="18"/>
          <w:szCs w:val="18"/>
        </w:rPr>
        <w:t>.6</w:t>
      </w:r>
      <w:r w:rsidRPr="006D0F2D">
        <w:rPr>
          <w:rFonts w:ascii="Arial" w:eastAsia="Times New Roman" w:hAnsi="Arial"/>
          <w:b/>
          <w:color w:val="000000" w:themeColor="text1"/>
          <w:sz w:val="18"/>
          <w:szCs w:val="18"/>
        </w:rPr>
        <w:t xml:space="preserve"> </w:t>
      </w:r>
    </w:p>
    <w:p w14:paraId="2B7D5542" w14:textId="77777777" w:rsidR="009B7BA9" w:rsidRPr="006D0F2D" w:rsidRDefault="009B7BA9" w:rsidP="009B7BA9">
      <w:pPr>
        <w:pStyle w:val="ListParagraph"/>
        <w:spacing w:after="0" w:line="240" w:lineRule="auto"/>
        <w:ind w:left="0"/>
        <w:jc w:val="center"/>
        <w:rPr>
          <w:rFonts w:ascii="Arial" w:eastAsia="Times New Roman" w:hAnsi="Arial"/>
          <w:b/>
          <w:color w:val="000000" w:themeColor="text1"/>
          <w:sz w:val="18"/>
          <w:szCs w:val="18"/>
        </w:rPr>
      </w:pPr>
      <w:r w:rsidRPr="006D0F2D">
        <w:rPr>
          <w:rFonts w:ascii="Arial" w:eastAsia="Times New Roman" w:hAnsi="Arial"/>
          <w:b/>
          <w:color w:val="000000" w:themeColor="text1"/>
          <w:sz w:val="18"/>
          <w:szCs w:val="18"/>
        </w:rPr>
        <w:t xml:space="preserve">Proportion of children (0-17yrs) in households with average to very good material living standards, </w:t>
      </w:r>
    </w:p>
    <w:p w14:paraId="023C8F29" w14:textId="77777777" w:rsidR="009B7BA9" w:rsidRPr="006D0F2D" w:rsidRDefault="009B7BA9" w:rsidP="009B7BA9">
      <w:pPr>
        <w:pStyle w:val="ListParagraph"/>
        <w:spacing w:after="0" w:line="240" w:lineRule="auto"/>
        <w:ind w:left="0"/>
        <w:jc w:val="center"/>
        <w:rPr>
          <w:rFonts w:ascii="Arial" w:eastAsia="Times New Roman" w:hAnsi="Arial"/>
          <w:b/>
          <w:color w:val="000000" w:themeColor="text1"/>
          <w:sz w:val="18"/>
          <w:szCs w:val="18"/>
        </w:rPr>
      </w:pPr>
      <w:r w:rsidRPr="006D0F2D">
        <w:rPr>
          <w:b/>
          <w:noProof/>
          <w:color w:val="000000" w:themeColor="text1"/>
        </w:rPr>
        <w:drawing>
          <wp:anchor distT="0" distB="0" distL="114300" distR="114300" simplePos="0" relativeHeight="252962816" behindDoc="0" locked="0" layoutInCell="1" allowOverlap="1" wp14:anchorId="3E35B907" wp14:editId="2E0812EB">
            <wp:simplePos x="0" y="0"/>
            <wp:positionH relativeFrom="column">
              <wp:posOffset>1339850</wp:posOffset>
            </wp:positionH>
            <wp:positionV relativeFrom="paragraph">
              <wp:posOffset>205105</wp:posOffset>
            </wp:positionV>
            <wp:extent cx="3032760" cy="1869183"/>
            <wp:effectExtent l="0" t="0" r="0" b="0"/>
            <wp:wrapTopAndBottom/>
            <wp:docPr id="1767225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2505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32760" cy="1869183"/>
                    </a:xfrm>
                    <a:prstGeom prst="rect">
                      <a:avLst/>
                    </a:prstGeom>
                  </pic:spPr>
                </pic:pic>
              </a:graphicData>
            </a:graphic>
            <wp14:sizeRelH relativeFrom="page">
              <wp14:pctWidth>0</wp14:pctWidth>
            </wp14:sizeRelH>
            <wp14:sizeRelV relativeFrom="page">
              <wp14:pctHeight>0</wp14:pctHeight>
            </wp14:sizeRelV>
          </wp:anchor>
        </w:drawing>
      </w:r>
      <w:r w:rsidRPr="006D0F2D">
        <w:rPr>
          <w:rFonts w:ascii="Arial" w:eastAsia="Times New Roman" w:hAnsi="Arial"/>
          <w:b/>
          <w:color w:val="000000" w:themeColor="text1"/>
          <w:sz w:val="18"/>
          <w:szCs w:val="18"/>
        </w:rPr>
        <w:t>2013 to 2024</w:t>
      </w:r>
    </w:p>
    <w:p w14:paraId="684CC4A0" w14:textId="77777777" w:rsidR="009B7BA9" w:rsidRPr="00BF2CF5" w:rsidRDefault="009B7BA9" w:rsidP="009B7BA9">
      <w:pPr>
        <w:spacing w:after="0" w:line="240" w:lineRule="auto"/>
        <w:rPr>
          <w:rFonts w:ascii="Arial" w:hAnsi="Arial"/>
          <w:color w:val="000000" w:themeColor="text1"/>
        </w:rPr>
      </w:pPr>
    </w:p>
    <w:p w14:paraId="642018D3" w14:textId="19D23FBA" w:rsidR="009B7BA9" w:rsidRPr="00BF2CF5" w:rsidRDefault="009B7BA9" w:rsidP="009B7BA9">
      <w:pPr>
        <w:spacing w:line="240" w:lineRule="auto"/>
        <w:rPr>
          <w:rFonts w:ascii="Arial" w:hAnsi="Arial"/>
          <w:color w:val="000000" w:themeColor="text1"/>
        </w:rPr>
      </w:pPr>
      <w:r>
        <w:rPr>
          <w:rFonts w:ascii="Arial" w:hAnsi="Arial"/>
          <w:color w:val="000000" w:themeColor="text1"/>
        </w:rPr>
        <w:t xml:space="preserve">The higher and out-of-sync proportions for the COVID years give further support to the report’s decision to </w:t>
      </w:r>
      <w:r w:rsidR="000277E9">
        <w:rPr>
          <w:rFonts w:ascii="Arial" w:hAnsi="Arial"/>
          <w:color w:val="000000" w:themeColor="text1"/>
        </w:rPr>
        <w:t>separate out the COVID years by ‘not joining the dots’</w:t>
      </w:r>
      <w:r>
        <w:rPr>
          <w:rFonts w:ascii="Arial" w:hAnsi="Arial"/>
          <w:color w:val="000000" w:themeColor="text1"/>
        </w:rPr>
        <w:t xml:space="preserve"> </w:t>
      </w:r>
      <w:r w:rsidR="000277E9">
        <w:rPr>
          <w:rFonts w:ascii="Arial" w:hAnsi="Arial"/>
          <w:color w:val="000000" w:themeColor="text1"/>
        </w:rPr>
        <w:t>as a visual reminder of the very unusual circumstances in the period.</w:t>
      </w:r>
      <w:r w:rsidRPr="00BF2CF5">
        <w:rPr>
          <w:rFonts w:ascii="Arial" w:hAnsi="Arial"/>
          <w:color w:val="000000" w:themeColor="text1"/>
        </w:rPr>
        <w:t xml:space="preserve">  </w:t>
      </w:r>
    </w:p>
    <w:p w14:paraId="3E653A4F" w14:textId="77777777" w:rsidR="009B7BA9" w:rsidRDefault="009B7BA9" w:rsidP="009B7BA9">
      <w:pPr>
        <w:pStyle w:val="ListParagraph"/>
        <w:spacing w:after="0" w:line="240" w:lineRule="auto"/>
        <w:ind w:left="1004"/>
        <w:jc w:val="center"/>
        <w:rPr>
          <w:rFonts w:ascii="Arial" w:eastAsia="Times New Roman" w:hAnsi="Arial"/>
          <w:b/>
          <w:color w:val="3333FF"/>
          <w:sz w:val="18"/>
          <w:szCs w:val="18"/>
        </w:rPr>
      </w:pPr>
    </w:p>
    <w:p w14:paraId="1A1ED57C" w14:textId="424A7968" w:rsidR="009B7BA9" w:rsidRPr="00447CCA" w:rsidRDefault="009B7BA9" w:rsidP="009B7BA9">
      <w:pPr>
        <w:spacing w:after="0" w:line="240" w:lineRule="auto"/>
        <w:rPr>
          <w:rFonts w:ascii="Arial" w:eastAsia="Times New Roman" w:hAnsi="Arial"/>
          <w:b/>
          <w:color w:val="000000" w:themeColor="text1"/>
          <w:szCs w:val="20"/>
        </w:rPr>
      </w:pPr>
      <w:r>
        <w:rPr>
          <w:rFonts w:ascii="Arial" w:hAnsi="Arial"/>
          <w:color w:val="000000" w:themeColor="text1"/>
          <w:szCs w:val="20"/>
          <w:highlight w:val="green"/>
        </w:rPr>
        <w:br w:type="page"/>
      </w:r>
      <w:r w:rsidRPr="00447CCA">
        <w:rPr>
          <w:rFonts w:ascii="Arial" w:eastAsia="Times New Roman" w:hAnsi="Arial"/>
          <w:b/>
          <w:color w:val="000000" w:themeColor="text1"/>
          <w:szCs w:val="20"/>
        </w:rPr>
        <w:lastRenderedPageBreak/>
        <w:t>Self-assessed income adequacy</w:t>
      </w:r>
    </w:p>
    <w:p w14:paraId="2BF0A8A0" w14:textId="77777777" w:rsidR="009B7BA9" w:rsidRDefault="009B7BA9" w:rsidP="009B7BA9">
      <w:pPr>
        <w:spacing w:after="0" w:line="240" w:lineRule="auto"/>
        <w:rPr>
          <w:rFonts w:ascii="Arial" w:eastAsia="Times New Roman" w:hAnsi="Arial"/>
          <w:bCs/>
          <w:color w:val="3333FF"/>
          <w:szCs w:val="20"/>
        </w:rPr>
      </w:pPr>
    </w:p>
    <w:p w14:paraId="404A1315" w14:textId="51D44EF1" w:rsidR="005C0A04" w:rsidRDefault="005C0A04" w:rsidP="005C0A04">
      <w:pPr>
        <w:spacing w:after="0" w:line="240" w:lineRule="auto"/>
        <w:rPr>
          <w:rFonts w:ascii="Arial" w:eastAsia="Times New Roman" w:hAnsi="Arial"/>
          <w:b/>
          <w:color w:val="000000" w:themeColor="text1"/>
          <w:sz w:val="18"/>
          <w:szCs w:val="18"/>
        </w:rPr>
      </w:pPr>
      <w:r w:rsidRPr="00DD52CD">
        <w:rPr>
          <w:rFonts w:ascii="Arial" w:hAnsi="Arial"/>
          <w:color w:val="000000" w:themeColor="text1"/>
          <w:szCs w:val="20"/>
        </w:rPr>
        <w:t>For 2013 to 20</w:t>
      </w:r>
      <w:r>
        <w:rPr>
          <w:rFonts w:ascii="Arial" w:hAnsi="Arial"/>
          <w:color w:val="000000" w:themeColor="text1"/>
          <w:szCs w:val="20"/>
        </w:rPr>
        <w:t>20</w:t>
      </w:r>
      <w:r w:rsidRPr="00DD52CD">
        <w:rPr>
          <w:rFonts w:ascii="Arial" w:hAnsi="Arial"/>
          <w:color w:val="000000" w:themeColor="text1"/>
          <w:szCs w:val="20"/>
        </w:rPr>
        <w:t xml:space="preserve">, </w:t>
      </w:r>
      <w:r>
        <w:rPr>
          <w:rFonts w:ascii="Arial" w:hAnsi="Arial"/>
          <w:color w:val="000000" w:themeColor="text1"/>
          <w:szCs w:val="20"/>
        </w:rPr>
        <w:t xml:space="preserve">the proportion of children in households who </w:t>
      </w:r>
      <w:r w:rsidRPr="00B532E8">
        <w:rPr>
          <w:rFonts w:ascii="Arial" w:hAnsi="Arial"/>
          <w:color w:val="000000" w:themeColor="text1"/>
          <w:szCs w:val="20"/>
          <w:u w:val="single"/>
        </w:rPr>
        <w:t>reported that they did not have enough income for basics</w:t>
      </w:r>
      <w:r>
        <w:rPr>
          <w:rFonts w:ascii="Arial" w:hAnsi="Arial"/>
          <w:color w:val="000000" w:themeColor="text1"/>
          <w:szCs w:val="20"/>
        </w:rPr>
        <w:t xml:space="preserve"> steadily declined</w:t>
      </w:r>
      <w:r w:rsidRPr="00DD52CD">
        <w:rPr>
          <w:rFonts w:ascii="Arial" w:hAnsi="Arial"/>
          <w:color w:val="000000" w:themeColor="text1"/>
          <w:szCs w:val="20"/>
        </w:rPr>
        <w:t xml:space="preserve"> </w:t>
      </w:r>
      <w:r w:rsidR="00F75EBB">
        <w:rPr>
          <w:rFonts w:ascii="Arial" w:hAnsi="Arial"/>
          <w:color w:val="000000" w:themeColor="text1"/>
          <w:szCs w:val="20"/>
        </w:rPr>
        <w:t xml:space="preserve">from 21% </w:t>
      </w:r>
      <w:r>
        <w:rPr>
          <w:rFonts w:ascii="Arial" w:hAnsi="Arial"/>
          <w:color w:val="000000" w:themeColor="text1"/>
          <w:szCs w:val="20"/>
        </w:rPr>
        <w:t>to 13% and dropped further during the COVID years (</w:t>
      </w:r>
      <w:r w:rsidRPr="005C0A04">
        <w:rPr>
          <w:rFonts w:ascii="Arial" w:hAnsi="Arial"/>
          <w:b/>
          <w:bCs/>
          <w:color w:val="000000" w:themeColor="text1"/>
          <w:szCs w:val="20"/>
        </w:rPr>
        <w:t>Figure F.</w:t>
      </w:r>
      <w:r>
        <w:rPr>
          <w:rFonts w:ascii="Arial" w:hAnsi="Arial"/>
          <w:b/>
          <w:bCs/>
          <w:color w:val="000000" w:themeColor="text1"/>
          <w:szCs w:val="20"/>
        </w:rPr>
        <w:t>7</w:t>
      </w:r>
      <w:r>
        <w:rPr>
          <w:rFonts w:ascii="Arial" w:hAnsi="Arial"/>
          <w:color w:val="000000" w:themeColor="text1"/>
          <w:szCs w:val="20"/>
        </w:rPr>
        <w:t>). This trend reversed post-COVID and increased to 15% in 2024-25.</w:t>
      </w:r>
    </w:p>
    <w:p w14:paraId="083986AC" w14:textId="5DF73239" w:rsidR="009B7BA9" w:rsidRDefault="009B7BA9" w:rsidP="009B7BA9">
      <w:pPr>
        <w:spacing w:after="0" w:line="240" w:lineRule="auto"/>
        <w:rPr>
          <w:rFonts w:ascii="Arial" w:eastAsia="Times New Roman" w:hAnsi="Arial"/>
          <w:b/>
          <w:color w:val="3333FF"/>
          <w:sz w:val="18"/>
          <w:szCs w:val="18"/>
        </w:rPr>
      </w:pPr>
    </w:p>
    <w:p w14:paraId="7D32BD72" w14:textId="11EF5CC3" w:rsidR="00AB35BC" w:rsidRDefault="00AB35BC" w:rsidP="00233AE2">
      <w:pPr>
        <w:spacing w:after="0" w:line="240" w:lineRule="auto"/>
        <w:jc w:val="center"/>
        <w:rPr>
          <w:noProof/>
        </w:rPr>
      </w:pPr>
      <w:r w:rsidRPr="00447CCA">
        <w:rPr>
          <w:rFonts w:ascii="Arial" w:eastAsia="Times New Roman" w:hAnsi="Arial"/>
          <w:b/>
          <w:color w:val="000000" w:themeColor="text1"/>
          <w:sz w:val="18"/>
          <w:szCs w:val="18"/>
        </w:rPr>
        <w:t xml:space="preserve">Figure </w:t>
      </w:r>
      <w:r>
        <w:rPr>
          <w:rFonts w:ascii="Arial" w:eastAsia="Times New Roman" w:hAnsi="Arial"/>
          <w:b/>
          <w:color w:val="000000" w:themeColor="text1"/>
          <w:sz w:val="18"/>
          <w:szCs w:val="18"/>
        </w:rPr>
        <w:t>F</w:t>
      </w:r>
      <w:r w:rsidRPr="00447CCA">
        <w:rPr>
          <w:rFonts w:ascii="Arial" w:eastAsia="Times New Roman" w:hAnsi="Arial"/>
          <w:b/>
          <w:color w:val="000000" w:themeColor="text1"/>
          <w:sz w:val="18"/>
          <w:szCs w:val="18"/>
        </w:rPr>
        <w:t>.7</w:t>
      </w:r>
    </w:p>
    <w:p w14:paraId="63EB8B96" w14:textId="77777777" w:rsidR="00AB35BC" w:rsidRDefault="00AB35BC" w:rsidP="00AB35BC">
      <w:pPr>
        <w:pStyle w:val="ListParagraph"/>
        <w:spacing w:after="0" w:line="240" w:lineRule="auto"/>
        <w:ind w:left="0"/>
        <w:jc w:val="center"/>
        <w:rPr>
          <w:rFonts w:ascii="Arial" w:eastAsia="Times New Roman" w:hAnsi="Arial"/>
          <w:b/>
          <w:color w:val="000000" w:themeColor="text1"/>
          <w:sz w:val="18"/>
          <w:szCs w:val="18"/>
        </w:rPr>
      </w:pPr>
      <w:r w:rsidRPr="00AB35BC">
        <w:rPr>
          <w:noProof/>
        </w:rPr>
        <w:drawing>
          <wp:anchor distT="0" distB="0" distL="114300" distR="114300" simplePos="0" relativeHeight="253191168" behindDoc="0" locked="0" layoutInCell="1" allowOverlap="1" wp14:anchorId="65F60873" wp14:editId="44B3ED04">
            <wp:simplePos x="0" y="0"/>
            <wp:positionH relativeFrom="margin">
              <wp:align>center</wp:align>
            </wp:positionH>
            <wp:positionV relativeFrom="paragraph">
              <wp:posOffset>332740</wp:posOffset>
            </wp:positionV>
            <wp:extent cx="2943860" cy="1814391"/>
            <wp:effectExtent l="0" t="0" r="8890" b="0"/>
            <wp:wrapTopAndBottom/>
            <wp:docPr id="61403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3404"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943860" cy="1814391"/>
                    </a:xfrm>
                    <a:prstGeom prst="rect">
                      <a:avLst/>
                    </a:prstGeom>
                  </pic:spPr>
                </pic:pic>
              </a:graphicData>
            </a:graphic>
            <wp14:sizeRelH relativeFrom="page">
              <wp14:pctWidth>0</wp14:pctWidth>
            </wp14:sizeRelH>
            <wp14:sizeRelV relativeFrom="page">
              <wp14:pctHeight>0</wp14:pctHeight>
            </wp14:sizeRelV>
          </wp:anchor>
        </w:drawing>
      </w:r>
      <w:r w:rsidRPr="00447CCA">
        <w:rPr>
          <w:rFonts w:ascii="Arial" w:eastAsia="Times New Roman" w:hAnsi="Arial"/>
          <w:b/>
          <w:color w:val="000000" w:themeColor="text1"/>
          <w:sz w:val="18"/>
          <w:szCs w:val="18"/>
        </w:rPr>
        <w:t xml:space="preserve">Proportion of children (0-17yrs) in households with self-assessed income adequacy for basics of </w:t>
      </w:r>
    </w:p>
    <w:p w14:paraId="1E9AC85C" w14:textId="2C1CB229" w:rsidR="00AB35BC" w:rsidRPr="00447CCA" w:rsidRDefault="00AB35BC" w:rsidP="00AB35BC">
      <w:pPr>
        <w:pStyle w:val="ListParagraph"/>
        <w:spacing w:after="0" w:line="240" w:lineRule="auto"/>
        <w:ind w:left="0"/>
        <w:jc w:val="center"/>
        <w:rPr>
          <w:rFonts w:ascii="Arial" w:eastAsia="Times New Roman" w:hAnsi="Arial"/>
          <w:b/>
          <w:color w:val="000000" w:themeColor="text1"/>
          <w:sz w:val="18"/>
          <w:szCs w:val="18"/>
        </w:rPr>
      </w:pPr>
      <w:r w:rsidRPr="00447CCA">
        <w:rPr>
          <w:rFonts w:ascii="Arial" w:eastAsia="Times New Roman" w:hAnsi="Arial"/>
          <w:b/>
          <w:color w:val="000000" w:themeColor="text1"/>
          <w:sz w:val="18"/>
          <w:szCs w:val="18"/>
        </w:rPr>
        <w:t>‘</w:t>
      </w:r>
      <w:r>
        <w:rPr>
          <w:rFonts w:ascii="Arial" w:eastAsia="Times New Roman" w:hAnsi="Arial"/>
          <w:b/>
          <w:color w:val="000000" w:themeColor="text1"/>
          <w:sz w:val="18"/>
          <w:szCs w:val="18"/>
        </w:rPr>
        <w:t>not enough’</w:t>
      </w:r>
      <w:r w:rsidRPr="00447CCA">
        <w:rPr>
          <w:rFonts w:ascii="Arial" w:eastAsia="Times New Roman" w:hAnsi="Arial"/>
          <w:b/>
          <w:color w:val="000000" w:themeColor="text1"/>
          <w:sz w:val="18"/>
          <w:szCs w:val="18"/>
        </w:rPr>
        <w:t>, 2013 to 2025 (%)</w:t>
      </w:r>
    </w:p>
    <w:p w14:paraId="39F48140" w14:textId="3195241B" w:rsidR="00AB35BC" w:rsidRDefault="00AB35BC" w:rsidP="009B7BA9">
      <w:pPr>
        <w:spacing w:after="0" w:line="240" w:lineRule="auto"/>
        <w:rPr>
          <w:rFonts w:ascii="Arial" w:eastAsia="Times New Roman" w:hAnsi="Arial"/>
          <w:b/>
          <w:color w:val="000000" w:themeColor="text1"/>
          <w:sz w:val="18"/>
          <w:szCs w:val="18"/>
        </w:rPr>
      </w:pPr>
    </w:p>
    <w:p w14:paraId="0833F10D" w14:textId="77777777" w:rsidR="00AB35BC" w:rsidRDefault="00AB35BC" w:rsidP="009B7BA9">
      <w:pPr>
        <w:spacing w:after="0" w:line="240" w:lineRule="auto"/>
        <w:rPr>
          <w:rFonts w:ascii="Arial" w:eastAsia="Times New Roman" w:hAnsi="Arial"/>
          <w:b/>
          <w:color w:val="000000" w:themeColor="text1"/>
          <w:sz w:val="18"/>
          <w:szCs w:val="18"/>
        </w:rPr>
      </w:pPr>
    </w:p>
    <w:p w14:paraId="578A5733" w14:textId="177DB24E" w:rsidR="00AB35BC" w:rsidRDefault="005C0A04" w:rsidP="009B7BA9">
      <w:pPr>
        <w:spacing w:after="0" w:line="240" w:lineRule="auto"/>
        <w:rPr>
          <w:rFonts w:ascii="Arial" w:eastAsia="Times New Roman" w:hAnsi="Arial"/>
          <w:b/>
          <w:color w:val="000000" w:themeColor="text1"/>
          <w:sz w:val="18"/>
          <w:szCs w:val="18"/>
        </w:rPr>
      </w:pPr>
      <w:r w:rsidRPr="00DD52CD">
        <w:rPr>
          <w:rFonts w:ascii="Arial" w:hAnsi="Arial"/>
          <w:color w:val="000000" w:themeColor="text1"/>
          <w:szCs w:val="20"/>
        </w:rPr>
        <w:t xml:space="preserve">For 2013 to 2015, </w:t>
      </w:r>
      <w:r>
        <w:rPr>
          <w:rFonts w:ascii="Arial" w:hAnsi="Arial"/>
          <w:color w:val="000000" w:themeColor="text1"/>
          <w:szCs w:val="20"/>
        </w:rPr>
        <w:t>around 47%</w:t>
      </w:r>
      <w:r w:rsidRPr="00DD52CD">
        <w:rPr>
          <w:rFonts w:ascii="Arial" w:hAnsi="Arial"/>
          <w:color w:val="000000" w:themeColor="text1"/>
          <w:szCs w:val="20"/>
        </w:rPr>
        <w:t xml:space="preserve"> of </w:t>
      </w:r>
      <w:r>
        <w:rPr>
          <w:rFonts w:ascii="Arial" w:hAnsi="Arial"/>
          <w:color w:val="000000" w:themeColor="text1"/>
          <w:szCs w:val="20"/>
        </w:rPr>
        <w:t>children were in households that reported that</w:t>
      </w:r>
      <w:r w:rsidRPr="00DD52CD">
        <w:rPr>
          <w:rFonts w:ascii="Arial" w:hAnsi="Arial"/>
          <w:color w:val="000000" w:themeColor="text1"/>
          <w:szCs w:val="20"/>
        </w:rPr>
        <w:t xml:space="preserve"> they had </w:t>
      </w:r>
      <w:r w:rsidRPr="00DD52CD">
        <w:rPr>
          <w:rFonts w:ascii="Arial" w:hAnsi="Arial"/>
          <w:color w:val="000000" w:themeColor="text1"/>
          <w:szCs w:val="20"/>
          <w:u w:val="single"/>
        </w:rPr>
        <w:t>enough or more than enough income for basics</w:t>
      </w:r>
      <w:r w:rsidRPr="00DD52CD">
        <w:rPr>
          <w:rFonts w:ascii="Arial" w:hAnsi="Arial"/>
          <w:color w:val="000000" w:themeColor="text1"/>
          <w:szCs w:val="20"/>
        </w:rPr>
        <w:t xml:space="preserve"> </w:t>
      </w:r>
      <w:r>
        <w:rPr>
          <w:rFonts w:ascii="Arial" w:hAnsi="Arial"/>
          <w:color w:val="000000" w:themeColor="text1"/>
          <w:szCs w:val="20"/>
        </w:rPr>
        <w:t>(</w:t>
      </w:r>
      <w:r w:rsidRPr="005C0A04">
        <w:rPr>
          <w:rFonts w:ascii="Arial" w:hAnsi="Arial"/>
          <w:b/>
          <w:bCs/>
          <w:color w:val="000000" w:themeColor="text1"/>
          <w:szCs w:val="20"/>
        </w:rPr>
        <w:t>Figure F.8</w:t>
      </w:r>
      <w:r>
        <w:rPr>
          <w:rFonts w:ascii="Arial" w:hAnsi="Arial"/>
          <w:color w:val="000000" w:themeColor="text1"/>
          <w:szCs w:val="20"/>
        </w:rPr>
        <w:t>).</w:t>
      </w:r>
      <w:r w:rsidRPr="00DD52CD">
        <w:rPr>
          <w:rFonts w:ascii="Arial" w:hAnsi="Arial"/>
          <w:color w:val="000000" w:themeColor="text1"/>
          <w:szCs w:val="20"/>
        </w:rPr>
        <w:t>This proportion steadily rose after that and reached 5</w:t>
      </w:r>
      <w:r>
        <w:rPr>
          <w:rFonts w:ascii="Arial" w:hAnsi="Arial"/>
          <w:color w:val="000000" w:themeColor="text1"/>
          <w:szCs w:val="20"/>
        </w:rPr>
        <w:t>7</w:t>
      </w:r>
      <w:r w:rsidRPr="00DD52CD">
        <w:rPr>
          <w:rFonts w:ascii="Arial" w:hAnsi="Arial"/>
          <w:color w:val="000000" w:themeColor="text1"/>
          <w:szCs w:val="20"/>
        </w:rPr>
        <w:t>% in 2020</w:t>
      </w:r>
      <w:r>
        <w:rPr>
          <w:rFonts w:ascii="Arial" w:hAnsi="Arial"/>
          <w:color w:val="000000" w:themeColor="text1"/>
          <w:szCs w:val="20"/>
        </w:rPr>
        <w:t>. The upward trend for ‘enough/more than enough’ reversed post-COVID and there has been a decline in the proportion of children in households that say they have enough or more than enough for basics</w:t>
      </w:r>
      <w:r w:rsidR="00B532E8">
        <w:rPr>
          <w:rFonts w:ascii="Arial" w:hAnsi="Arial"/>
          <w:color w:val="000000" w:themeColor="text1"/>
          <w:szCs w:val="20"/>
        </w:rPr>
        <w:t xml:space="preserve"> </w:t>
      </w:r>
      <w:r>
        <w:rPr>
          <w:rFonts w:ascii="Arial" w:hAnsi="Arial"/>
          <w:color w:val="000000" w:themeColor="text1"/>
          <w:szCs w:val="20"/>
        </w:rPr>
        <w:t>to 50% in 2024-25.</w:t>
      </w:r>
    </w:p>
    <w:p w14:paraId="45E89C7D" w14:textId="77777777" w:rsidR="00AB35BC" w:rsidRDefault="00AB35BC" w:rsidP="009B7BA9">
      <w:pPr>
        <w:spacing w:after="0" w:line="240" w:lineRule="auto"/>
        <w:rPr>
          <w:rFonts w:ascii="Arial" w:eastAsia="Times New Roman" w:hAnsi="Arial"/>
          <w:b/>
          <w:color w:val="000000" w:themeColor="text1"/>
          <w:sz w:val="18"/>
          <w:szCs w:val="18"/>
        </w:rPr>
      </w:pPr>
    </w:p>
    <w:p w14:paraId="21F02B2F" w14:textId="23CC3ADD" w:rsidR="009B7BA9" w:rsidRDefault="009B7BA9" w:rsidP="00233AE2">
      <w:pPr>
        <w:spacing w:after="0" w:line="240" w:lineRule="auto"/>
        <w:jc w:val="center"/>
        <w:rPr>
          <w:noProof/>
        </w:rPr>
      </w:pPr>
      <w:r w:rsidRPr="00447CCA">
        <w:rPr>
          <w:rFonts w:ascii="Arial" w:eastAsia="Times New Roman" w:hAnsi="Arial"/>
          <w:b/>
          <w:color w:val="000000" w:themeColor="text1"/>
          <w:sz w:val="18"/>
          <w:szCs w:val="18"/>
        </w:rPr>
        <w:t xml:space="preserve">Figure </w:t>
      </w:r>
      <w:r w:rsidR="006B6068">
        <w:rPr>
          <w:rFonts w:ascii="Arial" w:eastAsia="Times New Roman" w:hAnsi="Arial"/>
          <w:b/>
          <w:color w:val="000000" w:themeColor="text1"/>
          <w:sz w:val="18"/>
          <w:szCs w:val="18"/>
        </w:rPr>
        <w:t>F</w:t>
      </w:r>
      <w:r w:rsidRPr="00447CCA">
        <w:rPr>
          <w:rFonts w:ascii="Arial" w:eastAsia="Times New Roman" w:hAnsi="Arial"/>
          <w:b/>
          <w:color w:val="000000" w:themeColor="text1"/>
          <w:sz w:val="18"/>
          <w:szCs w:val="18"/>
        </w:rPr>
        <w:t>.</w:t>
      </w:r>
      <w:r w:rsidR="00AB35BC">
        <w:rPr>
          <w:rFonts w:ascii="Arial" w:eastAsia="Times New Roman" w:hAnsi="Arial"/>
          <w:b/>
          <w:color w:val="000000" w:themeColor="text1"/>
          <w:sz w:val="18"/>
          <w:szCs w:val="18"/>
        </w:rPr>
        <w:t>8</w:t>
      </w:r>
    </w:p>
    <w:p w14:paraId="15B5747B" w14:textId="02B8E793" w:rsidR="009B7BA9" w:rsidRPr="00447CCA" w:rsidRDefault="00AB35BC" w:rsidP="009B7BA9">
      <w:pPr>
        <w:pStyle w:val="ListParagraph"/>
        <w:spacing w:after="0" w:line="240" w:lineRule="auto"/>
        <w:ind w:left="0"/>
        <w:jc w:val="center"/>
        <w:rPr>
          <w:rFonts w:ascii="Arial" w:eastAsia="Times New Roman" w:hAnsi="Arial"/>
          <w:b/>
          <w:color w:val="000000" w:themeColor="text1"/>
          <w:sz w:val="18"/>
          <w:szCs w:val="18"/>
        </w:rPr>
      </w:pPr>
      <w:r w:rsidRPr="00465281">
        <w:rPr>
          <w:noProof/>
        </w:rPr>
        <w:drawing>
          <wp:anchor distT="0" distB="0" distL="114300" distR="114300" simplePos="0" relativeHeight="253056000" behindDoc="0" locked="0" layoutInCell="1" allowOverlap="1" wp14:anchorId="592726DF" wp14:editId="5E56D846">
            <wp:simplePos x="0" y="0"/>
            <wp:positionH relativeFrom="margin">
              <wp:align>center</wp:align>
            </wp:positionH>
            <wp:positionV relativeFrom="paragraph">
              <wp:posOffset>349250</wp:posOffset>
            </wp:positionV>
            <wp:extent cx="3071495" cy="1892935"/>
            <wp:effectExtent l="0" t="0" r="0" b="0"/>
            <wp:wrapTopAndBottom/>
            <wp:docPr id="831378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7851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071495" cy="1892935"/>
                    </a:xfrm>
                    <a:prstGeom prst="rect">
                      <a:avLst/>
                    </a:prstGeom>
                  </pic:spPr>
                </pic:pic>
              </a:graphicData>
            </a:graphic>
            <wp14:sizeRelH relativeFrom="page">
              <wp14:pctWidth>0</wp14:pctWidth>
            </wp14:sizeRelH>
            <wp14:sizeRelV relativeFrom="page">
              <wp14:pctHeight>0</wp14:pctHeight>
            </wp14:sizeRelV>
          </wp:anchor>
        </w:drawing>
      </w:r>
      <w:r w:rsidR="009B7BA9" w:rsidRPr="00447CCA">
        <w:rPr>
          <w:rFonts w:ascii="Arial" w:eastAsia="Times New Roman" w:hAnsi="Arial"/>
          <w:b/>
          <w:color w:val="000000" w:themeColor="text1"/>
          <w:sz w:val="18"/>
          <w:szCs w:val="18"/>
        </w:rPr>
        <w:t>Proportion of children (0-17yrs) in households with self-assessed income adequacy for basics of ‘enough / more than enough’, 2013 to 2025 (%)</w:t>
      </w:r>
    </w:p>
    <w:p w14:paraId="6D425451" w14:textId="730ADC78" w:rsidR="009B7BA9" w:rsidRDefault="009B7BA9" w:rsidP="009B7BA9">
      <w:pPr>
        <w:spacing w:after="0" w:line="240" w:lineRule="auto"/>
        <w:rPr>
          <w:rFonts w:ascii="Arial" w:hAnsi="Arial"/>
          <w:b/>
          <w:bCs/>
          <w:color w:val="000000" w:themeColor="text1"/>
        </w:rPr>
      </w:pPr>
      <w:r>
        <w:rPr>
          <w:rFonts w:ascii="Arial" w:hAnsi="Arial"/>
          <w:b/>
          <w:bCs/>
          <w:color w:val="000000" w:themeColor="text1"/>
        </w:rPr>
        <w:br w:type="page"/>
      </w:r>
    </w:p>
    <w:p w14:paraId="65C28B00" w14:textId="77777777" w:rsidR="0048140E" w:rsidRDefault="0048140E">
      <w:pPr>
        <w:spacing w:after="0" w:line="240" w:lineRule="auto"/>
        <w:rPr>
          <w:rFonts w:ascii="Arial" w:hAnsi="Arial"/>
          <w:b/>
          <w:bCs/>
          <w:color w:val="000000" w:themeColor="text1"/>
          <w:sz w:val="36"/>
          <w:szCs w:val="36"/>
        </w:rPr>
      </w:pPr>
      <w:r>
        <w:rPr>
          <w:rFonts w:ascii="Arial" w:hAnsi="Arial"/>
          <w:b/>
          <w:bCs/>
          <w:color w:val="000000" w:themeColor="text1"/>
          <w:sz w:val="36"/>
          <w:szCs w:val="36"/>
        </w:rPr>
        <w:lastRenderedPageBreak/>
        <w:br w:type="page"/>
      </w:r>
    </w:p>
    <w:p w14:paraId="65A01AD8" w14:textId="1BC16814" w:rsidR="00F2118F" w:rsidRPr="00D152F8" w:rsidRDefault="00F2118F" w:rsidP="003E3B4F">
      <w:pPr>
        <w:spacing w:after="0" w:line="240" w:lineRule="auto"/>
        <w:jc w:val="both"/>
        <w:rPr>
          <w:rFonts w:ascii="Arial" w:hAnsi="Arial"/>
          <w:b/>
          <w:bCs/>
          <w:color w:val="000000" w:themeColor="text1"/>
          <w:sz w:val="36"/>
          <w:szCs w:val="36"/>
        </w:rPr>
      </w:pPr>
      <w:r w:rsidRPr="00D152F8">
        <w:rPr>
          <w:rFonts w:ascii="Arial" w:hAnsi="Arial"/>
          <w:b/>
          <w:bCs/>
          <w:color w:val="000000" w:themeColor="text1"/>
          <w:sz w:val="36"/>
          <w:szCs w:val="36"/>
        </w:rPr>
        <w:lastRenderedPageBreak/>
        <w:t xml:space="preserve">Section </w:t>
      </w:r>
      <w:r w:rsidR="001E1422">
        <w:rPr>
          <w:rFonts w:ascii="Arial" w:hAnsi="Arial"/>
          <w:b/>
          <w:bCs/>
          <w:color w:val="000000" w:themeColor="text1"/>
          <w:sz w:val="36"/>
          <w:szCs w:val="36"/>
        </w:rPr>
        <w:t>G</w:t>
      </w:r>
    </w:p>
    <w:p w14:paraId="1529A576" w14:textId="3F8BFF4E" w:rsidR="00F2118F" w:rsidRPr="00D72BDE" w:rsidRDefault="00F2118F" w:rsidP="00F2118F">
      <w:pPr>
        <w:tabs>
          <w:tab w:val="right" w:pos="9026"/>
        </w:tabs>
        <w:spacing w:after="0" w:line="240" w:lineRule="auto"/>
        <w:rPr>
          <w:rFonts w:ascii="Arial" w:hAnsi="Arial"/>
          <w:b/>
          <w:bCs/>
          <w:color w:val="FF0000"/>
          <w:sz w:val="22"/>
        </w:rPr>
      </w:pPr>
      <w:r w:rsidRPr="00D152F8">
        <w:rPr>
          <w:rFonts w:ascii="Arial" w:hAnsi="Arial"/>
          <w:b/>
          <w:bCs/>
          <w:color w:val="000000" w:themeColor="text1"/>
          <w:sz w:val="28"/>
          <w:szCs w:val="28"/>
        </w:rPr>
        <w:t>Trends in the real CPI-adjusted incomes of</w:t>
      </w:r>
      <w:r w:rsidR="0028104E" w:rsidRPr="00D152F8">
        <w:rPr>
          <w:rFonts w:ascii="Arial" w:hAnsi="Arial"/>
          <w:b/>
          <w:bCs/>
          <w:color w:val="000000" w:themeColor="text1"/>
          <w:sz w:val="28"/>
          <w:szCs w:val="28"/>
        </w:rPr>
        <w:t xml:space="preserve"> </w:t>
      </w:r>
      <w:r w:rsidRPr="00D152F8">
        <w:rPr>
          <w:rFonts w:ascii="Arial" w:hAnsi="Arial"/>
          <w:b/>
          <w:bCs/>
          <w:color w:val="000000" w:themeColor="text1"/>
          <w:sz w:val="28"/>
          <w:szCs w:val="28"/>
        </w:rPr>
        <w:t>households with children</w:t>
      </w:r>
      <w:r w:rsidR="00D72BDE">
        <w:rPr>
          <w:rFonts w:ascii="Arial" w:hAnsi="Arial"/>
          <w:b/>
          <w:bCs/>
          <w:color w:val="000000" w:themeColor="text1"/>
          <w:sz w:val="28"/>
          <w:szCs w:val="28"/>
        </w:rPr>
        <w:t xml:space="preserve">      </w:t>
      </w:r>
    </w:p>
    <w:p w14:paraId="79BD4FBE" w14:textId="77777777" w:rsidR="00F2118F" w:rsidRDefault="00F2118F" w:rsidP="00F2118F">
      <w:pPr>
        <w:tabs>
          <w:tab w:val="right" w:pos="9026"/>
        </w:tabs>
        <w:spacing w:after="0" w:line="240" w:lineRule="auto"/>
        <w:ind w:left="284"/>
        <w:rPr>
          <w:rFonts w:ascii="Arial" w:hAnsi="Arial"/>
          <w:color w:val="0000FF"/>
          <w:szCs w:val="20"/>
        </w:rPr>
      </w:pPr>
    </w:p>
    <w:p w14:paraId="59D2C726" w14:textId="3F7F99FB" w:rsidR="001024AC" w:rsidRDefault="0028104E" w:rsidP="0028104E">
      <w:pPr>
        <w:spacing w:after="0" w:line="240" w:lineRule="auto"/>
        <w:rPr>
          <w:rFonts w:ascii="Arial" w:hAnsi="Arial"/>
          <w:color w:val="000000"/>
          <w:szCs w:val="20"/>
        </w:rPr>
      </w:pPr>
      <w:r>
        <w:rPr>
          <w:rFonts w:ascii="Arial" w:hAnsi="Arial"/>
          <w:color w:val="000000"/>
          <w:szCs w:val="20"/>
        </w:rPr>
        <w:t xml:space="preserve">While household income has its limitations as a reliable indicator of a household’s ‘command over </w:t>
      </w:r>
      <w:r w:rsidRPr="005761A2">
        <w:rPr>
          <w:rFonts w:ascii="Arial" w:hAnsi="Arial"/>
          <w:color w:val="000000"/>
          <w:szCs w:val="20"/>
        </w:rPr>
        <w:t>resources’</w:t>
      </w:r>
      <w:r w:rsidR="0023228D" w:rsidRPr="005761A2">
        <w:rPr>
          <w:rFonts w:ascii="Arial" w:hAnsi="Arial"/>
          <w:color w:val="000000"/>
          <w:szCs w:val="20"/>
        </w:rPr>
        <w:t xml:space="preserve"> (see</w:t>
      </w:r>
      <w:r w:rsidRPr="005761A2">
        <w:rPr>
          <w:rFonts w:ascii="Arial" w:hAnsi="Arial"/>
          <w:color w:val="000000"/>
          <w:szCs w:val="20"/>
        </w:rPr>
        <w:t xml:space="preserve"> </w:t>
      </w:r>
      <w:r w:rsidR="002B1BFF" w:rsidRPr="005761A2">
        <w:rPr>
          <w:rFonts w:ascii="Arial" w:hAnsi="Arial"/>
          <w:color w:val="000000"/>
          <w:szCs w:val="20"/>
        </w:rPr>
        <w:t>Section A</w:t>
      </w:r>
      <w:r w:rsidR="0023228D">
        <w:rPr>
          <w:rFonts w:ascii="Arial" w:hAnsi="Arial"/>
          <w:color w:val="000000"/>
          <w:szCs w:val="20"/>
        </w:rPr>
        <w:t>),</w:t>
      </w:r>
      <w:r>
        <w:rPr>
          <w:rFonts w:ascii="Arial" w:hAnsi="Arial"/>
          <w:color w:val="000000"/>
          <w:szCs w:val="20"/>
        </w:rPr>
        <w:t xml:space="preserve"> </w:t>
      </w:r>
      <w:r w:rsidR="00A771DE">
        <w:rPr>
          <w:rFonts w:ascii="Arial" w:hAnsi="Arial"/>
          <w:color w:val="000000"/>
          <w:szCs w:val="20"/>
        </w:rPr>
        <w:t xml:space="preserve">household </w:t>
      </w:r>
      <w:r>
        <w:rPr>
          <w:rFonts w:ascii="Arial" w:hAnsi="Arial"/>
          <w:color w:val="000000"/>
          <w:szCs w:val="20"/>
        </w:rPr>
        <w:t xml:space="preserve">income levels nevertheless have a major impact on the material wellbeing of households and their members, </w:t>
      </w:r>
      <w:r w:rsidR="001024AC">
        <w:rPr>
          <w:rFonts w:ascii="Arial" w:hAnsi="Arial"/>
          <w:color w:val="000000"/>
          <w:szCs w:val="20"/>
        </w:rPr>
        <w:t xml:space="preserve">on </w:t>
      </w:r>
      <w:r>
        <w:rPr>
          <w:rFonts w:ascii="Arial" w:hAnsi="Arial"/>
          <w:color w:val="000000"/>
          <w:szCs w:val="20"/>
        </w:rPr>
        <w:t xml:space="preserve">their ability to access the basics and </w:t>
      </w:r>
      <w:r w:rsidR="001024AC">
        <w:rPr>
          <w:rFonts w:ascii="Arial" w:hAnsi="Arial"/>
          <w:color w:val="000000"/>
          <w:szCs w:val="20"/>
        </w:rPr>
        <w:t xml:space="preserve">to </w:t>
      </w:r>
      <w:r>
        <w:rPr>
          <w:rFonts w:ascii="Arial" w:hAnsi="Arial"/>
          <w:color w:val="000000"/>
          <w:szCs w:val="20"/>
        </w:rPr>
        <w:t xml:space="preserve">have at least some minimal ability to participate in the normal patterns of living. </w:t>
      </w:r>
    </w:p>
    <w:p w14:paraId="4CE4D583" w14:textId="77777777" w:rsidR="001024AC" w:rsidRDefault="001024AC" w:rsidP="0028104E">
      <w:pPr>
        <w:spacing w:after="0" w:line="240" w:lineRule="auto"/>
        <w:rPr>
          <w:rFonts w:ascii="Arial" w:hAnsi="Arial"/>
          <w:color w:val="000000"/>
          <w:szCs w:val="20"/>
        </w:rPr>
      </w:pPr>
    </w:p>
    <w:p w14:paraId="4DB75BEA" w14:textId="570D55BB" w:rsidR="007461C7" w:rsidRPr="001024AC" w:rsidRDefault="0028104E" w:rsidP="001024AC">
      <w:pPr>
        <w:spacing w:after="0" w:line="240" w:lineRule="auto"/>
        <w:rPr>
          <w:rFonts w:ascii="Arial" w:hAnsi="Arial"/>
          <w:color w:val="000000"/>
          <w:szCs w:val="20"/>
        </w:rPr>
      </w:pPr>
      <w:r>
        <w:rPr>
          <w:rFonts w:ascii="Arial" w:hAnsi="Arial"/>
          <w:color w:val="000000"/>
          <w:szCs w:val="20"/>
        </w:rPr>
        <w:t xml:space="preserve">Before coming to reporting on trends in low-income rates for children (Section I), this section provides </w:t>
      </w:r>
      <w:r w:rsidR="00225377">
        <w:rPr>
          <w:rFonts w:ascii="Arial" w:hAnsi="Arial"/>
          <w:color w:val="000000"/>
          <w:szCs w:val="20"/>
        </w:rPr>
        <w:t xml:space="preserve">contextual information on </w:t>
      </w:r>
      <w:r>
        <w:rPr>
          <w:rFonts w:ascii="Arial" w:hAnsi="Arial"/>
          <w:color w:val="000000"/>
          <w:szCs w:val="20"/>
        </w:rPr>
        <w:t>income trends for the households in which children live</w:t>
      </w:r>
      <w:r w:rsidR="007461C7">
        <w:rPr>
          <w:rFonts w:ascii="Arial" w:hAnsi="Arial"/>
          <w:color w:val="000000"/>
          <w:szCs w:val="20"/>
        </w:rPr>
        <w:t>,</w:t>
      </w:r>
      <w:r>
        <w:rPr>
          <w:rFonts w:ascii="Arial" w:hAnsi="Arial"/>
          <w:color w:val="000000"/>
          <w:szCs w:val="20"/>
        </w:rPr>
        <w:t xml:space="preserve"> and describes trends in some key drivers of household income.</w:t>
      </w:r>
      <w:r w:rsidR="001024AC">
        <w:rPr>
          <w:rFonts w:ascii="Arial" w:hAnsi="Arial"/>
          <w:color w:val="000000"/>
          <w:szCs w:val="20"/>
        </w:rPr>
        <w:t xml:space="preserve"> The emphasis is on trends in real CPI-adjusted income rather than nominal income.</w:t>
      </w:r>
      <w:r w:rsidR="0033010F" w:rsidRPr="009C7A56">
        <w:rPr>
          <w:rStyle w:val="FootnoteReference"/>
          <w:rFonts w:ascii="Arial" w:hAnsi="Arial"/>
          <w:color w:val="000000" w:themeColor="text1"/>
          <w:szCs w:val="20"/>
        </w:rPr>
        <w:footnoteReference w:id="76"/>
      </w:r>
      <w:r w:rsidR="001024AC">
        <w:rPr>
          <w:rFonts w:ascii="Arial" w:hAnsi="Arial"/>
          <w:color w:val="000000"/>
          <w:szCs w:val="20"/>
        </w:rPr>
        <w:t xml:space="preserve"> </w:t>
      </w:r>
      <w:r w:rsidR="007461C7">
        <w:rPr>
          <w:rFonts w:ascii="Arial" w:hAnsi="Arial"/>
        </w:rPr>
        <w:t xml:space="preserve">The rationale for this </w:t>
      </w:r>
      <w:r w:rsidR="007461C7" w:rsidRPr="009C7A56">
        <w:rPr>
          <w:rFonts w:ascii="Arial" w:hAnsi="Arial"/>
          <w:color w:val="000000" w:themeColor="text1"/>
        </w:rPr>
        <w:t>is that it is the real purchasing power of household income that matters for household standard of living, not nominal income. Trends in real income have considerable policy, political and practical relevance and implications</w:t>
      </w:r>
      <w:r w:rsidR="007461C7" w:rsidRPr="009C7A56">
        <w:rPr>
          <w:rFonts w:ascii="Arial" w:hAnsi="Arial"/>
          <w:color w:val="000000" w:themeColor="text1"/>
          <w:szCs w:val="20"/>
        </w:rPr>
        <w:t>.</w:t>
      </w:r>
    </w:p>
    <w:p w14:paraId="6CE531B4" w14:textId="77777777" w:rsidR="001024AC" w:rsidRDefault="001024AC" w:rsidP="001024AC">
      <w:pPr>
        <w:spacing w:after="0" w:line="240" w:lineRule="auto"/>
        <w:rPr>
          <w:rFonts w:ascii="Arial" w:eastAsia="Times New Roman" w:hAnsi="Arial"/>
        </w:rPr>
      </w:pPr>
    </w:p>
    <w:p w14:paraId="6877291D" w14:textId="783D2ABA" w:rsidR="002B4BE9" w:rsidRDefault="001024AC" w:rsidP="002B4BE9">
      <w:pPr>
        <w:spacing w:after="0" w:line="240" w:lineRule="auto"/>
        <w:rPr>
          <w:rFonts w:ascii="Arial" w:hAnsi="Arial"/>
          <w:szCs w:val="20"/>
        </w:rPr>
      </w:pPr>
      <w:r w:rsidRPr="00E84DF5">
        <w:rPr>
          <w:rFonts w:ascii="Arial" w:hAnsi="Arial"/>
          <w:b/>
          <w:bCs/>
          <w:szCs w:val="20"/>
        </w:rPr>
        <w:t xml:space="preserve">Figure </w:t>
      </w:r>
      <w:r w:rsidR="001E1422">
        <w:rPr>
          <w:rFonts w:ascii="Arial" w:hAnsi="Arial"/>
          <w:b/>
          <w:bCs/>
          <w:szCs w:val="20"/>
        </w:rPr>
        <w:t>G</w:t>
      </w:r>
      <w:r w:rsidR="002B1BFF">
        <w:rPr>
          <w:rFonts w:ascii="Arial" w:hAnsi="Arial"/>
          <w:b/>
          <w:bCs/>
          <w:szCs w:val="20"/>
        </w:rPr>
        <w:t>.</w:t>
      </w:r>
      <w:r w:rsidRPr="00E84DF5">
        <w:rPr>
          <w:rFonts w:ascii="Arial" w:hAnsi="Arial"/>
          <w:b/>
          <w:bCs/>
          <w:szCs w:val="20"/>
        </w:rPr>
        <w:t>1</w:t>
      </w:r>
      <w:r>
        <w:rPr>
          <w:rFonts w:ascii="Arial" w:hAnsi="Arial"/>
          <w:szCs w:val="20"/>
        </w:rPr>
        <w:t xml:space="preserve"> compares real and nominal trends for the median for both BHC and AHC incomes for the </w:t>
      </w:r>
      <w:r w:rsidRPr="0023228D">
        <w:rPr>
          <w:rFonts w:ascii="Arial" w:hAnsi="Arial"/>
          <w:szCs w:val="20"/>
          <w:u w:val="single"/>
        </w:rPr>
        <w:t>whole population</w:t>
      </w:r>
      <w:r>
        <w:rPr>
          <w:rFonts w:ascii="Arial" w:hAnsi="Arial"/>
          <w:szCs w:val="20"/>
        </w:rPr>
        <w:t>.</w:t>
      </w:r>
      <w:r w:rsidR="000931F1">
        <w:rPr>
          <w:rFonts w:ascii="Arial" w:hAnsi="Arial"/>
          <w:szCs w:val="20"/>
        </w:rPr>
        <w:t xml:space="preserve"> </w:t>
      </w:r>
      <w:r w:rsidR="00FD257E">
        <w:rPr>
          <w:rFonts w:ascii="Arial" w:hAnsi="Arial"/>
          <w:szCs w:val="20"/>
        </w:rPr>
        <w:t>The two charts illustrate the importance of reporting real incomes, not just nominal</w:t>
      </w:r>
      <w:r w:rsidR="00A771DE">
        <w:rPr>
          <w:rFonts w:ascii="Arial" w:hAnsi="Arial"/>
          <w:szCs w:val="20"/>
        </w:rPr>
        <w:t xml:space="preserve"> alone</w:t>
      </w:r>
      <w:r w:rsidR="00FD257E">
        <w:rPr>
          <w:rFonts w:ascii="Arial" w:hAnsi="Arial"/>
          <w:szCs w:val="20"/>
        </w:rPr>
        <w:t>. Doing the latter can lead to</w:t>
      </w:r>
      <w:r w:rsidR="00A771DE">
        <w:rPr>
          <w:rFonts w:ascii="Arial" w:hAnsi="Arial"/>
          <w:szCs w:val="20"/>
        </w:rPr>
        <w:t xml:space="preserve"> </w:t>
      </w:r>
      <w:r w:rsidR="00FD257E">
        <w:rPr>
          <w:rFonts w:ascii="Arial" w:hAnsi="Arial"/>
          <w:szCs w:val="20"/>
        </w:rPr>
        <w:t>claims of ‘strongly rising incomes</w:t>
      </w:r>
      <w:r w:rsidR="0042044A">
        <w:rPr>
          <w:rFonts w:ascii="Arial" w:hAnsi="Arial"/>
          <w:szCs w:val="20"/>
        </w:rPr>
        <w:t xml:space="preserve"> in recent years</w:t>
      </w:r>
      <w:r w:rsidR="00FD257E">
        <w:rPr>
          <w:rFonts w:ascii="Arial" w:hAnsi="Arial"/>
          <w:szCs w:val="20"/>
        </w:rPr>
        <w:t>’</w:t>
      </w:r>
      <w:r w:rsidR="000931F1">
        <w:rPr>
          <w:rFonts w:ascii="Arial" w:hAnsi="Arial"/>
          <w:szCs w:val="20"/>
        </w:rPr>
        <w:t xml:space="preserve"> </w:t>
      </w:r>
      <w:r w:rsidR="00A771DE">
        <w:rPr>
          <w:rFonts w:ascii="Arial" w:hAnsi="Arial"/>
          <w:szCs w:val="20"/>
        </w:rPr>
        <w:t xml:space="preserve">which </w:t>
      </w:r>
      <w:r w:rsidR="00AC5AF0">
        <w:rPr>
          <w:rFonts w:ascii="Arial" w:hAnsi="Arial"/>
          <w:szCs w:val="20"/>
        </w:rPr>
        <w:t>create</w:t>
      </w:r>
      <w:r w:rsidR="00A771DE">
        <w:rPr>
          <w:rFonts w:ascii="Arial" w:hAnsi="Arial"/>
          <w:szCs w:val="20"/>
        </w:rPr>
        <w:t xml:space="preserve"> the impression of ‘things getting better’ when in fact</w:t>
      </w:r>
      <w:r w:rsidR="00FD257E">
        <w:rPr>
          <w:rFonts w:ascii="Arial" w:hAnsi="Arial"/>
          <w:szCs w:val="20"/>
        </w:rPr>
        <w:t xml:space="preserve"> </w:t>
      </w:r>
      <w:r w:rsidR="0023228D">
        <w:rPr>
          <w:rFonts w:ascii="Arial" w:hAnsi="Arial"/>
          <w:szCs w:val="20"/>
        </w:rPr>
        <w:t xml:space="preserve">in recent years in New Zealand </w:t>
      </w:r>
      <w:r w:rsidR="00FD257E">
        <w:rPr>
          <w:rFonts w:ascii="Arial" w:hAnsi="Arial"/>
          <w:szCs w:val="20"/>
        </w:rPr>
        <w:t xml:space="preserve">the purchasing power of </w:t>
      </w:r>
      <w:r w:rsidR="00AC5AF0">
        <w:rPr>
          <w:rFonts w:ascii="Arial" w:hAnsi="Arial"/>
          <w:szCs w:val="20"/>
        </w:rPr>
        <w:t xml:space="preserve">many </w:t>
      </w:r>
      <w:r w:rsidR="00FD257E">
        <w:rPr>
          <w:rFonts w:ascii="Arial" w:hAnsi="Arial"/>
          <w:szCs w:val="20"/>
        </w:rPr>
        <w:t>households has stagnated.</w:t>
      </w:r>
      <w:r w:rsidRPr="00EB4727">
        <w:rPr>
          <w:rFonts w:ascii="Arial" w:hAnsi="Arial"/>
          <w:b/>
          <w:bCs/>
          <w:szCs w:val="20"/>
        </w:rPr>
        <w:t xml:space="preserve"> </w:t>
      </w:r>
      <w:r w:rsidR="002B4BE9" w:rsidRPr="00E84DF5">
        <w:rPr>
          <w:rFonts w:ascii="Arial" w:hAnsi="Arial"/>
          <w:b/>
          <w:bCs/>
          <w:szCs w:val="20"/>
        </w:rPr>
        <w:t xml:space="preserve">Figure </w:t>
      </w:r>
      <w:r w:rsidR="001E1422">
        <w:rPr>
          <w:rFonts w:ascii="Arial" w:hAnsi="Arial"/>
          <w:b/>
          <w:bCs/>
          <w:szCs w:val="20"/>
        </w:rPr>
        <w:t>G</w:t>
      </w:r>
      <w:r w:rsidR="002B1BFF">
        <w:rPr>
          <w:rFonts w:ascii="Arial" w:hAnsi="Arial"/>
          <w:b/>
          <w:bCs/>
          <w:szCs w:val="20"/>
        </w:rPr>
        <w:t>.</w:t>
      </w:r>
      <w:r w:rsidR="002B4BE9">
        <w:rPr>
          <w:rFonts w:ascii="Arial" w:hAnsi="Arial"/>
          <w:b/>
          <w:bCs/>
          <w:szCs w:val="20"/>
        </w:rPr>
        <w:t>2</w:t>
      </w:r>
      <w:r w:rsidR="002B4BE9">
        <w:rPr>
          <w:rFonts w:ascii="Arial" w:hAnsi="Arial"/>
          <w:szCs w:val="20"/>
        </w:rPr>
        <w:t xml:space="preserve"> compares real and nominal trends for lower-income households (at p20</w:t>
      </w:r>
      <w:r w:rsidR="00196D0B">
        <w:rPr>
          <w:rFonts w:ascii="Arial" w:hAnsi="Arial"/>
          <w:szCs w:val="20"/>
        </w:rPr>
        <w:t>, top of decile 2</w:t>
      </w:r>
      <w:r w:rsidR="002B4BE9">
        <w:rPr>
          <w:rFonts w:ascii="Arial" w:hAnsi="Arial"/>
          <w:szCs w:val="20"/>
        </w:rPr>
        <w:t>) and higher middle-income households (at p70) for both BHC and AHC incomes. The same plateauing of real income is seen here as at the median</w:t>
      </w:r>
      <w:r w:rsidR="00196D0B">
        <w:rPr>
          <w:rFonts w:ascii="Arial" w:hAnsi="Arial"/>
          <w:szCs w:val="20"/>
        </w:rPr>
        <w:t xml:space="preserve"> in Figure </w:t>
      </w:r>
      <w:r w:rsidR="001E1422">
        <w:rPr>
          <w:rFonts w:ascii="Arial" w:hAnsi="Arial"/>
          <w:szCs w:val="20"/>
        </w:rPr>
        <w:t>G</w:t>
      </w:r>
      <w:r w:rsidR="00196D0B">
        <w:rPr>
          <w:rFonts w:ascii="Arial" w:hAnsi="Arial"/>
          <w:szCs w:val="20"/>
        </w:rPr>
        <w:t>.1.</w:t>
      </w:r>
    </w:p>
    <w:p w14:paraId="2BCB0673" w14:textId="77777777" w:rsidR="001024AC" w:rsidRDefault="001024AC" w:rsidP="001024AC">
      <w:pPr>
        <w:spacing w:after="0" w:line="240" w:lineRule="auto"/>
        <w:rPr>
          <w:rFonts w:ascii="Arial" w:hAnsi="Arial"/>
          <w:szCs w:val="20"/>
        </w:rPr>
      </w:pPr>
    </w:p>
    <w:p w14:paraId="26C339A7" w14:textId="74D769C5" w:rsidR="001024AC" w:rsidRPr="008C76B4" w:rsidRDefault="001024AC" w:rsidP="001024AC">
      <w:pPr>
        <w:spacing w:after="0" w:line="240" w:lineRule="auto"/>
        <w:jc w:val="center"/>
        <w:rPr>
          <w:rFonts w:ascii="Arial" w:hAnsi="Arial"/>
          <w:b/>
          <w:bCs/>
          <w:color w:val="FF0000"/>
          <w:sz w:val="18"/>
          <w:szCs w:val="18"/>
        </w:rPr>
      </w:pPr>
      <w:r w:rsidRPr="003210DF">
        <w:rPr>
          <w:rFonts w:ascii="Arial" w:hAnsi="Arial"/>
          <w:b/>
          <w:bCs/>
          <w:color w:val="000000" w:themeColor="text1"/>
          <w:sz w:val="18"/>
          <w:szCs w:val="18"/>
        </w:rPr>
        <w:t xml:space="preserve">Figure </w:t>
      </w:r>
      <w:r w:rsidR="001E1422">
        <w:rPr>
          <w:rFonts w:ascii="Arial" w:hAnsi="Arial"/>
          <w:b/>
          <w:bCs/>
          <w:color w:val="000000" w:themeColor="text1"/>
          <w:sz w:val="18"/>
          <w:szCs w:val="18"/>
        </w:rPr>
        <w:t>G</w:t>
      </w:r>
      <w:r w:rsidR="002B1BFF">
        <w:rPr>
          <w:rFonts w:ascii="Arial" w:hAnsi="Arial"/>
          <w:b/>
          <w:bCs/>
          <w:color w:val="000000" w:themeColor="text1"/>
          <w:sz w:val="18"/>
          <w:szCs w:val="18"/>
        </w:rPr>
        <w:t>.</w:t>
      </w:r>
      <w:r w:rsidRPr="003210DF">
        <w:rPr>
          <w:rFonts w:ascii="Arial" w:hAnsi="Arial"/>
          <w:b/>
          <w:bCs/>
          <w:color w:val="000000" w:themeColor="text1"/>
          <w:sz w:val="18"/>
          <w:szCs w:val="18"/>
        </w:rPr>
        <w:t>1</w:t>
      </w:r>
    </w:p>
    <w:p w14:paraId="2A878746" w14:textId="77777777" w:rsidR="001024AC" w:rsidRPr="003210DF" w:rsidRDefault="001024AC" w:rsidP="001024AC">
      <w:pPr>
        <w:spacing w:after="0" w:line="240" w:lineRule="auto"/>
        <w:jc w:val="center"/>
        <w:rPr>
          <w:rFonts w:ascii="Arial" w:hAnsi="Arial"/>
          <w:b/>
          <w:bCs/>
          <w:color w:val="000000" w:themeColor="text1"/>
          <w:sz w:val="18"/>
          <w:szCs w:val="18"/>
        </w:rPr>
      </w:pPr>
      <w:r w:rsidRPr="003210DF">
        <w:rPr>
          <w:rFonts w:ascii="Arial" w:hAnsi="Arial"/>
          <w:b/>
          <w:bCs/>
          <w:color w:val="000000" w:themeColor="text1"/>
          <w:sz w:val="18"/>
          <w:szCs w:val="18"/>
        </w:rPr>
        <w:t>Trends in nominal and real (</w:t>
      </w:r>
      <w:r>
        <w:rPr>
          <w:rFonts w:ascii="Arial" w:hAnsi="Arial"/>
          <w:b/>
          <w:bCs/>
          <w:color w:val="000000" w:themeColor="text1"/>
          <w:sz w:val="18"/>
          <w:szCs w:val="18"/>
        </w:rPr>
        <w:t>CPI inflation</w:t>
      </w:r>
      <w:r w:rsidRPr="003210DF">
        <w:rPr>
          <w:rFonts w:ascii="Arial" w:hAnsi="Arial"/>
          <w:b/>
          <w:bCs/>
          <w:color w:val="000000" w:themeColor="text1"/>
          <w:sz w:val="18"/>
          <w:szCs w:val="18"/>
        </w:rPr>
        <w:t>-adjusted) median household incomes:</w:t>
      </w:r>
    </w:p>
    <w:p w14:paraId="2C5D4679" w14:textId="07019EEF" w:rsidR="001024AC" w:rsidRPr="00710088" w:rsidRDefault="001024AC" w:rsidP="001024AC">
      <w:pPr>
        <w:spacing w:after="0" w:line="240" w:lineRule="auto"/>
        <w:jc w:val="center"/>
        <w:rPr>
          <w:rFonts w:ascii="Arial" w:hAnsi="Arial"/>
          <w:b/>
          <w:bCs/>
          <w:color w:val="FF0000"/>
          <w:sz w:val="18"/>
          <w:szCs w:val="18"/>
        </w:rPr>
      </w:pPr>
      <w:r w:rsidRPr="003210DF">
        <w:rPr>
          <w:noProof/>
          <w:color w:val="000000" w:themeColor="text1"/>
        </w:rPr>
        <w:drawing>
          <wp:anchor distT="0" distB="0" distL="114300" distR="114300" simplePos="0" relativeHeight="252995584" behindDoc="0" locked="0" layoutInCell="1" allowOverlap="1" wp14:anchorId="116552B9" wp14:editId="7723309C">
            <wp:simplePos x="0" y="0"/>
            <wp:positionH relativeFrom="margin">
              <wp:posOffset>50165</wp:posOffset>
            </wp:positionH>
            <wp:positionV relativeFrom="paragraph">
              <wp:posOffset>173990</wp:posOffset>
            </wp:positionV>
            <wp:extent cx="2822575" cy="1782445"/>
            <wp:effectExtent l="0" t="0" r="0" b="8255"/>
            <wp:wrapTopAndBottom/>
            <wp:docPr id="55547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76363"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22575" cy="1782445"/>
                    </a:xfrm>
                    <a:prstGeom prst="rect">
                      <a:avLst/>
                    </a:prstGeom>
                  </pic:spPr>
                </pic:pic>
              </a:graphicData>
            </a:graphic>
            <wp14:sizeRelH relativeFrom="page">
              <wp14:pctWidth>0</wp14:pctWidth>
            </wp14:sizeRelH>
            <wp14:sizeRelV relativeFrom="page">
              <wp14:pctHeight>0</wp14:pctHeight>
            </wp14:sizeRelV>
          </wp:anchor>
        </w:drawing>
      </w:r>
      <w:r w:rsidRPr="003210DF">
        <w:rPr>
          <w:noProof/>
          <w:color w:val="000000" w:themeColor="text1"/>
        </w:rPr>
        <w:drawing>
          <wp:anchor distT="0" distB="0" distL="114300" distR="114300" simplePos="0" relativeHeight="252996608" behindDoc="0" locked="0" layoutInCell="1" allowOverlap="1" wp14:anchorId="1C0CD3B9" wp14:editId="33232E35">
            <wp:simplePos x="0" y="0"/>
            <wp:positionH relativeFrom="margin">
              <wp:posOffset>3003550</wp:posOffset>
            </wp:positionH>
            <wp:positionV relativeFrom="paragraph">
              <wp:posOffset>198755</wp:posOffset>
            </wp:positionV>
            <wp:extent cx="2727325" cy="1743075"/>
            <wp:effectExtent l="0" t="0" r="0" b="9525"/>
            <wp:wrapTopAndBottom/>
            <wp:docPr id="992629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29807"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27325" cy="1743075"/>
                    </a:xfrm>
                    <a:prstGeom prst="rect">
                      <a:avLst/>
                    </a:prstGeom>
                  </pic:spPr>
                </pic:pic>
              </a:graphicData>
            </a:graphic>
            <wp14:sizeRelH relativeFrom="page">
              <wp14:pctWidth>0</wp14:pctWidth>
            </wp14:sizeRelH>
            <wp14:sizeRelV relativeFrom="page">
              <wp14:pctHeight>0</wp14:pctHeight>
            </wp14:sizeRelV>
          </wp:anchor>
        </w:drawing>
      </w:r>
      <w:r w:rsidRPr="003210DF">
        <w:rPr>
          <w:rFonts w:ascii="Arial" w:hAnsi="Arial"/>
          <w:b/>
          <w:bCs/>
          <w:color w:val="000000" w:themeColor="text1"/>
          <w:sz w:val="18"/>
          <w:szCs w:val="18"/>
        </w:rPr>
        <w:t>BHC (left) and AHC (right)</w:t>
      </w:r>
      <w:r w:rsidR="00973074">
        <w:rPr>
          <w:rFonts w:ascii="Arial" w:hAnsi="Arial"/>
          <w:b/>
          <w:bCs/>
          <w:color w:val="000000" w:themeColor="text1"/>
          <w:sz w:val="18"/>
          <w:szCs w:val="18"/>
        </w:rPr>
        <w:t>, whole population</w:t>
      </w:r>
      <w:r w:rsidRPr="003210DF">
        <w:rPr>
          <w:noProof/>
          <w:color w:val="000000" w:themeColor="text1"/>
        </w:rPr>
        <w:t xml:space="preserve"> </w:t>
      </w:r>
    </w:p>
    <w:p w14:paraId="5243E768" w14:textId="77777777" w:rsidR="001024AC" w:rsidRDefault="001024AC" w:rsidP="00F2118F">
      <w:pPr>
        <w:spacing w:after="0" w:line="240" w:lineRule="auto"/>
        <w:rPr>
          <w:rFonts w:ascii="Arial" w:hAnsi="Arial"/>
          <w:b/>
          <w:bCs/>
          <w:color w:val="000000"/>
          <w:szCs w:val="20"/>
        </w:rPr>
      </w:pPr>
    </w:p>
    <w:p w14:paraId="387F6AEE" w14:textId="282B634E" w:rsidR="001024AC" w:rsidRPr="00710088" w:rsidRDefault="001024AC" w:rsidP="001024AC">
      <w:pPr>
        <w:spacing w:after="0" w:line="240" w:lineRule="auto"/>
        <w:jc w:val="center"/>
        <w:rPr>
          <w:rFonts w:ascii="Arial" w:hAnsi="Arial"/>
          <w:b/>
          <w:bCs/>
          <w:color w:val="FF0000"/>
          <w:sz w:val="18"/>
          <w:szCs w:val="18"/>
        </w:rPr>
      </w:pPr>
      <w:r w:rsidRPr="003210DF">
        <w:rPr>
          <w:rFonts w:ascii="Arial" w:hAnsi="Arial"/>
          <w:b/>
          <w:bCs/>
          <w:color w:val="000000" w:themeColor="text1"/>
          <w:sz w:val="18"/>
          <w:szCs w:val="18"/>
        </w:rPr>
        <w:t xml:space="preserve">Figure </w:t>
      </w:r>
      <w:r w:rsidR="001E1422">
        <w:rPr>
          <w:rFonts w:ascii="Arial" w:hAnsi="Arial"/>
          <w:b/>
          <w:bCs/>
          <w:color w:val="000000" w:themeColor="text1"/>
          <w:sz w:val="18"/>
          <w:szCs w:val="18"/>
        </w:rPr>
        <w:t>G</w:t>
      </w:r>
      <w:r w:rsidR="002B1BFF">
        <w:rPr>
          <w:rFonts w:ascii="Arial" w:hAnsi="Arial"/>
          <w:b/>
          <w:bCs/>
          <w:color w:val="000000" w:themeColor="text1"/>
          <w:sz w:val="18"/>
          <w:szCs w:val="18"/>
        </w:rPr>
        <w:t>.</w:t>
      </w:r>
      <w:r w:rsidRPr="003210DF">
        <w:rPr>
          <w:rFonts w:ascii="Arial" w:hAnsi="Arial"/>
          <w:b/>
          <w:bCs/>
          <w:color w:val="000000" w:themeColor="text1"/>
          <w:sz w:val="18"/>
          <w:szCs w:val="18"/>
        </w:rPr>
        <w:t>2</w:t>
      </w:r>
      <w:r>
        <w:rPr>
          <w:rFonts w:ascii="Arial" w:hAnsi="Arial"/>
          <w:b/>
          <w:bCs/>
          <w:color w:val="000000" w:themeColor="text1"/>
          <w:sz w:val="18"/>
          <w:szCs w:val="18"/>
        </w:rPr>
        <w:t xml:space="preserve"> </w:t>
      </w:r>
    </w:p>
    <w:p w14:paraId="0B35FB34" w14:textId="77777777" w:rsidR="001024AC" w:rsidRPr="003210DF" w:rsidRDefault="001024AC" w:rsidP="001024AC">
      <w:pPr>
        <w:spacing w:after="0" w:line="240" w:lineRule="auto"/>
        <w:jc w:val="center"/>
        <w:rPr>
          <w:rFonts w:ascii="Arial" w:hAnsi="Arial"/>
          <w:b/>
          <w:bCs/>
          <w:color w:val="000000" w:themeColor="text1"/>
          <w:sz w:val="18"/>
          <w:szCs w:val="18"/>
        </w:rPr>
      </w:pPr>
      <w:r w:rsidRPr="003210DF">
        <w:rPr>
          <w:rFonts w:ascii="Arial" w:hAnsi="Arial"/>
          <w:b/>
          <w:bCs/>
          <w:color w:val="000000" w:themeColor="text1"/>
          <w:sz w:val="18"/>
          <w:szCs w:val="18"/>
        </w:rPr>
        <w:t>Trends in nominal and real (inflation-adjusted) household incomes for the top of deciles 2 and 7:</w:t>
      </w:r>
    </w:p>
    <w:p w14:paraId="30F2C0C6" w14:textId="45CF243A" w:rsidR="001024AC" w:rsidRPr="003210DF" w:rsidRDefault="001024AC" w:rsidP="001024AC">
      <w:pPr>
        <w:spacing w:after="0" w:line="240" w:lineRule="auto"/>
        <w:jc w:val="center"/>
        <w:rPr>
          <w:rFonts w:ascii="Arial" w:hAnsi="Arial"/>
          <w:b/>
          <w:bCs/>
          <w:color w:val="000000" w:themeColor="text1"/>
          <w:sz w:val="18"/>
          <w:szCs w:val="18"/>
        </w:rPr>
      </w:pPr>
      <w:r w:rsidRPr="003210DF">
        <w:rPr>
          <w:noProof/>
          <w:color w:val="000000" w:themeColor="text1"/>
        </w:rPr>
        <w:drawing>
          <wp:anchor distT="0" distB="0" distL="114300" distR="114300" simplePos="0" relativeHeight="252999680" behindDoc="0" locked="0" layoutInCell="1" allowOverlap="1" wp14:anchorId="6BDA3F53" wp14:editId="2EBC335D">
            <wp:simplePos x="0" y="0"/>
            <wp:positionH relativeFrom="margin">
              <wp:align>right</wp:align>
            </wp:positionH>
            <wp:positionV relativeFrom="paragraph">
              <wp:posOffset>226695</wp:posOffset>
            </wp:positionV>
            <wp:extent cx="2802255" cy="1828800"/>
            <wp:effectExtent l="0" t="0" r="0" b="0"/>
            <wp:wrapTopAndBottom/>
            <wp:docPr id="1947713748" name="Picture 1" descr="A graph of a graph showing the amount of decile in the 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713748" name="Picture 1" descr="A graph of a graph showing the amount of decile in the fall&#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02255" cy="1828800"/>
                    </a:xfrm>
                    <a:prstGeom prst="rect">
                      <a:avLst/>
                    </a:prstGeom>
                  </pic:spPr>
                </pic:pic>
              </a:graphicData>
            </a:graphic>
            <wp14:sizeRelH relativeFrom="page">
              <wp14:pctWidth>0</wp14:pctWidth>
            </wp14:sizeRelH>
            <wp14:sizeRelV relativeFrom="page">
              <wp14:pctHeight>0</wp14:pctHeight>
            </wp14:sizeRelV>
          </wp:anchor>
        </w:drawing>
      </w:r>
      <w:r w:rsidRPr="003210DF">
        <w:rPr>
          <w:noProof/>
          <w:color w:val="000000" w:themeColor="text1"/>
        </w:rPr>
        <w:drawing>
          <wp:anchor distT="0" distB="0" distL="114300" distR="114300" simplePos="0" relativeHeight="252998656" behindDoc="0" locked="0" layoutInCell="1" allowOverlap="1" wp14:anchorId="050B32F5" wp14:editId="19AE8F03">
            <wp:simplePos x="0" y="0"/>
            <wp:positionH relativeFrom="margin">
              <wp:align>left</wp:align>
            </wp:positionH>
            <wp:positionV relativeFrom="paragraph">
              <wp:posOffset>194945</wp:posOffset>
            </wp:positionV>
            <wp:extent cx="2821305" cy="1841500"/>
            <wp:effectExtent l="0" t="0" r="0" b="6350"/>
            <wp:wrapTopAndBottom/>
            <wp:docPr id="464759040" name="Picture 1" descr="A graph of a graph showing the price of a deci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59040" name="Picture 1" descr="A graph of a graph showing the price of a decile&#10;&#10;AI-generated content may be incorrect."/>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23936" cy="1843098"/>
                    </a:xfrm>
                    <a:prstGeom prst="rect">
                      <a:avLst/>
                    </a:prstGeom>
                  </pic:spPr>
                </pic:pic>
              </a:graphicData>
            </a:graphic>
            <wp14:sizeRelH relativeFrom="page">
              <wp14:pctWidth>0</wp14:pctWidth>
            </wp14:sizeRelH>
            <wp14:sizeRelV relativeFrom="page">
              <wp14:pctHeight>0</wp14:pctHeight>
            </wp14:sizeRelV>
          </wp:anchor>
        </w:drawing>
      </w:r>
      <w:r w:rsidRPr="003210DF">
        <w:rPr>
          <w:rFonts w:ascii="Arial" w:hAnsi="Arial"/>
          <w:b/>
          <w:bCs/>
          <w:color w:val="000000" w:themeColor="text1"/>
          <w:sz w:val="18"/>
          <w:szCs w:val="18"/>
        </w:rPr>
        <w:t>BHC (left) and AHC</w:t>
      </w:r>
      <w:r w:rsidR="00973074">
        <w:rPr>
          <w:rFonts w:ascii="Arial" w:hAnsi="Arial"/>
          <w:b/>
          <w:bCs/>
          <w:color w:val="000000" w:themeColor="text1"/>
          <w:sz w:val="18"/>
          <w:szCs w:val="18"/>
        </w:rPr>
        <w:t>, whole population</w:t>
      </w:r>
      <w:r w:rsidRPr="003210DF">
        <w:rPr>
          <w:rFonts w:ascii="Arial" w:hAnsi="Arial"/>
          <w:b/>
          <w:bCs/>
          <w:color w:val="000000" w:themeColor="text1"/>
          <w:sz w:val="18"/>
          <w:szCs w:val="18"/>
        </w:rPr>
        <w:t xml:space="preserve"> (right)</w:t>
      </w:r>
    </w:p>
    <w:p w14:paraId="35783BB9" w14:textId="39F6A0B1" w:rsidR="00BC4330" w:rsidRDefault="00F2118F" w:rsidP="00F2118F">
      <w:pPr>
        <w:spacing w:after="0" w:line="240" w:lineRule="auto"/>
        <w:rPr>
          <w:rFonts w:ascii="Arial" w:hAnsi="Arial"/>
          <w:szCs w:val="20"/>
        </w:rPr>
      </w:pPr>
      <w:r w:rsidRPr="001065A0">
        <w:rPr>
          <w:rFonts w:ascii="Arial" w:hAnsi="Arial"/>
          <w:b/>
          <w:bCs/>
          <w:color w:val="000000"/>
          <w:szCs w:val="20"/>
        </w:rPr>
        <w:lastRenderedPageBreak/>
        <w:t xml:space="preserve">Figure </w:t>
      </w:r>
      <w:r w:rsidR="001E1422">
        <w:rPr>
          <w:rFonts w:ascii="Arial" w:hAnsi="Arial"/>
          <w:b/>
          <w:bCs/>
          <w:color w:val="000000"/>
          <w:szCs w:val="20"/>
        </w:rPr>
        <w:t>G</w:t>
      </w:r>
      <w:r w:rsidR="002B1BFF">
        <w:rPr>
          <w:rFonts w:ascii="Arial" w:hAnsi="Arial"/>
          <w:b/>
          <w:bCs/>
          <w:color w:val="000000"/>
          <w:szCs w:val="20"/>
        </w:rPr>
        <w:t>.3</w:t>
      </w:r>
      <w:r>
        <w:rPr>
          <w:rFonts w:ascii="Arial" w:hAnsi="Arial"/>
          <w:color w:val="000000"/>
          <w:szCs w:val="20"/>
        </w:rPr>
        <w:t xml:space="preserve"> </w:t>
      </w:r>
      <w:r w:rsidR="00BC4330">
        <w:rPr>
          <w:rFonts w:ascii="Arial" w:hAnsi="Arial"/>
          <w:szCs w:val="20"/>
        </w:rPr>
        <w:t xml:space="preserve">compares real and nominal trends for the median for both BHC and AHC incomes for </w:t>
      </w:r>
      <w:r w:rsidR="00BC4330" w:rsidRPr="0023228D">
        <w:rPr>
          <w:rFonts w:ascii="Arial" w:hAnsi="Arial"/>
          <w:szCs w:val="20"/>
          <w:u w:val="single"/>
        </w:rPr>
        <w:t>children in their households</w:t>
      </w:r>
      <w:r w:rsidR="00BC4330">
        <w:rPr>
          <w:rFonts w:ascii="Arial" w:hAnsi="Arial"/>
          <w:szCs w:val="20"/>
        </w:rPr>
        <w:t xml:space="preserve">. The pattern is similar to that for the whole population as noted above, with </w:t>
      </w:r>
      <w:r w:rsidR="002710B0">
        <w:rPr>
          <w:rFonts w:ascii="Arial" w:hAnsi="Arial"/>
          <w:szCs w:val="20"/>
        </w:rPr>
        <w:t xml:space="preserve">a strongly rising nominal trend and a </w:t>
      </w:r>
      <w:r w:rsidR="00BC4330">
        <w:rPr>
          <w:rFonts w:ascii="Arial" w:hAnsi="Arial"/>
          <w:szCs w:val="20"/>
        </w:rPr>
        <w:t xml:space="preserve">plateauing </w:t>
      </w:r>
      <w:r w:rsidR="002710B0">
        <w:rPr>
          <w:rFonts w:ascii="Arial" w:hAnsi="Arial"/>
          <w:szCs w:val="20"/>
        </w:rPr>
        <w:t xml:space="preserve">real trend </w:t>
      </w:r>
      <w:r w:rsidR="00BC4330">
        <w:rPr>
          <w:rFonts w:ascii="Arial" w:hAnsi="Arial"/>
          <w:szCs w:val="20"/>
        </w:rPr>
        <w:t xml:space="preserve">from around 2021 through to 2025.  </w:t>
      </w:r>
    </w:p>
    <w:p w14:paraId="4131C7F0" w14:textId="77777777" w:rsidR="00BC4330" w:rsidRDefault="00BC4330" w:rsidP="00F2118F">
      <w:pPr>
        <w:spacing w:after="0" w:line="240" w:lineRule="auto"/>
        <w:rPr>
          <w:rFonts w:ascii="Arial" w:hAnsi="Arial"/>
          <w:szCs w:val="20"/>
        </w:rPr>
      </w:pPr>
    </w:p>
    <w:p w14:paraId="3CBB04F0" w14:textId="238D606F" w:rsidR="00F2118F" w:rsidRPr="00C46706" w:rsidRDefault="00F2118F" w:rsidP="00F2118F">
      <w:pPr>
        <w:spacing w:after="0" w:line="240" w:lineRule="auto"/>
        <w:jc w:val="center"/>
        <w:rPr>
          <w:rFonts w:ascii="Arial" w:hAnsi="Arial"/>
          <w:b/>
          <w:bCs/>
          <w:color w:val="FF0000"/>
          <w:sz w:val="18"/>
          <w:szCs w:val="18"/>
        </w:rPr>
      </w:pPr>
      <w:r>
        <w:rPr>
          <w:rFonts w:ascii="Arial" w:hAnsi="Arial"/>
          <w:b/>
          <w:bCs/>
          <w:sz w:val="18"/>
          <w:szCs w:val="18"/>
        </w:rPr>
        <w:t xml:space="preserve">Figure </w:t>
      </w:r>
      <w:r w:rsidR="001E1422">
        <w:rPr>
          <w:rFonts w:ascii="Arial" w:hAnsi="Arial"/>
          <w:b/>
          <w:bCs/>
          <w:sz w:val="18"/>
          <w:szCs w:val="18"/>
        </w:rPr>
        <w:t>G</w:t>
      </w:r>
      <w:r w:rsidR="002B1BFF">
        <w:rPr>
          <w:rFonts w:ascii="Arial" w:hAnsi="Arial"/>
          <w:b/>
          <w:bCs/>
          <w:sz w:val="18"/>
          <w:szCs w:val="18"/>
        </w:rPr>
        <w:t>.3</w:t>
      </w:r>
      <w:r>
        <w:rPr>
          <w:rFonts w:ascii="Arial" w:hAnsi="Arial"/>
          <w:b/>
          <w:bCs/>
          <w:sz w:val="18"/>
          <w:szCs w:val="18"/>
        </w:rPr>
        <w:t xml:space="preserve"> </w:t>
      </w:r>
    </w:p>
    <w:p w14:paraId="6DB93836" w14:textId="77777777" w:rsidR="00F2118F" w:rsidRPr="001D1E4C" w:rsidRDefault="00F2118F" w:rsidP="00F2118F">
      <w:pPr>
        <w:spacing w:after="0" w:line="240" w:lineRule="auto"/>
        <w:jc w:val="center"/>
        <w:rPr>
          <w:rFonts w:ascii="Arial" w:hAnsi="Arial"/>
          <w:b/>
          <w:bCs/>
          <w:sz w:val="18"/>
          <w:szCs w:val="18"/>
        </w:rPr>
      </w:pPr>
      <w:r w:rsidRPr="001D1E4C">
        <w:rPr>
          <w:rFonts w:ascii="Arial" w:hAnsi="Arial"/>
          <w:b/>
          <w:bCs/>
          <w:sz w:val="18"/>
          <w:szCs w:val="18"/>
        </w:rPr>
        <w:t>Trends in nominal and real (inflation-adjusted) median household incomes</w:t>
      </w:r>
      <w:r>
        <w:rPr>
          <w:rFonts w:ascii="Arial" w:hAnsi="Arial"/>
          <w:b/>
          <w:bCs/>
          <w:sz w:val="18"/>
          <w:szCs w:val="18"/>
        </w:rPr>
        <w:t xml:space="preserve"> (for 0-17s)</w:t>
      </w:r>
      <w:r w:rsidRPr="001D1E4C">
        <w:rPr>
          <w:rFonts w:ascii="Arial" w:hAnsi="Arial"/>
          <w:b/>
          <w:bCs/>
          <w:sz w:val="18"/>
          <w:szCs w:val="18"/>
        </w:rPr>
        <w:t>:</w:t>
      </w:r>
    </w:p>
    <w:p w14:paraId="75AE6554" w14:textId="77777777" w:rsidR="00F2118F" w:rsidRDefault="00F2118F" w:rsidP="00F2118F">
      <w:pPr>
        <w:spacing w:after="0" w:line="240" w:lineRule="auto"/>
        <w:jc w:val="center"/>
        <w:rPr>
          <w:rFonts w:ascii="Arial" w:hAnsi="Arial"/>
          <w:b/>
          <w:bCs/>
          <w:sz w:val="18"/>
          <w:szCs w:val="18"/>
        </w:rPr>
      </w:pPr>
      <w:r w:rsidRPr="001F3E2A">
        <w:rPr>
          <w:noProof/>
        </w:rPr>
        <w:drawing>
          <wp:anchor distT="0" distB="0" distL="114300" distR="114300" simplePos="0" relativeHeight="252979200" behindDoc="0" locked="0" layoutInCell="1" allowOverlap="1" wp14:anchorId="17A99976" wp14:editId="6142EE7A">
            <wp:simplePos x="0" y="0"/>
            <wp:positionH relativeFrom="margin">
              <wp:posOffset>2894965</wp:posOffset>
            </wp:positionH>
            <wp:positionV relativeFrom="paragraph">
              <wp:posOffset>259080</wp:posOffset>
            </wp:positionV>
            <wp:extent cx="2771775" cy="1809750"/>
            <wp:effectExtent l="0" t="0" r="9525" b="0"/>
            <wp:wrapTopAndBottom/>
            <wp:docPr id="1552365110" name="Picture 1" descr="A graph of a graph showing the growth of the number of the company's real and the number of the company's real and the number of the company's real and the number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65110" name="Picture 1" descr="A graph of a graph showing the growth of the number of the company's real and the number of the company's real and the number of the company's real and the number of&#10;&#10;AI-generated content may be incorrec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71775" cy="1809750"/>
                    </a:xfrm>
                    <a:prstGeom prst="rect">
                      <a:avLst/>
                    </a:prstGeom>
                  </pic:spPr>
                </pic:pic>
              </a:graphicData>
            </a:graphic>
            <wp14:sizeRelH relativeFrom="page">
              <wp14:pctWidth>0</wp14:pctWidth>
            </wp14:sizeRelH>
            <wp14:sizeRelV relativeFrom="page">
              <wp14:pctHeight>0</wp14:pctHeight>
            </wp14:sizeRelV>
          </wp:anchor>
        </w:drawing>
      </w:r>
      <w:r w:rsidRPr="001F3E2A">
        <w:rPr>
          <w:noProof/>
        </w:rPr>
        <w:drawing>
          <wp:anchor distT="0" distB="0" distL="114300" distR="114300" simplePos="0" relativeHeight="252978176" behindDoc="0" locked="0" layoutInCell="1" allowOverlap="1" wp14:anchorId="6B6E5E60" wp14:editId="04278363">
            <wp:simplePos x="0" y="0"/>
            <wp:positionH relativeFrom="column">
              <wp:posOffset>34290</wp:posOffset>
            </wp:positionH>
            <wp:positionV relativeFrom="paragraph">
              <wp:posOffset>203200</wp:posOffset>
            </wp:positionV>
            <wp:extent cx="2827020" cy="1845310"/>
            <wp:effectExtent l="0" t="0" r="0" b="2540"/>
            <wp:wrapTopAndBottom/>
            <wp:docPr id="27660234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02343" name="Picture 1" descr="A graph of a number of people&#10;&#10;AI-generated content may be incorrec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27020" cy="1845310"/>
                    </a:xfrm>
                    <a:prstGeom prst="rect">
                      <a:avLst/>
                    </a:prstGeom>
                  </pic:spPr>
                </pic:pic>
              </a:graphicData>
            </a:graphic>
            <wp14:sizeRelH relativeFrom="page">
              <wp14:pctWidth>0</wp14:pctWidth>
            </wp14:sizeRelH>
            <wp14:sizeRelV relativeFrom="page">
              <wp14:pctHeight>0</wp14:pctHeight>
            </wp14:sizeRelV>
          </wp:anchor>
        </w:drawing>
      </w:r>
      <w:r w:rsidRPr="001F3E2A">
        <w:t xml:space="preserve"> </w:t>
      </w:r>
      <w:r w:rsidRPr="004F0E04">
        <w:t xml:space="preserve"> </w:t>
      </w:r>
      <w:r w:rsidRPr="001D1E4C">
        <w:rPr>
          <w:rFonts w:ascii="Arial" w:hAnsi="Arial"/>
          <w:b/>
          <w:bCs/>
          <w:sz w:val="18"/>
          <w:szCs w:val="18"/>
        </w:rPr>
        <w:t>BHC (left) and AHC (right)</w:t>
      </w:r>
      <w:r w:rsidRPr="007C70B2">
        <w:rPr>
          <w:noProof/>
        </w:rPr>
        <w:t xml:space="preserve"> </w:t>
      </w:r>
    </w:p>
    <w:p w14:paraId="57A8FACD" w14:textId="77777777" w:rsidR="0023228D" w:rsidRDefault="0023228D" w:rsidP="0023228D">
      <w:pPr>
        <w:spacing w:after="60" w:line="240" w:lineRule="auto"/>
        <w:rPr>
          <w:rFonts w:ascii="Arial" w:hAnsi="Arial"/>
          <w:b/>
          <w:bCs/>
          <w:color w:val="000000"/>
          <w:szCs w:val="20"/>
        </w:rPr>
      </w:pPr>
    </w:p>
    <w:p w14:paraId="244B4640" w14:textId="71FE7225" w:rsidR="0023228D" w:rsidRDefault="0023228D" w:rsidP="0023228D">
      <w:pPr>
        <w:spacing w:after="60" w:line="240" w:lineRule="auto"/>
        <w:rPr>
          <w:rFonts w:ascii="Arial" w:hAnsi="Arial"/>
          <w:color w:val="000000"/>
          <w:szCs w:val="20"/>
        </w:rPr>
      </w:pPr>
      <w:r w:rsidRPr="002710B0">
        <w:rPr>
          <w:rFonts w:ascii="Arial" w:hAnsi="Arial"/>
          <w:b/>
          <w:bCs/>
          <w:color w:val="000000"/>
          <w:szCs w:val="20"/>
        </w:rPr>
        <w:t xml:space="preserve">Figure </w:t>
      </w:r>
      <w:r w:rsidR="001E1422">
        <w:rPr>
          <w:rFonts w:ascii="Arial" w:hAnsi="Arial"/>
          <w:b/>
          <w:bCs/>
          <w:color w:val="000000"/>
          <w:szCs w:val="20"/>
        </w:rPr>
        <w:t>G</w:t>
      </w:r>
      <w:r w:rsidRPr="002710B0">
        <w:rPr>
          <w:rFonts w:ascii="Arial" w:hAnsi="Arial"/>
          <w:b/>
          <w:bCs/>
          <w:color w:val="000000"/>
          <w:szCs w:val="20"/>
        </w:rPr>
        <w:t>.4</w:t>
      </w:r>
      <w:r>
        <w:rPr>
          <w:rFonts w:ascii="Arial" w:hAnsi="Arial"/>
          <w:color w:val="000000"/>
          <w:szCs w:val="20"/>
        </w:rPr>
        <w:t xml:space="preserve"> shows the trends in AHC incomes in real CPI-adjusted terms for children in low-income households: </w:t>
      </w:r>
    </w:p>
    <w:p w14:paraId="2526A9CD" w14:textId="75B6BF15" w:rsidR="00EB3260" w:rsidRDefault="0023228D">
      <w:pPr>
        <w:pStyle w:val="ListParagraph"/>
        <w:numPr>
          <w:ilvl w:val="0"/>
          <w:numId w:val="76"/>
        </w:numPr>
        <w:spacing w:after="60" w:line="240" w:lineRule="auto"/>
        <w:ind w:left="426" w:hanging="283"/>
        <w:contextualSpacing w:val="0"/>
        <w:rPr>
          <w:rFonts w:ascii="Arial" w:hAnsi="Arial"/>
          <w:color w:val="000000"/>
          <w:szCs w:val="20"/>
        </w:rPr>
      </w:pPr>
      <w:r w:rsidRPr="003C778A">
        <w:rPr>
          <w:rFonts w:ascii="Arial" w:hAnsi="Arial"/>
          <w:color w:val="000000"/>
          <w:szCs w:val="20"/>
        </w:rPr>
        <w:t>from around 2014 to 2021, incomes rose in real terms for children at p10, p20</w:t>
      </w:r>
      <w:r>
        <w:rPr>
          <w:rFonts w:ascii="Arial" w:hAnsi="Arial"/>
          <w:color w:val="000000"/>
          <w:szCs w:val="20"/>
        </w:rPr>
        <w:t xml:space="preserve"> and</w:t>
      </w:r>
      <w:r w:rsidRPr="003C778A">
        <w:rPr>
          <w:rFonts w:ascii="Arial" w:hAnsi="Arial"/>
          <w:color w:val="000000"/>
          <w:szCs w:val="20"/>
        </w:rPr>
        <w:t xml:space="preserve"> p30</w:t>
      </w:r>
      <w:r>
        <w:rPr>
          <w:rFonts w:ascii="Arial" w:hAnsi="Arial"/>
          <w:color w:val="000000"/>
          <w:szCs w:val="20"/>
        </w:rPr>
        <w:t xml:space="preserve"> …</w:t>
      </w:r>
      <w:r w:rsidRPr="003C778A">
        <w:rPr>
          <w:rFonts w:ascii="Arial" w:hAnsi="Arial"/>
          <w:color w:val="000000"/>
          <w:szCs w:val="20"/>
        </w:rPr>
        <w:t xml:space="preserve"> then the trend plateaued through to 2025 </w:t>
      </w:r>
    </w:p>
    <w:p w14:paraId="4549FE3C" w14:textId="627845F0" w:rsidR="00EB3260" w:rsidRPr="00EB3260" w:rsidRDefault="00EB3260">
      <w:pPr>
        <w:pStyle w:val="ListParagraph"/>
        <w:numPr>
          <w:ilvl w:val="0"/>
          <w:numId w:val="76"/>
        </w:numPr>
        <w:spacing w:after="60" w:line="240" w:lineRule="auto"/>
        <w:ind w:left="426" w:hanging="283"/>
        <w:contextualSpacing w:val="0"/>
        <w:rPr>
          <w:rFonts w:ascii="Arial" w:hAnsi="Arial"/>
          <w:color w:val="000000"/>
          <w:szCs w:val="20"/>
        </w:rPr>
      </w:pPr>
      <w:r w:rsidRPr="00EB3260">
        <w:rPr>
          <w:rFonts w:ascii="Arial" w:eastAsia="Times New Roman" w:hAnsi="Arial"/>
        </w:rPr>
        <w:t>the visual impression that the trends for AHC p10, p20, p30 and the median followed the same path in the full period from 2007 to 2025 is borne out by the data: p10 remained steady at around 45% of the median, p20 at around 60%, and p30 at around 73% in that period</w:t>
      </w:r>
    </w:p>
    <w:p w14:paraId="1C80F0FA" w14:textId="14152987" w:rsidR="00845612" w:rsidRPr="00FE4860" w:rsidRDefault="00845612">
      <w:pPr>
        <w:pStyle w:val="ListParagraph"/>
        <w:numPr>
          <w:ilvl w:val="0"/>
          <w:numId w:val="76"/>
        </w:numPr>
        <w:spacing w:after="0" w:line="240" w:lineRule="auto"/>
        <w:ind w:left="426" w:hanging="284"/>
        <w:contextualSpacing w:val="0"/>
        <w:rPr>
          <w:rFonts w:ascii="Arial" w:hAnsi="Arial"/>
          <w:color w:val="000000" w:themeColor="text1"/>
          <w:szCs w:val="20"/>
        </w:rPr>
      </w:pPr>
      <w:r w:rsidRPr="00FE4860">
        <w:rPr>
          <w:rFonts w:ascii="Arial" w:hAnsi="Arial"/>
          <w:color w:val="000000" w:themeColor="text1"/>
        </w:rPr>
        <w:t xml:space="preserve">for BHC incomes over the full period from 2007 to 2025, p10 remained steady at around 54% of the median, p20 at around 68%, and p30 at around 78%. </w:t>
      </w:r>
    </w:p>
    <w:p w14:paraId="3E722F24" w14:textId="77777777" w:rsidR="00F2118F" w:rsidRPr="00845612" w:rsidRDefault="00F2118F" w:rsidP="00F2118F">
      <w:pPr>
        <w:spacing w:after="0" w:line="240" w:lineRule="auto"/>
        <w:jc w:val="center"/>
        <w:rPr>
          <w:rFonts w:ascii="Arial" w:hAnsi="Arial"/>
          <w:b/>
          <w:bCs/>
          <w:color w:val="0000FF"/>
          <w:sz w:val="18"/>
          <w:szCs w:val="18"/>
        </w:rPr>
      </w:pPr>
    </w:p>
    <w:p w14:paraId="5A065D7B" w14:textId="07AE00E0" w:rsidR="007461C7" w:rsidRPr="00EE194B" w:rsidRDefault="007461C7" w:rsidP="005761A2">
      <w:pPr>
        <w:spacing w:after="0" w:line="240" w:lineRule="auto"/>
        <w:jc w:val="center"/>
        <w:rPr>
          <w:rFonts w:ascii="Arial" w:hAnsi="Arial"/>
          <w:b/>
          <w:bCs/>
          <w:color w:val="FF0000"/>
          <w:sz w:val="18"/>
          <w:szCs w:val="18"/>
        </w:rPr>
      </w:pPr>
      <w:r>
        <w:rPr>
          <w:rFonts w:ascii="Arial" w:hAnsi="Arial"/>
          <w:b/>
          <w:bCs/>
          <w:sz w:val="18"/>
          <w:szCs w:val="18"/>
        </w:rPr>
        <w:t xml:space="preserve">Figure </w:t>
      </w:r>
      <w:r w:rsidR="001E1422">
        <w:rPr>
          <w:rFonts w:ascii="Arial" w:hAnsi="Arial"/>
          <w:b/>
          <w:bCs/>
          <w:sz w:val="18"/>
          <w:szCs w:val="18"/>
        </w:rPr>
        <w:t>G</w:t>
      </w:r>
      <w:r w:rsidR="002B1BFF">
        <w:rPr>
          <w:rFonts w:ascii="Arial" w:hAnsi="Arial"/>
          <w:b/>
          <w:bCs/>
          <w:sz w:val="18"/>
          <w:szCs w:val="18"/>
        </w:rPr>
        <w:t>.4</w:t>
      </w:r>
    </w:p>
    <w:p w14:paraId="413D16D8" w14:textId="7A9C3E34" w:rsidR="007461C7" w:rsidRDefault="007461C7" w:rsidP="005761A2">
      <w:pPr>
        <w:spacing w:after="0" w:line="240" w:lineRule="auto"/>
        <w:jc w:val="center"/>
        <w:rPr>
          <w:rFonts w:ascii="Arial" w:hAnsi="Arial"/>
          <w:b/>
          <w:bCs/>
          <w:sz w:val="18"/>
          <w:szCs w:val="18"/>
        </w:rPr>
      </w:pPr>
      <w:r w:rsidRPr="001D1E4C">
        <w:rPr>
          <w:rFonts w:ascii="Arial" w:hAnsi="Arial"/>
          <w:b/>
          <w:bCs/>
          <w:sz w:val="18"/>
          <w:szCs w:val="18"/>
        </w:rPr>
        <w:t xml:space="preserve">Trends in real (inflation-adjusted) </w:t>
      </w:r>
      <w:r>
        <w:rPr>
          <w:rFonts w:ascii="Arial" w:hAnsi="Arial"/>
          <w:b/>
          <w:bCs/>
          <w:sz w:val="18"/>
          <w:szCs w:val="18"/>
        </w:rPr>
        <w:t xml:space="preserve">AHC </w:t>
      </w:r>
      <w:r w:rsidRPr="001D1E4C">
        <w:rPr>
          <w:rFonts w:ascii="Arial" w:hAnsi="Arial"/>
          <w:b/>
          <w:bCs/>
          <w:sz w:val="18"/>
          <w:szCs w:val="18"/>
        </w:rPr>
        <w:t>household incomes</w:t>
      </w:r>
      <w:r>
        <w:rPr>
          <w:rFonts w:ascii="Arial" w:hAnsi="Arial"/>
          <w:b/>
          <w:bCs/>
          <w:sz w:val="18"/>
          <w:szCs w:val="18"/>
        </w:rPr>
        <w:t xml:space="preserve"> for the median and the top of deciles 1 to 3:</w:t>
      </w:r>
    </w:p>
    <w:p w14:paraId="5FA22A2B" w14:textId="570B3E23" w:rsidR="007461C7" w:rsidRPr="00A53233" w:rsidRDefault="001024AC" w:rsidP="007461C7">
      <w:pPr>
        <w:spacing w:after="0" w:line="240" w:lineRule="auto"/>
        <w:jc w:val="center"/>
        <w:rPr>
          <w:rFonts w:ascii="Arial" w:hAnsi="Arial"/>
          <w:b/>
          <w:bCs/>
          <w:sz w:val="18"/>
          <w:szCs w:val="18"/>
        </w:rPr>
      </w:pPr>
      <w:r w:rsidRPr="001024AC">
        <w:rPr>
          <w:noProof/>
        </w:rPr>
        <w:drawing>
          <wp:anchor distT="0" distB="0" distL="114300" distR="114300" simplePos="0" relativeHeight="252993536" behindDoc="0" locked="0" layoutInCell="1" allowOverlap="1" wp14:anchorId="04DEBF67" wp14:editId="3AB2A72D">
            <wp:simplePos x="0" y="0"/>
            <wp:positionH relativeFrom="margin">
              <wp:align>center</wp:align>
            </wp:positionH>
            <wp:positionV relativeFrom="paragraph">
              <wp:posOffset>192405</wp:posOffset>
            </wp:positionV>
            <wp:extent cx="3413760" cy="2025650"/>
            <wp:effectExtent l="0" t="0" r="0" b="0"/>
            <wp:wrapTopAndBottom/>
            <wp:docPr id="1178560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56006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413760" cy="2025650"/>
                    </a:xfrm>
                    <a:prstGeom prst="rect">
                      <a:avLst/>
                    </a:prstGeom>
                  </pic:spPr>
                </pic:pic>
              </a:graphicData>
            </a:graphic>
            <wp14:sizeRelH relativeFrom="page">
              <wp14:pctWidth>0</wp14:pctWidth>
            </wp14:sizeRelH>
            <wp14:sizeRelV relativeFrom="page">
              <wp14:pctHeight>0</wp14:pctHeight>
            </wp14:sizeRelV>
          </wp:anchor>
        </w:drawing>
      </w:r>
      <w:r w:rsidR="007461C7">
        <w:rPr>
          <w:rFonts w:ascii="Arial" w:hAnsi="Arial"/>
          <w:b/>
          <w:bCs/>
          <w:sz w:val="18"/>
          <w:szCs w:val="18"/>
        </w:rPr>
        <w:t xml:space="preserve"> for 0-17s in their households</w:t>
      </w:r>
    </w:p>
    <w:p w14:paraId="6B389B52" w14:textId="4FBC8143" w:rsidR="007461C7" w:rsidRDefault="007461C7" w:rsidP="007461C7">
      <w:pPr>
        <w:spacing w:after="0" w:line="240" w:lineRule="auto"/>
        <w:rPr>
          <w:rFonts w:ascii="Arial" w:hAnsi="Arial"/>
          <w:b/>
          <w:bCs/>
          <w:szCs w:val="20"/>
        </w:rPr>
      </w:pPr>
    </w:p>
    <w:p w14:paraId="75AB819C" w14:textId="0DB7C47B" w:rsidR="007461C7" w:rsidRDefault="00A2151C" w:rsidP="007461C7">
      <w:pPr>
        <w:spacing w:after="0" w:line="240" w:lineRule="auto"/>
        <w:rPr>
          <w:rFonts w:ascii="Arial" w:hAnsi="Arial"/>
          <w:b/>
          <w:bCs/>
          <w:sz w:val="28"/>
          <w:szCs w:val="28"/>
        </w:rPr>
      </w:pPr>
      <w:r>
        <w:rPr>
          <w:rFonts w:ascii="Arial" w:hAnsi="Arial"/>
          <w:b/>
          <w:bCs/>
          <w:noProof/>
          <w:sz w:val="28"/>
          <w:szCs w:val="28"/>
        </w:rPr>
        <mc:AlternateContent>
          <mc:Choice Requires="wps">
            <w:drawing>
              <wp:anchor distT="0" distB="0" distL="114300" distR="114300" simplePos="0" relativeHeight="253175808" behindDoc="0" locked="0" layoutInCell="1" allowOverlap="1" wp14:anchorId="459D1BBB" wp14:editId="742D1557">
                <wp:simplePos x="0" y="0"/>
                <wp:positionH relativeFrom="column">
                  <wp:posOffset>812800</wp:posOffset>
                </wp:positionH>
                <wp:positionV relativeFrom="paragraph">
                  <wp:posOffset>8255</wp:posOffset>
                </wp:positionV>
                <wp:extent cx="4489450" cy="1206500"/>
                <wp:effectExtent l="0" t="0" r="25400" b="12700"/>
                <wp:wrapNone/>
                <wp:docPr id="1658405831" name="Text Box 31"/>
                <wp:cNvGraphicFramePr/>
                <a:graphic xmlns:a="http://schemas.openxmlformats.org/drawingml/2006/main">
                  <a:graphicData uri="http://schemas.microsoft.com/office/word/2010/wordprocessingShape">
                    <wps:wsp>
                      <wps:cNvSpPr txBox="1"/>
                      <wps:spPr>
                        <a:xfrm>
                          <a:off x="0" y="0"/>
                          <a:ext cx="4489450" cy="1206500"/>
                        </a:xfrm>
                        <a:prstGeom prst="rect">
                          <a:avLst/>
                        </a:prstGeom>
                        <a:solidFill>
                          <a:schemeClr val="lt1"/>
                        </a:solidFill>
                        <a:ln w="6350">
                          <a:solidFill>
                            <a:prstClr val="black"/>
                          </a:solidFill>
                        </a:ln>
                      </wps:spPr>
                      <wps:txbx>
                        <w:txbxContent>
                          <w:p w14:paraId="1C4B23B4" w14:textId="2D0D2B1A" w:rsidR="00765AEE" w:rsidRDefault="000E7BA6" w:rsidP="000E7BA6">
                            <w:pPr>
                              <w:spacing w:after="0" w:line="240" w:lineRule="auto"/>
                              <w:rPr>
                                <w:rFonts w:ascii="Arial" w:hAnsi="Arial"/>
                                <w:sz w:val="18"/>
                                <w:szCs w:val="18"/>
                              </w:rPr>
                            </w:pPr>
                            <w:r w:rsidRPr="000E7BA6">
                              <w:rPr>
                                <w:rFonts w:ascii="Arial" w:hAnsi="Arial"/>
                                <w:sz w:val="18"/>
                                <w:szCs w:val="18"/>
                              </w:rPr>
                              <w:t xml:space="preserve">There are several tables in the </w:t>
                            </w:r>
                            <w:r w:rsidRPr="00A2151C">
                              <w:rPr>
                                <w:rFonts w:ascii="Arial" w:hAnsi="Arial"/>
                                <w:b/>
                                <w:bCs/>
                                <w:sz w:val="18"/>
                                <w:szCs w:val="18"/>
                              </w:rPr>
                              <w:t>Appendices</w:t>
                            </w:r>
                            <w:r w:rsidRPr="000E7BA6">
                              <w:rPr>
                                <w:rFonts w:ascii="Arial" w:hAnsi="Arial"/>
                                <w:sz w:val="18"/>
                                <w:szCs w:val="18"/>
                              </w:rPr>
                              <w:t xml:space="preserve"> which give more detailed income information, for both children in their households and for the whole population.</w:t>
                            </w:r>
                          </w:p>
                          <w:p w14:paraId="4611387A" w14:textId="6D70BFD2" w:rsidR="006F209F" w:rsidRDefault="00610324">
                            <w:pPr>
                              <w:pStyle w:val="ListParagraph"/>
                              <w:numPr>
                                <w:ilvl w:val="0"/>
                                <w:numId w:val="101"/>
                              </w:numPr>
                              <w:tabs>
                                <w:tab w:val="left" w:pos="1701"/>
                              </w:tabs>
                              <w:spacing w:after="0" w:line="240" w:lineRule="auto"/>
                              <w:ind w:left="426" w:hanging="219"/>
                              <w:rPr>
                                <w:rFonts w:ascii="Arial" w:hAnsi="Arial"/>
                                <w:sz w:val="18"/>
                                <w:szCs w:val="18"/>
                              </w:rPr>
                            </w:pPr>
                            <w:r w:rsidRPr="00184E9C">
                              <w:rPr>
                                <w:rFonts w:ascii="Arial" w:hAnsi="Arial"/>
                                <w:sz w:val="18"/>
                                <w:szCs w:val="18"/>
                              </w:rPr>
                              <w:t>Appendix 8</w:t>
                            </w:r>
                            <w:r w:rsidR="006F209F">
                              <w:rPr>
                                <w:rFonts w:ascii="Arial" w:hAnsi="Arial"/>
                                <w:sz w:val="18"/>
                                <w:szCs w:val="18"/>
                              </w:rPr>
                              <w:tab/>
                              <w:t xml:space="preserve">conversion from equivalised $ to ordinary </w:t>
                            </w:r>
                            <w:r w:rsidR="002F5D57">
                              <w:rPr>
                                <w:rFonts w:ascii="Arial" w:hAnsi="Arial"/>
                                <w:sz w:val="18"/>
                                <w:szCs w:val="18"/>
                              </w:rPr>
                              <w:t>$</w:t>
                            </w:r>
                            <w:r w:rsidR="006F209F">
                              <w:rPr>
                                <w:rFonts w:ascii="Arial" w:hAnsi="Arial"/>
                                <w:sz w:val="18"/>
                                <w:szCs w:val="18"/>
                              </w:rPr>
                              <w:t xml:space="preserve"> for selected </w:t>
                            </w:r>
                          </w:p>
                          <w:p w14:paraId="5A6F265F" w14:textId="197BDFB1" w:rsidR="00610324" w:rsidRDefault="006F209F" w:rsidP="002F5D57">
                            <w:pPr>
                              <w:pStyle w:val="ListParagraph"/>
                              <w:tabs>
                                <w:tab w:val="left" w:pos="1701"/>
                              </w:tabs>
                              <w:spacing w:after="0" w:line="240" w:lineRule="auto"/>
                              <w:ind w:left="426" w:hanging="219"/>
                              <w:rPr>
                                <w:rFonts w:ascii="Arial" w:hAnsi="Arial"/>
                                <w:sz w:val="18"/>
                                <w:szCs w:val="18"/>
                              </w:rPr>
                            </w:pPr>
                            <w:r>
                              <w:rPr>
                                <w:rFonts w:ascii="Arial" w:hAnsi="Arial"/>
                                <w:sz w:val="18"/>
                                <w:szCs w:val="18"/>
                              </w:rPr>
                              <w:tab/>
                            </w:r>
                            <w:r w:rsidR="002F5D57">
                              <w:rPr>
                                <w:rFonts w:ascii="Arial" w:hAnsi="Arial"/>
                                <w:sz w:val="18"/>
                                <w:szCs w:val="18"/>
                              </w:rPr>
                              <w:tab/>
                            </w:r>
                            <w:r>
                              <w:rPr>
                                <w:rFonts w:ascii="Arial" w:hAnsi="Arial"/>
                                <w:sz w:val="18"/>
                                <w:szCs w:val="18"/>
                              </w:rPr>
                              <w:t>HH types and a range of incomes</w:t>
                            </w:r>
                          </w:p>
                          <w:p w14:paraId="72921A80" w14:textId="65E17581" w:rsidR="002F5D57" w:rsidRDefault="006F209F">
                            <w:pPr>
                              <w:pStyle w:val="ListParagraph"/>
                              <w:numPr>
                                <w:ilvl w:val="0"/>
                                <w:numId w:val="101"/>
                              </w:numPr>
                              <w:tabs>
                                <w:tab w:val="left" w:pos="1701"/>
                              </w:tabs>
                              <w:spacing w:after="0" w:line="240" w:lineRule="auto"/>
                              <w:ind w:left="426" w:hanging="219"/>
                              <w:rPr>
                                <w:rFonts w:ascii="Arial" w:hAnsi="Arial"/>
                                <w:sz w:val="18"/>
                                <w:szCs w:val="18"/>
                              </w:rPr>
                            </w:pPr>
                            <w:r w:rsidRPr="002F5D57">
                              <w:rPr>
                                <w:rFonts w:ascii="Arial" w:hAnsi="Arial"/>
                                <w:sz w:val="18"/>
                                <w:szCs w:val="18"/>
                              </w:rPr>
                              <w:t>Appendix 8</w:t>
                            </w:r>
                            <w:r w:rsidRPr="002F5D57">
                              <w:rPr>
                                <w:rFonts w:ascii="Arial" w:hAnsi="Arial"/>
                                <w:sz w:val="18"/>
                                <w:szCs w:val="18"/>
                              </w:rPr>
                              <w:tab/>
                              <w:t xml:space="preserve">conversion from ordinary </w:t>
                            </w:r>
                            <w:r w:rsidR="002F5D57">
                              <w:rPr>
                                <w:rFonts w:ascii="Arial" w:hAnsi="Arial"/>
                                <w:sz w:val="18"/>
                                <w:szCs w:val="18"/>
                              </w:rPr>
                              <w:t>$</w:t>
                            </w:r>
                            <w:r w:rsidRPr="002F5D57">
                              <w:rPr>
                                <w:rFonts w:ascii="Arial" w:hAnsi="Arial"/>
                                <w:sz w:val="18"/>
                                <w:szCs w:val="18"/>
                              </w:rPr>
                              <w:t xml:space="preserve"> to equival</w:t>
                            </w:r>
                            <w:r w:rsidR="002F5D57">
                              <w:rPr>
                                <w:rFonts w:ascii="Arial" w:hAnsi="Arial"/>
                                <w:sz w:val="18"/>
                                <w:szCs w:val="18"/>
                              </w:rPr>
                              <w:t>is</w:t>
                            </w:r>
                            <w:r w:rsidRPr="002F5D57">
                              <w:rPr>
                                <w:rFonts w:ascii="Arial" w:hAnsi="Arial"/>
                                <w:sz w:val="18"/>
                                <w:szCs w:val="18"/>
                              </w:rPr>
                              <w:t xml:space="preserve">ed </w:t>
                            </w:r>
                            <w:r w:rsidR="002F5D57" w:rsidRPr="002F5D57">
                              <w:rPr>
                                <w:rFonts w:ascii="Arial" w:hAnsi="Arial"/>
                                <w:sz w:val="18"/>
                                <w:szCs w:val="18"/>
                              </w:rPr>
                              <w:t xml:space="preserve">$ for selected HH </w:t>
                            </w:r>
                          </w:p>
                          <w:p w14:paraId="187D9CAC" w14:textId="03C4F7DB" w:rsidR="006F209F" w:rsidRPr="002F5D57" w:rsidRDefault="002F5D57" w:rsidP="002F5D57">
                            <w:pPr>
                              <w:pStyle w:val="ListParagraph"/>
                              <w:tabs>
                                <w:tab w:val="left" w:pos="1701"/>
                              </w:tabs>
                              <w:spacing w:after="0" w:line="240" w:lineRule="auto"/>
                              <w:ind w:left="426"/>
                              <w:rPr>
                                <w:rFonts w:ascii="Arial" w:hAnsi="Arial"/>
                                <w:sz w:val="18"/>
                                <w:szCs w:val="18"/>
                              </w:rPr>
                            </w:pPr>
                            <w:r>
                              <w:rPr>
                                <w:rFonts w:ascii="Arial" w:hAnsi="Arial"/>
                                <w:sz w:val="18"/>
                                <w:szCs w:val="18"/>
                              </w:rPr>
                              <w:tab/>
                              <w:t>t</w:t>
                            </w:r>
                            <w:r w:rsidRPr="002F5D57">
                              <w:rPr>
                                <w:rFonts w:ascii="Arial" w:hAnsi="Arial"/>
                                <w:sz w:val="18"/>
                                <w:szCs w:val="18"/>
                              </w:rPr>
                              <w:t>ypes</w:t>
                            </w:r>
                            <w:r>
                              <w:rPr>
                                <w:rFonts w:ascii="Arial" w:hAnsi="Arial"/>
                                <w:sz w:val="18"/>
                                <w:szCs w:val="18"/>
                              </w:rPr>
                              <w:t>, with</w:t>
                            </w:r>
                            <w:r w:rsidRPr="002F5D57">
                              <w:rPr>
                                <w:rFonts w:ascii="Arial" w:hAnsi="Arial"/>
                                <w:sz w:val="18"/>
                                <w:szCs w:val="18"/>
                              </w:rPr>
                              <w:t xml:space="preserve"> location </w:t>
                            </w:r>
                            <w:r>
                              <w:rPr>
                                <w:rFonts w:ascii="Arial" w:hAnsi="Arial"/>
                                <w:sz w:val="18"/>
                                <w:szCs w:val="18"/>
                              </w:rPr>
                              <w:t>i</w:t>
                            </w:r>
                            <w:r w:rsidRPr="002F5D57">
                              <w:rPr>
                                <w:rFonts w:ascii="Arial" w:hAnsi="Arial"/>
                                <w:sz w:val="18"/>
                                <w:szCs w:val="18"/>
                              </w:rPr>
                              <w:t>n equival</w:t>
                            </w:r>
                            <w:r>
                              <w:rPr>
                                <w:rFonts w:ascii="Arial" w:hAnsi="Arial"/>
                                <w:sz w:val="18"/>
                                <w:szCs w:val="18"/>
                              </w:rPr>
                              <w:t>is</w:t>
                            </w:r>
                            <w:r w:rsidRPr="002F5D57">
                              <w:rPr>
                                <w:rFonts w:ascii="Arial" w:hAnsi="Arial"/>
                                <w:sz w:val="18"/>
                                <w:szCs w:val="18"/>
                              </w:rPr>
                              <w:t>ed dollar deciles</w:t>
                            </w:r>
                          </w:p>
                          <w:p w14:paraId="25F68E56" w14:textId="42F2858D" w:rsidR="00610324" w:rsidRPr="00184E9C" w:rsidRDefault="00610324">
                            <w:pPr>
                              <w:pStyle w:val="ListParagraph"/>
                              <w:numPr>
                                <w:ilvl w:val="0"/>
                                <w:numId w:val="101"/>
                              </w:numPr>
                              <w:tabs>
                                <w:tab w:val="left" w:pos="1701"/>
                              </w:tabs>
                              <w:spacing w:after="0" w:line="240" w:lineRule="auto"/>
                              <w:ind w:left="426" w:hanging="219"/>
                              <w:rPr>
                                <w:rFonts w:ascii="Arial" w:hAnsi="Arial"/>
                                <w:sz w:val="18"/>
                                <w:szCs w:val="18"/>
                              </w:rPr>
                            </w:pPr>
                            <w:r w:rsidRPr="00184E9C">
                              <w:rPr>
                                <w:rFonts w:ascii="Arial" w:hAnsi="Arial"/>
                                <w:sz w:val="18"/>
                                <w:szCs w:val="18"/>
                              </w:rPr>
                              <w:t>Appendix 9</w:t>
                            </w:r>
                            <w:r w:rsidR="006F209F">
                              <w:rPr>
                                <w:rFonts w:ascii="Arial" w:hAnsi="Arial"/>
                                <w:sz w:val="18"/>
                                <w:szCs w:val="18"/>
                              </w:rPr>
                              <w:tab/>
                              <w:t>low-income thresholds (‘poverty lines’) for selected HH types</w:t>
                            </w:r>
                          </w:p>
                          <w:p w14:paraId="305B2295" w14:textId="7D7681E7" w:rsidR="00610324" w:rsidRPr="00184E9C" w:rsidRDefault="00610324">
                            <w:pPr>
                              <w:pStyle w:val="ListParagraph"/>
                              <w:numPr>
                                <w:ilvl w:val="0"/>
                                <w:numId w:val="101"/>
                              </w:numPr>
                              <w:tabs>
                                <w:tab w:val="left" w:pos="1701"/>
                              </w:tabs>
                              <w:spacing w:after="0" w:line="240" w:lineRule="auto"/>
                              <w:ind w:left="426" w:hanging="219"/>
                              <w:rPr>
                                <w:rFonts w:ascii="Arial" w:hAnsi="Arial"/>
                                <w:sz w:val="18"/>
                                <w:szCs w:val="18"/>
                              </w:rPr>
                            </w:pPr>
                            <w:r w:rsidRPr="00184E9C">
                              <w:rPr>
                                <w:rFonts w:ascii="Arial" w:hAnsi="Arial"/>
                                <w:sz w:val="18"/>
                                <w:szCs w:val="18"/>
                              </w:rPr>
                              <w:t>Appendix 10</w:t>
                            </w:r>
                            <w:r w:rsidR="006F209F">
                              <w:rPr>
                                <w:rFonts w:ascii="Arial" w:hAnsi="Arial"/>
                                <w:sz w:val="18"/>
                                <w:szCs w:val="18"/>
                              </w:rPr>
                              <w:tab/>
                            </w:r>
                            <w:r w:rsidR="00EE2116">
                              <w:rPr>
                                <w:rFonts w:ascii="Arial" w:hAnsi="Arial"/>
                                <w:sz w:val="18"/>
                                <w:szCs w:val="18"/>
                              </w:rPr>
                              <w:t>decile boundaries and means using $2025, 1982 to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D1BBB" id="Text Box 31" o:spid="_x0000_s1042" type="#_x0000_t202" style="position:absolute;margin-left:64pt;margin-top:.65pt;width:353.5pt;height:95pt;z-index:25317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" fillcolor="white [3201]" strokeweight=".5pt">
                <v:textbox>
                  <w:txbxContent>
                    <w:p w14:paraId="1C4B23B4" w14:textId="2D0D2B1A" w:rsidR="00765AEE" w:rsidRDefault="000E7BA6" w:rsidP="000E7BA6">
                      <w:pPr>
                        <w:spacing w:after="0" w:line="240" w:lineRule="auto"/>
                        <w:rPr>
                          <w:rFonts w:ascii="Arial" w:hAnsi="Arial"/>
                          <w:sz w:val="18"/>
                          <w:szCs w:val="18"/>
                        </w:rPr>
                      </w:pPr>
                      <w:r w:rsidRPr="000E7BA6">
                        <w:rPr>
                          <w:rFonts w:ascii="Arial" w:hAnsi="Arial"/>
                          <w:sz w:val="18"/>
                          <w:szCs w:val="18"/>
                        </w:rPr>
                        <w:t xml:space="preserve">There are several tables in the </w:t>
                      </w:r>
                      <w:r w:rsidRPr="00A2151C">
                        <w:rPr>
                          <w:rFonts w:ascii="Arial" w:hAnsi="Arial"/>
                          <w:b/>
                          <w:bCs/>
                          <w:sz w:val="18"/>
                          <w:szCs w:val="18"/>
                        </w:rPr>
                        <w:t>Appendices</w:t>
                      </w:r>
                      <w:r w:rsidRPr="000E7BA6">
                        <w:rPr>
                          <w:rFonts w:ascii="Arial" w:hAnsi="Arial"/>
                          <w:sz w:val="18"/>
                          <w:szCs w:val="18"/>
                        </w:rPr>
                        <w:t xml:space="preserve"> which give more detailed income information, for both children in their households and for the whole population.</w:t>
                      </w:r>
                    </w:p>
                    <w:p w14:paraId="4611387A" w14:textId="6D70BFD2" w:rsidR="006F209F" w:rsidRDefault="00610324">
                      <w:pPr>
                        <w:pStyle w:val="ListParagraph"/>
                        <w:numPr>
                          <w:ilvl w:val="0"/>
                          <w:numId w:val="101"/>
                        </w:numPr>
                        <w:tabs>
                          <w:tab w:val="left" w:pos="1701"/>
                        </w:tabs>
                        <w:spacing w:after="0" w:line="240" w:lineRule="auto"/>
                        <w:ind w:left="426" w:hanging="219"/>
                        <w:rPr>
                          <w:rFonts w:ascii="Arial" w:hAnsi="Arial"/>
                          <w:sz w:val="18"/>
                          <w:szCs w:val="18"/>
                        </w:rPr>
                      </w:pPr>
                      <w:r w:rsidRPr="00184E9C">
                        <w:rPr>
                          <w:rFonts w:ascii="Arial" w:hAnsi="Arial"/>
                          <w:sz w:val="18"/>
                          <w:szCs w:val="18"/>
                        </w:rPr>
                        <w:t>Appendix 8</w:t>
                      </w:r>
                      <w:r w:rsidR="006F209F">
                        <w:rPr>
                          <w:rFonts w:ascii="Arial" w:hAnsi="Arial"/>
                          <w:sz w:val="18"/>
                          <w:szCs w:val="18"/>
                        </w:rPr>
                        <w:tab/>
                        <w:t xml:space="preserve">conversion from equivalised $ to ordinary </w:t>
                      </w:r>
                      <w:r w:rsidR="002F5D57">
                        <w:rPr>
                          <w:rFonts w:ascii="Arial" w:hAnsi="Arial"/>
                          <w:sz w:val="18"/>
                          <w:szCs w:val="18"/>
                        </w:rPr>
                        <w:t>$</w:t>
                      </w:r>
                      <w:r w:rsidR="006F209F">
                        <w:rPr>
                          <w:rFonts w:ascii="Arial" w:hAnsi="Arial"/>
                          <w:sz w:val="18"/>
                          <w:szCs w:val="18"/>
                        </w:rPr>
                        <w:t xml:space="preserve"> for selected </w:t>
                      </w:r>
                    </w:p>
                    <w:p w14:paraId="5A6F265F" w14:textId="197BDFB1" w:rsidR="00610324" w:rsidRDefault="006F209F" w:rsidP="002F5D57">
                      <w:pPr>
                        <w:pStyle w:val="ListParagraph"/>
                        <w:tabs>
                          <w:tab w:val="left" w:pos="1701"/>
                        </w:tabs>
                        <w:spacing w:after="0" w:line="240" w:lineRule="auto"/>
                        <w:ind w:left="426" w:hanging="219"/>
                        <w:rPr>
                          <w:rFonts w:ascii="Arial" w:hAnsi="Arial"/>
                          <w:sz w:val="18"/>
                          <w:szCs w:val="18"/>
                        </w:rPr>
                      </w:pPr>
                      <w:r>
                        <w:rPr>
                          <w:rFonts w:ascii="Arial" w:hAnsi="Arial"/>
                          <w:sz w:val="18"/>
                          <w:szCs w:val="18"/>
                        </w:rPr>
                        <w:tab/>
                      </w:r>
                      <w:r w:rsidR="002F5D57">
                        <w:rPr>
                          <w:rFonts w:ascii="Arial" w:hAnsi="Arial"/>
                          <w:sz w:val="18"/>
                          <w:szCs w:val="18"/>
                        </w:rPr>
                        <w:tab/>
                      </w:r>
                      <w:r>
                        <w:rPr>
                          <w:rFonts w:ascii="Arial" w:hAnsi="Arial"/>
                          <w:sz w:val="18"/>
                          <w:szCs w:val="18"/>
                        </w:rPr>
                        <w:t>HH types and a range of incomes</w:t>
                      </w:r>
                    </w:p>
                    <w:p w14:paraId="72921A80" w14:textId="65E17581" w:rsidR="002F5D57" w:rsidRDefault="006F209F">
                      <w:pPr>
                        <w:pStyle w:val="ListParagraph"/>
                        <w:numPr>
                          <w:ilvl w:val="0"/>
                          <w:numId w:val="101"/>
                        </w:numPr>
                        <w:tabs>
                          <w:tab w:val="left" w:pos="1701"/>
                        </w:tabs>
                        <w:spacing w:after="0" w:line="240" w:lineRule="auto"/>
                        <w:ind w:left="426" w:hanging="219"/>
                        <w:rPr>
                          <w:rFonts w:ascii="Arial" w:hAnsi="Arial"/>
                          <w:sz w:val="18"/>
                          <w:szCs w:val="18"/>
                        </w:rPr>
                      </w:pPr>
                      <w:r w:rsidRPr="002F5D57">
                        <w:rPr>
                          <w:rFonts w:ascii="Arial" w:hAnsi="Arial"/>
                          <w:sz w:val="18"/>
                          <w:szCs w:val="18"/>
                        </w:rPr>
                        <w:t>Appendix 8</w:t>
                      </w:r>
                      <w:r w:rsidRPr="002F5D57">
                        <w:rPr>
                          <w:rFonts w:ascii="Arial" w:hAnsi="Arial"/>
                          <w:sz w:val="18"/>
                          <w:szCs w:val="18"/>
                        </w:rPr>
                        <w:tab/>
                        <w:t xml:space="preserve">conversion from ordinary </w:t>
                      </w:r>
                      <w:r w:rsidR="002F5D57">
                        <w:rPr>
                          <w:rFonts w:ascii="Arial" w:hAnsi="Arial"/>
                          <w:sz w:val="18"/>
                          <w:szCs w:val="18"/>
                        </w:rPr>
                        <w:t>$</w:t>
                      </w:r>
                      <w:r w:rsidRPr="002F5D57">
                        <w:rPr>
                          <w:rFonts w:ascii="Arial" w:hAnsi="Arial"/>
                          <w:sz w:val="18"/>
                          <w:szCs w:val="18"/>
                        </w:rPr>
                        <w:t xml:space="preserve"> to equival</w:t>
                      </w:r>
                      <w:r w:rsidR="002F5D57">
                        <w:rPr>
                          <w:rFonts w:ascii="Arial" w:hAnsi="Arial"/>
                          <w:sz w:val="18"/>
                          <w:szCs w:val="18"/>
                        </w:rPr>
                        <w:t>is</w:t>
                      </w:r>
                      <w:r w:rsidRPr="002F5D57">
                        <w:rPr>
                          <w:rFonts w:ascii="Arial" w:hAnsi="Arial"/>
                          <w:sz w:val="18"/>
                          <w:szCs w:val="18"/>
                        </w:rPr>
                        <w:t xml:space="preserve">ed </w:t>
                      </w:r>
                      <w:r w:rsidR="002F5D57" w:rsidRPr="002F5D57">
                        <w:rPr>
                          <w:rFonts w:ascii="Arial" w:hAnsi="Arial"/>
                          <w:sz w:val="18"/>
                          <w:szCs w:val="18"/>
                        </w:rPr>
                        <w:t xml:space="preserve">$ for selected HH </w:t>
                      </w:r>
                    </w:p>
                    <w:p w14:paraId="187D9CAC" w14:textId="03C4F7DB" w:rsidR="006F209F" w:rsidRPr="002F5D57" w:rsidRDefault="002F5D57" w:rsidP="002F5D57">
                      <w:pPr>
                        <w:pStyle w:val="ListParagraph"/>
                        <w:tabs>
                          <w:tab w:val="left" w:pos="1701"/>
                        </w:tabs>
                        <w:spacing w:after="0" w:line="240" w:lineRule="auto"/>
                        <w:ind w:left="426"/>
                        <w:rPr>
                          <w:rFonts w:ascii="Arial" w:hAnsi="Arial"/>
                          <w:sz w:val="18"/>
                          <w:szCs w:val="18"/>
                        </w:rPr>
                      </w:pPr>
                      <w:r>
                        <w:rPr>
                          <w:rFonts w:ascii="Arial" w:hAnsi="Arial"/>
                          <w:sz w:val="18"/>
                          <w:szCs w:val="18"/>
                        </w:rPr>
                        <w:tab/>
                        <w:t>t</w:t>
                      </w:r>
                      <w:r w:rsidRPr="002F5D57">
                        <w:rPr>
                          <w:rFonts w:ascii="Arial" w:hAnsi="Arial"/>
                          <w:sz w:val="18"/>
                          <w:szCs w:val="18"/>
                        </w:rPr>
                        <w:t>ypes</w:t>
                      </w:r>
                      <w:r>
                        <w:rPr>
                          <w:rFonts w:ascii="Arial" w:hAnsi="Arial"/>
                          <w:sz w:val="18"/>
                          <w:szCs w:val="18"/>
                        </w:rPr>
                        <w:t>, with</w:t>
                      </w:r>
                      <w:r w:rsidRPr="002F5D57">
                        <w:rPr>
                          <w:rFonts w:ascii="Arial" w:hAnsi="Arial"/>
                          <w:sz w:val="18"/>
                          <w:szCs w:val="18"/>
                        </w:rPr>
                        <w:t xml:space="preserve"> location </w:t>
                      </w:r>
                      <w:r>
                        <w:rPr>
                          <w:rFonts w:ascii="Arial" w:hAnsi="Arial"/>
                          <w:sz w:val="18"/>
                          <w:szCs w:val="18"/>
                        </w:rPr>
                        <w:t>i</w:t>
                      </w:r>
                      <w:r w:rsidRPr="002F5D57">
                        <w:rPr>
                          <w:rFonts w:ascii="Arial" w:hAnsi="Arial"/>
                          <w:sz w:val="18"/>
                          <w:szCs w:val="18"/>
                        </w:rPr>
                        <w:t>n equival</w:t>
                      </w:r>
                      <w:r>
                        <w:rPr>
                          <w:rFonts w:ascii="Arial" w:hAnsi="Arial"/>
                          <w:sz w:val="18"/>
                          <w:szCs w:val="18"/>
                        </w:rPr>
                        <w:t>is</w:t>
                      </w:r>
                      <w:r w:rsidRPr="002F5D57">
                        <w:rPr>
                          <w:rFonts w:ascii="Arial" w:hAnsi="Arial"/>
                          <w:sz w:val="18"/>
                          <w:szCs w:val="18"/>
                        </w:rPr>
                        <w:t>ed dollar deciles</w:t>
                      </w:r>
                    </w:p>
                    <w:p w14:paraId="25F68E56" w14:textId="42F2858D" w:rsidR="00610324" w:rsidRPr="00184E9C" w:rsidRDefault="00610324">
                      <w:pPr>
                        <w:pStyle w:val="ListParagraph"/>
                        <w:numPr>
                          <w:ilvl w:val="0"/>
                          <w:numId w:val="101"/>
                        </w:numPr>
                        <w:tabs>
                          <w:tab w:val="left" w:pos="1701"/>
                        </w:tabs>
                        <w:spacing w:after="0" w:line="240" w:lineRule="auto"/>
                        <w:ind w:left="426" w:hanging="219"/>
                        <w:rPr>
                          <w:rFonts w:ascii="Arial" w:hAnsi="Arial"/>
                          <w:sz w:val="18"/>
                          <w:szCs w:val="18"/>
                        </w:rPr>
                      </w:pPr>
                      <w:r w:rsidRPr="00184E9C">
                        <w:rPr>
                          <w:rFonts w:ascii="Arial" w:hAnsi="Arial"/>
                          <w:sz w:val="18"/>
                          <w:szCs w:val="18"/>
                        </w:rPr>
                        <w:t>Appendix 9</w:t>
                      </w:r>
                      <w:r w:rsidR="006F209F">
                        <w:rPr>
                          <w:rFonts w:ascii="Arial" w:hAnsi="Arial"/>
                          <w:sz w:val="18"/>
                          <w:szCs w:val="18"/>
                        </w:rPr>
                        <w:tab/>
                        <w:t>low-income thresholds (‘poverty lines’) for selected HH types</w:t>
                      </w:r>
                    </w:p>
                    <w:p w14:paraId="305B2295" w14:textId="7D7681E7" w:rsidR="00610324" w:rsidRPr="00184E9C" w:rsidRDefault="00610324">
                      <w:pPr>
                        <w:pStyle w:val="ListParagraph"/>
                        <w:numPr>
                          <w:ilvl w:val="0"/>
                          <w:numId w:val="101"/>
                        </w:numPr>
                        <w:tabs>
                          <w:tab w:val="left" w:pos="1701"/>
                        </w:tabs>
                        <w:spacing w:after="0" w:line="240" w:lineRule="auto"/>
                        <w:ind w:left="426" w:hanging="219"/>
                        <w:rPr>
                          <w:rFonts w:ascii="Arial" w:hAnsi="Arial"/>
                          <w:sz w:val="18"/>
                          <w:szCs w:val="18"/>
                        </w:rPr>
                      </w:pPr>
                      <w:r w:rsidRPr="00184E9C">
                        <w:rPr>
                          <w:rFonts w:ascii="Arial" w:hAnsi="Arial"/>
                          <w:sz w:val="18"/>
                          <w:szCs w:val="18"/>
                        </w:rPr>
                        <w:t>Appendix 10</w:t>
                      </w:r>
                      <w:r w:rsidR="006F209F">
                        <w:rPr>
                          <w:rFonts w:ascii="Arial" w:hAnsi="Arial"/>
                          <w:sz w:val="18"/>
                          <w:szCs w:val="18"/>
                        </w:rPr>
                        <w:tab/>
                      </w:r>
                      <w:r w:rsidR="00EE2116">
                        <w:rPr>
                          <w:rFonts w:ascii="Arial" w:hAnsi="Arial"/>
                          <w:sz w:val="18"/>
                          <w:szCs w:val="18"/>
                        </w:rPr>
                        <w:t>decile boundaries and means using $2025, 1982 to 2025</w:t>
                      </w:r>
                    </w:p>
                  </w:txbxContent>
                </v:textbox>
              </v:shape>
            </w:pict>
          </mc:Fallback>
        </mc:AlternateContent>
      </w:r>
      <w:r w:rsidR="007461C7">
        <w:rPr>
          <w:rFonts w:ascii="Arial" w:hAnsi="Arial"/>
          <w:b/>
          <w:bCs/>
          <w:sz w:val="28"/>
          <w:szCs w:val="28"/>
        </w:rPr>
        <w:br w:type="page"/>
      </w:r>
    </w:p>
    <w:p w14:paraId="6BB8F863" w14:textId="76421CAC" w:rsidR="00EC3BA3" w:rsidRPr="00EC3BA3" w:rsidRDefault="00EC3BA3" w:rsidP="006661B5">
      <w:pPr>
        <w:spacing w:after="0" w:line="240" w:lineRule="auto"/>
        <w:rPr>
          <w:rFonts w:ascii="Arial" w:hAnsi="Arial"/>
          <w:b/>
          <w:bCs/>
          <w:color w:val="000000"/>
          <w:sz w:val="22"/>
        </w:rPr>
      </w:pPr>
      <w:r w:rsidRPr="00EC3BA3">
        <w:rPr>
          <w:rFonts w:ascii="Arial" w:hAnsi="Arial"/>
          <w:b/>
          <w:bCs/>
          <w:color w:val="000000"/>
          <w:sz w:val="22"/>
        </w:rPr>
        <w:lastRenderedPageBreak/>
        <w:t xml:space="preserve">Factors impacting on trends </w:t>
      </w:r>
      <w:r w:rsidR="00CF2E3D">
        <w:rPr>
          <w:rFonts w:ascii="Arial" w:hAnsi="Arial"/>
          <w:b/>
          <w:bCs/>
          <w:color w:val="000000"/>
          <w:sz w:val="22"/>
        </w:rPr>
        <w:t>in</w:t>
      </w:r>
      <w:r w:rsidRPr="00EC3BA3">
        <w:rPr>
          <w:rFonts w:ascii="Arial" w:hAnsi="Arial"/>
          <w:b/>
          <w:bCs/>
          <w:color w:val="000000"/>
          <w:sz w:val="22"/>
        </w:rPr>
        <w:t xml:space="preserve"> household incomes</w:t>
      </w:r>
    </w:p>
    <w:p w14:paraId="3DA08379" w14:textId="77777777" w:rsidR="00EC3BA3" w:rsidRDefault="00EC3BA3" w:rsidP="006661B5">
      <w:pPr>
        <w:spacing w:after="0" w:line="240" w:lineRule="auto"/>
        <w:rPr>
          <w:rFonts w:ascii="Arial" w:hAnsi="Arial"/>
          <w:color w:val="000000"/>
          <w:szCs w:val="20"/>
        </w:rPr>
      </w:pPr>
    </w:p>
    <w:p w14:paraId="6C8D2230" w14:textId="6F137FC4" w:rsidR="009A5A9A" w:rsidRPr="009A5A9A" w:rsidRDefault="005D6003" w:rsidP="009A5A9A">
      <w:pPr>
        <w:spacing w:after="0" w:line="240" w:lineRule="auto"/>
        <w:rPr>
          <w:rFonts w:ascii="Arial" w:hAnsi="Arial"/>
          <w:color w:val="000000"/>
          <w:szCs w:val="20"/>
        </w:rPr>
      </w:pPr>
      <w:r>
        <w:rPr>
          <w:rFonts w:ascii="Arial" w:hAnsi="Arial"/>
          <w:color w:val="000000"/>
          <w:szCs w:val="20"/>
        </w:rPr>
        <w:t xml:space="preserve">There are many factors that impact on the trends </w:t>
      </w:r>
      <w:r w:rsidR="004A52EB">
        <w:rPr>
          <w:rFonts w:ascii="Arial" w:hAnsi="Arial"/>
          <w:color w:val="000000"/>
          <w:szCs w:val="20"/>
        </w:rPr>
        <w:t>for</w:t>
      </w:r>
      <w:r>
        <w:rPr>
          <w:rFonts w:ascii="Arial" w:hAnsi="Arial"/>
          <w:color w:val="000000"/>
          <w:szCs w:val="20"/>
        </w:rPr>
        <w:t xml:space="preserve"> real </w:t>
      </w:r>
      <w:r w:rsidR="00CB3452">
        <w:rPr>
          <w:rFonts w:ascii="Arial" w:hAnsi="Arial"/>
          <w:color w:val="000000"/>
          <w:szCs w:val="20"/>
        </w:rPr>
        <w:t xml:space="preserve">household </w:t>
      </w:r>
      <w:r>
        <w:rPr>
          <w:rFonts w:ascii="Arial" w:hAnsi="Arial"/>
          <w:color w:val="000000"/>
          <w:szCs w:val="20"/>
        </w:rPr>
        <w:t>incomes</w:t>
      </w:r>
      <w:r w:rsidR="00DB059D">
        <w:rPr>
          <w:rFonts w:ascii="Arial" w:hAnsi="Arial"/>
          <w:color w:val="000000"/>
          <w:szCs w:val="20"/>
        </w:rPr>
        <w:t xml:space="preserve"> for households with children.</w:t>
      </w:r>
      <w:r>
        <w:rPr>
          <w:rFonts w:ascii="Arial" w:hAnsi="Arial"/>
          <w:color w:val="000000"/>
          <w:szCs w:val="20"/>
        </w:rPr>
        <w:t xml:space="preserve"> </w:t>
      </w:r>
      <w:r w:rsidR="00F13BAF">
        <w:rPr>
          <w:rFonts w:ascii="Arial" w:hAnsi="Arial"/>
          <w:color w:val="000000"/>
          <w:szCs w:val="20"/>
        </w:rPr>
        <w:t xml:space="preserve">A full explanation of what </w:t>
      </w:r>
      <w:r w:rsidR="00F238A7">
        <w:rPr>
          <w:rFonts w:ascii="Arial" w:hAnsi="Arial"/>
          <w:color w:val="000000"/>
          <w:szCs w:val="20"/>
        </w:rPr>
        <w:t>has driven</w:t>
      </w:r>
      <w:r w:rsidR="00F13BAF">
        <w:rPr>
          <w:rFonts w:ascii="Arial" w:hAnsi="Arial"/>
          <w:color w:val="000000"/>
          <w:szCs w:val="20"/>
        </w:rPr>
        <w:t xml:space="preserve"> the </w:t>
      </w:r>
      <w:r w:rsidR="00DB059D">
        <w:rPr>
          <w:rFonts w:ascii="Arial" w:hAnsi="Arial"/>
          <w:color w:val="000000"/>
          <w:szCs w:val="20"/>
        </w:rPr>
        <w:t xml:space="preserve">steady rise then the </w:t>
      </w:r>
      <w:r w:rsidR="004A52EB">
        <w:rPr>
          <w:rFonts w:ascii="Arial" w:hAnsi="Arial"/>
          <w:color w:val="000000"/>
          <w:szCs w:val="20"/>
        </w:rPr>
        <w:t xml:space="preserve">recent </w:t>
      </w:r>
      <w:r w:rsidR="00F13BAF">
        <w:rPr>
          <w:rFonts w:ascii="Arial" w:hAnsi="Arial"/>
          <w:color w:val="000000"/>
          <w:szCs w:val="20"/>
        </w:rPr>
        <w:t>plateauing of household incomes in real terms is beyond the scope of this report</w:t>
      </w:r>
      <w:r>
        <w:rPr>
          <w:rFonts w:ascii="Arial" w:hAnsi="Arial"/>
          <w:color w:val="000000"/>
          <w:szCs w:val="20"/>
        </w:rPr>
        <w:t>, but the following</w:t>
      </w:r>
      <w:r w:rsidR="00F13BAF">
        <w:rPr>
          <w:rFonts w:ascii="Arial" w:hAnsi="Arial"/>
          <w:color w:val="000000"/>
          <w:szCs w:val="20"/>
        </w:rPr>
        <w:t xml:space="preserve"> factors </w:t>
      </w:r>
      <w:r>
        <w:rPr>
          <w:rFonts w:ascii="Arial" w:hAnsi="Arial"/>
          <w:color w:val="000000"/>
          <w:szCs w:val="20"/>
        </w:rPr>
        <w:t>would be</w:t>
      </w:r>
      <w:r w:rsidR="00F13BAF">
        <w:rPr>
          <w:rFonts w:ascii="Arial" w:hAnsi="Arial"/>
          <w:color w:val="000000"/>
          <w:szCs w:val="20"/>
        </w:rPr>
        <w:t xml:space="preserve"> </w:t>
      </w:r>
      <w:r>
        <w:rPr>
          <w:rFonts w:ascii="Arial" w:hAnsi="Arial"/>
          <w:color w:val="000000"/>
          <w:szCs w:val="20"/>
        </w:rPr>
        <w:t>part of any full answer</w:t>
      </w:r>
      <w:r w:rsidR="009A5A9A">
        <w:rPr>
          <w:rFonts w:ascii="Arial" w:hAnsi="Arial"/>
          <w:color w:val="000000"/>
          <w:szCs w:val="20"/>
        </w:rPr>
        <w:t xml:space="preserve"> and their trends are reported on here:</w:t>
      </w:r>
    </w:p>
    <w:p w14:paraId="2D98CE1C" w14:textId="7630C0A0" w:rsidR="009A5A9A" w:rsidRDefault="00DB059D">
      <w:pPr>
        <w:pStyle w:val="ListParagraph"/>
        <w:numPr>
          <w:ilvl w:val="0"/>
          <w:numId w:val="83"/>
        </w:numPr>
        <w:spacing w:before="120" w:after="0" w:line="240" w:lineRule="auto"/>
        <w:ind w:left="714" w:hanging="357"/>
        <w:contextualSpacing w:val="0"/>
        <w:rPr>
          <w:rFonts w:ascii="Arial" w:hAnsi="Arial"/>
          <w:color w:val="000000"/>
          <w:szCs w:val="20"/>
        </w:rPr>
      </w:pPr>
      <w:r>
        <w:rPr>
          <w:rFonts w:ascii="Arial" w:hAnsi="Arial"/>
          <w:color w:val="000000"/>
          <w:szCs w:val="20"/>
        </w:rPr>
        <w:t>minimum and median hourly wage rates (real CPI ad</w:t>
      </w:r>
      <w:r w:rsidR="00CF2E3D">
        <w:rPr>
          <w:rFonts w:ascii="Arial" w:hAnsi="Arial"/>
          <w:color w:val="000000"/>
          <w:szCs w:val="20"/>
        </w:rPr>
        <w:t>justed)</w:t>
      </w:r>
    </w:p>
    <w:p w14:paraId="1F87A06F" w14:textId="72FBF60F" w:rsidR="00170011" w:rsidRDefault="00170011">
      <w:pPr>
        <w:pStyle w:val="ListParagraph"/>
        <w:numPr>
          <w:ilvl w:val="0"/>
          <w:numId w:val="83"/>
        </w:numPr>
        <w:spacing w:before="120" w:after="0" w:line="240" w:lineRule="auto"/>
        <w:ind w:left="714" w:hanging="357"/>
        <w:contextualSpacing w:val="0"/>
        <w:rPr>
          <w:rFonts w:ascii="Arial" w:hAnsi="Arial"/>
          <w:color w:val="000000"/>
          <w:szCs w:val="20"/>
        </w:rPr>
      </w:pPr>
      <w:r>
        <w:rPr>
          <w:rFonts w:ascii="Arial" w:hAnsi="Arial"/>
          <w:color w:val="000000"/>
          <w:szCs w:val="20"/>
        </w:rPr>
        <w:t>proportion of two-parent households that are dual-earner</w:t>
      </w:r>
    </w:p>
    <w:p w14:paraId="4CDB59B8" w14:textId="2B69EA1D" w:rsidR="00B2635D" w:rsidRDefault="00B72414">
      <w:pPr>
        <w:pStyle w:val="ListParagraph"/>
        <w:numPr>
          <w:ilvl w:val="0"/>
          <w:numId w:val="83"/>
        </w:numPr>
        <w:spacing w:before="120" w:after="0" w:line="240" w:lineRule="auto"/>
        <w:ind w:left="714" w:hanging="357"/>
        <w:contextualSpacing w:val="0"/>
        <w:rPr>
          <w:rFonts w:ascii="Arial" w:hAnsi="Arial"/>
          <w:color w:val="000000"/>
          <w:szCs w:val="20"/>
        </w:rPr>
      </w:pPr>
      <w:r>
        <w:rPr>
          <w:rFonts w:ascii="Arial" w:hAnsi="Arial"/>
          <w:color w:val="000000"/>
          <w:szCs w:val="20"/>
        </w:rPr>
        <w:t xml:space="preserve">total number of hours </w:t>
      </w:r>
      <w:r w:rsidR="00B2635D">
        <w:rPr>
          <w:rFonts w:ascii="Arial" w:hAnsi="Arial"/>
          <w:color w:val="000000"/>
          <w:szCs w:val="20"/>
        </w:rPr>
        <w:t>worked by earners in the household</w:t>
      </w:r>
    </w:p>
    <w:p w14:paraId="37CA882D" w14:textId="40CE7E98" w:rsidR="009A5A9A" w:rsidRDefault="00DB059D">
      <w:pPr>
        <w:pStyle w:val="ListParagraph"/>
        <w:numPr>
          <w:ilvl w:val="0"/>
          <w:numId w:val="83"/>
        </w:numPr>
        <w:spacing w:before="120" w:after="0" w:line="240" w:lineRule="auto"/>
        <w:ind w:left="714" w:hanging="357"/>
        <w:contextualSpacing w:val="0"/>
        <w:rPr>
          <w:rFonts w:ascii="Arial" w:hAnsi="Arial"/>
          <w:color w:val="000000"/>
          <w:szCs w:val="20"/>
        </w:rPr>
      </w:pPr>
      <w:r>
        <w:rPr>
          <w:rFonts w:ascii="Arial" w:hAnsi="Arial"/>
          <w:color w:val="000000"/>
          <w:szCs w:val="20"/>
        </w:rPr>
        <w:t xml:space="preserve">incomes from core benefit plus Family Tax Credit </w:t>
      </w:r>
      <w:r w:rsidR="00CF2E3D">
        <w:rPr>
          <w:rFonts w:ascii="Arial" w:hAnsi="Arial"/>
          <w:color w:val="000000"/>
          <w:szCs w:val="20"/>
        </w:rPr>
        <w:t>(real CPI adjusted)</w:t>
      </w:r>
    </w:p>
    <w:p w14:paraId="79977AA1" w14:textId="0D9C76EE" w:rsidR="009A5A9A" w:rsidRDefault="00CF2E3D">
      <w:pPr>
        <w:pStyle w:val="ListParagraph"/>
        <w:numPr>
          <w:ilvl w:val="0"/>
          <w:numId w:val="83"/>
        </w:numPr>
        <w:spacing w:before="120" w:after="0" w:line="240" w:lineRule="auto"/>
        <w:ind w:left="714" w:hanging="357"/>
        <w:contextualSpacing w:val="0"/>
        <w:rPr>
          <w:rFonts w:ascii="Arial" w:hAnsi="Arial"/>
          <w:color w:val="000000"/>
          <w:szCs w:val="20"/>
        </w:rPr>
      </w:pPr>
      <w:r>
        <w:rPr>
          <w:rFonts w:ascii="Arial" w:hAnsi="Arial"/>
          <w:color w:val="000000"/>
          <w:szCs w:val="20"/>
        </w:rPr>
        <w:t xml:space="preserve">BHC and </w:t>
      </w:r>
      <w:r w:rsidR="00DB059D">
        <w:rPr>
          <w:rFonts w:ascii="Arial" w:hAnsi="Arial"/>
          <w:color w:val="000000"/>
          <w:szCs w:val="20"/>
        </w:rPr>
        <w:t>AHC incomes</w:t>
      </w:r>
      <w:r>
        <w:rPr>
          <w:rFonts w:ascii="Arial" w:hAnsi="Arial"/>
          <w:color w:val="000000"/>
          <w:szCs w:val="20"/>
        </w:rPr>
        <w:t xml:space="preserve"> from all sources</w:t>
      </w:r>
      <w:r w:rsidR="00DB059D">
        <w:rPr>
          <w:rFonts w:ascii="Arial" w:hAnsi="Arial"/>
          <w:color w:val="000000"/>
          <w:szCs w:val="20"/>
        </w:rPr>
        <w:t xml:space="preserve"> for beneficiary families </w:t>
      </w:r>
      <w:r>
        <w:rPr>
          <w:rFonts w:ascii="Arial" w:hAnsi="Arial"/>
          <w:color w:val="000000"/>
          <w:szCs w:val="20"/>
        </w:rPr>
        <w:t>(real CPI adjusted)</w:t>
      </w:r>
    </w:p>
    <w:p w14:paraId="0B5C8087" w14:textId="6BD8B09A" w:rsidR="00CF2E3D" w:rsidRDefault="00CF2E3D">
      <w:pPr>
        <w:pStyle w:val="ListParagraph"/>
        <w:numPr>
          <w:ilvl w:val="0"/>
          <w:numId w:val="83"/>
        </w:numPr>
        <w:spacing w:before="120" w:after="0" w:line="240" w:lineRule="auto"/>
        <w:ind w:left="714" w:hanging="357"/>
        <w:contextualSpacing w:val="0"/>
        <w:rPr>
          <w:rFonts w:ascii="Arial" w:hAnsi="Arial"/>
          <w:color w:val="000000"/>
          <w:szCs w:val="20"/>
        </w:rPr>
      </w:pPr>
      <w:r>
        <w:rPr>
          <w:rFonts w:ascii="Arial" w:hAnsi="Arial"/>
          <w:color w:val="000000"/>
          <w:szCs w:val="20"/>
        </w:rPr>
        <w:t>housing costs (rent, rates, dwelling insurance, mortgage repayments) as a proportion of household income</w:t>
      </w:r>
      <w:r w:rsidR="00170011">
        <w:rPr>
          <w:rFonts w:ascii="Arial" w:hAnsi="Arial"/>
          <w:color w:val="000000"/>
          <w:szCs w:val="20"/>
        </w:rPr>
        <w:t>.</w:t>
      </w:r>
    </w:p>
    <w:p w14:paraId="5FB10AB1" w14:textId="77777777" w:rsidR="009A5A9A" w:rsidRDefault="009A5A9A" w:rsidP="006661B5">
      <w:pPr>
        <w:spacing w:after="0" w:line="240" w:lineRule="auto"/>
        <w:rPr>
          <w:rFonts w:ascii="Arial" w:hAnsi="Arial"/>
          <w:color w:val="000000"/>
          <w:szCs w:val="20"/>
        </w:rPr>
      </w:pPr>
    </w:p>
    <w:p w14:paraId="22CBC79C" w14:textId="77777777" w:rsidR="00F238A7" w:rsidRDefault="00F238A7" w:rsidP="006661B5">
      <w:pPr>
        <w:spacing w:after="0" w:line="240" w:lineRule="auto"/>
        <w:rPr>
          <w:rFonts w:ascii="Arial" w:hAnsi="Arial"/>
          <w:color w:val="000000"/>
          <w:szCs w:val="20"/>
        </w:rPr>
      </w:pPr>
    </w:p>
    <w:p w14:paraId="7CD79F1E" w14:textId="5C33DD11" w:rsidR="00F13BAF" w:rsidRDefault="004A52EB" w:rsidP="006661B5">
      <w:pPr>
        <w:spacing w:after="0" w:line="240" w:lineRule="auto"/>
        <w:rPr>
          <w:rFonts w:ascii="Arial" w:hAnsi="Arial"/>
          <w:b/>
          <w:bCs/>
          <w:i/>
          <w:iCs/>
          <w:color w:val="000000"/>
          <w:szCs w:val="20"/>
        </w:rPr>
      </w:pPr>
      <w:r w:rsidRPr="004A52EB">
        <w:rPr>
          <w:rFonts w:ascii="Arial" w:hAnsi="Arial"/>
          <w:b/>
          <w:bCs/>
          <w:i/>
          <w:iCs/>
          <w:color w:val="000000"/>
          <w:szCs w:val="20"/>
        </w:rPr>
        <w:t>The</w:t>
      </w:r>
      <w:r w:rsidR="00F238A7" w:rsidRPr="004A52EB">
        <w:rPr>
          <w:rFonts w:ascii="Arial" w:hAnsi="Arial"/>
          <w:b/>
          <w:bCs/>
          <w:i/>
          <w:iCs/>
          <w:color w:val="000000"/>
          <w:szCs w:val="20"/>
        </w:rPr>
        <w:t xml:space="preserve"> </w:t>
      </w:r>
      <w:r w:rsidR="00286C6A">
        <w:rPr>
          <w:rFonts w:ascii="Arial" w:hAnsi="Arial"/>
          <w:b/>
          <w:bCs/>
          <w:i/>
          <w:iCs/>
          <w:color w:val="000000"/>
          <w:szCs w:val="20"/>
        </w:rPr>
        <w:t xml:space="preserve">trends in the </w:t>
      </w:r>
      <w:r w:rsidR="00F238A7" w:rsidRPr="004A52EB">
        <w:rPr>
          <w:rFonts w:ascii="Arial" w:hAnsi="Arial"/>
          <w:b/>
          <w:bCs/>
          <w:i/>
          <w:iCs/>
          <w:color w:val="000000"/>
          <w:szCs w:val="20"/>
        </w:rPr>
        <w:t xml:space="preserve">real value of </w:t>
      </w:r>
      <w:r w:rsidR="00286C6A">
        <w:rPr>
          <w:rFonts w:ascii="Arial" w:hAnsi="Arial"/>
          <w:b/>
          <w:bCs/>
          <w:i/>
          <w:iCs/>
          <w:color w:val="000000"/>
          <w:szCs w:val="20"/>
        </w:rPr>
        <w:t xml:space="preserve">both </w:t>
      </w:r>
      <w:r w:rsidR="00F238A7" w:rsidRPr="004A52EB">
        <w:rPr>
          <w:rFonts w:ascii="Arial" w:hAnsi="Arial"/>
          <w:b/>
          <w:bCs/>
          <w:i/>
          <w:iCs/>
          <w:color w:val="000000"/>
          <w:szCs w:val="20"/>
        </w:rPr>
        <w:t>the min</w:t>
      </w:r>
      <w:r w:rsidR="007C786F" w:rsidRPr="004A52EB">
        <w:rPr>
          <w:rFonts w:ascii="Arial" w:hAnsi="Arial"/>
          <w:b/>
          <w:bCs/>
          <w:i/>
          <w:iCs/>
          <w:color w:val="000000"/>
          <w:szCs w:val="20"/>
        </w:rPr>
        <w:t>im</w:t>
      </w:r>
      <w:r w:rsidR="00F238A7" w:rsidRPr="004A52EB">
        <w:rPr>
          <w:rFonts w:ascii="Arial" w:hAnsi="Arial"/>
          <w:b/>
          <w:bCs/>
          <w:i/>
          <w:iCs/>
          <w:color w:val="000000"/>
          <w:szCs w:val="20"/>
        </w:rPr>
        <w:t xml:space="preserve">um hourly wage </w:t>
      </w:r>
      <w:r w:rsidR="00286C6A">
        <w:rPr>
          <w:rFonts w:ascii="Arial" w:hAnsi="Arial"/>
          <w:b/>
          <w:bCs/>
          <w:i/>
          <w:iCs/>
          <w:color w:val="000000"/>
          <w:szCs w:val="20"/>
        </w:rPr>
        <w:t xml:space="preserve">and the median hourly wage </w:t>
      </w:r>
      <w:r w:rsidR="00F238A7" w:rsidRPr="004A52EB">
        <w:rPr>
          <w:rFonts w:ascii="Arial" w:hAnsi="Arial"/>
          <w:b/>
          <w:bCs/>
          <w:i/>
          <w:iCs/>
          <w:color w:val="000000"/>
          <w:szCs w:val="20"/>
        </w:rPr>
        <w:t>ha</w:t>
      </w:r>
      <w:r w:rsidR="00286C6A">
        <w:rPr>
          <w:rFonts w:ascii="Arial" w:hAnsi="Arial"/>
          <w:b/>
          <w:bCs/>
          <w:i/>
          <w:iCs/>
          <w:color w:val="000000"/>
          <w:szCs w:val="20"/>
        </w:rPr>
        <w:t>ve</w:t>
      </w:r>
      <w:r w:rsidR="00F238A7" w:rsidRPr="004A52EB">
        <w:rPr>
          <w:rFonts w:ascii="Arial" w:hAnsi="Arial"/>
          <w:b/>
          <w:bCs/>
          <w:i/>
          <w:iCs/>
          <w:color w:val="000000"/>
          <w:szCs w:val="20"/>
        </w:rPr>
        <w:t xml:space="preserve"> </w:t>
      </w:r>
      <w:r w:rsidR="007C786F" w:rsidRPr="004A52EB">
        <w:rPr>
          <w:rFonts w:ascii="Arial" w:hAnsi="Arial"/>
          <w:b/>
          <w:bCs/>
          <w:i/>
          <w:iCs/>
          <w:color w:val="000000"/>
          <w:szCs w:val="20"/>
        </w:rPr>
        <w:t xml:space="preserve">flattened in the last 4-5 years </w:t>
      </w:r>
    </w:p>
    <w:p w14:paraId="1DE18F77" w14:textId="77777777" w:rsidR="008A7AAC" w:rsidRDefault="008A7AAC" w:rsidP="006661B5">
      <w:pPr>
        <w:spacing w:after="0" w:line="240" w:lineRule="auto"/>
        <w:rPr>
          <w:rFonts w:ascii="Arial" w:hAnsi="Arial"/>
          <w:b/>
          <w:bCs/>
          <w:i/>
          <w:iCs/>
          <w:color w:val="000000"/>
          <w:szCs w:val="20"/>
        </w:rPr>
      </w:pPr>
    </w:p>
    <w:p w14:paraId="2BB3F993" w14:textId="45977D0F" w:rsidR="008A7AAC" w:rsidRPr="008A7AAC" w:rsidRDefault="008A7AAC" w:rsidP="006661B5">
      <w:pPr>
        <w:spacing w:after="0" w:line="240" w:lineRule="auto"/>
        <w:rPr>
          <w:rFonts w:ascii="Arial" w:hAnsi="Arial"/>
          <w:color w:val="000000"/>
          <w:szCs w:val="20"/>
        </w:rPr>
      </w:pPr>
      <w:r w:rsidRPr="008A7AAC">
        <w:rPr>
          <w:rFonts w:ascii="Arial" w:hAnsi="Arial"/>
          <w:b/>
          <w:bCs/>
          <w:color w:val="000000"/>
          <w:szCs w:val="20"/>
        </w:rPr>
        <w:t xml:space="preserve">Figure </w:t>
      </w:r>
      <w:r w:rsidR="001E1422">
        <w:rPr>
          <w:rFonts w:ascii="Arial" w:hAnsi="Arial"/>
          <w:b/>
          <w:bCs/>
          <w:color w:val="000000"/>
          <w:szCs w:val="20"/>
        </w:rPr>
        <w:t>G</w:t>
      </w:r>
      <w:r w:rsidRPr="008A7AAC">
        <w:rPr>
          <w:rFonts w:ascii="Arial" w:hAnsi="Arial"/>
          <w:b/>
          <w:bCs/>
          <w:color w:val="000000"/>
          <w:szCs w:val="20"/>
        </w:rPr>
        <w:t>.5</w:t>
      </w:r>
      <w:r>
        <w:rPr>
          <w:rFonts w:ascii="Arial" w:hAnsi="Arial"/>
          <w:color w:val="000000"/>
          <w:szCs w:val="20"/>
        </w:rPr>
        <w:t xml:space="preserve"> shows the recent flattening of the trends for both the minimum and median gross hourly </w:t>
      </w:r>
      <w:r w:rsidR="008378B6">
        <w:rPr>
          <w:rFonts w:ascii="Arial" w:hAnsi="Arial"/>
          <w:color w:val="000000"/>
          <w:szCs w:val="20"/>
        </w:rPr>
        <w:t xml:space="preserve">real </w:t>
      </w:r>
      <w:r>
        <w:rPr>
          <w:rFonts w:ascii="Arial" w:hAnsi="Arial"/>
          <w:color w:val="000000"/>
          <w:szCs w:val="20"/>
        </w:rPr>
        <w:t>wage rates.</w:t>
      </w:r>
    </w:p>
    <w:p w14:paraId="4B79F4D0" w14:textId="77777777" w:rsidR="00286C6A" w:rsidRDefault="00286C6A" w:rsidP="006661B5">
      <w:pPr>
        <w:spacing w:after="0" w:line="240" w:lineRule="auto"/>
        <w:rPr>
          <w:rFonts w:ascii="Arial" w:hAnsi="Arial"/>
          <w:color w:val="000000"/>
          <w:szCs w:val="20"/>
        </w:rPr>
      </w:pPr>
    </w:p>
    <w:p w14:paraId="77004BEA" w14:textId="2A35D119" w:rsidR="00F13BAF" w:rsidRPr="00F34F79" w:rsidRDefault="00F13BAF" w:rsidP="00F13BAF">
      <w:pPr>
        <w:spacing w:after="0" w:line="240" w:lineRule="auto"/>
        <w:jc w:val="center"/>
        <w:rPr>
          <w:rFonts w:ascii="Arial" w:hAnsi="Arial"/>
          <w:b/>
          <w:bCs/>
          <w:color w:val="FF0000"/>
          <w:sz w:val="18"/>
          <w:szCs w:val="18"/>
        </w:rPr>
      </w:pPr>
      <w:r w:rsidRPr="00BE722D">
        <w:rPr>
          <w:rFonts w:ascii="Arial" w:hAnsi="Arial"/>
          <w:b/>
          <w:bCs/>
          <w:sz w:val="18"/>
          <w:szCs w:val="18"/>
        </w:rPr>
        <w:t xml:space="preserve">Figure </w:t>
      </w:r>
      <w:r w:rsidR="001E1422">
        <w:rPr>
          <w:rFonts w:ascii="Arial" w:hAnsi="Arial"/>
          <w:b/>
          <w:bCs/>
          <w:sz w:val="18"/>
          <w:szCs w:val="18"/>
        </w:rPr>
        <w:t>G</w:t>
      </w:r>
      <w:r w:rsidR="007C786F">
        <w:rPr>
          <w:rFonts w:ascii="Arial" w:hAnsi="Arial"/>
          <w:b/>
          <w:bCs/>
          <w:sz w:val="18"/>
          <w:szCs w:val="18"/>
        </w:rPr>
        <w:t>.5</w:t>
      </w:r>
    </w:p>
    <w:p w14:paraId="616D4053" w14:textId="3B4FADD5" w:rsidR="00F13BAF" w:rsidRPr="00BE722D" w:rsidRDefault="008378B6" w:rsidP="00F13BAF">
      <w:pPr>
        <w:spacing w:after="0" w:line="240" w:lineRule="auto"/>
        <w:jc w:val="center"/>
        <w:rPr>
          <w:rFonts w:ascii="Arial" w:hAnsi="Arial"/>
          <w:b/>
          <w:bCs/>
          <w:sz w:val="18"/>
          <w:szCs w:val="18"/>
        </w:rPr>
      </w:pPr>
      <w:r w:rsidRPr="008378B6">
        <w:rPr>
          <w:noProof/>
        </w:rPr>
        <w:drawing>
          <wp:anchor distT="0" distB="0" distL="114300" distR="114300" simplePos="0" relativeHeight="253025280" behindDoc="0" locked="0" layoutInCell="1" allowOverlap="1" wp14:anchorId="16AF2FC3" wp14:editId="0D001ED9">
            <wp:simplePos x="0" y="0"/>
            <wp:positionH relativeFrom="margin">
              <wp:posOffset>2940050</wp:posOffset>
            </wp:positionH>
            <wp:positionV relativeFrom="paragraph">
              <wp:posOffset>261620</wp:posOffset>
            </wp:positionV>
            <wp:extent cx="2943860" cy="1924050"/>
            <wp:effectExtent l="0" t="0" r="8890" b="0"/>
            <wp:wrapTopAndBottom/>
            <wp:docPr id="1970006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06078"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43860" cy="1924050"/>
                    </a:xfrm>
                    <a:prstGeom prst="rect">
                      <a:avLst/>
                    </a:prstGeom>
                  </pic:spPr>
                </pic:pic>
              </a:graphicData>
            </a:graphic>
            <wp14:sizeRelH relativeFrom="page">
              <wp14:pctWidth>0</wp14:pctWidth>
            </wp14:sizeRelH>
            <wp14:sizeRelV relativeFrom="page">
              <wp14:pctHeight>0</wp14:pctHeight>
            </wp14:sizeRelV>
          </wp:anchor>
        </w:drawing>
      </w:r>
      <w:r w:rsidRPr="008378B6">
        <w:rPr>
          <w:noProof/>
        </w:rPr>
        <w:drawing>
          <wp:anchor distT="0" distB="0" distL="114300" distR="114300" simplePos="0" relativeHeight="253024256" behindDoc="0" locked="0" layoutInCell="1" allowOverlap="1" wp14:anchorId="7BB68FB3" wp14:editId="5D9A8C2A">
            <wp:simplePos x="0" y="0"/>
            <wp:positionH relativeFrom="margin">
              <wp:posOffset>-139700</wp:posOffset>
            </wp:positionH>
            <wp:positionV relativeFrom="paragraph">
              <wp:posOffset>217170</wp:posOffset>
            </wp:positionV>
            <wp:extent cx="3039110" cy="1985645"/>
            <wp:effectExtent l="0" t="0" r="8890" b="0"/>
            <wp:wrapTopAndBottom/>
            <wp:docPr id="2132838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38629"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039110" cy="1985645"/>
                    </a:xfrm>
                    <a:prstGeom prst="rect">
                      <a:avLst/>
                    </a:prstGeom>
                  </pic:spPr>
                </pic:pic>
              </a:graphicData>
            </a:graphic>
            <wp14:sizeRelH relativeFrom="page">
              <wp14:pctWidth>0</wp14:pctWidth>
            </wp14:sizeRelH>
            <wp14:sizeRelV relativeFrom="page">
              <wp14:pctHeight>0</wp14:pctHeight>
            </wp14:sizeRelV>
          </wp:anchor>
        </w:drawing>
      </w:r>
      <w:r w:rsidR="00F13BAF" w:rsidRPr="00BE722D">
        <w:rPr>
          <w:rFonts w:ascii="Arial" w:hAnsi="Arial"/>
          <w:b/>
          <w:bCs/>
          <w:sz w:val="18"/>
          <w:szCs w:val="18"/>
        </w:rPr>
        <w:t>Gross min</w:t>
      </w:r>
      <w:r w:rsidR="00F13BAF">
        <w:rPr>
          <w:rFonts w:ascii="Arial" w:hAnsi="Arial"/>
          <w:b/>
          <w:bCs/>
          <w:sz w:val="18"/>
          <w:szCs w:val="18"/>
        </w:rPr>
        <w:t>im</w:t>
      </w:r>
      <w:r w:rsidR="00F13BAF" w:rsidRPr="00BE722D">
        <w:rPr>
          <w:rFonts w:ascii="Arial" w:hAnsi="Arial"/>
          <w:b/>
          <w:bCs/>
          <w:sz w:val="18"/>
          <w:szCs w:val="18"/>
        </w:rPr>
        <w:t>um</w:t>
      </w:r>
      <w:r w:rsidR="00CF2E3D">
        <w:rPr>
          <w:rFonts w:ascii="Arial" w:hAnsi="Arial"/>
          <w:b/>
          <w:bCs/>
          <w:sz w:val="18"/>
          <w:szCs w:val="18"/>
        </w:rPr>
        <w:t xml:space="preserve"> and median hourly</w:t>
      </w:r>
      <w:r w:rsidR="00F13BAF">
        <w:rPr>
          <w:rFonts w:ascii="Arial" w:hAnsi="Arial"/>
          <w:b/>
          <w:bCs/>
          <w:sz w:val="18"/>
          <w:szCs w:val="18"/>
        </w:rPr>
        <w:t xml:space="preserve"> wage</w:t>
      </w:r>
      <w:r>
        <w:rPr>
          <w:rFonts w:ascii="Arial" w:hAnsi="Arial"/>
          <w:b/>
          <w:bCs/>
          <w:sz w:val="18"/>
          <w:szCs w:val="18"/>
        </w:rPr>
        <w:t xml:space="preserve"> rates</w:t>
      </w:r>
      <w:r w:rsidR="00F13BAF" w:rsidRPr="00BE722D">
        <w:rPr>
          <w:rFonts w:ascii="Arial" w:hAnsi="Arial"/>
          <w:b/>
          <w:bCs/>
          <w:sz w:val="18"/>
          <w:szCs w:val="18"/>
        </w:rPr>
        <w:t xml:space="preserve"> – nominal and real</w:t>
      </w:r>
    </w:p>
    <w:p w14:paraId="5DB27AC2" w14:textId="39F3B3AC" w:rsidR="00F13BAF" w:rsidRDefault="00F13BAF" w:rsidP="00F13BAF">
      <w:pPr>
        <w:spacing w:after="0" w:line="240" w:lineRule="auto"/>
        <w:jc w:val="both"/>
        <w:rPr>
          <w:rFonts w:ascii="Arial" w:hAnsi="Arial"/>
          <w:b/>
          <w:bCs/>
          <w:szCs w:val="20"/>
        </w:rPr>
      </w:pPr>
    </w:p>
    <w:p w14:paraId="7879C470" w14:textId="4CF31573" w:rsidR="000D0271" w:rsidRDefault="000D0271" w:rsidP="00EC3BA3">
      <w:pPr>
        <w:spacing w:after="0" w:line="240" w:lineRule="auto"/>
        <w:rPr>
          <w:rFonts w:ascii="Arial" w:eastAsia="Times New Roman" w:hAnsi="Arial" w:cs="Times New Roman"/>
          <w:b/>
          <w:color w:val="000000"/>
          <w:szCs w:val="20"/>
          <w:lang w:val="en-GB"/>
        </w:rPr>
      </w:pPr>
    </w:p>
    <w:p w14:paraId="3AA770F7" w14:textId="300D51CF" w:rsidR="008A7AAC" w:rsidRDefault="008A7AAC">
      <w:pPr>
        <w:spacing w:after="0" w:line="240" w:lineRule="auto"/>
        <w:rPr>
          <w:rFonts w:ascii="Arial" w:hAnsi="Arial"/>
          <w:b/>
          <w:bCs/>
          <w:i/>
          <w:iCs/>
          <w:color w:val="000000"/>
          <w:szCs w:val="20"/>
        </w:rPr>
      </w:pPr>
      <w:r>
        <w:rPr>
          <w:rFonts w:ascii="Arial" w:hAnsi="Arial"/>
          <w:b/>
          <w:bCs/>
          <w:i/>
          <w:iCs/>
          <w:color w:val="000000"/>
          <w:szCs w:val="20"/>
        </w:rPr>
        <w:br w:type="page"/>
      </w:r>
    </w:p>
    <w:p w14:paraId="56B81074" w14:textId="77777777" w:rsidR="00786A88" w:rsidRPr="002B718E" w:rsidRDefault="00786A88" w:rsidP="00786A88">
      <w:pPr>
        <w:spacing w:after="0" w:line="240" w:lineRule="auto"/>
        <w:jc w:val="both"/>
        <w:rPr>
          <w:rFonts w:ascii="Arial" w:eastAsia="Times New Roman" w:hAnsi="Arial" w:cs="Times New Roman"/>
          <w:b/>
          <w:color w:val="000000"/>
          <w:szCs w:val="20"/>
          <w:lang w:val="en-GB"/>
        </w:rPr>
      </w:pPr>
      <w:r w:rsidRPr="002B718E">
        <w:rPr>
          <w:rFonts w:ascii="Arial" w:eastAsia="Times New Roman" w:hAnsi="Arial" w:cs="Times New Roman"/>
          <w:b/>
          <w:color w:val="000000"/>
          <w:szCs w:val="20"/>
          <w:lang w:val="en-GB"/>
        </w:rPr>
        <w:lastRenderedPageBreak/>
        <w:t>Increasing proportion of dual-earner two-parent households</w:t>
      </w:r>
    </w:p>
    <w:p w14:paraId="6E5C14F8" w14:textId="77777777" w:rsidR="00786A88" w:rsidRPr="002C3EA2" w:rsidRDefault="00786A88" w:rsidP="00786A88">
      <w:pPr>
        <w:spacing w:after="0" w:line="240" w:lineRule="auto"/>
        <w:jc w:val="both"/>
        <w:rPr>
          <w:rFonts w:ascii="Arial" w:eastAsia="Times New Roman" w:hAnsi="Arial" w:cs="Times New Roman"/>
          <w:color w:val="000000"/>
          <w:szCs w:val="20"/>
          <w:u w:val="single"/>
          <w:lang w:val="en-GB"/>
        </w:rPr>
      </w:pPr>
    </w:p>
    <w:p w14:paraId="5D9D5E56" w14:textId="24F40B16" w:rsidR="00786A88" w:rsidRPr="002C3EA2" w:rsidRDefault="00786A88" w:rsidP="00786A88">
      <w:pPr>
        <w:spacing w:after="0" w:line="240" w:lineRule="auto"/>
        <w:jc w:val="both"/>
        <w:rPr>
          <w:rFonts w:ascii="Arial" w:eastAsia="Times New Roman" w:hAnsi="Arial" w:cs="Times New Roman"/>
          <w:color w:val="000000"/>
          <w:lang w:val="en-GB"/>
        </w:rPr>
      </w:pPr>
      <w:r w:rsidRPr="00345501">
        <w:rPr>
          <w:rFonts w:ascii="Arial" w:eastAsia="Times New Roman" w:hAnsi="Arial" w:cs="Times New Roman"/>
          <w:bCs/>
          <w:color w:val="000000"/>
          <w:lang w:val="en-GB"/>
        </w:rPr>
        <w:t>Around 70% of all children live in two-parent households. Median household income is strongly impacted by the incomes of these households.</w:t>
      </w:r>
      <w:r>
        <w:rPr>
          <w:rFonts w:ascii="Arial" w:eastAsia="Times New Roman" w:hAnsi="Arial" w:cs="Times New Roman"/>
          <w:b/>
          <w:color w:val="000000"/>
          <w:lang w:val="en-GB"/>
        </w:rPr>
        <w:t xml:space="preserve"> </w:t>
      </w:r>
      <w:r w:rsidRPr="002C3EA2">
        <w:rPr>
          <w:rFonts w:ascii="Arial" w:eastAsia="Times New Roman" w:hAnsi="Arial" w:cs="Times New Roman"/>
          <w:b/>
          <w:color w:val="000000"/>
          <w:lang w:val="en-GB"/>
        </w:rPr>
        <w:t>Figure</w:t>
      </w:r>
      <w:r>
        <w:rPr>
          <w:rFonts w:ascii="Arial" w:eastAsia="Times New Roman" w:hAnsi="Arial" w:cs="Times New Roman"/>
          <w:b/>
          <w:color w:val="000000"/>
          <w:lang w:val="en-GB"/>
        </w:rPr>
        <w:t xml:space="preserve"> </w:t>
      </w:r>
      <w:r w:rsidR="001E1422">
        <w:rPr>
          <w:rFonts w:ascii="Arial" w:eastAsia="Times New Roman" w:hAnsi="Arial" w:cs="Times New Roman"/>
          <w:b/>
          <w:color w:val="000000"/>
          <w:lang w:val="en-GB"/>
        </w:rPr>
        <w:t>G</w:t>
      </w:r>
      <w:r>
        <w:rPr>
          <w:rFonts w:ascii="Arial" w:eastAsia="Times New Roman" w:hAnsi="Arial" w:cs="Times New Roman"/>
          <w:b/>
          <w:color w:val="000000"/>
          <w:lang w:val="en-GB"/>
        </w:rPr>
        <w:t>.6</w:t>
      </w:r>
      <w:r w:rsidRPr="002C3EA2">
        <w:rPr>
          <w:rFonts w:ascii="Arial" w:eastAsia="Times New Roman" w:hAnsi="Arial" w:cs="Times New Roman"/>
          <w:color w:val="000000"/>
          <w:lang w:val="en-GB"/>
        </w:rPr>
        <w:t xml:space="preserve"> shows the </w:t>
      </w:r>
      <w:r>
        <w:rPr>
          <w:rFonts w:ascii="Arial" w:eastAsia="Times New Roman" w:hAnsi="Arial" w:cs="Times New Roman"/>
          <w:color w:val="000000"/>
          <w:lang w:val="en-GB"/>
        </w:rPr>
        <w:t xml:space="preserve">long-run </w:t>
      </w:r>
      <w:r w:rsidRPr="002C3EA2">
        <w:rPr>
          <w:rFonts w:ascii="Arial" w:eastAsia="Times New Roman" w:hAnsi="Arial" w:cs="Times New Roman"/>
          <w:color w:val="000000"/>
          <w:lang w:val="en-GB"/>
        </w:rPr>
        <w:t>trend to increasing work intensity among two-parent households with dependent children.</w:t>
      </w:r>
      <w:r>
        <w:rPr>
          <w:rStyle w:val="FootnoteReference"/>
          <w:rFonts w:ascii="Arial" w:eastAsia="Times New Roman" w:hAnsi="Arial" w:cs="Times New Roman"/>
          <w:color w:val="000000"/>
          <w:lang w:val="en-GB"/>
        </w:rPr>
        <w:footnoteReference w:id="77"/>
      </w:r>
      <w:r w:rsidRPr="002C3EA2">
        <w:rPr>
          <w:rFonts w:ascii="Arial" w:eastAsia="Times New Roman" w:hAnsi="Arial" w:cs="Times New Roman"/>
          <w:color w:val="000000"/>
          <w:lang w:val="en-GB"/>
        </w:rPr>
        <w:t xml:space="preserve"> </w:t>
      </w:r>
    </w:p>
    <w:p w14:paraId="7938E6F9" w14:textId="039EACA3" w:rsidR="00786A88" w:rsidRPr="002C3EA2" w:rsidRDefault="00786A88">
      <w:pPr>
        <w:numPr>
          <w:ilvl w:val="0"/>
          <w:numId w:val="27"/>
        </w:numPr>
        <w:spacing w:before="60" w:after="0" w:line="240" w:lineRule="auto"/>
        <w:ind w:left="714" w:hanging="357"/>
        <w:jc w:val="both"/>
        <w:rPr>
          <w:rFonts w:ascii="Arial" w:eastAsia="Times New Roman" w:hAnsi="Arial" w:cs="Times New Roman"/>
          <w:color w:val="000000"/>
          <w:lang w:val="en-GB"/>
        </w:rPr>
      </w:pPr>
      <w:r w:rsidRPr="002C3EA2">
        <w:rPr>
          <w:rFonts w:ascii="Arial" w:eastAsia="Times New Roman" w:hAnsi="Arial" w:cs="Times New Roman"/>
          <w:color w:val="000000"/>
          <w:lang w:val="en-GB"/>
        </w:rPr>
        <w:t xml:space="preserve">The </w:t>
      </w:r>
      <w:r w:rsidR="00D8242F">
        <w:rPr>
          <w:rFonts w:ascii="Arial" w:eastAsia="Times New Roman" w:hAnsi="Arial" w:cs="Times New Roman"/>
          <w:color w:val="000000"/>
          <w:lang w:val="en-GB"/>
        </w:rPr>
        <w:t>arrangement</w:t>
      </w:r>
      <w:r w:rsidRPr="002C3EA2">
        <w:rPr>
          <w:rFonts w:ascii="Arial" w:eastAsia="Times New Roman" w:hAnsi="Arial" w:cs="Times New Roman"/>
          <w:color w:val="000000"/>
          <w:lang w:val="en-GB"/>
        </w:rPr>
        <w:t xml:space="preserve"> of one partner in full-time paid employment and one not in paid employment (‘workless’) was the dominant pattern in the early 1980s. By </w:t>
      </w:r>
      <w:r>
        <w:rPr>
          <w:rFonts w:ascii="Arial" w:eastAsia="Times New Roman" w:hAnsi="Arial" w:cs="Times New Roman"/>
          <w:color w:val="000000"/>
          <w:lang w:val="en-GB"/>
        </w:rPr>
        <w:t>around 2005</w:t>
      </w:r>
      <w:r w:rsidRPr="002C3EA2">
        <w:rPr>
          <w:rFonts w:ascii="Arial" w:eastAsia="Times New Roman" w:hAnsi="Arial" w:cs="Times New Roman"/>
          <w:color w:val="000000"/>
          <w:lang w:val="en-GB"/>
        </w:rPr>
        <w:t>, the most common arrangement was for both parents to be employed full-time (~</w:t>
      </w:r>
      <w:r>
        <w:rPr>
          <w:rFonts w:ascii="Arial" w:eastAsia="Times New Roman" w:hAnsi="Arial" w:cs="Times New Roman"/>
          <w:color w:val="000000"/>
          <w:lang w:val="en-GB"/>
        </w:rPr>
        <w:t>40</w:t>
      </w:r>
      <w:r w:rsidRPr="002C3EA2">
        <w:rPr>
          <w:rFonts w:ascii="Arial" w:eastAsia="Times New Roman" w:hAnsi="Arial" w:cs="Times New Roman"/>
          <w:color w:val="000000"/>
          <w:lang w:val="en-GB"/>
        </w:rPr>
        <w:t>%), and in 202</w:t>
      </w:r>
      <w:r>
        <w:rPr>
          <w:rFonts w:ascii="Arial" w:eastAsia="Times New Roman" w:hAnsi="Arial" w:cs="Times New Roman"/>
          <w:color w:val="000000"/>
          <w:lang w:val="en-GB"/>
        </w:rPr>
        <w:t>4</w:t>
      </w:r>
      <w:r w:rsidRPr="002C3EA2">
        <w:rPr>
          <w:rFonts w:ascii="Arial" w:eastAsia="Times New Roman" w:hAnsi="Arial" w:cs="Times New Roman"/>
          <w:color w:val="000000"/>
          <w:lang w:val="en-GB"/>
        </w:rPr>
        <w:t xml:space="preserve"> the figure had reached </w:t>
      </w:r>
      <w:r>
        <w:rPr>
          <w:rFonts w:ascii="Arial" w:eastAsia="Times New Roman" w:hAnsi="Arial" w:cs="Times New Roman"/>
          <w:color w:val="000000"/>
          <w:lang w:val="en-GB"/>
        </w:rPr>
        <w:t>just over o</w:t>
      </w:r>
      <w:r w:rsidRPr="002C3EA2">
        <w:rPr>
          <w:rFonts w:ascii="Arial" w:eastAsia="Times New Roman" w:hAnsi="Arial" w:cs="Times New Roman"/>
          <w:color w:val="000000"/>
          <w:lang w:val="en-GB"/>
        </w:rPr>
        <w:t>ne in two (</w:t>
      </w:r>
      <w:r>
        <w:rPr>
          <w:rFonts w:ascii="Arial" w:eastAsia="Times New Roman" w:hAnsi="Arial" w:cs="Times New Roman"/>
          <w:color w:val="000000"/>
          <w:lang w:val="en-GB"/>
        </w:rPr>
        <w:t>52</w:t>
      </w:r>
      <w:r w:rsidRPr="002C3EA2">
        <w:rPr>
          <w:rFonts w:ascii="Arial" w:eastAsia="Times New Roman" w:hAnsi="Arial" w:cs="Times New Roman"/>
          <w:color w:val="000000"/>
          <w:lang w:val="en-GB"/>
        </w:rPr>
        <w:t xml:space="preserve">%). </w:t>
      </w:r>
    </w:p>
    <w:p w14:paraId="1701E794" w14:textId="77777777" w:rsidR="00786A88" w:rsidRPr="002C3EA2" w:rsidRDefault="00786A88">
      <w:pPr>
        <w:numPr>
          <w:ilvl w:val="0"/>
          <w:numId w:val="27"/>
        </w:numPr>
        <w:spacing w:before="60" w:after="0" w:line="240" w:lineRule="auto"/>
        <w:ind w:left="714" w:hanging="357"/>
        <w:jc w:val="both"/>
        <w:rPr>
          <w:rFonts w:ascii="Arial" w:eastAsia="Times New Roman" w:hAnsi="Arial" w:cs="Times New Roman"/>
          <w:color w:val="000000"/>
          <w:lang w:val="en-GB"/>
        </w:rPr>
      </w:pPr>
      <w:r w:rsidRPr="002C3EA2">
        <w:rPr>
          <w:rFonts w:ascii="Arial" w:eastAsia="Times New Roman" w:hAnsi="Arial"/>
          <w:color w:val="000000"/>
          <w:szCs w:val="20"/>
          <w:lang w:val="en-GB"/>
        </w:rPr>
        <w:t xml:space="preserve">The one-FT-one-PT arrangement has </w:t>
      </w:r>
      <w:r>
        <w:rPr>
          <w:rFonts w:ascii="Arial" w:eastAsia="Times New Roman" w:hAnsi="Arial"/>
          <w:color w:val="000000"/>
          <w:szCs w:val="20"/>
          <w:lang w:val="en-GB"/>
        </w:rPr>
        <w:t>declined a little since the early 2000s, down from ~30% to 21% in 2024.</w:t>
      </w:r>
    </w:p>
    <w:p w14:paraId="3F1DDBD4" w14:textId="35F6ED8A" w:rsidR="00786A88" w:rsidRPr="002C3EA2" w:rsidRDefault="00786A88">
      <w:pPr>
        <w:numPr>
          <w:ilvl w:val="0"/>
          <w:numId w:val="27"/>
        </w:numPr>
        <w:spacing w:before="60" w:after="0" w:line="240" w:lineRule="auto"/>
        <w:ind w:left="714" w:hanging="357"/>
        <w:jc w:val="both"/>
        <w:rPr>
          <w:rFonts w:ascii="Arial" w:eastAsia="Times New Roman" w:hAnsi="Arial"/>
          <w:color w:val="000000"/>
          <w:szCs w:val="20"/>
          <w:lang w:val="en-GB"/>
        </w:rPr>
      </w:pPr>
      <w:r>
        <w:rPr>
          <w:rFonts w:ascii="Arial" w:eastAsia="Times New Roman" w:hAnsi="Arial"/>
          <w:color w:val="000000"/>
          <w:szCs w:val="20"/>
          <w:lang w:val="en-GB"/>
        </w:rPr>
        <w:t>Where at least one parent is employed full-time, a</w:t>
      </w:r>
      <w:r w:rsidRPr="002C3EA2">
        <w:rPr>
          <w:rFonts w:ascii="Arial" w:eastAsia="Times New Roman" w:hAnsi="Arial"/>
          <w:color w:val="000000"/>
          <w:szCs w:val="20"/>
          <w:lang w:val="en-GB"/>
        </w:rPr>
        <w:t>round three of every four two-parent families were dual-earner families in 202</w:t>
      </w:r>
      <w:r>
        <w:rPr>
          <w:rFonts w:ascii="Arial" w:eastAsia="Times New Roman" w:hAnsi="Arial"/>
          <w:color w:val="000000"/>
          <w:szCs w:val="20"/>
          <w:lang w:val="en-GB"/>
        </w:rPr>
        <w:t>4</w:t>
      </w:r>
      <w:r w:rsidRPr="002C3EA2">
        <w:rPr>
          <w:rFonts w:ascii="Arial" w:eastAsia="Times New Roman" w:hAnsi="Arial"/>
          <w:color w:val="000000"/>
          <w:szCs w:val="20"/>
          <w:lang w:val="en-GB"/>
        </w:rPr>
        <w:t xml:space="preserve">, up from </w:t>
      </w:r>
      <w:r>
        <w:rPr>
          <w:rFonts w:ascii="Arial" w:eastAsia="Times New Roman" w:hAnsi="Arial"/>
          <w:color w:val="000000"/>
          <w:szCs w:val="20"/>
          <w:lang w:val="en-GB"/>
        </w:rPr>
        <w:t xml:space="preserve">around </w:t>
      </w:r>
      <w:r w:rsidRPr="002C3EA2">
        <w:rPr>
          <w:rFonts w:ascii="Arial" w:eastAsia="Times New Roman" w:hAnsi="Arial"/>
          <w:color w:val="000000"/>
          <w:szCs w:val="20"/>
          <w:lang w:val="en-GB"/>
        </w:rPr>
        <w:t>one in two in the early 1980s.</w:t>
      </w:r>
      <w:r>
        <w:rPr>
          <w:rStyle w:val="FootnoteReference"/>
          <w:rFonts w:ascii="Arial" w:eastAsia="Times New Roman" w:hAnsi="Arial"/>
          <w:color w:val="000000"/>
          <w:szCs w:val="20"/>
          <w:lang w:val="en-GB"/>
        </w:rPr>
        <w:footnoteReference w:id="78"/>
      </w:r>
      <w:r w:rsidRPr="002C3EA2">
        <w:rPr>
          <w:rFonts w:ascii="Arial" w:eastAsia="Times New Roman" w:hAnsi="Arial"/>
          <w:color w:val="000000"/>
          <w:szCs w:val="20"/>
          <w:lang w:val="en-GB"/>
        </w:rPr>
        <w:t xml:space="preserve"> </w:t>
      </w:r>
    </w:p>
    <w:p w14:paraId="77871D4B" w14:textId="7951AAEC" w:rsidR="00786A88" w:rsidRPr="00DE482D" w:rsidRDefault="00786A88">
      <w:pPr>
        <w:numPr>
          <w:ilvl w:val="0"/>
          <w:numId w:val="27"/>
        </w:numPr>
        <w:spacing w:before="60" w:after="0" w:line="240" w:lineRule="auto"/>
        <w:ind w:left="714" w:hanging="357"/>
        <w:jc w:val="both"/>
        <w:rPr>
          <w:rFonts w:ascii="Arial" w:eastAsia="Times New Roman" w:hAnsi="Arial"/>
          <w:color w:val="000000"/>
          <w:szCs w:val="20"/>
          <w:lang w:val="en-GB"/>
        </w:rPr>
      </w:pPr>
      <w:r w:rsidRPr="002C3EA2">
        <w:rPr>
          <w:rFonts w:ascii="Arial" w:eastAsia="Times New Roman" w:hAnsi="Arial"/>
          <w:color w:val="000000"/>
          <w:szCs w:val="20"/>
          <w:lang w:val="en-GB"/>
        </w:rPr>
        <w:t>This increasing proportion of dual-earner two-parent households is a major factor behind the longer-run consisten</w:t>
      </w:r>
      <w:r w:rsidRPr="002E6660">
        <w:rPr>
          <w:rFonts w:ascii="Arial" w:eastAsia="Times New Roman" w:hAnsi="Arial"/>
          <w:color w:val="000000"/>
          <w:szCs w:val="20"/>
          <w:lang w:val="en-GB"/>
        </w:rPr>
        <w:t>t rise in material wellbeing for the vast majority of children</w:t>
      </w:r>
      <w:r>
        <w:rPr>
          <w:rFonts w:ascii="Arial" w:eastAsia="Times New Roman" w:hAnsi="Arial"/>
          <w:color w:val="000000"/>
          <w:szCs w:val="20"/>
          <w:lang w:val="en-GB"/>
        </w:rPr>
        <w:t xml:space="preserve"> up to the COVID years (2021 and </w:t>
      </w:r>
      <w:r w:rsidRPr="00DE482D">
        <w:rPr>
          <w:rFonts w:ascii="Arial" w:eastAsia="Times New Roman" w:hAnsi="Arial"/>
          <w:color w:val="000000"/>
          <w:szCs w:val="20"/>
          <w:lang w:val="en-GB"/>
        </w:rPr>
        <w:t>2022). Even though the proportion has continued to rise since 2022 other factors have thwarted the previous steady rise in material living standards</w:t>
      </w:r>
      <w:r w:rsidR="00170011">
        <w:rPr>
          <w:rFonts w:ascii="Arial" w:eastAsia="Times New Roman" w:hAnsi="Arial"/>
          <w:color w:val="000000"/>
          <w:szCs w:val="20"/>
          <w:lang w:val="en-GB"/>
        </w:rPr>
        <w:t xml:space="preserve"> (such as flat wage rates in real terms, Figure </w:t>
      </w:r>
      <w:r w:rsidR="001E1422">
        <w:rPr>
          <w:rFonts w:ascii="Arial" w:eastAsia="Times New Roman" w:hAnsi="Arial"/>
          <w:color w:val="000000"/>
          <w:szCs w:val="20"/>
          <w:lang w:val="en-GB"/>
        </w:rPr>
        <w:t>G</w:t>
      </w:r>
      <w:r w:rsidR="00170011">
        <w:rPr>
          <w:rFonts w:ascii="Arial" w:eastAsia="Times New Roman" w:hAnsi="Arial"/>
          <w:color w:val="000000"/>
          <w:szCs w:val="20"/>
          <w:lang w:val="en-GB"/>
        </w:rPr>
        <w:t>.5)</w:t>
      </w:r>
      <w:r w:rsidRPr="00DE482D">
        <w:rPr>
          <w:rFonts w:ascii="Arial" w:eastAsia="Times New Roman" w:hAnsi="Arial"/>
          <w:color w:val="000000"/>
          <w:szCs w:val="20"/>
          <w:lang w:val="en-GB"/>
        </w:rPr>
        <w:t>.</w:t>
      </w:r>
    </w:p>
    <w:p w14:paraId="157BB8D0" w14:textId="77777777" w:rsidR="00786A88" w:rsidRDefault="00786A88">
      <w:pPr>
        <w:numPr>
          <w:ilvl w:val="0"/>
          <w:numId w:val="27"/>
        </w:numPr>
        <w:spacing w:before="60" w:after="0" w:line="240" w:lineRule="auto"/>
        <w:ind w:left="714" w:hanging="357"/>
        <w:jc w:val="both"/>
        <w:rPr>
          <w:rFonts w:ascii="Arial" w:eastAsia="Times New Roman" w:hAnsi="Arial"/>
          <w:color w:val="000000"/>
          <w:szCs w:val="20"/>
          <w:lang w:val="en-GB"/>
        </w:rPr>
      </w:pPr>
      <w:r w:rsidRPr="002C3EA2">
        <w:rPr>
          <w:rFonts w:ascii="Arial" w:eastAsia="Times New Roman" w:hAnsi="Arial"/>
          <w:color w:val="000000"/>
          <w:szCs w:val="20"/>
          <w:lang w:val="en-GB"/>
        </w:rPr>
        <w:t>It also points to / is consistent with the view that in general, single-earner households are now much less likely to be a viable option for providing economic security than they were 25-40 years ago.</w:t>
      </w:r>
    </w:p>
    <w:p w14:paraId="466DD310" w14:textId="77777777" w:rsidR="00786A88" w:rsidRPr="002C3EA2" w:rsidRDefault="00786A88" w:rsidP="00786A88">
      <w:pPr>
        <w:spacing w:after="0" w:line="240" w:lineRule="auto"/>
        <w:ind w:left="357" w:hanging="272"/>
        <w:jc w:val="center"/>
        <w:rPr>
          <w:rFonts w:ascii="Arial" w:eastAsia="Times New Roman" w:hAnsi="Arial" w:cs="Times New Roman"/>
          <w:b/>
          <w:color w:val="000000"/>
          <w:sz w:val="18"/>
          <w:szCs w:val="20"/>
          <w:lang w:val="en-GB"/>
        </w:rPr>
      </w:pPr>
    </w:p>
    <w:p w14:paraId="7E46DBEF" w14:textId="1DC547E4" w:rsidR="00786A88" w:rsidRPr="0044728F" w:rsidRDefault="00786A88" w:rsidP="00786A88">
      <w:pPr>
        <w:spacing w:after="0" w:line="240" w:lineRule="auto"/>
        <w:ind w:left="357" w:hanging="272"/>
        <w:jc w:val="center"/>
        <w:rPr>
          <w:rFonts w:ascii="Arial" w:eastAsia="Times New Roman" w:hAnsi="Arial" w:cs="Times New Roman"/>
          <w:b/>
          <w:color w:val="FF0000"/>
          <w:sz w:val="18"/>
          <w:szCs w:val="20"/>
          <w:lang w:val="en-GB"/>
        </w:rPr>
      </w:pPr>
      <w:r w:rsidRPr="002C3EA2">
        <w:rPr>
          <w:rFonts w:ascii="Arial" w:eastAsia="Times New Roman" w:hAnsi="Arial" w:cs="Times New Roman"/>
          <w:b/>
          <w:color w:val="000000"/>
          <w:sz w:val="18"/>
          <w:szCs w:val="20"/>
          <w:lang w:val="en-GB"/>
        </w:rPr>
        <w:t xml:space="preserve">Figure </w:t>
      </w:r>
      <w:r w:rsidR="001E1422">
        <w:rPr>
          <w:rFonts w:ascii="Arial" w:eastAsia="Times New Roman" w:hAnsi="Arial" w:cs="Times New Roman"/>
          <w:b/>
          <w:color w:val="000000"/>
          <w:sz w:val="18"/>
          <w:szCs w:val="20"/>
          <w:lang w:val="en-GB"/>
        </w:rPr>
        <w:t>G</w:t>
      </w:r>
      <w:r>
        <w:rPr>
          <w:rFonts w:ascii="Arial" w:eastAsia="Times New Roman" w:hAnsi="Arial" w:cs="Times New Roman"/>
          <w:b/>
          <w:color w:val="000000"/>
          <w:sz w:val="18"/>
          <w:szCs w:val="20"/>
          <w:lang w:val="en-GB"/>
        </w:rPr>
        <w:t>.6</w:t>
      </w:r>
    </w:p>
    <w:p w14:paraId="7F7058D4" w14:textId="77777777" w:rsidR="00786A88" w:rsidRPr="002C3EA2" w:rsidRDefault="00786A88" w:rsidP="00786A88">
      <w:pPr>
        <w:spacing w:after="0" w:line="240" w:lineRule="auto"/>
        <w:ind w:left="360" w:hanging="274"/>
        <w:jc w:val="center"/>
        <w:rPr>
          <w:rFonts w:ascii="Arial" w:eastAsia="Times New Roman" w:hAnsi="Arial" w:cs="Times New Roman"/>
          <w:b/>
          <w:color w:val="000000"/>
          <w:sz w:val="18"/>
          <w:szCs w:val="20"/>
          <w:lang w:val="en-GB"/>
        </w:rPr>
      </w:pPr>
      <w:r w:rsidRPr="002C3EA2">
        <w:rPr>
          <w:rFonts w:ascii="Arial" w:eastAsia="Times New Roman" w:hAnsi="Arial" w:cs="Times New Roman"/>
          <w:b/>
          <w:color w:val="000000"/>
          <w:sz w:val="18"/>
          <w:szCs w:val="20"/>
          <w:lang w:val="en-GB"/>
        </w:rPr>
        <w:t xml:space="preserve">Increasing proportion of two-earner two-parent households (with dependent children), </w:t>
      </w:r>
    </w:p>
    <w:p w14:paraId="140CCAB5" w14:textId="77777777" w:rsidR="00786A88" w:rsidRPr="002C3EA2" w:rsidRDefault="00786A88" w:rsidP="00786A88">
      <w:pPr>
        <w:spacing w:after="0" w:line="240" w:lineRule="auto"/>
        <w:ind w:left="360" w:hanging="274"/>
        <w:jc w:val="center"/>
        <w:rPr>
          <w:rFonts w:ascii="Arial" w:eastAsia="Times New Roman" w:hAnsi="Arial" w:cs="Times New Roman"/>
          <w:b/>
          <w:color w:val="000000"/>
          <w:sz w:val="18"/>
          <w:szCs w:val="20"/>
          <w:lang w:val="en-GB"/>
        </w:rPr>
      </w:pPr>
      <w:r w:rsidRPr="00CB3452">
        <w:rPr>
          <w:noProof/>
        </w:rPr>
        <w:drawing>
          <wp:anchor distT="0" distB="0" distL="114300" distR="114300" simplePos="0" relativeHeight="253159424" behindDoc="0" locked="0" layoutInCell="1" allowOverlap="1" wp14:anchorId="5B00A464" wp14:editId="13E7B25F">
            <wp:simplePos x="0" y="0"/>
            <wp:positionH relativeFrom="margin">
              <wp:align>center</wp:align>
            </wp:positionH>
            <wp:positionV relativeFrom="paragraph">
              <wp:posOffset>184785</wp:posOffset>
            </wp:positionV>
            <wp:extent cx="3667760" cy="2301875"/>
            <wp:effectExtent l="0" t="0" r="8890" b="3175"/>
            <wp:wrapTopAndBottom/>
            <wp:docPr id="295924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24426"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667760" cy="2301875"/>
                    </a:xfrm>
                    <a:prstGeom prst="rect">
                      <a:avLst/>
                    </a:prstGeom>
                  </pic:spPr>
                </pic:pic>
              </a:graphicData>
            </a:graphic>
            <wp14:sizeRelH relativeFrom="page">
              <wp14:pctWidth>0</wp14:pctWidth>
            </wp14:sizeRelH>
            <wp14:sizeRelV relativeFrom="page">
              <wp14:pctHeight>0</wp14:pctHeight>
            </wp14:sizeRelV>
          </wp:anchor>
        </w:drawing>
      </w:r>
      <w:r w:rsidRPr="002C3EA2">
        <w:rPr>
          <w:rFonts w:ascii="Arial" w:eastAsia="Times New Roman" w:hAnsi="Arial" w:cs="Times New Roman"/>
          <w:b/>
          <w:color w:val="000000"/>
          <w:sz w:val="18"/>
          <w:szCs w:val="20"/>
          <w:lang w:val="en-GB"/>
        </w:rPr>
        <w:t>1982 to 202</w:t>
      </w:r>
      <w:r>
        <w:rPr>
          <w:rFonts w:ascii="Arial" w:eastAsia="Times New Roman" w:hAnsi="Arial" w:cs="Times New Roman"/>
          <w:b/>
          <w:color w:val="000000"/>
          <w:sz w:val="18"/>
          <w:szCs w:val="20"/>
          <w:lang w:val="en-GB"/>
        </w:rPr>
        <w:t>4</w:t>
      </w:r>
    </w:p>
    <w:p w14:paraId="49C947D0" w14:textId="77777777" w:rsidR="00786A88" w:rsidRDefault="00786A88" w:rsidP="00786A88">
      <w:pPr>
        <w:spacing w:after="0" w:line="240" w:lineRule="auto"/>
        <w:rPr>
          <w:rFonts w:ascii="Arial" w:hAnsi="Arial"/>
          <w:color w:val="000000"/>
        </w:rPr>
      </w:pPr>
    </w:p>
    <w:p w14:paraId="03577C16" w14:textId="77777777" w:rsidR="00786A88" w:rsidRDefault="00786A88" w:rsidP="00786A88">
      <w:pPr>
        <w:spacing w:after="0" w:line="240" w:lineRule="auto"/>
        <w:rPr>
          <w:rFonts w:ascii="Arial" w:hAnsi="Arial"/>
          <w:color w:val="000000"/>
          <w:u w:val="single"/>
        </w:rPr>
      </w:pPr>
    </w:p>
    <w:p w14:paraId="4E40100A" w14:textId="77777777" w:rsidR="00786A88" w:rsidRPr="0047498B" w:rsidRDefault="00786A88" w:rsidP="00786A88">
      <w:pPr>
        <w:spacing w:after="0" w:line="240" w:lineRule="auto"/>
        <w:rPr>
          <w:rFonts w:ascii="Arial" w:hAnsi="Arial"/>
          <w:color w:val="000000"/>
          <w:u w:val="single"/>
        </w:rPr>
      </w:pPr>
      <w:r w:rsidRPr="0047498B">
        <w:rPr>
          <w:rFonts w:ascii="Arial" w:hAnsi="Arial"/>
          <w:color w:val="000000"/>
          <w:u w:val="single"/>
        </w:rPr>
        <w:t>Comparisons with Australia</w:t>
      </w:r>
      <w:r w:rsidRPr="0047498B">
        <w:rPr>
          <w:rStyle w:val="FootnoteReference"/>
          <w:rFonts w:ascii="Arial" w:hAnsi="Arial"/>
          <w:color w:val="000000"/>
        </w:rPr>
        <w:footnoteReference w:id="79"/>
      </w:r>
    </w:p>
    <w:p w14:paraId="0AB42461" w14:textId="77777777" w:rsidR="00786A88" w:rsidRDefault="00786A88" w:rsidP="00786A88">
      <w:pPr>
        <w:spacing w:after="0" w:line="240" w:lineRule="auto"/>
        <w:jc w:val="center"/>
        <w:rPr>
          <w:rFonts w:ascii="Arial" w:hAnsi="Arial"/>
          <w:b/>
          <w:bCs/>
          <w:color w:val="000000"/>
          <w:sz w:val="18"/>
          <w:szCs w:val="18"/>
        </w:rPr>
      </w:pPr>
    </w:p>
    <w:p w14:paraId="3BE4616C" w14:textId="2CEF9BB2" w:rsidR="00786A88" w:rsidRPr="0044728F" w:rsidRDefault="00786A88">
      <w:pPr>
        <w:pStyle w:val="NormalWeb"/>
        <w:numPr>
          <w:ilvl w:val="0"/>
          <w:numId w:val="42"/>
        </w:numPr>
        <w:shd w:val="clear" w:color="auto" w:fill="FFFFFF"/>
        <w:spacing w:line="240" w:lineRule="auto"/>
        <w:ind w:left="714" w:hanging="357"/>
        <w:textAlignment w:val="baseline"/>
        <w:rPr>
          <w:rFonts w:ascii="Arial" w:eastAsia="Times New Roman" w:hAnsi="Arial" w:cs="Arial"/>
          <w:color w:val="332C28"/>
          <w:szCs w:val="20"/>
          <w:lang w:eastAsia="en-NZ"/>
        </w:rPr>
      </w:pPr>
      <w:r>
        <w:rPr>
          <w:rFonts w:ascii="Arial" w:eastAsia="Times New Roman" w:hAnsi="Arial" w:cs="Arial"/>
          <w:color w:val="332C28"/>
          <w:szCs w:val="20"/>
          <w:lang w:eastAsia="en-NZ"/>
        </w:rPr>
        <w:t>Australia ha</w:t>
      </w:r>
      <w:r w:rsidR="00FD673C">
        <w:rPr>
          <w:rFonts w:ascii="Arial" w:eastAsia="Times New Roman" w:hAnsi="Arial" w:cs="Arial"/>
          <w:color w:val="332C28"/>
          <w:szCs w:val="20"/>
          <w:lang w:eastAsia="en-NZ"/>
        </w:rPr>
        <w:t>s</w:t>
      </w:r>
      <w:r>
        <w:rPr>
          <w:rFonts w:ascii="Arial" w:eastAsia="Times New Roman" w:hAnsi="Arial" w:cs="Arial"/>
          <w:color w:val="332C28"/>
          <w:szCs w:val="20"/>
          <w:lang w:eastAsia="en-NZ"/>
        </w:rPr>
        <w:t xml:space="preserve"> seen a similar long-term rise in the proportion of two-parent families with both in paid employment: i</w:t>
      </w:r>
      <w:r w:rsidRPr="0044728F">
        <w:rPr>
          <w:rFonts w:ascii="Arial" w:eastAsia="Times New Roman" w:hAnsi="Arial" w:cs="Arial"/>
          <w:color w:val="332C28"/>
          <w:szCs w:val="20"/>
          <w:lang w:eastAsia="en-NZ"/>
        </w:rPr>
        <w:t>n 2022, both parents were employed in 71% of couple families with children under 15 years</w:t>
      </w:r>
      <w:r>
        <w:rPr>
          <w:rFonts w:ascii="Arial" w:eastAsia="Times New Roman" w:hAnsi="Arial" w:cs="Arial"/>
          <w:color w:val="332C28"/>
          <w:szCs w:val="20"/>
          <w:lang w:eastAsia="en-NZ"/>
        </w:rPr>
        <w:t>, up from</w:t>
      </w:r>
      <w:r w:rsidRPr="0044728F">
        <w:rPr>
          <w:rFonts w:ascii="Arial" w:eastAsia="Times New Roman" w:hAnsi="Arial" w:cs="Arial"/>
          <w:color w:val="332C28"/>
          <w:szCs w:val="20"/>
          <w:lang w:eastAsia="en-NZ"/>
        </w:rPr>
        <w:t xml:space="preserve"> 56% in 2000 and 40% in 1979.</w:t>
      </w:r>
    </w:p>
    <w:p w14:paraId="437A5150" w14:textId="27DE73D3" w:rsidR="00786A88" w:rsidRPr="0044728F" w:rsidRDefault="00786A88">
      <w:pPr>
        <w:numPr>
          <w:ilvl w:val="0"/>
          <w:numId w:val="42"/>
        </w:numPr>
        <w:shd w:val="clear" w:color="auto" w:fill="FFFFFF"/>
        <w:spacing w:after="0" w:line="240" w:lineRule="auto"/>
        <w:ind w:left="714" w:hanging="357"/>
        <w:textAlignment w:val="baseline"/>
        <w:rPr>
          <w:rFonts w:ascii="Arial" w:eastAsia="Times New Roman" w:hAnsi="Arial"/>
          <w:color w:val="332C28"/>
          <w:szCs w:val="20"/>
          <w:lang w:eastAsia="en-NZ"/>
        </w:rPr>
      </w:pPr>
      <w:r>
        <w:rPr>
          <w:rFonts w:ascii="Arial" w:eastAsia="Times New Roman" w:hAnsi="Arial"/>
          <w:color w:val="332C28"/>
          <w:szCs w:val="20"/>
          <w:lang w:eastAsia="en-NZ"/>
        </w:rPr>
        <w:t>However, Australia ha</w:t>
      </w:r>
      <w:r w:rsidR="00FD673C">
        <w:rPr>
          <w:rFonts w:ascii="Arial" w:eastAsia="Times New Roman" w:hAnsi="Arial"/>
          <w:color w:val="332C28"/>
          <w:szCs w:val="20"/>
          <w:lang w:eastAsia="en-NZ"/>
        </w:rPr>
        <w:t>s</w:t>
      </w:r>
      <w:r>
        <w:rPr>
          <w:rFonts w:ascii="Arial" w:eastAsia="Times New Roman" w:hAnsi="Arial"/>
          <w:color w:val="332C28"/>
          <w:szCs w:val="20"/>
          <w:lang w:eastAsia="en-NZ"/>
        </w:rPr>
        <w:t xml:space="preserve"> a lower proportion </w:t>
      </w:r>
      <w:r w:rsidRPr="0044728F">
        <w:rPr>
          <w:rFonts w:ascii="Arial" w:eastAsia="Times New Roman" w:hAnsi="Arial"/>
          <w:color w:val="332C28"/>
          <w:szCs w:val="20"/>
          <w:lang w:eastAsia="en-NZ"/>
        </w:rPr>
        <w:t xml:space="preserve">with both parents working full-time hours </w:t>
      </w:r>
      <w:r>
        <w:rPr>
          <w:rFonts w:ascii="Arial" w:eastAsia="Times New Roman" w:hAnsi="Arial"/>
          <w:color w:val="332C28"/>
          <w:szCs w:val="20"/>
          <w:lang w:eastAsia="en-NZ"/>
        </w:rPr>
        <w:t>(</w:t>
      </w:r>
      <w:r w:rsidRPr="0044728F">
        <w:rPr>
          <w:rFonts w:ascii="Arial" w:eastAsia="Times New Roman" w:hAnsi="Arial"/>
          <w:color w:val="332C28"/>
          <w:szCs w:val="20"/>
          <w:lang w:eastAsia="en-NZ"/>
        </w:rPr>
        <w:t>31% in 2021</w:t>
      </w:r>
      <w:r>
        <w:rPr>
          <w:rFonts w:ascii="Arial" w:eastAsia="Times New Roman" w:hAnsi="Arial"/>
          <w:color w:val="332C28"/>
          <w:szCs w:val="20"/>
          <w:lang w:eastAsia="en-NZ"/>
        </w:rPr>
        <w:t xml:space="preserve"> compared with just under 50% for New Zealand). It is</w:t>
      </w:r>
      <w:r w:rsidRPr="0044728F">
        <w:rPr>
          <w:rFonts w:ascii="Arial" w:eastAsia="Times New Roman" w:hAnsi="Arial"/>
          <w:color w:val="332C28"/>
          <w:szCs w:val="20"/>
          <w:lang w:eastAsia="en-NZ"/>
        </w:rPr>
        <w:t xml:space="preserve"> more common for one parent to be full-time and the other part-time (</w:t>
      </w:r>
      <w:r>
        <w:rPr>
          <w:rFonts w:ascii="Arial" w:eastAsia="Times New Roman" w:hAnsi="Arial"/>
          <w:color w:val="332C28"/>
          <w:szCs w:val="20"/>
          <w:lang w:eastAsia="en-NZ"/>
        </w:rPr>
        <w:t xml:space="preserve">steady at </w:t>
      </w:r>
      <w:r w:rsidRPr="0044728F">
        <w:rPr>
          <w:rFonts w:ascii="Arial" w:eastAsia="Times New Roman" w:hAnsi="Arial"/>
          <w:color w:val="332C28"/>
          <w:szCs w:val="20"/>
          <w:lang w:eastAsia="en-NZ"/>
        </w:rPr>
        <w:t xml:space="preserve">36% in 2021, </w:t>
      </w:r>
      <w:r>
        <w:rPr>
          <w:rFonts w:ascii="Arial" w:eastAsia="Times New Roman" w:hAnsi="Arial"/>
          <w:color w:val="332C28"/>
          <w:szCs w:val="20"/>
          <w:lang w:eastAsia="en-NZ"/>
        </w:rPr>
        <w:t>compared with 25% in New Zealand and trending down.)</w:t>
      </w:r>
    </w:p>
    <w:p w14:paraId="468E452D" w14:textId="77777777" w:rsidR="00786A88" w:rsidRDefault="00786A88" w:rsidP="00786A88">
      <w:pPr>
        <w:spacing w:after="0" w:line="240" w:lineRule="auto"/>
        <w:rPr>
          <w:rFonts w:ascii="Arial" w:hAnsi="Arial"/>
          <w:b/>
          <w:bCs/>
          <w:color w:val="000000"/>
          <w:sz w:val="22"/>
          <w:szCs w:val="24"/>
        </w:rPr>
      </w:pPr>
    </w:p>
    <w:p w14:paraId="333F1BB2" w14:textId="7617E5EF" w:rsidR="00EC3BA3" w:rsidRDefault="00EC3BA3" w:rsidP="00EC3BA3">
      <w:pPr>
        <w:spacing w:after="0" w:line="240" w:lineRule="auto"/>
        <w:rPr>
          <w:rFonts w:ascii="Arial" w:hAnsi="Arial"/>
          <w:b/>
          <w:bCs/>
          <w:i/>
          <w:iCs/>
          <w:color w:val="000000"/>
          <w:szCs w:val="20"/>
        </w:rPr>
      </w:pPr>
      <w:r w:rsidRPr="003F39F2">
        <w:rPr>
          <w:rFonts w:ascii="Arial" w:hAnsi="Arial"/>
          <w:b/>
          <w:bCs/>
          <w:i/>
          <w:iCs/>
          <w:color w:val="000000"/>
          <w:szCs w:val="20"/>
        </w:rPr>
        <w:lastRenderedPageBreak/>
        <w:t xml:space="preserve">Core income support levels for beneficiary families with children </w:t>
      </w:r>
      <w:r w:rsidR="009B2803">
        <w:rPr>
          <w:rFonts w:ascii="Arial" w:hAnsi="Arial"/>
          <w:b/>
          <w:bCs/>
          <w:i/>
          <w:iCs/>
          <w:color w:val="000000"/>
          <w:szCs w:val="20"/>
        </w:rPr>
        <w:t>increased in real terms in recent years through to 2024</w:t>
      </w:r>
      <w:r w:rsidR="008F5C1D">
        <w:rPr>
          <w:rFonts w:ascii="Arial" w:hAnsi="Arial"/>
          <w:b/>
          <w:bCs/>
          <w:i/>
          <w:iCs/>
          <w:color w:val="000000"/>
          <w:szCs w:val="20"/>
        </w:rPr>
        <w:t xml:space="preserve"> after a relatively flat period following the introduction of Working for Families in 2004</w:t>
      </w:r>
    </w:p>
    <w:p w14:paraId="171641CD" w14:textId="77777777" w:rsidR="00EC3BA3" w:rsidRDefault="00EC3BA3" w:rsidP="00EC3BA3">
      <w:pPr>
        <w:spacing w:after="0" w:line="240" w:lineRule="auto"/>
        <w:rPr>
          <w:rFonts w:ascii="Arial" w:hAnsi="Arial"/>
          <w:b/>
          <w:bCs/>
          <w:i/>
          <w:iCs/>
          <w:color w:val="000000"/>
          <w:szCs w:val="20"/>
        </w:rPr>
      </w:pPr>
    </w:p>
    <w:p w14:paraId="4BE7098C" w14:textId="3C4CCACC" w:rsidR="00EC3BA3" w:rsidRDefault="00EC3BA3" w:rsidP="00EC3BA3">
      <w:pPr>
        <w:spacing w:line="240" w:lineRule="auto"/>
        <w:rPr>
          <w:rFonts w:ascii="Arial" w:hAnsi="Arial"/>
          <w:color w:val="000000"/>
          <w:szCs w:val="20"/>
        </w:rPr>
      </w:pPr>
      <w:r w:rsidRPr="004E5C03">
        <w:rPr>
          <w:rFonts w:ascii="Arial" w:hAnsi="Arial"/>
          <w:b/>
          <w:bCs/>
          <w:color w:val="000000"/>
          <w:szCs w:val="20"/>
        </w:rPr>
        <w:t xml:space="preserve">Figure </w:t>
      </w:r>
      <w:r w:rsidR="001E1422">
        <w:rPr>
          <w:rFonts w:ascii="Arial" w:hAnsi="Arial"/>
          <w:b/>
          <w:bCs/>
          <w:color w:val="000000"/>
          <w:szCs w:val="20"/>
        </w:rPr>
        <w:t>G</w:t>
      </w:r>
      <w:r w:rsidRPr="004E5C03">
        <w:rPr>
          <w:rFonts w:ascii="Arial" w:hAnsi="Arial"/>
          <w:b/>
          <w:bCs/>
          <w:color w:val="000000"/>
          <w:szCs w:val="20"/>
        </w:rPr>
        <w:t>.</w:t>
      </w:r>
      <w:r w:rsidR="00170011">
        <w:rPr>
          <w:rFonts w:ascii="Arial" w:hAnsi="Arial"/>
          <w:b/>
          <w:bCs/>
          <w:color w:val="000000"/>
          <w:szCs w:val="20"/>
        </w:rPr>
        <w:t>7</w:t>
      </w:r>
      <w:r w:rsidRPr="004E5C03">
        <w:rPr>
          <w:rFonts w:ascii="Arial" w:hAnsi="Arial"/>
          <w:b/>
          <w:bCs/>
          <w:color w:val="000000"/>
          <w:szCs w:val="20"/>
        </w:rPr>
        <w:t xml:space="preserve"> </w:t>
      </w:r>
      <w:r w:rsidRPr="004E5C03">
        <w:rPr>
          <w:rFonts w:ascii="Arial" w:hAnsi="Arial"/>
          <w:color w:val="000000"/>
          <w:szCs w:val="20"/>
        </w:rPr>
        <w:t>shows the long-run trends (1947 to 2024) in inflation-adjusted base support for the most common beneficiary households / families</w:t>
      </w:r>
      <w:r>
        <w:rPr>
          <w:rFonts w:ascii="Arial" w:hAnsi="Arial"/>
          <w:color w:val="000000"/>
          <w:szCs w:val="20"/>
        </w:rPr>
        <w:t>.</w:t>
      </w:r>
      <w:r w:rsidR="008F5C1D">
        <w:rPr>
          <w:rStyle w:val="FootnoteReference"/>
          <w:rFonts w:ascii="Arial" w:hAnsi="Arial"/>
          <w:color w:val="000000"/>
          <w:szCs w:val="20"/>
        </w:rPr>
        <w:footnoteReference w:id="80"/>
      </w:r>
      <w:r>
        <w:rPr>
          <w:rFonts w:ascii="Arial" w:hAnsi="Arial"/>
          <w:color w:val="000000"/>
          <w:szCs w:val="20"/>
        </w:rPr>
        <w:t xml:space="preserve"> </w:t>
      </w:r>
    </w:p>
    <w:p w14:paraId="5E5649CA" w14:textId="43BAFBF6" w:rsidR="00EC3BA3" w:rsidRDefault="00EC3BA3" w:rsidP="008F5C1D">
      <w:pPr>
        <w:spacing w:line="240" w:lineRule="auto"/>
        <w:rPr>
          <w:rFonts w:ascii="Arial" w:hAnsi="Arial"/>
          <w:b/>
          <w:bCs/>
          <w:i/>
          <w:iCs/>
          <w:color w:val="000000"/>
          <w:szCs w:val="20"/>
        </w:rPr>
      </w:pPr>
      <w:r w:rsidRPr="004E5C03">
        <w:rPr>
          <w:rFonts w:ascii="Arial" w:hAnsi="Arial"/>
          <w:color w:val="000000"/>
          <w:szCs w:val="20"/>
        </w:rPr>
        <w:t>The incomes include core benefit income and income from the Family Tax Credit and its predecessors, but do not include the Winter Energy Payment, Best Start and the Accommodation Supplement.</w:t>
      </w:r>
      <w:r>
        <w:rPr>
          <w:rFonts w:ascii="Arial" w:hAnsi="Arial"/>
          <w:color w:val="000000"/>
          <w:szCs w:val="20"/>
        </w:rPr>
        <w:t xml:space="preserve"> </w:t>
      </w:r>
    </w:p>
    <w:p w14:paraId="35CA3A34" w14:textId="52030814" w:rsidR="002338BB" w:rsidRPr="00CF0052" w:rsidRDefault="00EC3BA3" w:rsidP="002338BB">
      <w:pPr>
        <w:spacing w:after="0" w:line="240" w:lineRule="auto"/>
        <w:jc w:val="center"/>
        <w:rPr>
          <w:rFonts w:ascii="Arial" w:hAnsi="Arial"/>
          <w:b/>
          <w:bCs/>
          <w:color w:val="000000"/>
          <w:sz w:val="18"/>
          <w:szCs w:val="18"/>
        </w:rPr>
      </w:pPr>
      <w:r w:rsidRPr="009A5A9A">
        <w:rPr>
          <w:rFonts w:ascii="Arial" w:hAnsi="Arial"/>
          <w:b/>
          <w:bCs/>
          <w:color w:val="000000"/>
          <w:sz w:val="18"/>
          <w:szCs w:val="18"/>
        </w:rPr>
        <w:t xml:space="preserve">Figure </w:t>
      </w:r>
      <w:r w:rsidR="001E1422">
        <w:rPr>
          <w:rFonts w:ascii="Arial" w:hAnsi="Arial"/>
          <w:b/>
          <w:bCs/>
          <w:color w:val="000000"/>
          <w:sz w:val="18"/>
          <w:szCs w:val="18"/>
        </w:rPr>
        <w:t>G</w:t>
      </w:r>
      <w:r w:rsidRPr="009A5A9A">
        <w:rPr>
          <w:rFonts w:ascii="Arial" w:hAnsi="Arial"/>
          <w:b/>
          <w:bCs/>
          <w:color w:val="000000"/>
          <w:sz w:val="18"/>
          <w:szCs w:val="18"/>
        </w:rPr>
        <w:t>.</w:t>
      </w:r>
      <w:r w:rsidR="00170011">
        <w:rPr>
          <w:rFonts w:ascii="Arial" w:hAnsi="Arial"/>
          <w:b/>
          <w:bCs/>
          <w:color w:val="000000"/>
          <w:sz w:val="18"/>
          <w:szCs w:val="18"/>
        </w:rPr>
        <w:t>7</w:t>
      </w:r>
    </w:p>
    <w:p w14:paraId="2175FCE9" w14:textId="77777777" w:rsidR="00EC3BA3" w:rsidRDefault="00EC3BA3" w:rsidP="00EC3BA3">
      <w:pPr>
        <w:spacing w:after="0" w:line="240" w:lineRule="auto"/>
        <w:jc w:val="center"/>
        <w:rPr>
          <w:rFonts w:ascii="Arial" w:hAnsi="Arial"/>
          <w:color w:val="000000"/>
          <w:szCs w:val="20"/>
        </w:rPr>
      </w:pPr>
      <w:r w:rsidRPr="00286C6A">
        <w:rPr>
          <w:noProof/>
        </w:rPr>
        <w:drawing>
          <wp:inline distT="0" distB="0" distL="0" distR="0" wp14:anchorId="5BEBA6D2" wp14:editId="0AC2E9A8">
            <wp:extent cx="4710912" cy="2882900"/>
            <wp:effectExtent l="0" t="0" r="0" b="0"/>
            <wp:docPr id="189595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56041" name=""/>
                    <pic:cNvPicPr/>
                  </pic:nvPicPr>
                  <pic:blipFill>
                    <a:blip r:embed="rId66"/>
                    <a:stretch>
                      <a:fillRect/>
                    </a:stretch>
                  </pic:blipFill>
                  <pic:spPr>
                    <a:xfrm>
                      <a:off x="0" y="0"/>
                      <a:ext cx="4728948" cy="2893937"/>
                    </a:xfrm>
                    <a:prstGeom prst="rect">
                      <a:avLst/>
                    </a:prstGeom>
                  </pic:spPr>
                </pic:pic>
              </a:graphicData>
            </a:graphic>
          </wp:inline>
        </w:drawing>
      </w:r>
    </w:p>
    <w:p w14:paraId="4674331D" w14:textId="4AD4EB39" w:rsidR="00EC3BA3" w:rsidRPr="00BF2CF5" w:rsidRDefault="00EC3BA3" w:rsidP="00EC3BA3">
      <w:pPr>
        <w:spacing w:after="0" w:line="240" w:lineRule="auto"/>
        <w:ind w:left="1418" w:right="946" w:hanging="709"/>
        <w:rPr>
          <w:rFonts w:ascii="Arial" w:hAnsi="Arial"/>
          <w:b/>
          <w:bCs/>
          <w:color w:val="000000" w:themeColor="text1"/>
          <w:sz w:val="18"/>
          <w:szCs w:val="18"/>
        </w:rPr>
      </w:pPr>
      <w:r w:rsidRPr="00BF2CF5">
        <w:rPr>
          <w:rFonts w:ascii="Arial" w:hAnsi="Arial"/>
          <w:b/>
          <w:bCs/>
          <w:color w:val="000000" w:themeColor="text1"/>
          <w:sz w:val="16"/>
          <w:szCs w:val="16"/>
        </w:rPr>
        <w:t xml:space="preserve">Source: </w:t>
      </w:r>
      <w:r w:rsidRPr="00BF2CF5">
        <w:rPr>
          <w:rFonts w:ascii="Arial" w:hAnsi="Arial"/>
          <w:b/>
          <w:bCs/>
          <w:color w:val="000000" w:themeColor="text1"/>
          <w:sz w:val="16"/>
          <w:szCs w:val="16"/>
        </w:rPr>
        <w:tab/>
      </w:r>
      <w:r w:rsidRPr="00BF2CF5">
        <w:rPr>
          <w:rFonts w:ascii="Arial" w:hAnsi="Arial"/>
          <w:color w:val="000000" w:themeColor="text1"/>
          <w:sz w:val="16"/>
          <w:szCs w:val="16"/>
        </w:rPr>
        <w:t xml:space="preserve">MSD collation from information from the Royal Commission on Social Security, Department of Social Welfare Annual Reports, Income Support Service / Work and Income Fact Sheets and Budget </w:t>
      </w:r>
      <w:r w:rsidR="009B2803">
        <w:rPr>
          <w:rFonts w:ascii="Arial" w:hAnsi="Arial"/>
          <w:color w:val="000000" w:themeColor="text1"/>
          <w:sz w:val="16"/>
          <w:szCs w:val="16"/>
        </w:rPr>
        <w:t>documents</w:t>
      </w:r>
      <w:r w:rsidRPr="00BF2CF5">
        <w:rPr>
          <w:rFonts w:ascii="Arial" w:hAnsi="Arial"/>
          <w:color w:val="000000" w:themeColor="text1"/>
          <w:sz w:val="16"/>
          <w:szCs w:val="16"/>
        </w:rPr>
        <w:t>.</w:t>
      </w:r>
    </w:p>
    <w:p w14:paraId="72D9A969" w14:textId="77777777" w:rsidR="00EC3BA3" w:rsidRPr="00BF2CF5" w:rsidRDefault="00EC3BA3" w:rsidP="00EC3BA3">
      <w:pPr>
        <w:spacing w:after="0" w:line="240" w:lineRule="auto"/>
        <w:ind w:left="709"/>
        <w:rPr>
          <w:rFonts w:ascii="Arial" w:hAnsi="Arial"/>
          <w:b/>
          <w:bCs/>
          <w:color w:val="000000" w:themeColor="text1"/>
          <w:sz w:val="18"/>
          <w:szCs w:val="18"/>
        </w:rPr>
      </w:pPr>
    </w:p>
    <w:p w14:paraId="23452518" w14:textId="2E646B36" w:rsidR="00EC3BA3" w:rsidRPr="00000E10" w:rsidRDefault="00EC3BA3" w:rsidP="00EC3BA3">
      <w:pPr>
        <w:spacing w:after="0" w:line="240" w:lineRule="auto"/>
        <w:rPr>
          <w:rFonts w:ascii="Arial" w:hAnsi="Arial"/>
          <w:color w:val="000000" w:themeColor="text1"/>
          <w:szCs w:val="20"/>
        </w:rPr>
      </w:pPr>
      <w:r w:rsidRPr="00000E10">
        <w:rPr>
          <w:rFonts w:ascii="Arial" w:hAnsi="Arial"/>
          <w:color w:val="000000" w:themeColor="text1"/>
          <w:szCs w:val="20"/>
        </w:rPr>
        <w:t xml:space="preserve">While </w:t>
      </w:r>
      <w:r>
        <w:rPr>
          <w:rFonts w:ascii="Arial" w:hAnsi="Arial"/>
          <w:color w:val="000000" w:themeColor="text1"/>
          <w:szCs w:val="20"/>
        </w:rPr>
        <w:t xml:space="preserve">Figure </w:t>
      </w:r>
      <w:r w:rsidR="001E1422">
        <w:rPr>
          <w:rFonts w:ascii="Arial" w:hAnsi="Arial"/>
          <w:color w:val="000000" w:themeColor="text1"/>
          <w:szCs w:val="20"/>
        </w:rPr>
        <w:t>G</w:t>
      </w:r>
      <w:r>
        <w:rPr>
          <w:rFonts w:ascii="Arial" w:hAnsi="Arial"/>
          <w:color w:val="000000" w:themeColor="text1"/>
          <w:szCs w:val="20"/>
        </w:rPr>
        <w:t>.</w:t>
      </w:r>
      <w:r w:rsidR="00CA4C5C">
        <w:rPr>
          <w:rFonts w:ascii="Arial" w:hAnsi="Arial"/>
          <w:color w:val="000000" w:themeColor="text1"/>
          <w:szCs w:val="20"/>
        </w:rPr>
        <w:t>7</w:t>
      </w:r>
      <w:r w:rsidRPr="00000E10">
        <w:rPr>
          <w:rFonts w:ascii="Arial" w:hAnsi="Arial"/>
          <w:color w:val="000000" w:themeColor="text1"/>
          <w:szCs w:val="20"/>
        </w:rPr>
        <w:t xml:space="preserve"> provide</w:t>
      </w:r>
      <w:r>
        <w:rPr>
          <w:rFonts w:ascii="Arial" w:hAnsi="Arial"/>
          <w:color w:val="000000" w:themeColor="text1"/>
          <w:szCs w:val="20"/>
        </w:rPr>
        <w:t>s</w:t>
      </w:r>
      <w:r w:rsidRPr="00000E10">
        <w:rPr>
          <w:rFonts w:ascii="Arial" w:hAnsi="Arial"/>
          <w:color w:val="000000" w:themeColor="text1"/>
          <w:szCs w:val="20"/>
        </w:rPr>
        <w:t xml:space="preserve"> valuable information about key aspects of the trends in income of selected beneficiary recipients it does not tell the full story. In particular, it does not take account of either accommodation costs or the housing support provided through the Accommodation Supplement (AS) since 1993 or the Income-Related Rent subsidy (IRRS) for those in public housing (from 2000). The Temporary Additional Support (TAS) assistance can also have </w:t>
      </w:r>
      <w:r w:rsidR="00CA4C5C">
        <w:rPr>
          <w:rFonts w:ascii="Arial" w:hAnsi="Arial"/>
          <w:color w:val="000000" w:themeColor="text1"/>
          <w:szCs w:val="20"/>
        </w:rPr>
        <w:t xml:space="preserve">a </w:t>
      </w:r>
      <w:r w:rsidRPr="00000E10">
        <w:rPr>
          <w:rFonts w:ascii="Arial" w:hAnsi="Arial"/>
          <w:color w:val="000000" w:themeColor="text1"/>
          <w:szCs w:val="20"/>
        </w:rPr>
        <w:t>significant impact on the level of housing support for some.</w:t>
      </w:r>
    </w:p>
    <w:p w14:paraId="2EACDE9D" w14:textId="6E54B858" w:rsidR="00EC3BA3" w:rsidRPr="002C3EA2" w:rsidRDefault="00EC3BA3">
      <w:pPr>
        <w:numPr>
          <w:ilvl w:val="0"/>
          <w:numId w:val="82"/>
        </w:numPr>
        <w:spacing w:before="60" w:after="0" w:line="240" w:lineRule="auto"/>
        <w:ind w:left="714" w:hanging="357"/>
        <w:rPr>
          <w:rFonts w:ascii="Arial" w:hAnsi="Arial"/>
          <w:color w:val="000000" w:themeColor="text1"/>
          <w:szCs w:val="20"/>
        </w:rPr>
      </w:pPr>
      <w:r w:rsidRPr="002C3EA2">
        <w:rPr>
          <w:rFonts w:ascii="Arial" w:hAnsi="Arial"/>
          <w:color w:val="000000" w:themeColor="text1"/>
        </w:rPr>
        <w:t xml:space="preserve">Net housing costs depend on both the level of housing costs and the entitlement to different housing subsidies. The subsidies are provided at different levels depending on geographical area, household income, and other factors. Given the wide variations in housing costs and subsidy amounts there are </w:t>
      </w:r>
      <w:r w:rsidRPr="002C3EA2">
        <w:rPr>
          <w:rFonts w:ascii="Arial" w:hAnsi="Arial"/>
          <w:color w:val="000000" w:themeColor="text1"/>
          <w:szCs w:val="20"/>
        </w:rPr>
        <w:t xml:space="preserve">considerable challenges for producing a full ‘after housing costs and housing support’ time series using the example families approach as in Figure </w:t>
      </w:r>
      <w:r w:rsidR="001E1422">
        <w:rPr>
          <w:rFonts w:ascii="Arial" w:hAnsi="Arial"/>
          <w:color w:val="000000" w:themeColor="text1"/>
          <w:szCs w:val="20"/>
        </w:rPr>
        <w:t>G</w:t>
      </w:r>
      <w:r>
        <w:rPr>
          <w:rFonts w:ascii="Arial" w:hAnsi="Arial"/>
          <w:color w:val="000000" w:themeColor="text1"/>
          <w:szCs w:val="20"/>
        </w:rPr>
        <w:t>.</w:t>
      </w:r>
      <w:r w:rsidR="002C7C05">
        <w:rPr>
          <w:rFonts w:ascii="Arial" w:hAnsi="Arial"/>
          <w:color w:val="000000" w:themeColor="text1"/>
          <w:szCs w:val="20"/>
        </w:rPr>
        <w:t>7</w:t>
      </w:r>
      <w:r w:rsidRPr="002C3EA2">
        <w:rPr>
          <w:rFonts w:ascii="Arial" w:hAnsi="Arial"/>
          <w:color w:val="000000" w:themeColor="text1"/>
          <w:szCs w:val="20"/>
        </w:rPr>
        <w:t xml:space="preserve"> above.</w:t>
      </w:r>
    </w:p>
    <w:p w14:paraId="38E4FF28" w14:textId="0D568F10" w:rsidR="00EC3BA3" w:rsidRPr="002C7C05" w:rsidRDefault="00EC3BA3">
      <w:pPr>
        <w:numPr>
          <w:ilvl w:val="0"/>
          <w:numId w:val="82"/>
        </w:numPr>
        <w:spacing w:before="60" w:after="0" w:line="240" w:lineRule="auto"/>
        <w:ind w:left="714" w:hanging="357"/>
        <w:rPr>
          <w:rFonts w:ascii="Arial" w:hAnsi="Arial"/>
          <w:b/>
          <w:bCs/>
          <w:color w:val="000000" w:themeColor="text1"/>
          <w:szCs w:val="20"/>
        </w:rPr>
      </w:pPr>
      <w:r w:rsidRPr="002C3EA2">
        <w:rPr>
          <w:rFonts w:ascii="Arial" w:hAnsi="Arial"/>
          <w:color w:val="000000" w:themeColor="text1"/>
          <w:szCs w:val="20"/>
        </w:rPr>
        <w:t>Recent analysis by MSD using actual beneficiary income and housing costs data is now available in the ‘Total Incomes’ report</w:t>
      </w:r>
      <w:r w:rsidR="002C7C05">
        <w:rPr>
          <w:rFonts w:ascii="Arial" w:hAnsi="Arial"/>
          <w:color w:val="000000" w:themeColor="text1"/>
          <w:szCs w:val="20"/>
        </w:rPr>
        <w:t xml:space="preserve"> which is available on the MSD website at:</w:t>
      </w:r>
    </w:p>
    <w:p w14:paraId="41526086" w14:textId="5BB61995" w:rsidR="002C7C05" w:rsidRPr="007B6EB9" w:rsidRDefault="007B6EB9" w:rsidP="002C7C05">
      <w:pPr>
        <w:spacing w:before="20" w:after="0" w:line="240" w:lineRule="auto"/>
        <w:ind w:left="714"/>
        <w:rPr>
          <w:rFonts w:ascii="Arial" w:hAnsi="Arial"/>
          <w:color w:val="FF0000"/>
          <w:sz w:val="18"/>
          <w:szCs w:val="18"/>
        </w:rPr>
      </w:pPr>
      <w:hyperlink r:id="rId67" w:history="1">
        <w:r w:rsidRPr="008D478E">
          <w:rPr>
            <w:rStyle w:val="Hyperlink"/>
            <w:rFonts w:ascii="Arial" w:hAnsi="Arial"/>
            <w:sz w:val="18"/>
            <w:szCs w:val="18"/>
          </w:rPr>
          <w:t>https://www.msd.govt.nz/about-msd-and-our-work/publications-resources/research/benefit-system/total-incomes-annual-report-2024.html</w:t>
        </w:r>
        <w:r w:rsidRPr="008D478E">
          <w:rPr>
            <w:rStyle w:val="Hyperlink"/>
          </w:rPr>
          <w:t>.</w:t>
        </w:r>
        <w:r w:rsidRPr="008D478E">
          <w:rPr>
            <w:rStyle w:val="Hyperlink"/>
            <w:rFonts w:ascii="Arial" w:hAnsi="Arial"/>
            <w:sz w:val="18"/>
            <w:szCs w:val="18"/>
          </w:rPr>
          <w:t xml:space="preserve"> </w:t>
        </w:r>
      </w:hyperlink>
    </w:p>
    <w:p w14:paraId="441D7E5E" w14:textId="77777777" w:rsidR="00EC3BA3" w:rsidRPr="002C3EA2" w:rsidRDefault="00EC3BA3" w:rsidP="00EC3BA3">
      <w:pPr>
        <w:spacing w:after="0" w:line="240" w:lineRule="auto"/>
        <w:rPr>
          <w:rFonts w:ascii="Arial" w:hAnsi="Arial"/>
          <w:b/>
          <w:bCs/>
          <w:color w:val="000000" w:themeColor="text1"/>
          <w:szCs w:val="20"/>
        </w:rPr>
      </w:pPr>
    </w:p>
    <w:p w14:paraId="42EEF200" w14:textId="77777777" w:rsidR="002C7C05" w:rsidRDefault="002C7C05" w:rsidP="00EC3BA3">
      <w:pPr>
        <w:spacing w:after="0" w:line="240" w:lineRule="auto"/>
        <w:rPr>
          <w:rFonts w:ascii="Arial" w:hAnsi="Arial"/>
          <w:b/>
          <w:bCs/>
          <w:i/>
          <w:iCs/>
          <w:color w:val="000000" w:themeColor="text1"/>
          <w:szCs w:val="20"/>
          <w:highlight w:val="yellow"/>
        </w:rPr>
      </w:pPr>
    </w:p>
    <w:p w14:paraId="77AF00DA" w14:textId="39395F95" w:rsidR="00EC3BA3" w:rsidRPr="002C7C05" w:rsidRDefault="00EC3BA3" w:rsidP="00EC3BA3">
      <w:pPr>
        <w:spacing w:after="0" w:line="240" w:lineRule="auto"/>
        <w:rPr>
          <w:rFonts w:ascii="Arial" w:hAnsi="Arial"/>
          <w:b/>
          <w:bCs/>
          <w:i/>
          <w:iCs/>
          <w:color w:val="000000" w:themeColor="text1"/>
          <w:szCs w:val="20"/>
        </w:rPr>
      </w:pPr>
      <w:r w:rsidRPr="002C7C05">
        <w:rPr>
          <w:rFonts w:ascii="Arial" w:hAnsi="Arial"/>
          <w:b/>
          <w:bCs/>
          <w:i/>
          <w:iCs/>
          <w:color w:val="000000" w:themeColor="text1"/>
          <w:szCs w:val="20"/>
        </w:rPr>
        <w:t>AHC income trends are also impacted by trends in rent</w:t>
      </w:r>
      <w:r w:rsidR="0052449E">
        <w:rPr>
          <w:rFonts w:ascii="Arial" w:hAnsi="Arial"/>
          <w:b/>
          <w:bCs/>
          <w:i/>
          <w:iCs/>
          <w:color w:val="000000" w:themeColor="text1"/>
          <w:szCs w:val="20"/>
        </w:rPr>
        <w:t>, rates, insurance</w:t>
      </w:r>
      <w:r w:rsidRPr="002C7C05">
        <w:rPr>
          <w:rFonts w:ascii="Arial" w:hAnsi="Arial"/>
          <w:b/>
          <w:bCs/>
          <w:i/>
          <w:iCs/>
          <w:color w:val="000000" w:themeColor="text1"/>
          <w:szCs w:val="20"/>
        </w:rPr>
        <w:t xml:space="preserve"> and mortgage interest and house prices</w:t>
      </w:r>
    </w:p>
    <w:p w14:paraId="0FC0A029" w14:textId="77777777" w:rsidR="00EC3BA3" w:rsidRPr="002C7C05" w:rsidRDefault="00EC3BA3" w:rsidP="00EC3BA3">
      <w:pPr>
        <w:spacing w:after="0" w:line="240" w:lineRule="auto"/>
        <w:rPr>
          <w:rFonts w:ascii="Arial" w:hAnsi="Arial"/>
          <w:b/>
          <w:bCs/>
          <w:i/>
          <w:iCs/>
          <w:color w:val="000000" w:themeColor="text1"/>
          <w:szCs w:val="20"/>
        </w:rPr>
      </w:pPr>
    </w:p>
    <w:p w14:paraId="6BCD0D33" w14:textId="4744DD7F" w:rsidR="00EC3BA3" w:rsidRPr="00A75035" w:rsidRDefault="00EC3BA3" w:rsidP="00EC3BA3">
      <w:pPr>
        <w:spacing w:after="0" w:line="240" w:lineRule="auto"/>
        <w:rPr>
          <w:rFonts w:ascii="Arial" w:hAnsi="Arial"/>
          <w:color w:val="000000" w:themeColor="text1"/>
          <w:szCs w:val="20"/>
        </w:rPr>
      </w:pPr>
      <w:r w:rsidRPr="002C7C05">
        <w:rPr>
          <w:rFonts w:ascii="Arial" w:hAnsi="Arial"/>
          <w:color w:val="000000" w:themeColor="text1"/>
          <w:szCs w:val="20"/>
        </w:rPr>
        <w:t xml:space="preserve">See </w:t>
      </w:r>
      <w:r w:rsidRPr="002C7C05">
        <w:rPr>
          <w:rFonts w:ascii="Arial" w:hAnsi="Arial"/>
          <w:b/>
          <w:bCs/>
          <w:color w:val="000000" w:themeColor="text1"/>
          <w:szCs w:val="20"/>
        </w:rPr>
        <w:t xml:space="preserve">Section </w:t>
      </w:r>
      <w:r w:rsidR="001E1422">
        <w:rPr>
          <w:rFonts w:ascii="Arial" w:hAnsi="Arial"/>
          <w:b/>
          <w:bCs/>
          <w:color w:val="000000" w:themeColor="text1"/>
          <w:szCs w:val="20"/>
        </w:rPr>
        <w:t>I</w:t>
      </w:r>
      <w:r w:rsidRPr="002C7C05">
        <w:rPr>
          <w:rFonts w:ascii="Arial" w:hAnsi="Arial"/>
          <w:color w:val="000000" w:themeColor="text1"/>
          <w:szCs w:val="20"/>
        </w:rPr>
        <w:t xml:space="preserve"> for information on this.</w:t>
      </w:r>
    </w:p>
    <w:p w14:paraId="3480423B" w14:textId="77777777" w:rsidR="00EC3BA3" w:rsidRPr="00A75035" w:rsidRDefault="00EC3BA3" w:rsidP="00EC3BA3">
      <w:pPr>
        <w:spacing w:after="0" w:line="240" w:lineRule="auto"/>
        <w:rPr>
          <w:rFonts w:ascii="Arial" w:hAnsi="Arial"/>
          <w:b/>
          <w:bCs/>
          <w:i/>
          <w:iCs/>
          <w:color w:val="000000" w:themeColor="text1"/>
          <w:szCs w:val="20"/>
        </w:rPr>
      </w:pPr>
    </w:p>
    <w:p w14:paraId="2FE38BF1" w14:textId="33EC0E2B" w:rsidR="00F2118F" w:rsidRPr="006661B5" w:rsidRDefault="00EC3BA3" w:rsidP="00F2118F">
      <w:pPr>
        <w:spacing w:after="0" w:line="240" w:lineRule="auto"/>
        <w:rPr>
          <w:rFonts w:ascii="Arial" w:hAnsi="Arial"/>
          <w:b/>
          <w:bCs/>
          <w:color w:val="FF0000"/>
          <w:szCs w:val="20"/>
        </w:rPr>
      </w:pPr>
      <w:r>
        <w:rPr>
          <w:rFonts w:ascii="Arial" w:eastAsia="Times New Roman" w:hAnsi="Arial" w:cs="Times New Roman"/>
          <w:b/>
          <w:color w:val="000000"/>
          <w:szCs w:val="20"/>
          <w:lang w:val="en-GB"/>
        </w:rPr>
        <w:br w:type="page"/>
      </w:r>
      <w:r w:rsidR="001976BF">
        <w:rPr>
          <w:rFonts w:ascii="Arial" w:hAnsi="Arial"/>
          <w:b/>
          <w:bCs/>
          <w:color w:val="000000"/>
          <w:szCs w:val="20"/>
        </w:rPr>
        <w:lastRenderedPageBreak/>
        <w:t>Household i</w:t>
      </w:r>
      <w:r w:rsidR="00F2118F">
        <w:rPr>
          <w:rFonts w:ascii="Arial" w:hAnsi="Arial"/>
          <w:b/>
          <w:bCs/>
          <w:color w:val="000000"/>
          <w:szCs w:val="20"/>
        </w:rPr>
        <w:t>ncome trends</w:t>
      </w:r>
      <w:r w:rsidR="00F2118F" w:rsidRPr="002C3EA2">
        <w:rPr>
          <w:rFonts w:ascii="Arial" w:hAnsi="Arial"/>
          <w:b/>
          <w:bCs/>
          <w:color w:val="000000"/>
          <w:szCs w:val="20"/>
        </w:rPr>
        <w:t xml:space="preserve"> </w:t>
      </w:r>
      <w:r w:rsidR="001976BF">
        <w:rPr>
          <w:rFonts w:ascii="Arial" w:hAnsi="Arial"/>
          <w:b/>
          <w:bCs/>
          <w:color w:val="000000"/>
          <w:szCs w:val="20"/>
        </w:rPr>
        <w:t xml:space="preserve">for children </w:t>
      </w:r>
      <w:r w:rsidR="00F2118F" w:rsidRPr="002C3EA2">
        <w:rPr>
          <w:rFonts w:ascii="Arial" w:hAnsi="Arial"/>
          <w:b/>
          <w:bCs/>
          <w:color w:val="000000"/>
          <w:szCs w:val="20"/>
        </w:rPr>
        <w:t>by household type</w:t>
      </w:r>
      <w:r w:rsidR="004032A0">
        <w:rPr>
          <w:rFonts w:ascii="Arial" w:hAnsi="Arial"/>
          <w:b/>
          <w:bCs/>
          <w:color w:val="000000"/>
          <w:szCs w:val="20"/>
        </w:rPr>
        <w:t xml:space="preserve"> and </w:t>
      </w:r>
      <w:r w:rsidR="001976BF">
        <w:rPr>
          <w:rFonts w:ascii="Arial" w:hAnsi="Arial"/>
          <w:b/>
          <w:bCs/>
          <w:color w:val="000000"/>
          <w:szCs w:val="20"/>
        </w:rPr>
        <w:t>ethnicity</w:t>
      </w:r>
      <w:r w:rsidR="00F2118F" w:rsidRPr="002C3EA2">
        <w:rPr>
          <w:rFonts w:ascii="Arial" w:hAnsi="Arial"/>
          <w:b/>
          <w:bCs/>
          <w:color w:val="000000"/>
          <w:szCs w:val="20"/>
        </w:rPr>
        <w:t xml:space="preserve"> </w:t>
      </w:r>
      <w:r w:rsidR="00F2118F">
        <w:rPr>
          <w:rFonts w:ascii="Arial" w:hAnsi="Arial"/>
          <w:b/>
          <w:bCs/>
          <w:color w:val="000000"/>
          <w:szCs w:val="20"/>
        </w:rPr>
        <w:t>(1982 to 202</w:t>
      </w:r>
      <w:r w:rsidR="00D1296F">
        <w:rPr>
          <w:rFonts w:ascii="Arial" w:hAnsi="Arial"/>
          <w:b/>
          <w:bCs/>
          <w:color w:val="000000"/>
          <w:szCs w:val="20"/>
        </w:rPr>
        <w:t>5</w:t>
      </w:r>
      <w:r w:rsidR="00F2118F">
        <w:rPr>
          <w:rFonts w:ascii="Arial" w:hAnsi="Arial"/>
          <w:b/>
          <w:bCs/>
          <w:color w:val="000000"/>
          <w:szCs w:val="20"/>
        </w:rPr>
        <w:t>)</w:t>
      </w:r>
      <w:r w:rsidR="006661B5">
        <w:rPr>
          <w:rFonts w:ascii="Arial" w:hAnsi="Arial"/>
          <w:b/>
          <w:bCs/>
          <w:color w:val="000000"/>
          <w:szCs w:val="20"/>
        </w:rPr>
        <w:t xml:space="preserve"> </w:t>
      </w:r>
    </w:p>
    <w:p w14:paraId="477C799D" w14:textId="21395D84" w:rsidR="00F2118F" w:rsidRPr="002C3EA2" w:rsidRDefault="00F2118F" w:rsidP="00F2118F">
      <w:pPr>
        <w:spacing w:after="0" w:line="240" w:lineRule="auto"/>
        <w:rPr>
          <w:rFonts w:ascii="Arial" w:hAnsi="Arial"/>
          <w:b/>
          <w:bCs/>
          <w:color w:val="000000"/>
          <w:szCs w:val="20"/>
        </w:rPr>
      </w:pPr>
    </w:p>
    <w:p w14:paraId="0D524671" w14:textId="62BA8FB8" w:rsidR="00F2118F" w:rsidRPr="002C3EA2" w:rsidRDefault="00F2118F" w:rsidP="00FC0537">
      <w:pPr>
        <w:spacing w:after="60" w:line="240" w:lineRule="auto"/>
        <w:rPr>
          <w:rFonts w:ascii="Arial" w:hAnsi="Arial"/>
          <w:color w:val="000000"/>
          <w:szCs w:val="20"/>
        </w:rPr>
      </w:pPr>
      <w:r w:rsidRPr="002C3EA2">
        <w:rPr>
          <w:rFonts w:ascii="Arial" w:hAnsi="Arial"/>
          <w:b/>
          <w:bCs/>
          <w:color w:val="000000"/>
          <w:szCs w:val="20"/>
        </w:rPr>
        <w:t xml:space="preserve">Figure </w:t>
      </w:r>
      <w:r w:rsidR="001E1422">
        <w:rPr>
          <w:rFonts w:ascii="Arial" w:hAnsi="Arial"/>
          <w:b/>
          <w:bCs/>
          <w:color w:val="000000"/>
          <w:szCs w:val="20"/>
        </w:rPr>
        <w:t>G</w:t>
      </w:r>
      <w:r w:rsidR="009A5A9A">
        <w:rPr>
          <w:rFonts w:ascii="Arial" w:hAnsi="Arial"/>
          <w:b/>
          <w:bCs/>
          <w:color w:val="000000"/>
          <w:szCs w:val="20"/>
        </w:rPr>
        <w:t>.</w:t>
      </w:r>
      <w:r w:rsidR="0095447B">
        <w:rPr>
          <w:rFonts w:ascii="Arial" w:hAnsi="Arial"/>
          <w:b/>
          <w:bCs/>
          <w:color w:val="000000"/>
          <w:szCs w:val="20"/>
        </w:rPr>
        <w:t>8</w:t>
      </w:r>
      <w:r w:rsidRPr="002C3EA2">
        <w:rPr>
          <w:rFonts w:ascii="Arial" w:hAnsi="Arial"/>
          <w:b/>
          <w:bCs/>
          <w:color w:val="000000"/>
          <w:szCs w:val="20"/>
        </w:rPr>
        <w:t xml:space="preserve"> </w:t>
      </w:r>
      <w:r w:rsidRPr="002C3EA2">
        <w:rPr>
          <w:rFonts w:ascii="Arial" w:hAnsi="Arial"/>
          <w:color w:val="000000"/>
          <w:szCs w:val="20"/>
        </w:rPr>
        <w:t>shows the trend in ‘real’ CPI-adjusted median</w:t>
      </w:r>
      <w:r w:rsidR="002114FE">
        <w:rPr>
          <w:rFonts w:ascii="Arial" w:hAnsi="Arial"/>
          <w:color w:val="000000"/>
          <w:szCs w:val="20"/>
        </w:rPr>
        <w:t xml:space="preserve"> </w:t>
      </w:r>
      <w:r w:rsidRPr="002C3EA2">
        <w:rPr>
          <w:rFonts w:ascii="Arial" w:hAnsi="Arial"/>
          <w:color w:val="000000"/>
          <w:szCs w:val="20"/>
        </w:rPr>
        <w:t>incomes after deducting housing costs (AHC) for households with children and for couple-only (&lt;65) households for comparison.</w:t>
      </w:r>
      <w:r w:rsidR="001F5C74">
        <w:rPr>
          <w:rStyle w:val="FootnoteReference"/>
          <w:rFonts w:ascii="Arial" w:hAnsi="Arial"/>
          <w:color w:val="000000"/>
          <w:szCs w:val="20"/>
        </w:rPr>
        <w:footnoteReference w:id="81"/>
      </w:r>
      <w:r w:rsidRPr="002C3EA2">
        <w:rPr>
          <w:rFonts w:ascii="Arial" w:hAnsi="Arial"/>
          <w:color w:val="000000"/>
          <w:szCs w:val="20"/>
        </w:rPr>
        <w:t xml:space="preserve"> </w:t>
      </w:r>
    </w:p>
    <w:p w14:paraId="4CCAF4C1" w14:textId="211C6024" w:rsidR="00FA1F69" w:rsidRPr="0069529E" w:rsidRDefault="003716B9">
      <w:pPr>
        <w:numPr>
          <w:ilvl w:val="0"/>
          <w:numId w:val="26"/>
        </w:numPr>
        <w:spacing w:after="60" w:line="240" w:lineRule="auto"/>
        <w:ind w:left="714" w:hanging="357"/>
        <w:rPr>
          <w:rFonts w:ascii="Arial" w:hAnsi="Arial"/>
          <w:color w:val="000000"/>
          <w:sz w:val="18"/>
          <w:szCs w:val="18"/>
        </w:rPr>
      </w:pPr>
      <w:r w:rsidRPr="0069529E">
        <w:rPr>
          <w:rFonts w:ascii="Arial" w:hAnsi="Arial"/>
          <w:color w:val="000000"/>
          <w:sz w:val="18"/>
          <w:szCs w:val="18"/>
        </w:rPr>
        <w:t>The steady rise in real incomes th</w:t>
      </w:r>
      <w:r w:rsidR="00FA1F69" w:rsidRPr="0069529E">
        <w:rPr>
          <w:rFonts w:ascii="Arial" w:hAnsi="Arial"/>
          <w:color w:val="000000"/>
          <w:sz w:val="18"/>
          <w:szCs w:val="18"/>
        </w:rPr>
        <w:t>r</w:t>
      </w:r>
      <w:r w:rsidRPr="0069529E">
        <w:rPr>
          <w:rFonts w:ascii="Arial" w:hAnsi="Arial"/>
          <w:color w:val="000000"/>
          <w:sz w:val="18"/>
          <w:szCs w:val="18"/>
        </w:rPr>
        <w:t>ough to around 2022 is evident, followed by a flattening of the trend.</w:t>
      </w:r>
    </w:p>
    <w:p w14:paraId="28651EB1" w14:textId="3260B1C7" w:rsidR="00F2118F" w:rsidRPr="0069529E" w:rsidRDefault="00F2118F">
      <w:pPr>
        <w:numPr>
          <w:ilvl w:val="0"/>
          <w:numId w:val="26"/>
        </w:numPr>
        <w:spacing w:after="60" w:line="240" w:lineRule="auto"/>
        <w:ind w:left="714" w:hanging="357"/>
        <w:rPr>
          <w:rFonts w:ascii="Arial" w:hAnsi="Arial"/>
          <w:color w:val="000000"/>
          <w:sz w:val="18"/>
          <w:szCs w:val="18"/>
        </w:rPr>
      </w:pPr>
      <w:r w:rsidRPr="0069529E">
        <w:rPr>
          <w:rFonts w:ascii="Arial" w:hAnsi="Arial"/>
          <w:color w:val="000000"/>
          <w:sz w:val="18"/>
          <w:szCs w:val="18"/>
        </w:rPr>
        <w:t>Incomes for two-parent households generally track much the same as the overall population median, other multi-adult family households with children a little lower, and sole-parent households much lower</w:t>
      </w:r>
      <w:r w:rsidR="00FA1F69" w:rsidRPr="0069529E">
        <w:rPr>
          <w:rFonts w:ascii="Arial" w:hAnsi="Arial"/>
          <w:color w:val="000000"/>
          <w:sz w:val="18"/>
          <w:szCs w:val="18"/>
        </w:rPr>
        <w:t>.</w:t>
      </w:r>
      <w:r w:rsidRPr="0069529E">
        <w:rPr>
          <w:rFonts w:ascii="Arial" w:hAnsi="Arial"/>
          <w:color w:val="000000"/>
          <w:sz w:val="18"/>
          <w:szCs w:val="18"/>
        </w:rPr>
        <w:t xml:space="preserve"> </w:t>
      </w:r>
    </w:p>
    <w:p w14:paraId="4A572446" w14:textId="7EDCCA8E" w:rsidR="00F2118F" w:rsidRPr="0069529E" w:rsidRDefault="00F77938">
      <w:pPr>
        <w:numPr>
          <w:ilvl w:val="0"/>
          <w:numId w:val="26"/>
        </w:numPr>
        <w:spacing w:after="0" w:line="240" w:lineRule="auto"/>
        <w:ind w:left="714" w:hanging="357"/>
        <w:rPr>
          <w:rFonts w:ascii="Arial" w:hAnsi="Arial"/>
          <w:color w:val="000000" w:themeColor="text1"/>
          <w:sz w:val="18"/>
          <w:szCs w:val="18"/>
        </w:rPr>
      </w:pPr>
      <w:r w:rsidRPr="0069529E">
        <w:rPr>
          <w:rFonts w:ascii="Arial" w:hAnsi="Arial"/>
          <w:color w:val="000000" w:themeColor="text1"/>
          <w:sz w:val="18"/>
          <w:szCs w:val="18"/>
        </w:rPr>
        <w:t xml:space="preserve">Median </w:t>
      </w:r>
      <w:r w:rsidR="00F2118F" w:rsidRPr="0069529E">
        <w:rPr>
          <w:rFonts w:ascii="Arial" w:hAnsi="Arial"/>
          <w:color w:val="000000" w:themeColor="text1"/>
          <w:sz w:val="18"/>
          <w:szCs w:val="18"/>
        </w:rPr>
        <w:t>AHC incomes for sole-parent households have tracked at around 50</w:t>
      </w:r>
      <w:r w:rsidR="001F1842" w:rsidRPr="0069529E">
        <w:rPr>
          <w:rFonts w:ascii="Arial" w:hAnsi="Arial"/>
          <w:color w:val="000000" w:themeColor="text1"/>
          <w:sz w:val="18"/>
          <w:szCs w:val="18"/>
        </w:rPr>
        <w:t>-55</w:t>
      </w:r>
      <w:r w:rsidR="00F2118F" w:rsidRPr="0069529E">
        <w:rPr>
          <w:rFonts w:ascii="Arial" w:hAnsi="Arial"/>
          <w:color w:val="000000" w:themeColor="text1"/>
          <w:sz w:val="18"/>
          <w:szCs w:val="18"/>
        </w:rPr>
        <w:t xml:space="preserve">% of the </w:t>
      </w:r>
      <w:r w:rsidRPr="0069529E">
        <w:rPr>
          <w:rFonts w:ascii="Arial" w:hAnsi="Arial"/>
          <w:color w:val="000000" w:themeColor="text1"/>
          <w:sz w:val="18"/>
          <w:szCs w:val="18"/>
        </w:rPr>
        <w:t xml:space="preserve">population </w:t>
      </w:r>
      <w:r w:rsidR="00F2118F" w:rsidRPr="0069529E">
        <w:rPr>
          <w:rFonts w:ascii="Arial" w:hAnsi="Arial"/>
          <w:color w:val="000000" w:themeColor="text1"/>
          <w:sz w:val="18"/>
          <w:szCs w:val="18"/>
        </w:rPr>
        <w:t xml:space="preserve">median since the 1991 benefit cuts. </w:t>
      </w:r>
    </w:p>
    <w:p w14:paraId="0C175F35" w14:textId="7DB34522" w:rsidR="00F2118F" w:rsidRPr="00BF0142" w:rsidRDefault="00F2118F" w:rsidP="00F2118F">
      <w:pPr>
        <w:spacing w:after="0" w:line="240" w:lineRule="auto"/>
        <w:rPr>
          <w:rFonts w:ascii="Arial" w:hAnsi="Arial"/>
          <w:b/>
          <w:bCs/>
          <w:color w:val="000000"/>
          <w:sz w:val="14"/>
          <w:szCs w:val="14"/>
        </w:rPr>
      </w:pPr>
    </w:p>
    <w:p w14:paraId="77AC3C8E" w14:textId="50E02F57" w:rsidR="00F2118F" w:rsidRPr="002968C0" w:rsidRDefault="00F2118F" w:rsidP="00F2118F">
      <w:pPr>
        <w:spacing w:after="0" w:line="240" w:lineRule="auto"/>
        <w:jc w:val="center"/>
        <w:rPr>
          <w:rFonts w:ascii="Arial" w:hAnsi="Arial"/>
          <w:b/>
          <w:bCs/>
          <w:color w:val="FF0000"/>
          <w:sz w:val="18"/>
          <w:szCs w:val="18"/>
        </w:rPr>
      </w:pPr>
      <w:r w:rsidRPr="002C3EA2">
        <w:rPr>
          <w:rFonts w:ascii="Arial" w:hAnsi="Arial"/>
          <w:b/>
          <w:bCs/>
          <w:color w:val="000000"/>
          <w:sz w:val="18"/>
          <w:szCs w:val="18"/>
        </w:rPr>
        <w:t xml:space="preserve">Figure </w:t>
      </w:r>
      <w:r w:rsidR="001E1422">
        <w:rPr>
          <w:rFonts w:ascii="Arial" w:hAnsi="Arial"/>
          <w:b/>
          <w:bCs/>
          <w:color w:val="000000"/>
          <w:sz w:val="18"/>
          <w:szCs w:val="18"/>
        </w:rPr>
        <w:t>G</w:t>
      </w:r>
      <w:r w:rsidR="003858D4">
        <w:rPr>
          <w:rFonts w:ascii="Arial" w:hAnsi="Arial"/>
          <w:b/>
          <w:bCs/>
          <w:color w:val="000000"/>
          <w:sz w:val="18"/>
          <w:szCs w:val="18"/>
        </w:rPr>
        <w:t>.</w:t>
      </w:r>
      <w:r w:rsidR="00100D67">
        <w:rPr>
          <w:rFonts w:ascii="Arial" w:hAnsi="Arial"/>
          <w:b/>
          <w:bCs/>
          <w:color w:val="000000"/>
          <w:sz w:val="18"/>
          <w:szCs w:val="18"/>
        </w:rPr>
        <w:t>8</w:t>
      </w:r>
    </w:p>
    <w:p w14:paraId="259C1EA8" w14:textId="61703145" w:rsidR="00F2118F" w:rsidRPr="009E2EB0" w:rsidRDefault="003716B9" w:rsidP="00F2118F">
      <w:pPr>
        <w:spacing w:after="0" w:line="240" w:lineRule="auto"/>
        <w:jc w:val="center"/>
        <w:rPr>
          <w:rFonts w:ascii="Arial" w:hAnsi="Arial"/>
          <w:b/>
          <w:bCs/>
          <w:color w:val="3333FF"/>
          <w:sz w:val="18"/>
          <w:szCs w:val="18"/>
        </w:rPr>
      </w:pPr>
      <w:r w:rsidRPr="003716B9">
        <w:rPr>
          <w:noProof/>
        </w:rPr>
        <w:drawing>
          <wp:anchor distT="0" distB="0" distL="114300" distR="114300" simplePos="0" relativeHeight="253026304" behindDoc="0" locked="0" layoutInCell="1" allowOverlap="1" wp14:anchorId="3823BF29" wp14:editId="121D5679">
            <wp:simplePos x="0" y="0"/>
            <wp:positionH relativeFrom="margin">
              <wp:align>center</wp:align>
            </wp:positionH>
            <wp:positionV relativeFrom="paragraph">
              <wp:posOffset>209550</wp:posOffset>
            </wp:positionV>
            <wp:extent cx="3414395" cy="1962150"/>
            <wp:effectExtent l="0" t="0" r="0" b="0"/>
            <wp:wrapTopAndBottom/>
            <wp:docPr id="2448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438"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414395" cy="1962150"/>
                    </a:xfrm>
                    <a:prstGeom prst="rect">
                      <a:avLst/>
                    </a:prstGeom>
                  </pic:spPr>
                </pic:pic>
              </a:graphicData>
            </a:graphic>
            <wp14:sizeRelH relativeFrom="page">
              <wp14:pctWidth>0</wp14:pctWidth>
            </wp14:sizeRelH>
            <wp14:sizeRelV relativeFrom="page">
              <wp14:pctHeight>0</wp14:pctHeight>
            </wp14:sizeRelV>
          </wp:anchor>
        </w:drawing>
      </w:r>
      <w:r w:rsidR="00F2118F" w:rsidRPr="002C3EA2">
        <w:rPr>
          <w:rFonts w:ascii="Arial" w:hAnsi="Arial"/>
          <w:b/>
          <w:bCs/>
          <w:color w:val="000000"/>
          <w:sz w:val="18"/>
          <w:szCs w:val="18"/>
        </w:rPr>
        <w:t>Med</w:t>
      </w:r>
      <w:r w:rsidR="00F2118F">
        <w:rPr>
          <w:rFonts w:ascii="Arial" w:hAnsi="Arial"/>
          <w:b/>
          <w:bCs/>
          <w:color w:val="000000"/>
          <w:sz w:val="18"/>
          <w:szCs w:val="18"/>
        </w:rPr>
        <w:t>i</w:t>
      </w:r>
      <w:r w:rsidR="00F2118F" w:rsidRPr="002C3EA2">
        <w:rPr>
          <w:rFonts w:ascii="Arial" w:hAnsi="Arial"/>
          <w:b/>
          <w:bCs/>
          <w:color w:val="000000"/>
          <w:sz w:val="18"/>
          <w:szCs w:val="18"/>
        </w:rPr>
        <w:t xml:space="preserve">an incomes (equivalised AHC) of selected household </w:t>
      </w:r>
      <w:r w:rsidR="00F2118F" w:rsidRPr="00577E51">
        <w:rPr>
          <w:rFonts w:ascii="Arial" w:hAnsi="Arial"/>
          <w:b/>
          <w:bCs/>
          <w:color w:val="000000" w:themeColor="text1"/>
          <w:sz w:val="18"/>
          <w:szCs w:val="18"/>
        </w:rPr>
        <w:t>types in $202</w:t>
      </w:r>
      <w:r w:rsidR="00755AA0">
        <w:rPr>
          <w:rFonts w:ascii="Arial" w:hAnsi="Arial"/>
          <w:b/>
          <w:bCs/>
          <w:color w:val="000000" w:themeColor="text1"/>
          <w:sz w:val="18"/>
          <w:szCs w:val="18"/>
        </w:rPr>
        <w:t>5</w:t>
      </w:r>
      <w:r w:rsidR="00F2118F" w:rsidRPr="00577E51">
        <w:rPr>
          <w:rFonts w:ascii="Arial" w:hAnsi="Arial"/>
          <w:b/>
          <w:bCs/>
          <w:color w:val="000000" w:themeColor="text1"/>
          <w:sz w:val="18"/>
          <w:szCs w:val="18"/>
        </w:rPr>
        <w:t>, 1982 to 202</w:t>
      </w:r>
      <w:r w:rsidR="003858D4">
        <w:rPr>
          <w:rFonts w:ascii="Arial" w:hAnsi="Arial"/>
          <w:b/>
          <w:bCs/>
          <w:color w:val="000000" w:themeColor="text1"/>
          <w:sz w:val="18"/>
          <w:szCs w:val="18"/>
        </w:rPr>
        <w:t>5</w:t>
      </w:r>
    </w:p>
    <w:p w14:paraId="2A463C17" w14:textId="77777777" w:rsidR="001560F8" w:rsidRPr="00BF0142" w:rsidRDefault="001560F8" w:rsidP="00F2118F">
      <w:pPr>
        <w:spacing w:after="0" w:line="240" w:lineRule="auto"/>
        <w:rPr>
          <w:rFonts w:ascii="Arial" w:hAnsi="Arial"/>
          <w:b/>
          <w:color w:val="FF0000"/>
          <w:sz w:val="14"/>
          <w:szCs w:val="14"/>
        </w:rPr>
      </w:pPr>
    </w:p>
    <w:p w14:paraId="392EE499" w14:textId="3AB9703C" w:rsidR="007131EA" w:rsidRDefault="00F2118F" w:rsidP="00FC0537">
      <w:pPr>
        <w:spacing w:after="60" w:line="240" w:lineRule="auto"/>
        <w:rPr>
          <w:rFonts w:ascii="Arial" w:hAnsi="Arial"/>
          <w:bCs/>
          <w:color w:val="000000"/>
        </w:rPr>
      </w:pPr>
      <w:r w:rsidRPr="005A5BB0">
        <w:rPr>
          <w:rFonts w:ascii="Arial" w:hAnsi="Arial"/>
          <w:b/>
          <w:color w:val="000000"/>
        </w:rPr>
        <w:t>Figure</w:t>
      </w:r>
      <w:r>
        <w:rPr>
          <w:rFonts w:ascii="Arial" w:hAnsi="Arial"/>
          <w:b/>
          <w:color w:val="000000"/>
        </w:rPr>
        <w:t xml:space="preserve"> </w:t>
      </w:r>
      <w:r w:rsidR="001E1422">
        <w:rPr>
          <w:rFonts w:ascii="Arial" w:hAnsi="Arial"/>
          <w:b/>
          <w:color w:val="000000"/>
        </w:rPr>
        <w:t>G</w:t>
      </w:r>
      <w:r w:rsidR="009A5A9A">
        <w:rPr>
          <w:rFonts w:ascii="Arial" w:hAnsi="Arial"/>
          <w:b/>
          <w:color w:val="000000"/>
        </w:rPr>
        <w:t>.</w:t>
      </w:r>
      <w:r w:rsidR="00100D67">
        <w:rPr>
          <w:rFonts w:ascii="Arial" w:hAnsi="Arial"/>
          <w:b/>
          <w:color w:val="000000"/>
        </w:rPr>
        <w:t>9</w:t>
      </w:r>
      <w:r w:rsidRPr="002C3EA2">
        <w:rPr>
          <w:rFonts w:ascii="Arial" w:hAnsi="Arial"/>
          <w:bCs/>
          <w:color w:val="000000"/>
        </w:rPr>
        <w:t xml:space="preserve"> reports median AHC household income for children by ethnicity in real terms. </w:t>
      </w:r>
    </w:p>
    <w:p w14:paraId="6313DAB6" w14:textId="341885AC" w:rsidR="007131EA" w:rsidRPr="0069529E" w:rsidRDefault="00F2118F">
      <w:pPr>
        <w:pStyle w:val="ListParagraph"/>
        <w:numPr>
          <w:ilvl w:val="0"/>
          <w:numId w:val="84"/>
        </w:numPr>
        <w:spacing w:after="60" w:line="240" w:lineRule="auto"/>
        <w:ind w:left="714" w:hanging="357"/>
        <w:contextualSpacing w:val="0"/>
        <w:rPr>
          <w:rFonts w:ascii="Arial" w:hAnsi="Arial"/>
          <w:bCs/>
          <w:color w:val="000000" w:themeColor="text1"/>
          <w:sz w:val="18"/>
          <w:szCs w:val="18"/>
        </w:rPr>
      </w:pPr>
      <w:r w:rsidRPr="0069529E">
        <w:rPr>
          <w:rFonts w:ascii="Arial" w:hAnsi="Arial"/>
          <w:bCs/>
          <w:color w:val="000000" w:themeColor="text1"/>
          <w:sz w:val="18"/>
          <w:szCs w:val="18"/>
        </w:rPr>
        <w:t xml:space="preserve">There have been solid net </w:t>
      </w:r>
      <w:r w:rsidR="001F1842" w:rsidRPr="0069529E">
        <w:rPr>
          <w:rFonts w:ascii="Arial" w:hAnsi="Arial"/>
          <w:bCs/>
          <w:color w:val="000000" w:themeColor="text1"/>
          <w:sz w:val="18"/>
          <w:szCs w:val="18"/>
        </w:rPr>
        <w:t>increases</w:t>
      </w:r>
      <w:r w:rsidRPr="0069529E">
        <w:rPr>
          <w:rFonts w:ascii="Arial" w:hAnsi="Arial"/>
          <w:bCs/>
          <w:color w:val="000000" w:themeColor="text1"/>
          <w:sz w:val="18"/>
          <w:szCs w:val="18"/>
        </w:rPr>
        <w:t xml:space="preserve"> in real terms since 2007 for children in each of the main ethnic groups, albeit with different trajectories through and immediately after the GFC</w:t>
      </w:r>
      <w:r w:rsidR="007131EA" w:rsidRPr="0069529E">
        <w:rPr>
          <w:rFonts w:ascii="Arial" w:hAnsi="Arial"/>
          <w:bCs/>
          <w:color w:val="000000" w:themeColor="text1"/>
          <w:sz w:val="18"/>
          <w:szCs w:val="18"/>
        </w:rPr>
        <w:t xml:space="preserve"> (2007 to 2011)</w:t>
      </w:r>
      <w:r w:rsidR="00341818" w:rsidRPr="0069529E">
        <w:rPr>
          <w:rFonts w:ascii="Arial" w:hAnsi="Arial"/>
          <w:bCs/>
          <w:color w:val="000000" w:themeColor="text1"/>
          <w:sz w:val="18"/>
          <w:szCs w:val="18"/>
        </w:rPr>
        <w:t xml:space="preserve"> and a stalling of the steady increases </w:t>
      </w:r>
      <w:r w:rsidR="007131EA" w:rsidRPr="0069529E">
        <w:rPr>
          <w:rFonts w:ascii="Arial" w:hAnsi="Arial"/>
          <w:bCs/>
          <w:color w:val="000000" w:themeColor="text1"/>
          <w:sz w:val="18"/>
          <w:szCs w:val="18"/>
        </w:rPr>
        <w:t>starting from a</w:t>
      </w:r>
      <w:r w:rsidR="00341818" w:rsidRPr="0069529E">
        <w:rPr>
          <w:rFonts w:ascii="Arial" w:hAnsi="Arial"/>
          <w:bCs/>
          <w:color w:val="000000" w:themeColor="text1"/>
          <w:sz w:val="18"/>
          <w:szCs w:val="18"/>
        </w:rPr>
        <w:t xml:space="preserve">round 2022. </w:t>
      </w:r>
    </w:p>
    <w:p w14:paraId="4394329F" w14:textId="5524D359" w:rsidR="00F2118F" w:rsidRPr="0069529E" w:rsidRDefault="00341818">
      <w:pPr>
        <w:pStyle w:val="ListParagraph"/>
        <w:numPr>
          <w:ilvl w:val="0"/>
          <w:numId w:val="84"/>
        </w:numPr>
        <w:spacing w:after="60" w:line="240" w:lineRule="auto"/>
        <w:ind w:left="714" w:hanging="357"/>
        <w:contextualSpacing w:val="0"/>
        <w:rPr>
          <w:rFonts w:ascii="Arial" w:hAnsi="Arial"/>
          <w:bCs/>
          <w:color w:val="000000" w:themeColor="text1"/>
          <w:sz w:val="18"/>
          <w:szCs w:val="18"/>
        </w:rPr>
      </w:pPr>
      <w:r w:rsidRPr="0069529E">
        <w:rPr>
          <w:rFonts w:ascii="Arial" w:hAnsi="Arial"/>
          <w:bCs/>
          <w:color w:val="000000" w:themeColor="text1"/>
          <w:sz w:val="18"/>
          <w:szCs w:val="18"/>
        </w:rPr>
        <w:t xml:space="preserve">For the European, Māori and Asian groupings, the real (CPI-adjusted) </w:t>
      </w:r>
      <w:r w:rsidR="001F1842" w:rsidRPr="0069529E">
        <w:rPr>
          <w:rFonts w:ascii="Arial" w:hAnsi="Arial"/>
          <w:bCs/>
          <w:color w:val="000000" w:themeColor="text1"/>
          <w:sz w:val="18"/>
          <w:szCs w:val="18"/>
        </w:rPr>
        <w:t>increases</w:t>
      </w:r>
      <w:r w:rsidRPr="0069529E">
        <w:rPr>
          <w:rFonts w:ascii="Arial" w:hAnsi="Arial"/>
          <w:bCs/>
          <w:color w:val="000000" w:themeColor="text1"/>
          <w:sz w:val="18"/>
          <w:szCs w:val="18"/>
        </w:rPr>
        <w:t xml:space="preserve"> from 2007 to 2025 were 35% to 40%. The </w:t>
      </w:r>
      <w:r w:rsidR="001F1842" w:rsidRPr="0069529E">
        <w:rPr>
          <w:rFonts w:ascii="Arial" w:hAnsi="Arial"/>
          <w:bCs/>
          <w:color w:val="000000" w:themeColor="text1"/>
          <w:sz w:val="18"/>
          <w:szCs w:val="18"/>
        </w:rPr>
        <w:t>increase</w:t>
      </w:r>
      <w:r w:rsidRPr="0069529E">
        <w:rPr>
          <w:rFonts w:ascii="Arial" w:hAnsi="Arial"/>
          <w:bCs/>
          <w:color w:val="000000" w:themeColor="text1"/>
          <w:sz w:val="18"/>
          <w:szCs w:val="18"/>
        </w:rPr>
        <w:t xml:space="preserve"> for the Pacific grouping was lower at 30%.</w:t>
      </w:r>
    </w:p>
    <w:p w14:paraId="3DFF932C" w14:textId="49A1425C" w:rsidR="0069529E" w:rsidRPr="0069529E" w:rsidRDefault="005E5111">
      <w:pPr>
        <w:pStyle w:val="ListParagraph"/>
        <w:numPr>
          <w:ilvl w:val="0"/>
          <w:numId w:val="84"/>
        </w:numPr>
        <w:spacing w:after="0" w:line="240" w:lineRule="auto"/>
        <w:ind w:left="714" w:hanging="357"/>
        <w:contextualSpacing w:val="0"/>
        <w:rPr>
          <w:rFonts w:ascii="Arial" w:hAnsi="Arial"/>
          <w:bCs/>
          <w:color w:val="000000" w:themeColor="text1"/>
          <w:sz w:val="18"/>
          <w:szCs w:val="18"/>
        </w:rPr>
      </w:pPr>
      <w:r w:rsidRPr="0069529E">
        <w:rPr>
          <w:rFonts w:ascii="Arial" w:hAnsi="Arial"/>
          <w:bCs/>
          <w:color w:val="000000" w:themeColor="text1"/>
          <w:sz w:val="18"/>
          <w:szCs w:val="18"/>
        </w:rPr>
        <w:t xml:space="preserve">From 2018 to 2025 (the CPRA years), the </w:t>
      </w:r>
      <w:r w:rsidR="00B301BA" w:rsidRPr="0069529E">
        <w:rPr>
          <w:rFonts w:ascii="Arial" w:hAnsi="Arial"/>
          <w:bCs/>
          <w:color w:val="000000" w:themeColor="text1"/>
          <w:sz w:val="18"/>
          <w:szCs w:val="18"/>
        </w:rPr>
        <w:t>increases</w:t>
      </w:r>
      <w:r w:rsidRPr="0069529E">
        <w:rPr>
          <w:rFonts w:ascii="Arial" w:hAnsi="Arial"/>
          <w:bCs/>
          <w:color w:val="000000" w:themeColor="text1"/>
          <w:sz w:val="18"/>
          <w:szCs w:val="18"/>
        </w:rPr>
        <w:t xml:space="preserve"> in real AHC median income for the Māori and Pacific groupings have been stronger than for the European and Asian groupings (20-25% compared with around 10%).</w:t>
      </w:r>
      <w:r w:rsidR="0069529E">
        <w:rPr>
          <w:rFonts w:ascii="Arial" w:hAnsi="Arial"/>
          <w:bCs/>
          <w:color w:val="000000" w:themeColor="text1"/>
          <w:sz w:val="18"/>
          <w:szCs w:val="18"/>
        </w:rPr>
        <w:t xml:space="preserve"> This is likely to reflect the </w:t>
      </w:r>
      <w:r w:rsidR="0069529E" w:rsidRPr="0069529E">
        <w:rPr>
          <w:rFonts w:ascii="Arial" w:hAnsi="Arial"/>
          <w:bCs/>
          <w:color w:val="000000" w:themeColor="text1"/>
          <w:sz w:val="18"/>
          <w:szCs w:val="18"/>
        </w:rPr>
        <w:t xml:space="preserve">increased support for low-income families </w:t>
      </w:r>
      <w:r w:rsidR="0069529E">
        <w:rPr>
          <w:rFonts w:ascii="Arial" w:hAnsi="Arial"/>
          <w:bCs/>
          <w:color w:val="000000" w:themeColor="text1"/>
          <w:sz w:val="18"/>
          <w:szCs w:val="18"/>
        </w:rPr>
        <w:t>for much of the period (through</w:t>
      </w:r>
      <w:r w:rsidR="0069529E" w:rsidRPr="0069529E">
        <w:rPr>
          <w:rFonts w:ascii="Arial" w:hAnsi="Arial"/>
          <w:bCs/>
          <w:color w:val="000000" w:themeColor="text1"/>
          <w:sz w:val="18"/>
          <w:szCs w:val="18"/>
        </w:rPr>
        <w:t xml:space="preserve"> </w:t>
      </w:r>
      <w:r w:rsidR="0069529E">
        <w:rPr>
          <w:rFonts w:ascii="Arial" w:hAnsi="Arial"/>
          <w:bCs/>
          <w:color w:val="000000" w:themeColor="text1"/>
          <w:sz w:val="18"/>
          <w:szCs w:val="18"/>
        </w:rPr>
        <w:t xml:space="preserve">core </w:t>
      </w:r>
      <w:r w:rsidR="0069529E" w:rsidRPr="0069529E">
        <w:rPr>
          <w:rFonts w:ascii="Arial" w:hAnsi="Arial"/>
          <w:bCs/>
          <w:color w:val="000000" w:themeColor="text1"/>
          <w:sz w:val="18"/>
          <w:szCs w:val="18"/>
        </w:rPr>
        <w:t xml:space="preserve">benefit increases, </w:t>
      </w:r>
      <w:r w:rsidR="0069529E">
        <w:rPr>
          <w:rFonts w:ascii="Arial" w:hAnsi="Arial"/>
          <w:bCs/>
          <w:color w:val="000000" w:themeColor="text1"/>
          <w:sz w:val="18"/>
          <w:szCs w:val="18"/>
        </w:rPr>
        <w:t xml:space="preserve">the </w:t>
      </w:r>
      <w:r w:rsidR="0069529E" w:rsidRPr="0069529E">
        <w:rPr>
          <w:rFonts w:ascii="Arial" w:hAnsi="Arial"/>
          <w:bCs/>
          <w:color w:val="000000" w:themeColor="text1"/>
          <w:sz w:val="18"/>
          <w:szCs w:val="18"/>
        </w:rPr>
        <w:t xml:space="preserve">Families Package and </w:t>
      </w:r>
      <w:r w:rsidR="0069529E">
        <w:rPr>
          <w:rFonts w:ascii="Arial" w:hAnsi="Arial"/>
          <w:bCs/>
          <w:color w:val="000000" w:themeColor="text1"/>
          <w:sz w:val="18"/>
          <w:szCs w:val="18"/>
        </w:rPr>
        <w:t>solid real</w:t>
      </w:r>
      <w:r w:rsidR="0069529E" w:rsidRPr="0069529E">
        <w:rPr>
          <w:rFonts w:ascii="Arial" w:hAnsi="Arial"/>
          <w:bCs/>
          <w:color w:val="000000" w:themeColor="text1"/>
          <w:sz w:val="18"/>
          <w:szCs w:val="18"/>
        </w:rPr>
        <w:t xml:space="preserve"> minimum wage increases</w:t>
      </w:r>
      <w:r w:rsidR="0069529E">
        <w:rPr>
          <w:rFonts w:ascii="Arial" w:hAnsi="Arial"/>
          <w:bCs/>
          <w:color w:val="000000" w:themeColor="text1"/>
          <w:sz w:val="18"/>
          <w:szCs w:val="18"/>
        </w:rPr>
        <w:t>).</w:t>
      </w:r>
    </w:p>
    <w:p w14:paraId="2766DC19" w14:textId="77777777" w:rsidR="00F2118F" w:rsidRPr="006E3253" w:rsidRDefault="00F2118F" w:rsidP="00F2118F">
      <w:pPr>
        <w:spacing w:after="0" w:line="240" w:lineRule="auto"/>
        <w:ind w:right="-44"/>
        <w:jc w:val="center"/>
        <w:rPr>
          <w:rFonts w:ascii="Arial" w:eastAsia="Times New Roman" w:hAnsi="Arial"/>
          <w:b/>
          <w:color w:val="000000"/>
          <w:szCs w:val="20"/>
        </w:rPr>
      </w:pPr>
    </w:p>
    <w:p w14:paraId="301678DC" w14:textId="1B3DC8CC" w:rsidR="00F2118F" w:rsidRPr="00341818" w:rsidRDefault="00F2118F" w:rsidP="00F2118F">
      <w:pPr>
        <w:spacing w:after="0" w:line="240" w:lineRule="auto"/>
        <w:jc w:val="center"/>
        <w:rPr>
          <w:rFonts w:ascii="Arial" w:hAnsi="Arial"/>
          <w:b/>
          <w:bCs/>
          <w:color w:val="FF0000"/>
          <w:sz w:val="18"/>
          <w:szCs w:val="18"/>
        </w:rPr>
      </w:pPr>
      <w:r w:rsidRPr="002C3EA2">
        <w:rPr>
          <w:rFonts w:ascii="Arial" w:hAnsi="Arial"/>
          <w:b/>
          <w:bCs/>
          <w:color w:val="000000"/>
          <w:sz w:val="18"/>
          <w:szCs w:val="18"/>
        </w:rPr>
        <w:t xml:space="preserve">Figure </w:t>
      </w:r>
      <w:r w:rsidR="001E1422">
        <w:rPr>
          <w:rFonts w:ascii="Arial" w:hAnsi="Arial"/>
          <w:b/>
          <w:bCs/>
          <w:color w:val="000000"/>
          <w:sz w:val="18"/>
          <w:szCs w:val="18"/>
        </w:rPr>
        <w:t>G</w:t>
      </w:r>
      <w:r w:rsidR="003858D4">
        <w:rPr>
          <w:rFonts w:ascii="Arial" w:hAnsi="Arial"/>
          <w:b/>
          <w:bCs/>
          <w:color w:val="000000"/>
          <w:sz w:val="18"/>
          <w:szCs w:val="18"/>
        </w:rPr>
        <w:t>.</w:t>
      </w:r>
      <w:r w:rsidR="00100D67">
        <w:rPr>
          <w:rFonts w:ascii="Arial" w:hAnsi="Arial"/>
          <w:b/>
          <w:bCs/>
          <w:color w:val="000000"/>
          <w:sz w:val="18"/>
          <w:szCs w:val="18"/>
        </w:rPr>
        <w:t>9</w:t>
      </w:r>
    </w:p>
    <w:p w14:paraId="6927583A" w14:textId="3367036E" w:rsidR="00F2118F" w:rsidRPr="002C3EA2" w:rsidRDefault="00F2118F" w:rsidP="00F2118F">
      <w:pPr>
        <w:spacing w:after="0" w:line="240" w:lineRule="auto"/>
        <w:jc w:val="center"/>
        <w:rPr>
          <w:rFonts w:ascii="Arial" w:hAnsi="Arial"/>
          <w:b/>
          <w:bCs/>
          <w:color w:val="000000"/>
        </w:rPr>
      </w:pPr>
      <w:r w:rsidRPr="009331B5">
        <w:t xml:space="preserve"> </w:t>
      </w:r>
      <w:r w:rsidRPr="00CE6BFE">
        <w:rPr>
          <w:rFonts w:ascii="Arial" w:hAnsi="Arial"/>
          <w:b/>
          <w:bCs/>
          <w:noProof/>
          <w:color w:val="000000"/>
          <w:sz w:val="18"/>
          <w:szCs w:val="18"/>
        </w:rPr>
        <w:t xml:space="preserve">Median AHC household incomes for children, by (total) </w:t>
      </w:r>
      <w:r w:rsidRPr="004F42C0">
        <w:rPr>
          <w:rFonts w:ascii="Arial" w:hAnsi="Arial"/>
          <w:b/>
          <w:bCs/>
          <w:noProof/>
          <w:color w:val="000000" w:themeColor="text1"/>
          <w:sz w:val="18"/>
          <w:szCs w:val="18"/>
        </w:rPr>
        <w:t>ethnicity ($202</w:t>
      </w:r>
      <w:r w:rsidR="00755AA0">
        <w:rPr>
          <w:rFonts w:ascii="Arial" w:hAnsi="Arial"/>
          <w:b/>
          <w:bCs/>
          <w:noProof/>
          <w:color w:val="000000" w:themeColor="text1"/>
          <w:sz w:val="18"/>
          <w:szCs w:val="18"/>
        </w:rPr>
        <w:t>5</w:t>
      </w:r>
      <w:r w:rsidRPr="004F42C0">
        <w:rPr>
          <w:rFonts w:ascii="Arial" w:hAnsi="Arial"/>
          <w:b/>
          <w:bCs/>
          <w:noProof/>
          <w:color w:val="000000" w:themeColor="text1"/>
          <w:sz w:val="18"/>
          <w:szCs w:val="18"/>
        </w:rPr>
        <w:t xml:space="preserve">), </w:t>
      </w:r>
      <w:r w:rsidRPr="00CE6BFE">
        <w:rPr>
          <w:rFonts w:ascii="Arial" w:hAnsi="Arial"/>
          <w:b/>
          <w:bCs/>
          <w:noProof/>
          <w:color w:val="000000"/>
          <w:sz w:val="18"/>
          <w:szCs w:val="18"/>
        </w:rPr>
        <w:t>HES 2007 to 202</w:t>
      </w:r>
      <w:r w:rsidR="00755AA0">
        <w:rPr>
          <w:rFonts w:ascii="Arial" w:hAnsi="Arial"/>
          <w:b/>
          <w:bCs/>
          <w:noProof/>
          <w:color w:val="000000"/>
          <w:sz w:val="18"/>
          <w:szCs w:val="18"/>
        </w:rPr>
        <w:t>5</w:t>
      </w:r>
    </w:p>
    <w:p w14:paraId="24FD5DAD" w14:textId="7A6E48AB" w:rsidR="004C0B87" w:rsidRPr="00365474" w:rsidRDefault="001F5C74" w:rsidP="00063F15">
      <w:pPr>
        <w:spacing w:after="0" w:line="240" w:lineRule="auto"/>
        <w:rPr>
          <w:rFonts w:ascii="Arial" w:hAnsi="Arial"/>
          <w:b/>
          <w:bCs/>
          <w:color w:val="000000" w:themeColor="text1"/>
          <w:sz w:val="36"/>
          <w:szCs w:val="36"/>
        </w:rPr>
      </w:pPr>
      <w:bookmarkStart w:id="17" w:name="_Hlk173915810"/>
      <w:r w:rsidRPr="002B17B9">
        <w:rPr>
          <w:noProof/>
        </w:rPr>
        <w:drawing>
          <wp:anchor distT="0" distB="0" distL="114300" distR="114300" simplePos="0" relativeHeight="253017088" behindDoc="0" locked="0" layoutInCell="1" allowOverlap="1" wp14:anchorId="36554E43" wp14:editId="4FB5FE40">
            <wp:simplePos x="0" y="0"/>
            <wp:positionH relativeFrom="margin">
              <wp:align>center</wp:align>
            </wp:positionH>
            <wp:positionV relativeFrom="paragraph">
              <wp:posOffset>50165</wp:posOffset>
            </wp:positionV>
            <wp:extent cx="3286760" cy="2152650"/>
            <wp:effectExtent l="0" t="0" r="8890" b="0"/>
            <wp:wrapTopAndBottom/>
            <wp:docPr id="2027802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802354"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286760" cy="2152650"/>
                    </a:xfrm>
                    <a:prstGeom prst="rect">
                      <a:avLst/>
                    </a:prstGeom>
                  </pic:spPr>
                </pic:pic>
              </a:graphicData>
            </a:graphic>
            <wp14:sizeRelH relativeFrom="page">
              <wp14:pctWidth>0</wp14:pctWidth>
            </wp14:sizeRelH>
            <wp14:sizeRelV relativeFrom="page">
              <wp14:pctHeight>0</wp14:pctHeight>
            </wp14:sizeRelV>
          </wp:anchor>
        </w:drawing>
      </w:r>
      <w:r w:rsidR="000D0271">
        <w:rPr>
          <w:rFonts w:ascii="Arial" w:eastAsia="Times New Roman" w:hAnsi="Arial" w:cs="Times New Roman"/>
          <w:b/>
          <w:color w:val="000000"/>
          <w:szCs w:val="20"/>
          <w:lang w:val="en-GB"/>
        </w:rPr>
        <w:br w:type="page"/>
      </w:r>
      <w:bookmarkEnd w:id="17"/>
      <w:r w:rsidR="004C0B87" w:rsidRPr="00365474">
        <w:rPr>
          <w:rFonts w:ascii="Arial" w:hAnsi="Arial"/>
          <w:b/>
          <w:bCs/>
          <w:color w:val="000000" w:themeColor="text1"/>
          <w:sz w:val="36"/>
          <w:szCs w:val="36"/>
        </w:rPr>
        <w:lastRenderedPageBreak/>
        <w:t xml:space="preserve">Section </w:t>
      </w:r>
      <w:r w:rsidR="001E1422">
        <w:rPr>
          <w:rFonts w:ascii="Arial" w:hAnsi="Arial"/>
          <w:b/>
          <w:bCs/>
          <w:color w:val="000000" w:themeColor="text1"/>
          <w:sz w:val="36"/>
          <w:szCs w:val="36"/>
        </w:rPr>
        <w:t>H</w:t>
      </w:r>
    </w:p>
    <w:p w14:paraId="26FF8B58" w14:textId="78FC8A1A" w:rsidR="004C0B87" w:rsidRPr="00244C25" w:rsidRDefault="008564A2" w:rsidP="00365474">
      <w:pPr>
        <w:tabs>
          <w:tab w:val="right" w:pos="9026"/>
        </w:tabs>
        <w:spacing w:after="0" w:line="240" w:lineRule="auto"/>
        <w:rPr>
          <w:rFonts w:ascii="Arial" w:hAnsi="Arial"/>
          <w:b/>
          <w:bCs/>
          <w:color w:val="000000" w:themeColor="text1"/>
          <w:sz w:val="22"/>
        </w:rPr>
      </w:pPr>
      <w:r>
        <w:rPr>
          <w:rFonts w:ascii="Arial" w:hAnsi="Arial"/>
          <w:b/>
          <w:bCs/>
          <w:color w:val="000000" w:themeColor="text1"/>
          <w:sz w:val="28"/>
          <w:szCs w:val="28"/>
        </w:rPr>
        <w:t xml:space="preserve">AHC low-income </w:t>
      </w:r>
      <w:r w:rsidR="004C0B87" w:rsidRPr="00365474">
        <w:rPr>
          <w:rFonts w:ascii="Arial" w:hAnsi="Arial"/>
          <w:b/>
          <w:bCs/>
          <w:color w:val="000000" w:themeColor="text1"/>
          <w:sz w:val="28"/>
          <w:szCs w:val="28"/>
        </w:rPr>
        <w:t>(poverty) rates for children in their households</w:t>
      </w:r>
      <w:r w:rsidR="004C0B87" w:rsidRPr="00244C25">
        <w:rPr>
          <w:rFonts w:ascii="Arial" w:hAnsi="Arial"/>
          <w:b/>
          <w:bCs/>
          <w:color w:val="000000" w:themeColor="text1"/>
          <w:sz w:val="22"/>
        </w:rPr>
        <w:tab/>
      </w:r>
    </w:p>
    <w:p w14:paraId="0948FDFA" w14:textId="2A6E93E0" w:rsidR="008564A2" w:rsidRDefault="008564A2" w:rsidP="008564A2">
      <w:pPr>
        <w:tabs>
          <w:tab w:val="right" w:pos="9026"/>
        </w:tabs>
        <w:spacing w:after="0" w:line="240" w:lineRule="auto"/>
        <w:ind w:left="284"/>
        <w:rPr>
          <w:rFonts w:ascii="Arial" w:hAnsi="Arial"/>
          <w:color w:val="0000FF"/>
          <w:szCs w:val="20"/>
        </w:rPr>
      </w:pPr>
    </w:p>
    <w:p w14:paraId="44BE244F" w14:textId="77777777" w:rsidR="00D26AC4" w:rsidRPr="006B1F8E" w:rsidRDefault="007670EA" w:rsidP="007670EA">
      <w:pPr>
        <w:tabs>
          <w:tab w:val="right" w:pos="9026"/>
        </w:tabs>
        <w:spacing w:after="0" w:line="240" w:lineRule="auto"/>
        <w:rPr>
          <w:rFonts w:ascii="Arial" w:hAnsi="Arial"/>
          <w:color w:val="000000" w:themeColor="text1"/>
          <w:szCs w:val="20"/>
        </w:rPr>
      </w:pPr>
      <w:r w:rsidRPr="006B1F8E">
        <w:rPr>
          <w:rFonts w:ascii="Arial" w:hAnsi="Arial"/>
          <w:color w:val="000000" w:themeColor="text1"/>
          <w:szCs w:val="20"/>
        </w:rPr>
        <w:t>This section</w:t>
      </w:r>
      <w:r w:rsidR="00D26AC4" w:rsidRPr="006B1F8E">
        <w:rPr>
          <w:rFonts w:ascii="Arial" w:hAnsi="Arial"/>
          <w:color w:val="000000" w:themeColor="text1"/>
          <w:szCs w:val="20"/>
        </w:rPr>
        <w:t xml:space="preserve"> reports on:</w:t>
      </w:r>
    </w:p>
    <w:p w14:paraId="67EE589B" w14:textId="5EF33C5B" w:rsidR="00D26AC4" w:rsidRPr="006B1F8E" w:rsidRDefault="00D26AC4">
      <w:pPr>
        <w:pStyle w:val="ListParagraph"/>
        <w:numPr>
          <w:ilvl w:val="0"/>
          <w:numId w:val="85"/>
        </w:numPr>
        <w:tabs>
          <w:tab w:val="right" w:pos="9026"/>
        </w:tabs>
        <w:spacing w:before="60" w:after="0" w:line="240" w:lineRule="auto"/>
        <w:ind w:left="714" w:hanging="357"/>
        <w:contextualSpacing w:val="0"/>
        <w:rPr>
          <w:rFonts w:ascii="Arial" w:hAnsi="Arial"/>
          <w:color w:val="000000" w:themeColor="text1"/>
          <w:szCs w:val="20"/>
        </w:rPr>
      </w:pPr>
      <w:r w:rsidRPr="006B1F8E">
        <w:rPr>
          <w:rFonts w:ascii="Arial" w:hAnsi="Arial"/>
          <w:color w:val="000000" w:themeColor="text1"/>
          <w:szCs w:val="20"/>
        </w:rPr>
        <w:t xml:space="preserve">long-run </w:t>
      </w:r>
      <w:r w:rsidR="0097799B" w:rsidRPr="006B1F8E">
        <w:rPr>
          <w:rFonts w:ascii="Arial" w:hAnsi="Arial"/>
          <w:color w:val="000000" w:themeColor="text1"/>
          <w:szCs w:val="20"/>
        </w:rPr>
        <w:t xml:space="preserve">trends for AHC low-income (poverty) rates </w:t>
      </w:r>
      <w:r w:rsidRPr="006B1F8E">
        <w:rPr>
          <w:rFonts w:ascii="Arial" w:hAnsi="Arial"/>
          <w:color w:val="000000" w:themeColor="text1"/>
          <w:szCs w:val="20"/>
        </w:rPr>
        <w:t>for children using the AHC ‘fixed’ or ‘anchored line’ approach</w:t>
      </w:r>
    </w:p>
    <w:p w14:paraId="73493C3C" w14:textId="4EFD568E" w:rsidR="00D26AC4" w:rsidRPr="006B1F8E" w:rsidRDefault="00D26AC4">
      <w:pPr>
        <w:pStyle w:val="ListParagraph"/>
        <w:numPr>
          <w:ilvl w:val="0"/>
          <w:numId w:val="85"/>
        </w:numPr>
        <w:tabs>
          <w:tab w:val="right" w:pos="9026"/>
        </w:tabs>
        <w:spacing w:before="60" w:after="0" w:line="240" w:lineRule="auto"/>
        <w:ind w:left="714" w:hanging="357"/>
        <w:contextualSpacing w:val="0"/>
        <w:rPr>
          <w:rFonts w:ascii="Arial" w:hAnsi="Arial"/>
          <w:color w:val="000000" w:themeColor="text1"/>
          <w:szCs w:val="20"/>
        </w:rPr>
      </w:pPr>
      <w:r w:rsidRPr="006B1F8E">
        <w:rPr>
          <w:rFonts w:ascii="Arial" w:hAnsi="Arial"/>
          <w:color w:val="000000" w:themeColor="text1"/>
          <w:szCs w:val="20"/>
        </w:rPr>
        <w:t>the similarity of the trends for material hardship rates and the AHC 50 fixed line rates</w:t>
      </w:r>
    </w:p>
    <w:p w14:paraId="0CBC4E69" w14:textId="57E8D7AA" w:rsidR="00D26AC4" w:rsidRPr="006B1F8E" w:rsidRDefault="00D26AC4">
      <w:pPr>
        <w:pStyle w:val="ListParagraph"/>
        <w:numPr>
          <w:ilvl w:val="0"/>
          <w:numId w:val="85"/>
        </w:numPr>
        <w:tabs>
          <w:tab w:val="right" w:pos="9026"/>
        </w:tabs>
        <w:spacing w:before="60" w:after="0" w:line="240" w:lineRule="auto"/>
        <w:ind w:left="714" w:hanging="357"/>
        <w:contextualSpacing w:val="0"/>
        <w:rPr>
          <w:rFonts w:ascii="Arial" w:hAnsi="Arial"/>
          <w:color w:val="000000" w:themeColor="text1"/>
          <w:szCs w:val="20"/>
        </w:rPr>
      </w:pPr>
      <w:r w:rsidRPr="006B1F8E">
        <w:rPr>
          <w:rFonts w:ascii="Arial" w:hAnsi="Arial"/>
          <w:color w:val="000000" w:themeColor="text1"/>
          <w:szCs w:val="20"/>
        </w:rPr>
        <w:t>long-run trends for AHC relative low-income (poverty) rates</w:t>
      </w:r>
    </w:p>
    <w:p w14:paraId="0126B024" w14:textId="12CA0D49" w:rsidR="00D26AC4" w:rsidRPr="006B1F8E" w:rsidRDefault="00D26AC4">
      <w:pPr>
        <w:pStyle w:val="ListParagraph"/>
        <w:numPr>
          <w:ilvl w:val="0"/>
          <w:numId w:val="85"/>
        </w:numPr>
        <w:tabs>
          <w:tab w:val="right" w:pos="9026"/>
        </w:tabs>
        <w:spacing w:before="60" w:after="0" w:line="240" w:lineRule="auto"/>
        <w:contextualSpacing w:val="0"/>
        <w:rPr>
          <w:rFonts w:ascii="Arial" w:hAnsi="Arial"/>
          <w:color w:val="000000" w:themeColor="text1"/>
          <w:szCs w:val="20"/>
        </w:rPr>
      </w:pPr>
      <w:r w:rsidRPr="006B1F8E">
        <w:rPr>
          <w:rFonts w:ascii="Arial" w:hAnsi="Arial"/>
          <w:color w:val="000000" w:themeColor="text1"/>
          <w:szCs w:val="20"/>
        </w:rPr>
        <w:t>AHC low-income rates for children in a range of sub-groups (household type, number of children, main source of income (market/government),</w:t>
      </w:r>
      <w:r w:rsidR="006B1F8E">
        <w:rPr>
          <w:rFonts w:ascii="Arial" w:hAnsi="Arial"/>
          <w:color w:val="000000" w:themeColor="text1"/>
          <w:szCs w:val="20"/>
        </w:rPr>
        <w:t xml:space="preserve"> </w:t>
      </w:r>
      <w:r w:rsidRPr="006B1F8E">
        <w:rPr>
          <w:rFonts w:ascii="Arial" w:hAnsi="Arial"/>
          <w:color w:val="000000" w:themeColor="text1"/>
          <w:szCs w:val="20"/>
        </w:rPr>
        <w:t>tenure and so on).</w:t>
      </w:r>
    </w:p>
    <w:p w14:paraId="483FD35D" w14:textId="2581771A" w:rsidR="00E141F2" w:rsidRPr="00E05C67" w:rsidRDefault="00E141F2" w:rsidP="00E05C67">
      <w:pPr>
        <w:tabs>
          <w:tab w:val="right" w:pos="9026"/>
        </w:tabs>
        <w:spacing w:after="0" w:line="240" w:lineRule="auto"/>
        <w:rPr>
          <w:rFonts w:ascii="Arial" w:hAnsi="Arial"/>
          <w:color w:val="0000FF"/>
          <w:szCs w:val="20"/>
        </w:rPr>
      </w:pPr>
    </w:p>
    <w:p w14:paraId="0443BFC3" w14:textId="67E12C59" w:rsidR="002A3BAC" w:rsidRPr="00C11C87" w:rsidRDefault="00FD27BC" w:rsidP="00977296">
      <w:pPr>
        <w:spacing w:after="0" w:line="240" w:lineRule="auto"/>
        <w:rPr>
          <w:rFonts w:ascii="Arial" w:hAnsi="Arial"/>
          <w:sz w:val="14"/>
          <w:szCs w:val="14"/>
        </w:rPr>
      </w:pPr>
      <w:bookmarkStart w:id="18" w:name="_Hlk111877664"/>
      <w:r w:rsidRPr="00C11C87">
        <w:rPr>
          <w:rFonts w:ascii="Arial" w:hAnsi="Arial"/>
          <w:b/>
          <w:bCs/>
          <w:color w:val="000000" w:themeColor="text1"/>
          <w:sz w:val="22"/>
        </w:rPr>
        <w:t>A</w:t>
      </w:r>
      <w:r w:rsidR="002A3BAC" w:rsidRPr="00C11C87">
        <w:rPr>
          <w:rFonts w:ascii="Arial" w:hAnsi="Arial"/>
          <w:b/>
          <w:bCs/>
          <w:color w:val="000000" w:themeColor="text1"/>
          <w:sz w:val="22"/>
        </w:rPr>
        <w:t xml:space="preserve">HC low-income </w:t>
      </w:r>
      <w:r w:rsidR="00CC537B" w:rsidRPr="00C11C87">
        <w:rPr>
          <w:rFonts w:ascii="Arial" w:hAnsi="Arial"/>
          <w:b/>
          <w:bCs/>
          <w:color w:val="000000" w:themeColor="text1"/>
          <w:sz w:val="22"/>
        </w:rPr>
        <w:t xml:space="preserve">(poverty) </w:t>
      </w:r>
      <w:r w:rsidR="002A3BAC" w:rsidRPr="00C11C87">
        <w:rPr>
          <w:rFonts w:ascii="Arial" w:hAnsi="Arial"/>
          <w:b/>
          <w:bCs/>
          <w:color w:val="000000" w:themeColor="text1"/>
          <w:sz w:val="22"/>
        </w:rPr>
        <w:t>rates for children</w:t>
      </w:r>
      <w:r w:rsidR="00033DF2" w:rsidRPr="00C11C87">
        <w:rPr>
          <w:rFonts w:ascii="Arial" w:hAnsi="Arial"/>
          <w:b/>
          <w:bCs/>
          <w:color w:val="000000" w:themeColor="text1"/>
          <w:sz w:val="22"/>
        </w:rPr>
        <w:t>, ‘fixed line’ approach</w:t>
      </w:r>
    </w:p>
    <w:p w14:paraId="3620589C" w14:textId="202164EC" w:rsidR="002A3BAC" w:rsidRPr="002C3EA2" w:rsidRDefault="002A3BAC" w:rsidP="002A3BAC">
      <w:pPr>
        <w:spacing w:after="0" w:line="240" w:lineRule="auto"/>
        <w:jc w:val="center"/>
        <w:rPr>
          <w:rFonts w:ascii="Arial" w:hAnsi="Arial"/>
          <w:b/>
          <w:bCs/>
          <w:color w:val="000000" w:themeColor="text1"/>
          <w:sz w:val="18"/>
          <w:szCs w:val="18"/>
        </w:rPr>
      </w:pPr>
    </w:p>
    <w:p w14:paraId="677FE953" w14:textId="18183BB2" w:rsidR="002A3BAC" w:rsidRPr="002C3EA2" w:rsidRDefault="002A3BAC" w:rsidP="002A3BAC">
      <w:pPr>
        <w:spacing w:after="0" w:line="240" w:lineRule="auto"/>
        <w:rPr>
          <w:rFonts w:ascii="Arial" w:hAnsi="Arial"/>
          <w:color w:val="000000" w:themeColor="text1"/>
          <w:szCs w:val="20"/>
        </w:rPr>
      </w:pPr>
      <w:r w:rsidRPr="002C3EA2">
        <w:rPr>
          <w:rFonts w:ascii="Arial" w:hAnsi="Arial"/>
          <w:b/>
          <w:bCs/>
          <w:color w:val="000000" w:themeColor="text1"/>
          <w:szCs w:val="20"/>
        </w:rPr>
        <w:t xml:space="preserve">Figure </w:t>
      </w:r>
      <w:r w:rsidR="001E1422">
        <w:rPr>
          <w:rFonts w:ascii="Arial" w:hAnsi="Arial"/>
          <w:b/>
          <w:bCs/>
          <w:color w:val="000000" w:themeColor="text1"/>
          <w:szCs w:val="20"/>
        </w:rPr>
        <w:t>H</w:t>
      </w:r>
      <w:r w:rsidR="005E05C7">
        <w:rPr>
          <w:rFonts w:ascii="Arial" w:hAnsi="Arial"/>
          <w:b/>
          <w:bCs/>
          <w:color w:val="000000" w:themeColor="text1"/>
          <w:szCs w:val="20"/>
        </w:rPr>
        <w:t>.1</w:t>
      </w:r>
      <w:r w:rsidRPr="002C3EA2">
        <w:rPr>
          <w:rFonts w:ascii="Arial" w:hAnsi="Arial"/>
          <w:color w:val="000000" w:themeColor="text1"/>
          <w:szCs w:val="20"/>
        </w:rPr>
        <w:t xml:space="preserve"> shows the AHC low-income (poverty) rates for children from 1981-82 to </w:t>
      </w:r>
      <w:r w:rsidR="00033DF2">
        <w:rPr>
          <w:rFonts w:ascii="Arial" w:hAnsi="Arial"/>
          <w:color w:val="000000" w:themeColor="text1"/>
          <w:szCs w:val="20"/>
        </w:rPr>
        <w:t>2024-25</w:t>
      </w:r>
      <w:r w:rsidRPr="002C3EA2">
        <w:rPr>
          <w:rFonts w:ascii="Arial" w:hAnsi="Arial"/>
          <w:color w:val="000000" w:themeColor="text1"/>
          <w:szCs w:val="20"/>
        </w:rPr>
        <w:t xml:space="preserve">, </w:t>
      </w:r>
      <w:r w:rsidR="00C376AA">
        <w:rPr>
          <w:rFonts w:ascii="Arial" w:hAnsi="Arial"/>
          <w:color w:val="000000" w:themeColor="text1"/>
          <w:szCs w:val="20"/>
        </w:rPr>
        <w:t xml:space="preserve">using the </w:t>
      </w:r>
      <w:r w:rsidR="00033DF2">
        <w:rPr>
          <w:rFonts w:ascii="Arial" w:hAnsi="Arial"/>
          <w:color w:val="000000" w:themeColor="text1"/>
          <w:szCs w:val="20"/>
          <w:u w:val="single"/>
        </w:rPr>
        <w:t>‘fixed</w:t>
      </w:r>
      <w:r w:rsidR="00A71F33">
        <w:rPr>
          <w:rFonts w:ascii="Arial" w:hAnsi="Arial"/>
          <w:color w:val="000000" w:themeColor="text1"/>
          <w:szCs w:val="20"/>
          <w:u w:val="single"/>
        </w:rPr>
        <w:t xml:space="preserve"> line</w:t>
      </w:r>
      <w:r w:rsidR="00480DB6">
        <w:rPr>
          <w:rFonts w:ascii="Arial" w:hAnsi="Arial"/>
          <w:color w:val="000000" w:themeColor="text1"/>
          <w:szCs w:val="20"/>
          <w:u w:val="single"/>
        </w:rPr>
        <w:t>’</w:t>
      </w:r>
      <w:r w:rsidR="00C376AA" w:rsidRPr="00803AD1">
        <w:rPr>
          <w:rFonts w:ascii="Arial" w:hAnsi="Arial"/>
          <w:color w:val="000000" w:themeColor="text1"/>
          <w:szCs w:val="20"/>
          <w:u w:val="single"/>
        </w:rPr>
        <w:t xml:space="preserve"> approach</w:t>
      </w:r>
      <w:r w:rsidR="00C376AA">
        <w:rPr>
          <w:rFonts w:ascii="Arial" w:hAnsi="Arial"/>
          <w:color w:val="000000" w:themeColor="text1"/>
          <w:szCs w:val="20"/>
        </w:rPr>
        <w:t>.</w:t>
      </w:r>
      <w:r w:rsidR="00F43734">
        <w:rPr>
          <w:rFonts w:ascii="Arial" w:hAnsi="Arial"/>
          <w:color w:val="000000" w:themeColor="text1"/>
          <w:szCs w:val="20"/>
        </w:rPr>
        <w:t xml:space="preserve"> </w:t>
      </w:r>
      <w:r w:rsidR="00C376AA" w:rsidRPr="00C376AA">
        <w:rPr>
          <w:rFonts w:ascii="Arial" w:hAnsi="Arial"/>
          <w:color w:val="000000" w:themeColor="text1"/>
          <w:szCs w:val="20"/>
        </w:rPr>
        <w:t xml:space="preserve">The </w:t>
      </w:r>
      <w:r w:rsidR="00480DB6">
        <w:rPr>
          <w:rFonts w:ascii="Arial" w:hAnsi="Arial"/>
          <w:color w:val="000000" w:themeColor="text1"/>
          <w:szCs w:val="20"/>
        </w:rPr>
        <w:t>fixed</w:t>
      </w:r>
      <w:r w:rsidR="00A71F33">
        <w:rPr>
          <w:rFonts w:ascii="Arial" w:hAnsi="Arial"/>
          <w:color w:val="000000" w:themeColor="text1"/>
          <w:szCs w:val="20"/>
        </w:rPr>
        <w:t xml:space="preserve"> line</w:t>
      </w:r>
      <w:r w:rsidR="00C376AA" w:rsidRPr="00C376AA">
        <w:rPr>
          <w:rFonts w:ascii="Arial" w:hAnsi="Arial"/>
          <w:color w:val="000000" w:themeColor="text1"/>
          <w:szCs w:val="20"/>
        </w:rPr>
        <w:t xml:space="preserve"> approach</w:t>
      </w:r>
      <w:r w:rsidRPr="002C3EA2">
        <w:rPr>
          <w:rFonts w:ascii="Arial" w:hAnsi="Arial"/>
          <w:color w:val="000000" w:themeColor="text1"/>
          <w:szCs w:val="20"/>
        </w:rPr>
        <w:t xml:space="preserve"> sets the low-income threshold in a reference year and adjusts it forward and back using the CPI. In other words, the low-income threshold is fixed in real terms.</w:t>
      </w:r>
      <w:r w:rsidR="007161F6">
        <w:rPr>
          <w:rStyle w:val="FootnoteReference"/>
          <w:rFonts w:ascii="Arial" w:hAnsi="Arial"/>
          <w:color w:val="000000" w:themeColor="text1"/>
          <w:szCs w:val="20"/>
        </w:rPr>
        <w:footnoteReference w:id="82"/>
      </w:r>
      <w:r w:rsidRPr="002C3EA2">
        <w:rPr>
          <w:rFonts w:ascii="Arial" w:hAnsi="Arial"/>
          <w:color w:val="000000" w:themeColor="text1"/>
          <w:szCs w:val="20"/>
        </w:rPr>
        <w:t xml:space="preserve"> The reported poverty rate </w:t>
      </w:r>
      <w:r w:rsidR="00C376AA">
        <w:rPr>
          <w:rFonts w:ascii="Arial" w:hAnsi="Arial"/>
          <w:color w:val="000000" w:themeColor="text1"/>
          <w:szCs w:val="20"/>
        </w:rPr>
        <w:t>falls</w:t>
      </w:r>
      <w:r w:rsidRPr="002C3EA2">
        <w:rPr>
          <w:rFonts w:ascii="Arial" w:hAnsi="Arial"/>
          <w:color w:val="000000" w:themeColor="text1"/>
          <w:szCs w:val="20"/>
        </w:rPr>
        <w:t xml:space="preserve"> if the incomes of low-income households </w:t>
      </w:r>
      <w:r w:rsidR="00C376AA">
        <w:rPr>
          <w:rFonts w:ascii="Arial" w:hAnsi="Arial"/>
          <w:color w:val="000000" w:themeColor="text1"/>
          <w:szCs w:val="20"/>
        </w:rPr>
        <w:t xml:space="preserve">increase </w:t>
      </w:r>
      <w:r w:rsidRPr="002C3EA2">
        <w:rPr>
          <w:rFonts w:ascii="Arial" w:hAnsi="Arial"/>
          <w:color w:val="000000" w:themeColor="text1"/>
          <w:szCs w:val="20"/>
        </w:rPr>
        <w:t xml:space="preserve">in real terms irrespective of what is happening to the incomes of the </w:t>
      </w:r>
      <w:r w:rsidR="00480DB6">
        <w:rPr>
          <w:rFonts w:ascii="Arial" w:hAnsi="Arial"/>
          <w:color w:val="000000" w:themeColor="text1"/>
          <w:szCs w:val="20"/>
        </w:rPr>
        <w:t>other</w:t>
      </w:r>
      <w:r w:rsidRPr="002C3EA2">
        <w:rPr>
          <w:rFonts w:ascii="Arial" w:hAnsi="Arial"/>
          <w:color w:val="000000" w:themeColor="text1"/>
          <w:szCs w:val="20"/>
        </w:rPr>
        <w:t xml:space="preserve"> households … and vice versa. Figure </w:t>
      </w:r>
      <w:r w:rsidR="001E1422">
        <w:rPr>
          <w:rFonts w:ascii="Arial" w:hAnsi="Arial"/>
          <w:color w:val="000000" w:themeColor="text1"/>
          <w:szCs w:val="20"/>
        </w:rPr>
        <w:t>H</w:t>
      </w:r>
      <w:r w:rsidR="00480DB6">
        <w:rPr>
          <w:rFonts w:ascii="Arial" w:hAnsi="Arial"/>
          <w:color w:val="000000" w:themeColor="text1"/>
          <w:szCs w:val="20"/>
        </w:rPr>
        <w:t>.1</w:t>
      </w:r>
      <w:r w:rsidRPr="002C3EA2">
        <w:rPr>
          <w:rFonts w:ascii="Arial" w:hAnsi="Arial"/>
          <w:color w:val="000000" w:themeColor="text1"/>
          <w:szCs w:val="20"/>
        </w:rPr>
        <w:t xml:space="preserve"> uses the AHC 50 </w:t>
      </w:r>
      <w:r w:rsidR="00480DB6">
        <w:rPr>
          <w:rFonts w:ascii="Arial" w:hAnsi="Arial"/>
          <w:color w:val="000000" w:themeColor="text1"/>
          <w:szCs w:val="20"/>
        </w:rPr>
        <w:t>fixed</w:t>
      </w:r>
      <w:r w:rsidR="00A71F33">
        <w:rPr>
          <w:rFonts w:ascii="Arial" w:hAnsi="Arial"/>
          <w:color w:val="000000" w:themeColor="text1"/>
          <w:szCs w:val="20"/>
        </w:rPr>
        <w:t xml:space="preserve"> line</w:t>
      </w:r>
      <w:r w:rsidRPr="002C3EA2">
        <w:rPr>
          <w:rFonts w:ascii="Arial" w:hAnsi="Arial"/>
          <w:color w:val="000000" w:themeColor="text1"/>
          <w:szCs w:val="20"/>
        </w:rPr>
        <w:t xml:space="preserve"> measure, with two different reference years, 2007 and 2018.</w:t>
      </w:r>
      <w:r w:rsidR="00153CA1">
        <w:rPr>
          <w:rStyle w:val="FootnoteReference"/>
          <w:rFonts w:ascii="Arial" w:hAnsi="Arial"/>
          <w:color w:val="000000" w:themeColor="text1"/>
          <w:szCs w:val="20"/>
        </w:rPr>
        <w:footnoteReference w:id="83"/>
      </w:r>
    </w:p>
    <w:p w14:paraId="764796D9" w14:textId="77777777" w:rsidR="00E05C67" w:rsidRDefault="00E05C67" w:rsidP="005E05C7">
      <w:pPr>
        <w:spacing w:after="0" w:line="240" w:lineRule="auto"/>
        <w:jc w:val="center"/>
        <w:rPr>
          <w:rFonts w:ascii="Arial" w:hAnsi="Arial"/>
          <w:b/>
          <w:bCs/>
          <w:noProof/>
          <w:color w:val="000000" w:themeColor="text1"/>
          <w:sz w:val="18"/>
          <w:szCs w:val="18"/>
        </w:rPr>
      </w:pPr>
      <w:bookmarkStart w:id="19" w:name="_Hlk173914983"/>
    </w:p>
    <w:p w14:paraId="3716FA58" w14:textId="32D1EDE1" w:rsidR="00F96223" w:rsidRDefault="00F96223" w:rsidP="005E05C7">
      <w:pPr>
        <w:spacing w:after="0" w:line="240" w:lineRule="auto"/>
        <w:jc w:val="center"/>
        <w:rPr>
          <w:rFonts w:ascii="Arial" w:hAnsi="Arial"/>
          <w:b/>
          <w:bCs/>
          <w:noProof/>
          <w:color w:val="000000" w:themeColor="text1"/>
          <w:sz w:val="18"/>
          <w:szCs w:val="18"/>
        </w:rPr>
      </w:pPr>
      <w:r>
        <w:rPr>
          <w:rFonts w:ascii="Arial" w:hAnsi="Arial"/>
          <w:b/>
          <w:bCs/>
          <w:noProof/>
          <w:color w:val="000000" w:themeColor="text1"/>
          <w:sz w:val="18"/>
          <w:szCs w:val="18"/>
        </w:rPr>
        <w:t xml:space="preserve">Figure </w:t>
      </w:r>
      <w:r w:rsidR="001E1422">
        <w:rPr>
          <w:rFonts w:ascii="Arial" w:hAnsi="Arial"/>
          <w:b/>
          <w:bCs/>
          <w:noProof/>
          <w:color w:val="000000" w:themeColor="text1"/>
          <w:sz w:val="18"/>
          <w:szCs w:val="18"/>
        </w:rPr>
        <w:t>H</w:t>
      </w:r>
      <w:r w:rsidR="005E05C7">
        <w:rPr>
          <w:rFonts w:ascii="Arial" w:hAnsi="Arial"/>
          <w:b/>
          <w:bCs/>
          <w:noProof/>
          <w:color w:val="000000" w:themeColor="text1"/>
          <w:sz w:val="18"/>
          <w:szCs w:val="18"/>
        </w:rPr>
        <w:t>.1</w:t>
      </w:r>
    </w:p>
    <w:p w14:paraId="37EE484A" w14:textId="3B1A7F57" w:rsidR="002A3BAC" w:rsidRPr="002C3EA2" w:rsidRDefault="002A3BAC" w:rsidP="005E05C7">
      <w:pPr>
        <w:spacing w:after="0" w:line="240" w:lineRule="auto"/>
        <w:jc w:val="center"/>
        <w:rPr>
          <w:rFonts w:ascii="Arial" w:hAnsi="Arial"/>
          <w:b/>
          <w:bCs/>
          <w:color w:val="000000" w:themeColor="text1"/>
          <w:sz w:val="18"/>
          <w:szCs w:val="18"/>
        </w:rPr>
      </w:pPr>
      <w:r w:rsidRPr="002C3EA2">
        <w:rPr>
          <w:rFonts w:ascii="Arial" w:hAnsi="Arial"/>
          <w:b/>
          <w:bCs/>
          <w:noProof/>
          <w:color w:val="000000" w:themeColor="text1"/>
          <w:sz w:val="18"/>
          <w:szCs w:val="18"/>
        </w:rPr>
        <w:t>Long-run trends in rates of low AHC household income</w:t>
      </w:r>
      <w:r w:rsidRPr="002C3EA2">
        <w:rPr>
          <w:rFonts w:ascii="Arial" w:hAnsi="Arial"/>
          <w:b/>
          <w:bCs/>
          <w:color w:val="000000" w:themeColor="text1"/>
          <w:sz w:val="18"/>
          <w:szCs w:val="18"/>
        </w:rPr>
        <w:t xml:space="preserve"> </w:t>
      </w:r>
      <w:r w:rsidR="00CE1060">
        <w:rPr>
          <w:rFonts w:ascii="Arial" w:hAnsi="Arial"/>
          <w:b/>
          <w:bCs/>
          <w:color w:val="000000" w:themeColor="text1"/>
          <w:sz w:val="18"/>
          <w:szCs w:val="18"/>
        </w:rPr>
        <w:t xml:space="preserve">(AHC 50) </w:t>
      </w:r>
      <w:r w:rsidRPr="002C3EA2">
        <w:rPr>
          <w:rFonts w:ascii="Arial" w:hAnsi="Arial"/>
          <w:b/>
          <w:bCs/>
          <w:color w:val="000000" w:themeColor="text1"/>
          <w:sz w:val="18"/>
          <w:szCs w:val="18"/>
        </w:rPr>
        <w:t>for children (0-17 yrs),</w:t>
      </w:r>
    </w:p>
    <w:p w14:paraId="4B58138D" w14:textId="31BFCA66" w:rsidR="002A3BAC" w:rsidRDefault="00E05C67" w:rsidP="002A3BAC">
      <w:pPr>
        <w:spacing w:after="0" w:line="240" w:lineRule="auto"/>
        <w:jc w:val="center"/>
        <w:rPr>
          <w:rFonts w:ascii="Arial" w:hAnsi="Arial"/>
          <w:b/>
          <w:bCs/>
          <w:color w:val="000000" w:themeColor="text1"/>
          <w:sz w:val="18"/>
          <w:szCs w:val="18"/>
        </w:rPr>
      </w:pPr>
      <w:r w:rsidRPr="005E50A5">
        <w:rPr>
          <w:noProof/>
        </w:rPr>
        <w:drawing>
          <wp:anchor distT="0" distB="0" distL="114300" distR="114300" simplePos="0" relativeHeight="253009920" behindDoc="0" locked="0" layoutInCell="1" allowOverlap="1" wp14:anchorId="0BC0871A" wp14:editId="25C47B88">
            <wp:simplePos x="0" y="0"/>
            <wp:positionH relativeFrom="margin">
              <wp:align>center</wp:align>
            </wp:positionH>
            <wp:positionV relativeFrom="paragraph">
              <wp:posOffset>189865</wp:posOffset>
            </wp:positionV>
            <wp:extent cx="3299460" cy="2070100"/>
            <wp:effectExtent l="0" t="0" r="0" b="6350"/>
            <wp:wrapTopAndBottom/>
            <wp:docPr id="529102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02103"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299460" cy="2070100"/>
                    </a:xfrm>
                    <a:prstGeom prst="rect">
                      <a:avLst/>
                    </a:prstGeom>
                  </pic:spPr>
                </pic:pic>
              </a:graphicData>
            </a:graphic>
            <wp14:sizeRelH relativeFrom="page">
              <wp14:pctWidth>0</wp14:pctWidth>
            </wp14:sizeRelH>
            <wp14:sizeRelV relativeFrom="page">
              <wp14:pctHeight>0</wp14:pctHeight>
            </wp14:sizeRelV>
          </wp:anchor>
        </w:drawing>
      </w:r>
      <w:r w:rsidR="002A3BAC" w:rsidRPr="002C3EA2">
        <w:rPr>
          <w:rFonts w:ascii="Arial" w:hAnsi="Arial"/>
          <w:b/>
          <w:bCs/>
          <w:color w:val="000000" w:themeColor="text1"/>
          <w:sz w:val="18"/>
          <w:szCs w:val="18"/>
        </w:rPr>
        <w:t xml:space="preserve">using </w:t>
      </w:r>
      <w:r w:rsidR="00611ECE">
        <w:rPr>
          <w:rFonts w:ascii="Arial" w:hAnsi="Arial"/>
          <w:b/>
          <w:bCs/>
          <w:color w:val="000000" w:themeColor="text1"/>
          <w:sz w:val="18"/>
          <w:szCs w:val="18"/>
        </w:rPr>
        <w:t>FIXED line</w:t>
      </w:r>
      <w:r w:rsidR="004A5225">
        <w:rPr>
          <w:rFonts w:ascii="Arial" w:hAnsi="Arial"/>
          <w:b/>
          <w:bCs/>
          <w:color w:val="000000" w:themeColor="text1"/>
          <w:sz w:val="18"/>
          <w:szCs w:val="18"/>
        </w:rPr>
        <w:t xml:space="preserve"> thresholds</w:t>
      </w:r>
      <w:r w:rsidR="002A3BAC" w:rsidRPr="002C3EA2">
        <w:rPr>
          <w:rFonts w:ascii="Arial" w:hAnsi="Arial"/>
          <w:b/>
          <w:bCs/>
          <w:color w:val="000000" w:themeColor="text1"/>
          <w:sz w:val="18"/>
          <w:szCs w:val="18"/>
        </w:rPr>
        <w:t xml:space="preserve"> </w:t>
      </w:r>
    </w:p>
    <w:p w14:paraId="1E28D032" w14:textId="4B30D96A" w:rsidR="00E05C67" w:rsidRDefault="00E05C67" w:rsidP="002A3BAC">
      <w:pPr>
        <w:spacing w:after="0" w:line="240" w:lineRule="auto"/>
        <w:jc w:val="center"/>
        <w:rPr>
          <w:rFonts w:ascii="Arial" w:hAnsi="Arial"/>
          <w:b/>
          <w:bCs/>
          <w:color w:val="000000" w:themeColor="text1"/>
          <w:sz w:val="18"/>
          <w:szCs w:val="18"/>
        </w:rPr>
      </w:pPr>
    </w:p>
    <w:p w14:paraId="2C96E89A" w14:textId="77777777" w:rsidR="00E05C67" w:rsidRPr="002C3EA2" w:rsidRDefault="00E05C67">
      <w:pPr>
        <w:numPr>
          <w:ilvl w:val="0"/>
          <w:numId w:val="28"/>
        </w:numPr>
        <w:spacing w:before="60" w:after="0" w:line="240" w:lineRule="auto"/>
        <w:ind w:left="714" w:hanging="357"/>
        <w:rPr>
          <w:rFonts w:ascii="Arial" w:hAnsi="Arial"/>
          <w:color w:val="000000" w:themeColor="text1"/>
          <w:szCs w:val="20"/>
        </w:rPr>
      </w:pPr>
      <w:r w:rsidRPr="002C3EA2">
        <w:rPr>
          <w:rFonts w:ascii="Arial" w:hAnsi="Arial"/>
          <w:color w:val="000000" w:themeColor="text1"/>
          <w:szCs w:val="20"/>
        </w:rPr>
        <w:t xml:space="preserve">The AHC 50 </w:t>
      </w:r>
      <w:r>
        <w:rPr>
          <w:rFonts w:ascii="Arial" w:hAnsi="Arial"/>
          <w:color w:val="000000" w:themeColor="text1"/>
          <w:szCs w:val="20"/>
        </w:rPr>
        <w:t>FIXED</w:t>
      </w:r>
      <w:r w:rsidRPr="002C3EA2">
        <w:rPr>
          <w:rFonts w:ascii="Arial" w:hAnsi="Arial"/>
          <w:color w:val="000000" w:themeColor="text1"/>
          <w:szCs w:val="20"/>
        </w:rPr>
        <w:t xml:space="preserve">-07 low-income rate doubled from 20% to 40% in a very short period in the late 1980s to early 1990s, </w:t>
      </w:r>
      <w:r w:rsidRPr="002C3EA2">
        <w:rPr>
          <w:rFonts w:ascii="Arial" w:hAnsi="Arial"/>
          <w:color w:val="000000" w:themeColor="text1"/>
          <w:szCs w:val="24"/>
          <w:lang w:eastAsia="en-GB"/>
        </w:rPr>
        <w:t xml:space="preserve">reflecting rising unemployment, a falling average wage, demographic changes (more sole parent families), the 1991 benefit cuts and the introduction of market rents in public housing. </w:t>
      </w:r>
    </w:p>
    <w:p w14:paraId="346630D7" w14:textId="77777777" w:rsidR="00E05C67" w:rsidRPr="00C376AA" w:rsidRDefault="00E05C67">
      <w:pPr>
        <w:numPr>
          <w:ilvl w:val="0"/>
          <w:numId w:val="28"/>
        </w:numPr>
        <w:spacing w:before="60" w:after="0" w:line="240" w:lineRule="auto"/>
        <w:ind w:left="714" w:hanging="357"/>
        <w:rPr>
          <w:rFonts w:ascii="Arial" w:hAnsi="Arial"/>
          <w:color w:val="000000" w:themeColor="text1"/>
          <w:szCs w:val="20"/>
        </w:rPr>
      </w:pPr>
      <w:r w:rsidRPr="002C3EA2">
        <w:rPr>
          <w:rFonts w:ascii="Arial" w:hAnsi="Arial"/>
          <w:color w:val="000000" w:themeColor="text1"/>
          <w:szCs w:val="24"/>
          <w:lang w:eastAsia="en-GB"/>
        </w:rPr>
        <w:t xml:space="preserve">The rate then steadily fell through to 2008 with improving employment, a rising average wage, rising female employment, the </w:t>
      </w:r>
      <w:r>
        <w:rPr>
          <w:rFonts w:ascii="Arial" w:hAnsi="Arial"/>
          <w:color w:val="000000" w:themeColor="text1"/>
          <w:szCs w:val="24"/>
          <w:lang w:eastAsia="en-GB"/>
        </w:rPr>
        <w:t>re-</w:t>
      </w:r>
      <w:r w:rsidRPr="002C3EA2">
        <w:rPr>
          <w:rFonts w:ascii="Arial" w:hAnsi="Arial"/>
          <w:color w:val="000000" w:themeColor="text1"/>
          <w:szCs w:val="24"/>
          <w:lang w:eastAsia="en-GB"/>
        </w:rPr>
        <w:t xml:space="preserve">introduction of income-related rents and </w:t>
      </w:r>
      <w:r>
        <w:rPr>
          <w:rFonts w:ascii="Arial" w:hAnsi="Arial"/>
          <w:color w:val="000000" w:themeColor="text1"/>
          <w:szCs w:val="24"/>
          <w:lang w:eastAsia="en-GB"/>
        </w:rPr>
        <w:t>the roll-out of Working for Families.</w:t>
      </w:r>
    </w:p>
    <w:p w14:paraId="4F6C7A3A" w14:textId="2EAD3A6B" w:rsidR="00E05C67" w:rsidRPr="00A71F33" w:rsidRDefault="00E05C67">
      <w:pPr>
        <w:numPr>
          <w:ilvl w:val="0"/>
          <w:numId w:val="28"/>
        </w:numPr>
        <w:spacing w:before="60" w:after="0" w:line="240" w:lineRule="auto"/>
        <w:ind w:left="714" w:hanging="357"/>
        <w:rPr>
          <w:rFonts w:ascii="Arial" w:hAnsi="Arial"/>
          <w:color w:val="000000" w:themeColor="text1"/>
          <w:szCs w:val="20"/>
        </w:rPr>
      </w:pPr>
      <w:r w:rsidRPr="002C3EA2">
        <w:rPr>
          <w:rFonts w:ascii="Arial" w:hAnsi="Arial"/>
          <w:color w:val="000000" w:themeColor="text1"/>
          <w:szCs w:val="20"/>
        </w:rPr>
        <w:t xml:space="preserve">The </w:t>
      </w:r>
      <w:r>
        <w:rPr>
          <w:rFonts w:ascii="Arial" w:hAnsi="Arial"/>
          <w:color w:val="000000" w:themeColor="text1"/>
          <w:szCs w:val="20"/>
        </w:rPr>
        <w:t>FIXED</w:t>
      </w:r>
      <w:r w:rsidRPr="002C3EA2">
        <w:rPr>
          <w:rFonts w:ascii="Arial" w:hAnsi="Arial"/>
          <w:color w:val="000000" w:themeColor="text1"/>
          <w:szCs w:val="20"/>
        </w:rPr>
        <w:t xml:space="preserve">-07 trend line reports an AHC 50 rate for children of around 18-20% in 2007 to 2012, much the same as in the 1980s. </w:t>
      </w:r>
      <w:r w:rsidRPr="00A71F33">
        <w:rPr>
          <w:rFonts w:ascii="Arial" w:hAnsi="Arial"/>
          <w:color w:val="000000" w:themeColor="text1"/>
          <w:szCs w:val="20"/>
        </w:rPr>
        <w:t>This is because it took two to three decades for the real (the inflation-adjusted) AHC incomes of low-income households to return to what they were in the 1980s</w:t>
      </w:r>
      <w:r w:rsidR="00A9392C">
        <w:rPr>
          <w:rFonts w:ascii="Arial" w:hAnsi="Arial"/>
          <w:color w:val="000000" w:themeColor="text1"/>
          <w:szCs w:val="20"/>
        </w:rPr>
        <w:t>.</w:t>
      </w:r>
    </w:p>
    <w:p w14:paraId="0F99DFE9" w14:textId="5C6ADB63" w:rsidR="00E05C67" w:rsidRDefault="00E05C67">
      <w:pPr>
        <w:numPr>
          <w:ilvl w:val="0"/>
          <w:numId w:val="28"/>
        </w:numPr>
        <w:spacing w:before="60" w:after="0" w:line="240" w:lineRule="auto"/>
        <w:ind w:left="714" w:hanging="357"/>
        <w:rPr>
          <w:rFonts w:ascii="Arial" w:hAnsi="Arial"/>
          <w:color w:val="000000" w:themeColor="text1"/>
          <w:szCs w:val="20"/>
        </w:rPr>
      </w:pPr>
      <w:r w:rsidRPr="004C3729">
        <w:rPr>
          <w:rFonts w:ascii="Arial" w:hAnsi="Arial"/>
          <w:color w:val="000000" w:themeColor="text1"/>
          <w:szCs w:val="20"/>
        </w:rPr>
        <w:t xml:space="preserve">The post-GFC slow-down led to a slight rise </w:t>
      </w:r>
      <w:r>
        <w:rPr>
          <w:rFonts w:ascii="Arial" w:hAnsi="Arial"/>
          <w:color w:val="000000" w:themeColor="text1"/>
          <w:szCs w:val="20"/>
        </w:rPr>
        <w:t xml:space="preserve">on both the FIXED-07 and FIXED-18 measures. </w:t>
      </w:r>
      <w:r w:rsidRPr="004C3729">
        <w:rPr>
          <w:rFonts w:ascii="Arial" w:hAnsi="Arial"/>
          <w:color w:val="000000" w:themeColor="text1"/>
          <w:szCs w:val="20"/>
        </w:rPr>
        <w:t xml:space="preserve">through to </w:t>
      </w:r>
      <w:r>
        <w:rPr>
          <w:rFonts w:ascii="Arial" w:hAnsi="Arial"/>
          <w:color w:val="000000" w:themeColor="text1"/>
          <w:szCs w:val="20"/>
        </w:rPr>
        <w:t xml:space="preserve">around </w:t>
      </w:r>
      <w:r w:rsidRPr="004C3729">
        <w:rPr>
          <w:rFonts w:ascii="Arial" w:hAnsi="Arial"/>
          <w:color w:val="000000" w:themeColor="text1"/>
          <w:szCs w:val="20"/>
        </w:rPr>
        <w:t>201</w:t>
      </w:r>
      <w:r>
        <w:rPr>
          <w:rFonts w:ascii="Arial" w:hAnsi="Arial"/>
          <w:color w:val="000000" w:themeColor="text1"/>
          <w:szCs w:val="20"/>
        </w:rPr>
        <w:t>2</w:t>
      </w:r>
      <w:r w:rsidRPr="002C3EA2">
        <w:rPr>
          <w:rFonts w:ascii="Arial" w:hAnsi="Arial"/>
          <w:color w:val="000000" w:themeColor="text1"/>
          <w:szCs w:val="20"/>
        </w:rPr>
        <w:t>, followed by a steady decline</w:t>
      </w:r>
      <w:r>
        <w:rPr>
          <w:rFonts w:ascii="Arial" w:hAnsi="Arial"/>
          <w:color w:val="000000" w:themeColor="text1"/>
          <w:szCs w:val="20"/>
        </w:rPr>
        <w:t xml:space="preserve"> through to 2022,</w:t>
      </w:r>
      <w:r w:rsidRPr="002C3EA2">
        <w:rPr>
          <w:rFonts w:ascii="Arial" w:hAnsi="Arial"/>
          <w:color w:val="000000" w:themeColor="text1"/>
          <w:szCs w:val="20"/>
        </w:rPr>
        <w:t xml:space="preserve"> reflecting good economic conditions, a rising </w:t>
      </w:r>
      <w:r>
        <w:rPr>
          <w:rFonts w:ascii="Arial" w:hAnsi="Arial"/>
          <w:color w:val="000000" w:themeColor="text1"/>
          <w:szCs w:val="20"/>
        </w:rPr>
        <w:t xml:space="preserve">real </w:t>
      </w:r>
      <w:r w:rsidRPr="002C3EA2">
        <w:rPr>
          <w:rFonts w:ascii="Arial" w:hAnsi="Arial"/>
          <w:color w:val="000000" w:themeColor="text1"/>
          <w:szCs w:val="20"/>
        </w:rPr>
        <w:t>minimum wage</w:t>
      </w:r>
      <w:r>
        <w:rPr>
          <w:rFonts w:ascii="Arial" w:hAnsi="Arial"/>
          <w:color w:val="000000" w:themeColor="text1"/>
          <w:szCs w:val="20"/>
        </w:rPr>
        <w:t>,</w:t>
      </w:r>
      <w:r w:rsidRPr="002C3EA2">
        <w:rPr>
          <w:rFonts w:ascii="Arial" w:hAnsi="Arial"/>
          <w:color w:val="000000" w:themeColor="text1"/>
          <w:szCs w:val="20"/>
        </w:rPr>
        <w:t xml:space="preserve"> and</w:t>
      </w:r>
      <w:r>
        <w:rPr>
          <w:rFonts w:ascii="Arial" w:hAnsi="Arial"/>
          <w:color w:val="000000" w:themeColor="text1"/>
          <w:szCs w:val="20"/>
        </w:rPr>
        <w:t xml:space="preserve"> in the three years to 2022</w:t>
      </w:r>
      <w:r w:rsidRPr="00A71F33">
        <w:rPr>
          <w:rFonts w:ascii="Arial" w:hAnsi="Arial"/>
          <w:color w:val="000000" w:themeColor="text1"/>
          <w:szCs w:val="20"/>
        </w:rPr>
        <w:t xml:space="preserve"> </w:t>
      </w:r>
      <w:r>
        <w:rPr>
          <w:rFonts w:ascii="Arial" w:hAnsi="Arial"/>
          <w:color w:val="000000" w:themeColor="text1"/>
          <w:szCs w:val="20"/>
        </w:rPr>
        <w:t xml:space="preserve">real </w:t>
      </w:r>
      <w:r>
        <w:rPr>
          <w:rFonts w:ascii="Arial" w:hAnsi="Arial"/>
          <w:color w:val="000000" w:themeColor="text1"/>
          <w:szCs w:val="20"/>
        </w:rPr>
        <w:lastRenderedPageBreak/>
        <w:t xml:space="preserve">increases </w:t>
      </w:r>
      <w:r w:rsidRPr="00A71F33">
        <w:rPr>
          <w:rFonts w:ascii="Arial" w:hAnsi="Arial"/>
          <w:color w:val="000000" w:themeColor="text1"/>
          <w:szCs w:val="20"/>
        </w:rPr>
        <w:t xml:space="preserve">in government support for low-to-middle income </w:t>
      </w:r>
      <w:r>
        <w:rPr>
          <w:rFonts w:ascii="Arial" w:hAnsi="Arial"/>
          <w:color w:val="000000" w:themeColor="text1"/>
          <w:szCs w:val="20"/>
        </w:rPr>
        <w:t>households</w:t>
      </w:r>
      <w:r w:rsidRPr="00A71F33">
        <w:rPr>
          <w:rFonts w:ascii="Arial" w:hAnsi="Arial"/>
          <w:color w:val="000000" w:themeColor="text1"/>
          <w:szCs w:val="20"/>
        </w:rPr>
        <w:t xml:space="preserve"> with children</w:t>
      </w:r>
      <w:r>
        <w:rPr>
          <w:rFonts w:ascii="Arial" w:hAnsi="Arial"/>
          <w:color w:val="000000" w:themeColor="text1"/>
          <w:szCs w:val="20"/>
        </w:rPr>
        <w:t xml:space="preserve"> through the Families Package</w:t>
      </w:r>
      <w:r w:rsidR="00100D67">
        <w:rPr>
          <w:rFonts w:ascii="Arial" w:hAnsi="Arial"/>
          <w:color w:val="000000" w:themeColor="text1"/>
          <w:szCs w:val="20"/>
        </w:rPr>
        <w:t xml:space="preserve"> (including</w:t>
      </w:r>
      <w:r w:rsidR="00A9392C">
        <w:rPr>
          <w:rFonts w:ascii="Arial" w:hAnsi="Arial"/>
          <w:color w:val="000000" w:themeColor="text1"/>
          <w:szCs w:val="20"/>
        </w:rPr>
        <w:t xml:space="preserve"> </w:t>
      </w:r>
      <w:r w:rsidR="000D7EA7">
        <w:rPr>
          <w:rFonts w:ascii="Arial" w:hAnsi="Arial"/>
          <w:color w:val="000000" w:themeColor="text1"/>
          <w:szCs w:val="20"/>
        </w:rPr>
        <w:t xml:space="preserve">increases in the Family Tax Credit, the Accommodation Supplement, and </w:t>
      </w:r>
      <w:r w:rsidR="000D7EA7" w:rsidRPr="00F90C97">
        <w:rPr>
          <w:rFonts w:ascii="Arial" w:hAnsi="Arial"/>
          <w:color w:val="000000" w:themeColor="text1"/>
          <w:szCs w:val="20"/>
        </w:rPr>
        <w:t>the introduction of the Winter Energy Payment</w:t>
      </w:r>
      <w:r w:rsidR="000D7EA7">
        <w:rPr>
          <w:rFonts w:ascii="Arial" w:hAnsi="Arial"/>
          <w:color w:val="000000" w:themeColor="text1"/>
          <w:szCs w:val="20"/>
        </w:rPr>
        <w:t xml:space="preserve">), real increases in core benefit rates, </w:t>
      </w:r>
      <w:r w:rsidR="00A9392C">
        <w:rPr>
          <w:rFonts w:ascii="Arial" w:hAnsi="Arial"/>
          <w:color w:val="000000" w:themeColor="text1"/>
          <w:szCs w:val="20"/>
        </w:rPr>
        <w:t xml:space="preserve">and </w:t>
      </w:r>
      <w:r w:rsidR="000D7EA7">
        <w:rPr>
          <w:rFonts w:ascii="Arial" w:hAnsi="Arial"/>
          <w:color w:val="000000" w:themeColor="text1"/>
          <w:szCs w:val="20"/>
        </w:rPr>
        <w:t xml:space="preserve">extra support </w:t>
      </w:r>
      <w:r w:rsidR="00F705F8">
        <w:rPr>
          <w:rFonts w:ascii="Arial" w:hAnsi="Arial"/>
          <w:color w:val="000000" w:themeColor="text1"/>
          <w:szCs w:val="20"/>
        </w:rPr>
        <w:t>in the COVID years.</w:t>
      </w:r>
    </w:p>
    <w:p w14:paraId="47929071" w14:textId="23079755" w:rsidR="00E05C67" w:rsidRPr="00F705F8" w:rsidRDefault="00E05C67">
      <w:pPr>
        <w:numPr>
          <w:ilvl w:val="0"/>
          <w:numId w:val="28"/>
        </w:numPr>
        <w:spacing w:before="60" w:after="0" w:line="240" w:lineRule="auto"/>
        <w:ind w:left="714" w:hanging="357"/>
        <w:rPr>
          <w:rFonts w:ascii="Arial" w:hAnsi="Arial"/>
          <w:b/>
          <w:bCs/>
          <w:noProof/>
          <w:color w:val="000000" w:themeColor="text1"/>
          <w:sz w:val="18"/>
          <w:szCs w:val="18"/>
        </w:rPr>
      </w:pPr>
      <w:r w:rsidRPr="00F705F8">
        <w:rPr>
          <w:rFonts w:ascii="Arial" w:hAnsi="Arial"/>
          <w:color w:val="000000" w:themeColor="text1"/>
          <w:szCs w:val="20"/>
        </w:rPr>
        <w:t xml:space="preserve">The end of the falling trend and plateauing through to 2025 is consistent with the real income trends noted in Section </w:t>
      </w:r>
      <w:r w:rsidR="001E1422">
        <w:rPr>
          <w:rFonts w:ascii="Arial" w:hAnsi="Arial"/>
          <w:color w:val="000000" w:themeColor="text1"/>
          <w:szCs w:val="20"/>
        </w:rPr>
        <w:t>G</w:t>
      </w:r>
      <w:r w:rsidRPr="00F705F8">
        <w:rPr>
          <w:rFonts w:ascii="Arial" w:hAnsi="Arial"/>
          <w:color w:val="000000" w:themeColor="text1"/>
          <w:szCs w:val="20"/>
        </w:rPr>
        <w:t xml:space="preserve"> (a plateauing or even slight net decline in real AHC incomes</w:t>
      </w:r>
      <w:r w:rsidR="000D7EA7">
        <w:rPr>
          <w:rFonts w:ascii="Arial" w:hAnsi="Arial"/>
          <w:color w:val="000000" w:themeColor="text1"/>
          <w:szCs w:val="20"/>
        </w:rPr>
        <w:t xml:space="preserve"> from 2022</w:t>
      </w:r>
      <w:r w:rsidRPr="00F705F8">
        <w:rPr>
          <w:rFonts w:ascii="Arial" w:hAnsi="Arial"/>
          <w:color w:val="000000" w:themeColor="text1"/>
          <w:szCs w:val="20"/>
        </w:rPr>
        <w:t>).</w:t>
      </w:r>
    </w:p>
    <w:p w14:paraId="7F0A86FB" w14:textId="77777777" w:rsidR="00F705F8" w:rsidRDefault="00F705F8" w:rsidP="00F705F8">
      <w:pPr>
        <w:spacing w:before="60" w:after="0" w:line="240" w:lineRule="auto"/>
        <w:rPr>
          <w:rFonts w:ascii="Arial" w:hAnsi="Arial"/>
          <w:color w:val="000000" w:themeColor="text1"/>
          <w:szCs w:val="20"/>
        </w:rPr>
      </w:pPr>
    </w:p>
    <w:p w14:paraId="7E59E292" w14:textId="12BB1F72" w:rsidR="00F705F8" w:rsidRPr="00F705F8" w:rsidRDefault="00F705F8" w:rsidP="00F705F8">
      <w:pPr>
        <w:spacing w:before="60" w:after="0" w:line="240" w:lineRule="auto"/>
        <w:rPr>
          <w:rFonts w:ascii="Arial" w:hAnsi="Arial"/>
          <w:b/>
          <w:bCs/>
          <w:color w:val="000000" w:themeColor="text1"/>
          <w:szCs w:val="20"/>
        </w:rPr>
      </w:pPr>
      <w:r w:rsidRPr="00F705F8">
        <w:rPr>
          <w:rFonts w:ascii="Arial" w:hAnsi="Arial"/>
          <w:b/>
          <w:bCs/>
          <w:color w:val="000000" w:themeColor="text1"/>
          <w:szCs w:val="20"/>
        </w:rPr>
        <w:t>Similarity in trends</w:t>
      </w:r>
      <w:r w:rsidR="003E42EE">
        <w:rPr>
          <w:rFonts w:ascii="Arial" w:hAnsi="Arial"/>
          <w:b/>
          <w:bCs/>
          <w:color w:val="000000" w:themeColor="text1"/>
          <w:szCs w:val="20"/>
        </w:rPr>
        <w:t xml:space="preserve"> for AHC fixed line and </w:t>
      </w:r>
      <w:r w:rsidR="00C7308A">
        <w:rPr>
          <w:rFonts w:ascii="Arial" w:hAnsi="Arial"/>
          <w:b/>
          <w:bCs/>
          <w:color w:val="000000" w:themeColor="text1"/>
          <w:szCs w:val="20"/>
        </w:rPr>
        <w:t>material</w:t>
      </w:r>
      <w:r w:rsidR="003E42EE">
        <w:rPr>
          <w:rFonts w:ascii="Arial" w:hAnsi="Arial"/>
          <w:b/>
          <w:bCs/>
          <w:color w:val="000000" w:themeColor="text1"/>
          <w:szCs w:val="20"/>
        </w:rPr>
        <w:t xml:space="preserve"> hardship rates</w:t>
      </w:r>
    </w:p>
    <w:p w14:paraId="4D77884B" w14:textId="77777777" w:rsidR="00F705F8" w:rsidRDefault="00F705F8" w:rsidP="00F705F8">
      <w:pPr>
        <w:spacing w:before="60" w:after="0" w:line="240" w:lineRule="auto"/>
        <w:rPr>
          <w:rFonts w:ascii="Arial" w:hAnsi="Arial"/>
          <w:color w:val="000000" w:themeColor="text1"/>
          <w:szCs w:val="20"/>
        </w:rPr>
      </w:pPr>
    </w:p>
    <w:bookmarkEnd w:id="19"/>
    <w:p w14:paraId="48C5EB78" w14:textId="2CE65C03" w:rsidR="00835710" w:rsidRDefault="00835710" w:rsidP="003B5E88">
      <w:pPr>
        <w:spacing w:after="60" w:line="240" w:lineRule="auto"/>
        <w:rPr>
          <w:rFonts w:ascii="Arial" w:hAnsi="Arial"/>
          <w:color w:val="000000" w:themeColor="text1"/>
          <w:szCs w:val="20"/>
        </w:rPr>
      </w:pPr>
      <w:r w:rsidRPr="00F43734">
        <w:rPr>
          <w:rFonts w:ascii="Arial" w:hAnsi="Arial"/>
          <w:b/>
          <w:bCs/>
          <w:color w:val="000000" w:themeColor="text1"/>
          <w:szCs w:val="20"/>
        </w:rPr>
        <w:t xml:space="preserve">Figure </w:t>
      </w:r>
      <w:r w:rsidR="00046A24">
        <w:rPr>
          <w:rFonts w:ascii="Arial" w:hAnsi="Arial"/>
          <w:b/>
          <w:bCs/>
          <w:color w:val="000000" w:themeColor="text1"/>
          <w:szCs w:val="20"/>
        </w:rPr>
        <w:t>H</w:t>
      </w:r>
      <w:r w:rsidR="005F56D1">
        <w:rPr>
          <w:rFonts w:ascii="Arial" w:hAnsi="Arial"/>
          <w:b/>
          <w:bCs/>
          <w:color w:val="000000" w:themeColor="text1"/>
          <w:szCs w:val="20"/>
        </w:rPr>
        <w:t>.2</w:t>
      </w:r>
      <w:r w:rsidRPr="00F43734">
        <w:rPr>
          <w:rFonts w:ascii="Arial" w:hAnsi="Arial"/>
          <w:color w:val="000000" w:themeColor="text1"/>
          <w:szCs w:val="20"/>
        </w:rPr>
        <w:t xml:space="preserve"> shows the similarity in </w:t>
      </w:r>
      <w:r>
        <w:rPr>
          <w:rFonts w:ascii="Arial" w:hAnsi="Arial"/>
          <w:color w:val="000000" w:themeColor="text1"/>
          <w:szCs w:val="20"/>
        </w:rPr>
        <w:t xml:space="preserve">the </w:t>
      </w:r>
      <w:r w:rsidRPr="00F43734">
        <w:rPr>
          <w:rFonts w:ascii="Arial" w:hAnsi="Arial"/>
          <w:color w:val="000000" w:themeColor="text1"/>
          <w:szCs w:val="20"/>
        </w:rPr>
        <w:t xml:space="preserve">trends for material hardship and AHC 50 </w:t>
      </w:r>
      <w:r>
        <w:rPr>
          <w:rFonts w:ascii="Arial" w:hAnsi="Arial"/>
          <w:color w:val="000000" w:themeColor="text1"/>
          <w:szCs w:val="20"/>
        </w:rPr>
        <w:t xml:space="preserve">FIXED-18 </w:t>
      </w:r>
      <w:r w:rsidR="00C7308A">
        <w:rPr>
          <w:rFonts w:ascii="Arial" w:hAnsi="Arial"/>
          <w:color w:val="000000" w:themeColor="text1"/>
          <w:szCs w:val="20"/>
        </w:rPr>
        <w:t xml:space="preserve">low-income </w:t>
      </w:r>
      <w:r>
        <w:rPr>
          <w:rFonts w:ascii="Arial" w:hAnsi="Arial"/>
          <w:color w:val="000000" w:themeColor="text1"/>
          <w:szCs w:val="20"/>
        </w:rPr>
        <w:t>rates.</w:t>
      </w:r>
      <w:r w:rsidR="00BB457A">
        <w:rPr>
          <w:rFonts w:ascii="Arial" w:hAnsi="Arial"/>
          <w:color w:val="000000" w:themeColor="text1"/>
          <w:szCs w:val="20"/>
        </w:rPr>
        <w:t xml:space="preserve"> The similarity is not surprising as:</w:t>
      </w:r>
    </w:p>
    <w:p w14:paraId="6CA0E69D" w14:textId="67072187" w:rsidR="00BB457A" w:rsidRDefault="00000A47">
      <w:pPr>
        <w:pStyle w:val="ListParagraph"/>
        <w:numPr>
          <w:ilvl w:val="0"/>
          <w:numId w:val="41"/>
        </w:numPr>
        <w:spacing w:after="60" w:line="240" w:lineRule="auto"/>
        <w:contextualSpacing w:val="0"/>
        <w:rPr>
          <w:rFonts w:ascii="Arial" w:hAnsi="Arial"/>
          <w:color w:val="000000" w:themeColor="text1"/>
          <w:szCs w:val="20"/>
        </w:rPr>
      </w:pPr>
      <w:r>
        <w:rPr>
          <w:rFonts w:ascii="Arial" w:hAnsi="Arial"/>
          <w:color w:val="000000" w:themeColor="text1"/>
          <w:szCs w:val="20"/>
        </w:rPr>
        <w:t xml:space="preserve">both measures are of the </w:t>
      </w:r>
      <w:r w:rsidR="003B5E88">
        <w:rPr>
          <w:rFonts w:ascii="Arial" w:hAnsi="Arial"/>
          <w:color w:val="000000" w:themeColor="text1"/>
          <w:szCs w:val="20"/>
        </w:rPr>
        <w:t>‘fixed</w:t>
      </w:r>
      <w:r>
        <w:rPr>
          <w:rFonts w:ascii="Arial" w:hAnsi="Arial"/>
          <w:color w:val="000000" w:themeColor="text1"/>
          <w:szCs w:val="20"/>
        </w:rPr>
        <w:t xml:space="preserve"> reference</w:t>
      </w:r>
      <w:r w:rsidR="003B5E88">
        <w:rPr>
          <w:rFonts w:ascii="Arial" w:hAnsi="Arial"/>
          <w:color w:val="000000" w:themeColor="text1"/>
          <w:szCs w:val="20"/>
        </w:rPr>
        <w:t>’</w:t>
      </w:r>
      <w:r>
        <w:rPr>
          <w:rFonts w:ascii="Arial" w:hAnsi="Arial"/>
          <w:color w:val="000000" w:themeColor="text1"/>
          <w:szCs w:val="20"/>
        </w:rPr>
        <w:t xml:space="preserve"> type</w:t>
      </w:r>
    </w:p>
    <w:p w14:paraId="4EF606FC" w14:textId="504CFEE9" w:rsidR="00BB457A" w:rsidRDefault="00D66B2E">
      <w:pPr>
        <w:pStyle w:val="ListParagraph"/>
        <w:numPr>
          <w:ilvl w:val="0"/>
          <w:numId w:val="41"/>
        </w:numPr>
        <w:spacing w:after="60" w:line="240" w:lineRule="auto"/>
        <w:contextualSpacing w:val="0"/>
        <w:rPr>
          <w:rFonts w:ascii="Arial" w:hAnsi="Arial"/>
          <w:color w:val="000000" w:themeColor="text1"/>
          <w:szCs w:val="20"/>
        </w:rPr>
      </w:pPr>
      <w:r>
        <w:rPr>
          <w:rFonts w:ascii="Arial" w:hAnsi="Arial"/>
          <w:color w:val="000000" w:themeColor="text1"/>
          <w:szCs w:val="20"/>
        </w:rPr>
        <w:t>household income levels have a major impact on levels of material hardship, all else equal.</w:t>
      </w:r>
    </w:p>
    <w:p w14:paraId="3FE57C56" w14:textId="77777777" w:rsidR="005F56D1" w:rsidRDefault="005F56D1" w:rsidP="005F56D1">
      <w:pPr>
        <w:spacing w:after="60" w:line="240" w:lineRule="auto"/>
        <w:rPr>
          <w:rFonts w:ascii="Arial" w:hAnsi="Arial"/>
          <w:color w:val="000000" w:themeColor="text1"/>
          <w:szCs w:val="20"/>
        </w:rPr>
      </w:pPr>
    </w:p>
    <w:p w14:paraId="771079D2" w14:textId="5E8A7A78" w:rsidR="00E904C3" w:rsidRDefault="00FE7E69" w:rsidP="00FE7E69">
      <w:pPr>
        <w:spacing w:before="120" w:after="0" w:line="240" w:lineRule="auto"/>
        <w:jc w:val="center"/>
        <w:rPr>
          <w:rFonts w:ascii="Arial" w:hAnsi="Arial"/>
          <w:b/>
          <w:bCs/>
          <w:color w:val="000000" w:themeColor="text1"/>
          <w:sz w:val="18"/>
          <w:szCs w:val="18"/>
        </w:rPr>
      </w:pPr>
      <w:r w:rsidRPr="00FE7E69">
        <w:rPr>
          <w:rFonts w:ascii="Arial" w:hAnsi="Arial"/>
          <w:b/>
          <w:bCs/>
          <w:color w:val="000000" w:themeColor="text1"/>
          <w:sz w:val="18"/>
          <w:szCs w:val="18"/>
        </w:rPr>
        <w:t xml:space="preserve">Figure </w:t>
      </w:r>
      <w:r w:rsidR="00046A24">
        <w:rPr>
          <w:rFonts w:ascii="Arial" w:hAnsi="Arial"/>
          <w:b/>
          <w:bCs/>
          <w:color w:val="000000" w:themeColor="text1"/>
          <w:sz w:val="18"/>
          <w:szCs w:val="18"/>
        </w:rPr>
        <w:t>H</w:t>
      </w:r>
      <w:r w:rsidR="005F56D1">
        <w:rPr>
          <w:rFonts w:ascii="Arial" w:hAnsi="Arial"/>
          <w:b/>
          <w:bCs/>
          <w:color w:val="000000" w:themeColor="text1"/>
          <w:sz w:val="18"/>
          <w:szCs w:val="18"/>
        </w:rPr>
        <w:t>.2</w:t>
      </w:r>
    </w:p>
    <w:p w14:paraId="10FE659B" w14:textId="345080E9" w:rsidR="00CB7B32" w:rsidRDefault="005E50A5" w:rsidP="00CB7B32">
      <w:pPr>
        <w:spacing w:after="0" w:line="240" w:lineRule="auto"/>
        <w:jc w:val="center"/>
        <w:rPr>
          <w:rFonts w:ascii="Arial" w:hAnsi="Arial"/>
          <w:b/>
          <w:bCs/>
          <w:color w:val="000000" w:themeColor="text1"/>
          <w:sz w:val="18"/>
          <w:szCs w:val="18"/>
        </w:rPr>
      </w:pPr>
      <w:r w:rsidRPr="005E50A5">
        <w:rPr>
          <w:noProof/>
        </w:rPr>
        <w:drawing>
          <wp:anchor distT="0" distB="0" distL="114300" distR="114300" simplePos="0" relativeHeight="253010944" behindDoc="0" locked="0" layoutInCell="1" allowOverlap="1" wp14:anchorId="3B007EB2" wp14:editId="4335779E">
            <wp:simplePos x="0" y="0"/>
            <wp:positionH relativeFrom="margin">
              <wp:align>center</wp:align>
            </wp:positionH>
            <wp:positionV relativeFrom="paragraph">
              <wp:posOffset>225425</wp:posOffset>
            </wp:positionV>
            <wp:extent cx="3406140" cy="2178050"/>
            <wp:effectExtent l="0" t="0" r="3810" b="0"/>
            <wp:wrapTopAndBottom/>
            <wp:docPr id="1391955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5518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406140" cy="2178050"/>
                    </a:xfrm>
                    <a:prstGeom prst="rect">
                      <a:avLst/>
                    </a:prstGeom>
                  </pic:spPr>
                </pic:pic>
              </a:graphicData>
            </a:graphic>
            <wp14:sizeRelH relativeFrom="page">
              <wp14:pctWidth>0</wp14:pctWidth>
            </wp14:sizeRelH>
            <wp14:sizeRelV relativeFrom="page">
              <wp14:pctHeight>0</wp14:pctHeight>
            </wp14:sizeRelV>
          </wp:anchor>
        </w:drawing>
      </w:r>
      <w:r w:rsidR="0013558A" w:rsidRPr="0013558A">
        <w:rPr>
          <w:rFonts w:ascii="Arial" w:hAnsi="Arial"/>
          <w:b/>
          <w:bCs/>
          <w:color w:val="000000" w:themeColor="text1"/>
          <w:sz w:val="18"/>
          <w:szCs w:val="18"/>
        </w:rPr>
        <w:t>Trends in AHC 50 FIXED-18 rates and MH rates, 2007 to 20</w:t>
      </w:r>
      <w:r w:rsidR="003E07A3">
        <w:rPr>
          <w:rFonts w:ascii="Arial" w:hAnsi="Arial"/>
          <w:b/>
          <w:bCs/>
          <w:color w:val="000000" w:themeColor="text1"/>
          <w:sz w:val="18"/>
          <w:szCs w:val="18"/>
        </w:rPr>
        <w:t>25</w:t>
      </w:r>
    </w:p>
    <w:p w14:paraId="2F5F1B91" w14:textId="0B397467" w:rsidR="00CB7B32" w:rsidRPr="003E07A3" w:rsidRDefault="003E07A3" w:rsidP="00153071">
      <w:pPr>
        <w:spacing w:before="60" w:after="0" w:line="240" w:lineRule="auto"/>
        <w:ind w:left="1806" w:right="663"/>
        <w:rPr>
          <w:rFonts w:ascii="Arial" w:hAnsi="Arial"/>
          <w:color w:val="000000" w:themeColor="text1"/>
          <w:sz w:val="16"/>
          <w:szCs w:val="18"/>
          <w:lang w:eastAsia="en-GB"/>
        </w:rPr>
      </w:pPr>
      <w:r w:rsidRPr="003E07A3">
        <w:rPr>
          <w:rFonts w:ascii="Arial" w:hAnsi="Arial"/>
          <w:color w:val="000000" w:themeColor="text1"/>
          <w:sz w:val="16"/>
          <w:szCs w:val="18"/>
          <w:lang w:eastAsia="en-GB"/>
        </w:rPr>
        <w:t>Notes for chart:</w:t>
      </w:r>
    </w:p>
    <w:p w14:paraId="68DA54DD" w14:textId="094EB400" w:rsidR="003E07A3" w:rsidRDefault="003E07A3">
      <w:pPr>
        <w:pStyle w:val="ListParagraph"/>
        <w:numPr>
          <w:ilvl w:val="0"/>
          <w:numId w:val="75"/>
        </w:numPr>
        <w:spacing w:before="40" w:after="0" w:line="240" w:lineRule="auto"/>
        <w:ind w:left="2268" w:right="804" w:hanging="215"/>
        <w:contextualSpacing w:val="0"/>
        <w:rPr>
          <w:rFonts w:ascii="Arial" w:hAnsi="Arial"/>
          <w:color w:val="000000" w:themeColor="text1"/>
          <w:sz w:val="16"/>
          <w:szCs w:val="18"/>
          <w:lang w:eastAsia="en-GB"/>
        </w:rPr>
      </w:pPr>
      <w:r w:rsidRPr="003E07A3">
        <w:rPr>
          <w:rFonts w:ascii="Arial" w:hAnsi="Arial"/>
          <w:color w:val="000000" w:themeColor="text1"/>
          <w:sz w:val="16"/>
          <w:szCs w:val="18"/>
          <w:lang w:eastAsia="en-GB"/>
        </w:rPr>
        <w:t>The CPI is used for adjustments for inflation for the AHC fixed line measure</w:t>
      </w:r>
      <w:r>
        <w:rPr>
          <w:rFonts w:ascii="Arial" w:hAnsi="Arial"/>
          <w:color w:val="000000" w:themeColor="text1"/>
          <w:sz w:val="16"/>
          <w:szCs w:val="18"/>
          <w:lang w:eastAsia="en-GB"/>
        </w:rPr>
        <w:t>.</w:t>
      </w:r>
    </w:p>
    <w:p w14:paraId="0828678C" w14:textId="0729CA21" w:rsidR="003E07A3" w:rsidRDefault="003E07A3">
      <w:pPr>
        <w:pStyle w:val="ListParagraph"/>
        <w:numPr>
          <w:ilvl w:val="0"/>
          <w:numId w:val="75"/>
        </w:numPr>
        <w:spacing w:before="40" w:after="0" w:line="240" w:lineRule="auto"/>
        <w:ind w:left="2268" w:right="804" w:hanging="215"/>
        <w:contextualSpacing w:val="0"/>
        <w:rPr>
          <w:rFonts w:ascii="Arial" w:hAnsi="Arial"/>
          <w:color w:val="000000" w:themeColor="text1"/>
          <w:sz w:val="16"/>
          <w:szCs w:val="18"/>
          <w:lang w:eastAsia="en-GB"/>
        </w:rPr>
      </w:pPr>
      <w:r>
        <w:rPr>
          <w:rFonts w:ascii="Arial" w:hAnsi="Arial"/>
          <w:color w:val="000000" w:themeColor="text1"/>
          <w:sz w:val="16"/>
          <w:szCs w:val="18"/>
          <w:lang w:eastAsia="en-GB"/>
        </w:rPr>
        <w:t>The MWI is used for the MH rates</w:t>
      </w:r>
      <w:r w:rsidR="00C7308A">
        <w:rPr>
          <w:rFonts w:ascii="Arial" w:hAnsi="Arial"/>
          <w:color w:val="000000" w:themeColor="text1"/>
          <w:sz w:val="16"/>
          <w:szCs w:val="18"/>
          <w:lang w:eastAsia="en-GB"/>
        </w:rPr>
        <w:t>, MWI-24 to 2023-24 for the HES and MWI-26 for HILS 2024-25.</w:t>
      </w:r>
    </w:p>
    <w:p w14:paraId="6942130B" w14:textId="78B3440F" w:rsidR="003E07A3" w:rsidRPr="003E07A3" w:rsidRDefault="003E07A3">
      <w:pPr>
        <w:pStyle w:val="ListParagraph"/>
        <w:numPr>
          <w:ilvl w:val="0"/>
          <w:numId w:val="75"/>
        </w:numPr>
        <w:spacing w:before="40" w:after="0" w:line="240" w:lineRule="auto"/>
        <w:ind w:left="2268" w:right="804" w:hanging="215"/>
        <w:contextualSpacing w:val="0"/>
        <w:rPr>
          <w:rFonts w:ascii="Arial" w:hAnsi="Arial"/>
          <w:color w:val="000000" w:themeColor="text1"/>
          <w:sz w:val="16"/>
          <w:szCs w:val="18"/>
          <w:lang w:eastAsia="en-GB"/>
        </w:rPr>
      </w:pPr>
      <w:r>
        <w:rPr>
          <w:rFonts w:ascii="Arial" w:hAnsi="Arial"/>
          <w:color w:val="000000" w:themeColor="text1"/>
          <w:sz w:val="16"/>
          <w:szCs w:val="18"/>
          <w:lang w:eastAsia="en-GB"/>
        </w:rPr>
        <w:t>This report does not usually include the ‘COVID years’ (2020-21 and 2021-22) as part of a continuous time series for MH trends given the wide range of unique impacts on consumption behaviour through lockdowns, subsidies, the final implementation of the Families Package and so on (see Section A)</w:t>
      </w:r>
      <w:r w:rsidR="00C7308A">
        <w:rPr>
          <w:rFonts w:ascii="Arial" w:hAnsi="Arial"/>
          <w:color w:val="000000" w:themeColor="text1"/>
          <w:sz w:val="16"/>
          <w:szCs w:val="18"/>
          <w:lang w:eastAsia="en-GB"/>
        </w:rPr>
        <w:t xml:space="preserve">. </w:t>
      </w:r>
      <w:r>
        <w:rPr>
          <w:rFonts w:ascii="Arial" w:hAnsi="Arial"/>
          <w:color w:val="000000" w:themeColor="text1"/>
          <w:sz w:val="16"/>
          <w:szCs w:val="18"/>
          <w:lang w:eastAsia="en-GB"/>
        </w:rPr>
        <w:t xml:space="preserve"> An exception is made for this chart as the purpose is not to report the MH trend </w:t>
      </w:r>
      <w:r w:rsidR="00C7308A">
        <w:rPr>
          <w:rFonts w:ascii="Arial" w:hAnsi="Arial"/>
          <w:color w:val="000000" w:themeColor="text1"/>
          <w:sz w:val="16"/>
          <w:szCs w:val="18"/>
          <w:lang w:eastAsia="en-GB"/>
        </w:rPr>
        <w:t xml:space="preserve">per se </w:t>
      </w:r>
      <w:r>
        <w:rPr>
          <w:rFonts w:ascii="Arial" w:hAnsi="Arial"/>
          <w:color w:val="000000" w:themeColor="text1"/>
          <w:sz w:val="16"/>
          <w:szCs w:val="18"/>
          <w:lang w:eastAsia="en-GB"/>
        </w:rPr>
        <w:t>but to illustrate the relationship between MH rates and those of the fixed-line AHC 50 rates.</w:t>
      </w:r>
    </w:p>
    <w:p w14:paraId="7B30B50E" w14:textId="77777777" w:rsidR="003E07A3" w:rsidRDefault="003E07A3" w:rsidP="00C376AA">
      <w:pPr>
        <w:spacing w:after="0" w:line="240" w:lineRule="auto"/>
        <w:rPr>
          <w:rFonts w:ascii="Arial" w:hAnsi="Arial"/>
          <w:b/>
          <w:bCs/>
          <w:color w:val="000000" w:themeColor="text1"/>
          <w:lang w:eastAsia="en-GB"/>
        </w:rPr>
      </w:pPr>
    </w:p>
    <w:p w14:paraId="7CD7C8C3" w14:textId="77777777" w:rsidR="00153071" w:rsidRDefault="00153071" w:rsidP="008B3543">
      <w:pPr>
        <w:spacing w:after="60" w:line="240" w:lineRule="auto"/>
        <w:rPr>
          <w:rFonts w:ascii="Arial" w:hAnsi="Arial"/>
          <w:color w:val="000000" w:themeColor="text1"/>
          <w:szCs w:val="20"/>
        </w:rPr>
      </w:pPr>
    </w:p>
    <w:p w14:paraId="6EA0E62F" w14:textId="4C402DDF" w:rsidR="00951355" w:rsidRPr="00951355" w:rsidRDefault="00951355" w:rsidP="00951355">
      <w:pPr>
        <w:spacing w:after="60" w:line="240" w:lineRule="auto"/>
        <w:rPr>
          <w:rFonts w:ascii="Arial" w:hAnsi="Arial"/>
          <w:b/>
          <w:bCs/>
          <w:color w:val="000000" w:themeColor="text1"/>
          <w:lang w:eastAsia="en-GB"/>
        </w:rPr>
      </w:pPr>
      <w:r w:rsidRPr="00951355">
        <w:rPr>
          <w:rFonts w:ascii="Arial" w:hAnsi="Arial"/>
          <w:color w:val="000000" w:themeColor="text1"/>
          <w:szCs w:val="20"/>
        </w:rPr>
        <w:t>To date, there is no reliable model available for forecasting future trends in material hardship rates resulting from policy changes or expected trends in economic or social factors</w:t>
      </w:r>
      <w:r w:rsidR="00D8242F">
        <w:rPr>
          <w:rFonts w:ascii="Arial" w:hAnsi="Arial"/>
          <w:color w:val="000000" w:themeColor="text1"/>
          <w:szCs w:val="20"/>
        </w:rPr>
        <w:t xml:space="preserve"> (neither in New Zealand or internationally)</w:t>
      </w:r>
      <w:r w:rsidRPr="00951355">
        <w:rPr>
          <w:rFonts w:ascii="Arial" w:hAnsi="Arial"/>
          <w:color w:val="000000" w:themeColor="text1"/>
          <w:szCs w:val="20"/>
        </w:rPr>
        <w:t>. The best we can do at present is to use the similarity in trends for AHC 50 FIXED-18 and material hardship as an indirect means to get an indication of the likely future material hardship trend based on the modelled future low-income rates. While the correlation is very good, it can only be used to give an indication of future material hardship trends, not a precise forecast.</w:t>
      </w:r>
      <w:r w:rsidRPr="00951355">
        <w:rPr>
          <w:rFonts w:ascii="Arial" w:hAnsi="Arial"/>
          <w:color w:val="000000" w:themeColor="text1"/>
          <w:szCs w:val="20"/>
          <w:vertAlign w:val="superscript"/>
        </w:rPr>
        <w:t xml:space="preserve"> </w:t>
      </w:r>
      <w:r w:rsidRPr="00951355">
        <w:rPr>
          <w:rFonts w:ascii="Arial" w:hAnsi="Arial"/>
          <w:color w:val="000000" w:themeColor="text1"/>
          <w:szCs w:val="20"/>
          <w:vertAlign w:val="superscript"/>
        </w:rPr>
        <w:footnoteReference w:id="84"/>
      </w:r>
    </w:p>
    <w:p w14:paraId="163C3C4D" w14:textId="77777777" w:rsidR="00905AE9" w:rsidRDefault="00905AE9">
      <w:pPr>
        <w:spacing w:after="0" w:line="240" w:lineRule="auto"/>
        <w:rPr>
          <w:rFonts w:ascii="Arial" w:hAnsi="Arial"/>
          <w:b/>
          <w:bCs/>
          <w:color w:val="000000" w:themeColor="text1"/>
          <w:lang w:eastAsia="en-GB"/>
        </w:rPr>
      </w:pPr>
      <w:r>
        <w:rPr>
          <w:rFonts w:ascii="Arial" w:hAnsi="Arial"/>
          <w:b/>
          <w:bCs/>
          <w:color w:val="000000" w:themeColor="text1"/>
          <w:lang w:eastAsia="en-GB"/>
        </w:rPr>
        <w:br w:type="page"/>
      </w:r>
    </w:p>
    <w:p w14:paraId="04B1A705" w14:textId="16DE5DA8" w:rsidR="005042BB" w:rsidRDefault="005042BB" w:rsidP="00C376AA">
      <w:pPr>
        <w:spacing w:after="0" w:line="240" w:lineRule="auto"/>
        <w:rPr>
          <w:rFonts w:ascii="Arial" w:hAnsi="Arial"/>
          <w:b/>
          <w:bCs/>
          <w:color w:val="000000" w:themeColor="text1"/>
          <w:lang w:eastAsia="en-GB"/>
        </w:rPr>
      </w:pPr>
      <w:r>
        <w:rPr>
          <w:rFonts w:ascii="Arial" w:hAnsi="Arial"/>
          <w:b/>
          <w:bCs/>
          <w:color w:val="000000" w:themeColor="text1"/>
          <w:lang w:eastAsia="en-GB"/>
        </w:rPr>
        <w:lastRenderedPageBreak/>
        <w:t>Trends for fully relative AHC low-income measures</w:t>
      </w:r>
    </w:p>
    <w:p w14:paraId="5D1948D5" w14:textId="77777777" w:rsidR="005042BB" w:rsidRDefault="005042BB" w:rsidP="00C376AA">
      <w:pPr>
        <w:spacing w:after="0" w:line="240" w:lineRule="auto"/>
        <w:rPr>
          <w:rFonts w:ascii="Arial" w:hAnsi="Arial"/>
          <w:b/>
          <w:bCs/>
          <w:color w:val="000000" w:themeColor="text1"/>
          <w:lang w:eastAsia="en-GB"/>
        </w:rPr>
      </w:pPr>
    </w:p>
    <w:p w14:paraId="4F5794B5" w14:textId="2E6112C1" w:rsidR="00803AD1" w:rsidRPr="00FC4C24" w:rsidRDefault="00803AD1" w:rsidP="00C376AA">
      <w:pPr>
        <w:spacing w:after="0" w:line="240" w:lineRule="auto"/>
        <w:rPr>
          <w:rFonts w:ascii="Arial" w:hAnsi="Arial"/>
          <w:color w:val="000000" w:themeColor="text1"/>
          <w:lang w:eastAsia="en-GB"/>
        </w:rPr>
      </w:pPr>
      <w:r w:rsidRPr="00803AD1">
        <w:rPr>
          <w:rFonts w:ascii="Arial" w:hAnsi="Arial"/>
          <w:b/>
          <w:bCs/>
          <w:color w:val="000000" w:themeColor="text1"/>
          <w:lang w:eastAsia="en-GB"/>
        </w:rPr>
        <w:t xml:space="preserve">Figure </w:t>
      </w:r>
      <w:r w:rsidR="00046A24">
        <w:rPr>
          <w:rFonts w:ascii="Arial" w:hAnsi="Arial"/>
          <w:b/>
          <w:bCs/>
          <w:color w:val="000000" w:themeColor="text1"/>
          <w:lang w:eastAsia="en-GB"/>
        </w:rPr>
        <w:t>H</w:t>
      </w:r>
      <w:r w:rsidR="008B3543">
        <w:rPr>
          <w:rFonts w:ascii="Arial" w:hAnsi="Arial"/>
          <w:b/>
          <w:bCs/>
          <w:color w:val="000000" w:themeColor="text1"/>
          <w:lang w:eastAsia="en-GB"/>
        </w:rPr>
        <w:t>.3</w:t>
      </w:r>
      <w:r>
        <w:rPr>
          <w:rFonts w:ascii="Arial" w:hAnsi="Arial"/>
          <w:color w:val="000000" w:themeColor="text1"/>
          <w:lang w:eastAsia="en-GB"/>
        </w:rPr>
        <w:t xml:space="preserve"> shows the trends for the </w:t>
      </w:r>
      <w:r w:rsidR="00C376AA" w:rsidRPr="00574353">
        <w:rPr>
          <w:rFonts w:ascii="Arial" w:hAnsi="Arial"/>
          <w:color w:val="000000" w:themeColor="text1"/>
          <w:lang w:eastAsia="en-GB"/>
        </w:rPr>
        <w:t xml:space="preserve">three fully relative AHC </w:t>
      </w:r>
      <w:r w:rsidRPr="00574353">
        <w:rPr>
          <w:rFonts w:ascii="Arial" w:hAnsi="Arial"/>
          <w:color w:val="000000" w:themeColor="text1"/>
          <w:lang w:eastAsia="en-GB"/>
        </w:rPr>
        <w:t>measures</w:t>
      </w:r>
      <w:r w:rsidR="00574353" w:rsidRPr="00574353">
        <w:rPr>
          <w:rFonts w:ascii="Arial" w:hAnsi="Arial"/>
          <w:color w:val="000000" w:themeColor="text1"/>
          <w:lang w:eastAsia="en-GB"/>
        </w:rPr>
        <w:t xml:space="preserve"> that are specified in the CPRA</w:t>
      </w:r>
      <w:r w:rsidRPr="00574353">
        <w:rPr>
          <w:rFonts w:ascii="Arial" w:hAnsi="Arial"/>
          <w:color w:val="000000" w:themeColor="text1"/>
          <w:lang w:eastAsia="en-GB"/>
        </w:rPr>
        <w:t>.</w:t>
      </w:r>
      <w:r>
        <w:rPr>
          <w:rFonts w:ascii="Arial" w:hAnsi="Arial"/>
          <w:color w:val="000000" w:themeColor="text1"/>
          <w:u w:val="single"/>
          <w:lang w:eastAsia="en-GB"/>
        </w:rPr>
        <w:t xml:space="preserve"> </w:t>
      </w:r>
      <w:r w:rsidR="00FC4C24">
        <w:rPr>
          <w:rFonts w:ascii="Arial" w:hAnsi="Arial"/>
          <w:color w:val="000000" w:themeColor="text1"/>
          <w:u w:val="single"/>
          <w:lang w:eastAsia="en-GB"/>
        </w:rPr>
        <w:t xml:space="preserve"> </w:t>
      </w:r>
      <w:r w:rsidR="00FC4C24" w:rsidRPr="00FC4C24">
        <w:rPr>
          <w:rFonts w:ascii="Arial" w:hAnsi="Arial"/>
          <w:color w:val="000000" w:themeColor="text1"/>
          <w:lang w:eastAsia="en-GB"/>
        </w:rPr>
        <w:t>The figures for 2018 to 202</w:t>
      </w:r>
      <w:r w:rsidR="008B3543">
        <w:rPr>
          <w:rFonts w:ascii="Arial" w:hAnsi="Arial"/>
          <w:color w:val="000000" w:themeColor="text1"/>
          <w:lang w:eastAsia="en-GB"/>
        </w:rPr>
        <w:t>5</w:t>
      </w:r>
      <w:r w:rsidR="00FC4C24" w:rsidRPr="00FC4C24">
        <w:rPr>
          <w:rFonts w:ascii="Arial" w:hAnsi="Arial"/>
          <w:color w:val="000000" w:themeColor="text1"/>
          <w:lang w:eastAsia="en-GB"/>
        </w:rPr>
        <w:t xml:space="preserve"> are the same as those for Stats NZ, except that a two-year rolling average has been applied to more clearly show the trend</w:t>
      </w:r>
      <w:r w:rsidR="00FC4C24">
        <w:rPr>
          <w:rFonts w:ascii="Arial" w:hAnsi="Arial"/>
          <w:color w:val="000000" w:themeColor="text1"/>
          <w:lang w:eastAsia="en-GB"/>
        </w:rPr>
        <w:t>s.</w:t>
      </w:r>
    </w:p>
    <w:p w14:paraId="49B72A18" w14:textId="77777777" w:rsidR="00803AD1" w:rsidRDefault="00803AD1" w:rsidP="00C376AA">
      <w:pPr>
        <w:spacing w:after="0" w:line="240" w:lineRule="auto"/>
        <w:rPr>
          <w:rFonts w:ascii="Arial" w:hAnsi="Arial"/>
          <w:color w:val="000000" w:themeColor="text1"/>
          <w:u w:val="single"/>
          <w:lang w:eastAsia="en-GB"/>
        </w:rPr>
      </w:pPr>
    </w:p>
    <w:p w14:paraId="3605E296" w14:textId="6F47E6A1" w:rsidR="00CB7B32" w:rsidRDefault="00A60063" w:rsidP="00CB7B32">
      <w:pPr>
        <w:spacing w:after="0" w:line="240" w:lineRule="auto"/>
        <w:rPr>
          <w:rFonts w:ascii="Arial" w:hAnsi="Arial"/>
          <w:color w:val="000000"/>
          <w:lang w:eastAsia="en-GB"/>
        </w:rPr>
      </w:pPr>
      <w:r>
        <w:rPr>
          <w:rFonts w:ascii="Arial" w:hAnsi="Arial"/>
          <w:color w:val="000000" w:themeColor="text1"/>
          <w:lang w:eastAsia="en-GB"/>
        </w:rPr>
        <w:t>The</w:t>
      </w:r>
      <w:r w:rsidR="00C376AA" w:rsidRPr="002C3EA2">
        <w:rPr>
          <w:rFonts w:ascii="Arial" w:hAnsi="Arial"/>
          <w:color w:val="000000" w:themeColor="text1"/>
          <w:lang w:eastAsia="en-GB"/>
        </w:rPr>
        <w:t xml:space="preserve"> low-income AHC rates for children were fairly flat </w:t>
      </w:r>
      <w:r w:rsidR="00B33769">
        <w:rPr>
          <w:rFonts w:ascii="Arial" w:hAnsi="Arial"/>
          <w:color w:val="000000" w:themeColor="text1"/>
          <w:lang w:eastAsia="en-GB"/>
        </w:rPr>
        <w:t xml:space="preserve">for the AHC 40 and AHC 50 measures </w:t>
      </w:r>
      <w:r w:rsidR="00C376AA" w:rsidRPr="002C3EA2">
        <w:rPr>
          <w:rFonts w:ascii="Arial" w:hAnsi="Arial"/>
          <w:color w:val="000000" w:themeColor="text1"/>
          <w:lang w:eastAsia="en-GB"/>
        </w:rPr>
        <w:t xml:space="preserve">over the 25 years </w:t>
      </w:r>
      <w:r w:rsidR="00C376AA">
        <w:rPr>
          <w:rFonts w:ascii="Arial" w:hAnsi="Arial"/>
          <w:color w:val="000000" w:themeColor="text1"/>
          <w:lang w:eastAsia="en-GB"/>
        </w:rPr>
        <w:t xml:space="preserve">from </w:t>
      </w:r>
      <w:r w:rsidR="00FC4C24">
        <w:rPr>
          <w:rFonts w:ascii="Arial" w:hAnsi="Arial"/>
          <w:color w:val="000000" w:themeColor="text1"/>
          <w:lang w:eastAsia="en-GB"/>
        </w:rPr>
        <w:t>the mid-1990s</w:t>
      </w:r>
      <w:r w:rsidR="00C376AA">
        <w:rPr>
          <w:rFonts w:ascii="Arial" w:hAnsi="Arial"/>
          <w:color w:val="000000" w:themeColor="text1"/>
          <w:lang w:eastAsia="en-GB"/>
        </w:rPr>
        <w:t xml:space="preserve"> </w:t>
      </w:r>
      <w:r w:rsidR="00C376AA" w:rsidRPr="002C3EA2">
        <w:rPr>
          <w:rFonts w:ascii="Arial" w:hAnsi="Arial"/>
          <w:color w:val="000000" w:themeColor="text1"/>
          <w:lang w:eastAsia="en-GB"/>
        </w:rPr>
        <w:t xml:space="preserve">to 2018 on these measures, with </w:t>
      </w:r>
      <w:r w:rsidR="00FC4C24">
        <w:rPr>
          <w:rFonts w:ascii="Arial" w:hAnsi="Arial"/>
          <w:color w:val="000000" w:themeColor="text1"/>
          <w:lang w:eastAsia="en-GB"/>
        </w:rPr>
        <w:t>a</w:t>
      </w:r>
      <w:r w:rsidR="00C376AA" w:rsidRPr="002C3EA2">
        <w:rPr>
          <w:rFonts w:ascii="Arial" w:hAnsi="Arial"/>
          <w:color w:val="000000" w:themeColor="text1"/>
          <w:lang w:eastAsia="en-GB"/>
        </w:rPr>
        <w:t xml:space="preserve"> </w:t>
      </w:r>
      <w:r w:rsidR="00FC4C24">
        <w:rPr>
          <w:rFonts w:ascii="Arial" w:hAnsi="Arial"/>
          <w:color w:val="000000" w:themeColor="text1"/>
          <w:lang w:eastAsia="en-GB"/>
        </w:rPr>
        <w:t xml:space="preserve">small </w:t>
      </w:r>
      <w:r w:rsidR="00C376AA" w:rsidRPr="002C3EA2">
        <w:rPr>
          <w:rFonts w:ascii="Arial" w:hAnsi="Arial"/>
          <w:color w:val="000000" w:themeColor="text1"/>
          <w:lang w:eastAsia="en-GB"/>
        </w:rPr>
        <w:t>decrease</w:t>
      </w:r>
      <w:r w:rsidR="00FC4C24">
        <w:rPr>
          <w:rFonts w:ascii="Arial" w:hAnsi="Arial"/>
          <w:color w:val="000000" w:themeColor="text1"/>
          <w:lang w:eastAsia="en-GB"/>
        </w:rPr>
        <w:t xml:space="preserve"> for rates using the AHC 60 measure.</w:t>
      </w:r>
      <w:r w:rsidR="00C376AA" w:rsidRPr="002C3EA2">
        <w:rPr>
          <w:rFonts w:ascii="Arial" w:hAnsi="Arial"/>
          <w:color w:val="000000" w:themeColor="text1"/>
          <w:lang w:eastAsia="en-GB"/>
        </w:rPr>
        <w:t xml:space="preserve"> This indicates that low incomes were roughly keeping pace with median incomes, with no noticeable change in income inequality in the lower half of the AHC incomes distribution. </w:t>
      </w:r>
      <w:r w:rsidR="00C376AA" w:rsidRPr="00E1657B">
        <w:rPr>
          <w:rFonts w:ascii="Arial" w:hAnsi="Arial"/>
          <w:color w:val="000000"/>
          <w:lang w:eastAsia="en-GB"/>
        </w:rPr>
        <w:t>In contrast, the large change in income inequality from the late 1980s to the early 1990s saw AHC low-income rates double during this period.</w:t>
      </w:r>
    </w:p>
    <w:p w14:paraId="136FC09E" w14:textId="77777777" w:rsidR="00CB7B32" w:rsidRDefault="00CB7B32" w:rsidP="00CB7B32">
      <w:pPr>
        <w:spacing w:after="0" w:line="240" w:lineRule="auto"/>
        <w:rPr>
          <w:rFonts w:ascii="Arial" w:hAnsi="Arial"/>
          <w:color w:val="000000"/>
          <w:lang w:eastAsia="en-GB"/>
        </w:rPr>
      </w:pPr>
    </w:p>
    <w:p w14:paraId="7823E075" w14:textId="629B2E6D" w:rsidR="00320F20" w:rsidRDefault="001D4B94" w:rsidP="00CB7B32">
      <w:pPr>
        <w:spacing w:after="0" w:line="240" w:lineRule="auto"/>
        <w:rPr>
          <w:rFonts w:ascii="Arial" w:hAnsi="Arial"/>
          <w:color w:val="000000" w:themeColor="text1"/>
          <w:szCs w:val="18"/>
        </w:rPr>
      </w:pPr>
      <w:r>
        <w:rPr>
          <w:rFonts w:ascii="Arial" w:hAnsi="Arial"/>
          <w:color w:val="000000" w:themeColor="text1"/>
          <w:szCs w:val="18"/>
        </w:rPr>
        <w:t xml:space="preserve">The strongest </w:t>
      </w:r>
      <w:r w:rsidR="00320F20">
        <w:rPr>
          <w:rFonts w:ascii="Arial" w:hAnsi="Arial"/>
          <w:color w:val="000000" w:themeColor="text1"/>
          <w:szCs w:val="18"/>
        </w:rPr>
        <w:t xml:space="preserve">net </w:t>
      </w:r>
      <w:r>
        <w:rPr>
          <w:rFonts w:ascii="Arial" w:hAnsi="Arial"/>
          <w:color w:val="000000" w:themeColor="text1"/>
          <w:szCs w:val="18"/>
        </w:rPr>
        <w:t xml:space="preserve">fall in low-income (poverty) rates from 2018 was shown for the AHC 40 measure, down from </w:t>
      </w:r>
      <w:r w:rsidR="000926FF">
        <w:rPr>
          <w:rFonts w:ascii="Arial" w:hAnsi="Arial"/>
          <w:color w:val="000000" w:themeColor="text1"/>
          <w:szCs w:val="18"/>
        </w:rPr>
        <w:t>16</w:t>
      </w:r>
      <w:r>
        <w:rPr>
          <w:rFonts w:ascii="Arial" w:hAnsi="Arial"/>
          <w:color w:val="000000" w:themeColor="text1"/>
          <w:szCs w:val="18"/>
        </w:rPr>
        <w:t xml:space="preserve">% </w:t>
      </w:r>
      <w:r w:rsidR="002F657F">
        <w:rPr>
          <w:rFonts w:ascii="Arial" w:hAnsi="Arial"/>
          <w:color w:val="000000" w:themeColor="text1"/>
          <w:szCs w:val="18"/>
        </w:rPr>
        <w:t xml:space="preserve">in 2018 </w:t>
      </w:r>
      <w:r>
        <w:rPr>
          <w:rFonts w:ascii="Arial" w:hAnsi="Arial"/>
          <w:color w:val="000000" w:themeColor="text1"/>
          <w:szCs w:val="18"/>
        </w:rPr>
        <w:t>to 13% (1</w:t>
      </w:r>
      <w:r w:rsidR="002D12EA">
        <w:rPr>
          <w:rFonts w:ascii="Arial" w:hAnsi="Arial"/>
          <w:color w:val="000000" w:themeColor="text1"/>
          <w:szCs w:val="18"/>
        </w:rPr>
        <w:t>60</w:t>
      </w:r>
      <w:r>
        <w:rPr>
          <w:rFonts w:ascii="Arial" w:hAnsi="Arial"/>
          <w:color w:val="000000" w:themeColor="text1"/>
          <w:szCs w:val="18"/>
        </w:rPr>
        <w:t>,000) in 2025</w:t>
      </w:r>
      <w:r w:rsidR="00320F20">
        <w:rPr>
          <w:rFonts w:ascii="Arial" w:hAnsi="Arial"/>
          <w:color w:val="000000" w:themeColor="text1"/>
          <w:szCs w:val="18"/>
        </w:rPr>
        <w:t xml:space="preserve">. The fall </w:t>
      </w:r>
      <w:r w:rsidR="002F657F">
        <w:rPr>
          <w:rFonts w:ascii="Arial" w:hAnsi="Arial"/>
          <w:color w:val="000000" w:themeColor="text1"/>
          <w:szCs w:val="18"/>
        </w:rPr>
        <w:t xml:space="preserve">from 2018 </w:t>
      </w:r>
      <w:r w:rsidR="00320F20">
        <w:rPr>
          <w:rFonts w:ascii="Arial" w:hAnsi="Arial"/>
          <w:color w:val="000000" w:themeColor="text1"/>
          <w:szCs w:val="18"/>
        </w:rPr>
        <w:t xml:space="preserve">to 2023 reflects: the </w:t>
      </w:r>
      <w:r w:rsidR="00320F20">
        <w:rPr>
          <w:rFonts w:ascii="Arial" w:hAnsi="Arial"/>
          <w:color w:val="000000" w:themeColor="text1"/>
          <w:szCs w:val="20"/>
        </w:rPr>
        <w:t xml:space="preserve">increases </w:t>
      </w:r>
      <w:r w:rsidR="00320F20" w:rsidRPr="00A71F33">
        <w:rPr>
          <w:rFonts w:ascii="Arial" w:hAnsi="Arial"/>
          <w:color w:val="000000" w:themeColor="text1"/>
          <w:szCs w:val="20"/>
        </w:rPr>
        <w:t xml:space="preserve">in government support for low-to-middle income </w:t>
      </w:r>
      <w:r w:rsidR="00320F20">
        <w:rPr>
          <w:rFonts w:ascii="Arial" w:hAnsi="Arial"/>
          <w:color w:val="000000" w:themeColor="text1"/>
          <w:szCs w:val="20"/>
        </w:rPr>
        <w:t>households</w:t>
      </w:r>
      <w:r w:rsidR="00320F20" w:rsidRPr="00A71F33">
        <w:rPr>
          <w:rFonts w:ascii="Arial" w:hAnsi="Arial"/>
          <w:color w:val="000000" w:themeColor="text1"/>
          <w:szCs w:val="20"/>
        </w:rPr>
        <w:t xml:space="preserve"> with children</w:t>
      </w:r>
      <w:r w:rsidR="00320F20">
        <w:rPr>
          <w:rFonts w:ascii="Arial" w:hAnsi="Arial"/>
          <w:color w:val="000000" w:themeColor="text1"/>
          <w:szCs w:val="20"/>
        </w:rPr>
        <w:t xml:space="preserve"> through the Families Package (including increases in the Family Tax Credit, the Accommodation Supplement, and </w:t>
      </w:r>
      <w:r w:rsidR="00320F20" w:rsidRPr="00F90C97">
        <w:rPr>
          <w:rFonts w:ascii="Arial" w:hAnsi="Arial"/>
          <w:color w:val="000000" w:themeColor="text1"/>
          <w:szCs w:val="20"/>
        </w:rPr>
        <w:t>the introduction of the Winter Energy Payment</w:t>
      </w:r>
      <w:r w:rsidR="00320F20">
        <w:rPr>
          <w:rFonts w:ascii="Arial" w:hAnsi="Arial"/>
          <w:color w:val="000000" w:themeColor="text1"/>
          <w:szCs w:val="20"/>
        </w:rPr>
        <w:t>), real increases in core benefit rates</w:t>
      </w:r>
      <w:r w:rsidR="007473A9" w:rsidRPr="007473A9">
        <w:rPr>
          <w:rStyle w:val="FootnoteReference"/>
          <w:rFonts w:ascii="Arial" w:hAnsi="Arial"/>
          <w:color w:val="000000" w:themeColor="text1"/>
          <w:szCs w:val="20"/>
        </w:rPr>
        <w:footnoteReference w:id="85"/>
      </w:r>
      <w:r w:rsidR="00320F20" w:rsidRPr="007473A9">
        <w:rPr>
          <w:rFonts w:ascii="Arial" w:hAnsi="Arial"/>
          <w:color w:val="000000" w:themeColor="text1"/>
          <w:szCs w:val="20"/>
        </w:rPr>
        <w:t>;</w:t>
      </w:r>
      <w:r w:rsidR="00320F20">
        <w:rPr>
          <w:rFonts w:ascii="Arial" w:hAnsi="Arial"/>
          <w:color w:val="000000" w:themeColor="text1"/>
          <w:szCs w:val="20"/>
        </w:rPr>
        <w:t xml:space="preserve"> extra support in the COVID years: and the small fall in the AHC median during COVID (see Figure </w:t>
      </w:r>
      <w:r w:rsidR="00046A24">
        <w:rPr>
          <w:rFonts w:ascii="Arial" w:hAnsi="Arial"/>
          <w:color w:val="000000" w:themeColor="text1"/>
          <w:szCs w:val="20"/>
        </w:rPr>
        <w:t>G</w:t>
      </w:r>
      <w:r w:rsidR="00320F20">
        <w:rPr>
          <w:rFonts w:ascii="Arial" w:hAnsi="Arial"/>
          <w:color w:val="000000" w:themeColor="text1"/>
          <w:szCs w:val="20"/>
        </w:rPr>
        <w:t xml:space="preserve">.3). The latter had its own independent impact on the measured relative low-income rates creating </w:t>
      </w:r>
      <w:r w:rsidR="007473A9">
        <w:rPr>
          <w:rFonts w:ascii="Arial" w:hAnsi="Arial"/>
          <w:color w:val="000000" w:themeColor="text1"/>
          <w:szCs w:val="20"/>
        </w:rPr>
        <w:t xml:space="preserve">a </w:t>
      </w:r>
      <w:r w:rsidR="00320F20">
        <w:rPr>
          <w:rFonts w:ascii="Arial" w:hAnsi="Arial"/>
          <w:color w:val="000000" w:themeColor="text1"/>
          <w:szCs w:val="20"/>
        </w:rPr>
        <w:t xml:space="preserve">further </w:t>
      </w:r>
      <w:r w:rsidR="007473A9">
        <w:rPr>
          <w:rFonts w:ascii="Arial" w:hAnsi="Arial"/>
          <w:color w:val="000000" w:themeColor="text1"/>
          <w:szCs w:val="20"/>
        </w:rPr>
        <w:t>small decline for this relative low- income measure.</w:t>
      </w:r>
    </w:p>
    <w:p w14:paraId="5C745335" w14:textId="77777777" w:rsidR="00320F20" w:rsidRDefault="00320F20" w:rsidP="00CB7B32">
      <w:pPr>
        <w:spacing w:after="0" w:line="240" w:lineRule="auto"/>
        <w:rPr>
          <w:rFonts w:ascii="Arial" w:hAnsi="Arial"/>
          <w:color w:val="000000" w:themeColor="text1"/>
          <w:szCs w:val="18"/>
        </w:rPr>
      </w:pPr>
    </w:p>
    <w:p w14:paraId="1A0DFF8C" w14:textId="51A2FFDF" w:rsidR="00A10B0F" w:rsidRDefault="007473A9" w:rsidP="00CB7B32">
      <w:pPr>
        <w:spacing w:after="0" w:line="240" w:lineRule="auto"/>
        <w:rPr>
          <w:rFonts w:ascii="Arial" w:hAnsi="Arial"/>
          <w:color w:val="000000" w:themeColor="text1"/>
          <w:szCs w:val="18"/>
        </w:rPr>
      </w:pPr>
      <w:r>
        <w:rPr>
          <w:rFonts w:ascii="Arial" w:hAnsi="Arial"/>
          <w:color w:val="000000" w:themeColor="text1"/>
          <w:szCs w:val="18"/>
        </w:rPr>
        <w:t>The AHC 50 measure showed an initial smaller fall than for the AHC 40 measure, with no measurable net change from 2018 to 2025 (</w:t>
      </w:r>
      <w:r w:rsidR="002D12EA">
        <w:rPr>
          <w:rFonts w:ascii="Arial" w:hAnsi="Arial"/>
          <w:color w:val="000000" w:themeColor="text1"/>
          <w:szCs w:val="18"/>
        </w:rPr>
        <w:t>22</w:t>
      </w:r>
      <w:r w:rsidR="001D4B94">
        <w:rPr>
          <w:rFonts w:ascii="Arial" w:hAnsi="Arial"/>
          <w:color w:val="000000" w:themeColor="text1"/>
          <w:szCs w:val="18"/>
        </w:rPr>
        <w:t>%, 25</w:t>
      </w:r>
      <w:r>
        <w:rPr>
          <w:rFonts w:ascii="Arial" w:hAnsi="Arial"/>
          <w:color w:val="000000" w:themeColor="text1"/>
          <w:szCs w:val="18"/>
        </w:rPr>
        <w:t>5,000).</w:t>
      </w:r>
    </w:p>
    <w:p w14:paraId="6F59FD23" w14:textId="77777777" w:rsidR="00A10B0F" w:rsidRDefault="00A10B0F" w:rsidP="00CB7B32">
      <w:pPr>
        <w:spacing w:after="0" w:line="240" w:lineRule="auto"/>
        <w:rPr>
          <w:rFonts w:ascii="Arial" w:hAnsi="Arial"/>
          <w:color w:val="000000" w:themeColor="text1"/>
          <w:szCs w:val="18"/>
        </w:rPr>
      </w:pPr>
    </w:p>
    <w:p w14:paraId="54F53F67" w14:textId="5B329B4D" w:rsidR="00C25471" w:rsidRDefault="007473A9" w:rsidP="00CB7B32">
      <w:pPr>
        <w:spacing w:after="0" w:line="240" w:lineRule="auto"/>
        <w:rPr>
          <w:rFonts w:ascii="Arial" w:hAnsi="Arial"/>
          <w:color w:val="000000" w:themeColor="text1"/>
          <w:szCs w:val="18"/>
        </w:rPr>
      </w:pPr>
      <w:r>
        <w:rPr>
          <w:rFonts w:ascii="Arial" w:hAnsi="Arial"/>
          <w:color w:val="000000" w:themeColor="text1"/>
          <w:szCs w:val="18"/>
        </w:rPr>
        <w:t>The trend for the AHC 60 measure</w:t>
      </w:r>
      <w:r w:rsidR="002D12EA">
        <w:rPr>
          <w:rFonts w:ascii="Arial" w:hAnsi="Arial"/>
          <w:color w:val="000000" w:themeColor="text1"/>
          <w:szCs w:val="18"/>
        </w:rPr>
        <w:t xml:space="preserve"> was the least impacted by the extra government support and changes in the COVID years, with the rate returning to 30% (355,000) in 2025.</w:t>
      </w:r>
    </w:p>
    <w:p w14:paraId="0C99C8BD" w14:textId="77777777" w:rsidR="002D12EA" w:rsidRDefault="002D12EA" w:rsidP="00CB7B32">
      <w:pPr>
        <w:spacing w:after="0" w:line="240" w:lineRule="auto"/>
        <w:rPr>
          <w:rFonts w:ascii="Arial" w:hAnsi="Arial"/>
          <w:color w:val="000000" w:themeColor="text1"/>
          <w:szCs w:val="18"/>
        </w:rPr>
      </w:pPr>
    </w:p>
    <w:p w14:paraId="3717D14F" w14:textId="53811218" w:rsidR="002D12EA" w:rsidRPr="000926FF" w:rsidRDefault="000926FF" w:rsidP="00CB7B32">
      <w:pPr>
        <w:spacing w:after="0" w:line="240" w:lineRule="auto"/>
        <w:rPr>
          <w:rFonts w:ascii="Arial" w:hAnsi="Arial"/>
          <w:color w:val="000000" w:themeColor="text1"/>
          <w:szCs w:val="20"/>
        </w:rPr>
      </w:pPr>
      <w:r>
        <w:rPr>
          <w:rFonts w:ascii="Arial" w:hAnsi="Arial"/>
          <w:color w:val="000000" w:themeColor="text1"/>
          <w:szCs w:val="20"/>
        </w:rPr>
        <w:t>[</w:t>
      </w:r>
      <w:r w:rsidR="002D12EA" w:rsidRPr="000926FF">
        <w:rPr>
          <w:rFonts w:ascii="Arial" w:hAnsi="Arial"/>
          <w:color w:val="000000" w:themeColor="text1"/>
          <w:szCs w:val="20"/>
        </w:rPr>
        <w:t xml:space="preserve">See </w:t>
      </w:r>
      <w:r w:rsidRPr="000926FF">
        <w:rPr>
          <w:rFonts w:ascii="Arial" w:hAnsi="Arial"/>
          <w:color w:val="000000" w:themeColor="text1"/>
          <w:szCs w:val="20"/>
        </w:rPr>
        <w:t>Stats NZ’s detailed summaries</w:t>
      </w:r>
      <w:r w:rsidR="002D12EA" w:rsidRPr="000926FF">
        <w:rPr>
          <w:rFonts w:ascii="Arial" w:hAnsi="Arial"/>
          <w:color w:val="000000" w:themeColor="text1"/>
          <w:szCs w:val="20"/>
        </w:rPr>
        <w:t xml:space="preserve"> at </w:t>
      </w:r>
      <w:hyperlink r:id="rId72" w:history="1">
        <w:r w:rsidR="002D12EA" w:rsidRPr="000926FF">
          <w:rPr>
            <w:rStyle w:val="Hyperlink"/>
            <w:rFonts w:ascii="Arial" w:hAnsi="Arial"/>
            <w:szCs w:val="20"/>
          </w:rPr>
          <w:t>https://www.stats.govt.nz/information-releases/child-poverty-statistics-year-ended-june-2025/</w:t>
        </w:r>
      </w:hyperlink>
      <w:r>
        <w:rPr>
          <w:rFonts w:ascii="Arial" w:hAnsi="Arial"/>
          <w:szCs w:val="20"/>
        </w:rPr>
        <w:t>]</w:t>
      </w:r>
    </w:p>
    <w:p w14:paraId="0FECA60D" w14:textId="31E2F710" w:rsidR="00C376AA" w:rsidRDefault="00C376AA" w:rsidP="00C376AA">
      <w:pPr>
        <w:spacing w:after="0" w:line="240" w:lineRule="auto"/>
        <w:jc w:val="center"/>
        <w:rPr>
          <w:rFonts w:ascii="Arial" w:hAnsi="Arial"/>
          <w:b/>
          <w:bCs/>
          <w:color w:val="000000" w:themeColor="text1"/>
          <w:sz w:val="18"/>
          <w:szCs w:val="18"/>
        </w:rPr>
      </w:pPr>
    </w:p>
    <w:p w14:paraId="78757F25" w14:textId="19817FB9" w:rsidR="00BF1C72" w:rsidRPr="002C3EA2" w:rsidRDefault="00BF1C72" w:rsidP="00A60063">
      <w:pPr>
        <w:spacing w:after="0" w:line="240" w:lineRule="auto"/>
        <w:jc w:val="center"/>
        <w:rPr>
          <w:rFonts w:ascii="Arial" w:hAnsi="Arial"/>
          <w:b/>
          <w:bCs/>
          <w:color w:val="000000" w:themeColor="text1"/>
          <w:sz w:val="18"/>
          <w:szCs w:val="18"/>
        </w:rPr>
      </w:pPr>
      <w:bookmarkStart w:id="20" w:name="_Hlk173915005"/>
      <w:r w:rsidRPr="002C3EA2">
        <w:rPr>
          <w:rFonts w:ascii="Arial" w:hAnsi="Arial"/>
          <w:b/>
          <w:bCs/>
          <w:color w:val="000000" w:themeColor="text1"/>
          <w:sz w:val="18"/>
          <w:szCs w:val="18"/>
        </w:rPr>
        <w:t xml:space="preserve">Figure </w:t>
      </w:r>
      <w:r w:rsidR="00046A24">
        <w:rPr>
          <w:rFonts w:ascii="Arial" w:hAnsi="Arial"/>
          <w:b/>
          <w:bCs/>
          <w:color w:val="000000" w:themeColor="text1"/>
          <w:sz w:val="18"/>
          <w:szCs w:val="18"/>
        </w:rPr>
        <w:t>H</w:t>
      </w:r>
      <w:r w:rsidR="00014E49">
        <w:rPr>
          <w:rFonts w:ascii="Arial" w:hAnsi="Arial"/>
          <w:b/>
          <w:bCs/>
          <w:color w:val="000000" w:themeColor="text1"/>
          <w:sz w:val="18"/>
          <w:szCs w:val="18"/>
        </w:rPr>
        <w:t>.3</w:t>
      </w:r>
    </w:p>
    <w:p w14:paraId="4E9BAE1E" w14:textId="79F9535B" w:rsidR="00BF1C72" w:rsidRPr="002C3EA2" w:rsidRDefault="00BF1C72" w:rsidP="00BF1C72">
      <w:pPr>
        <w:spacing w:after="0" w:line="240" w:lineRule="auto"/>
        <w:jc w:val="center"/>
        <w:rPr>
          <w:rFonts w:ascii="Arial" w:hAnsi="Arial"/>
          <w:b/>
          <w:bCs/>
          <w:color w:val="000000" w:themeColor="text1"/>
          <w:sz w:val="18"/>
          <w:szCs w:val="18"/>
        </w:rPr>
      </w:pPr>
      <w:r w:rsidRPr="002C3EA2">
        <w:rPr>
          <w:rFonts w:ascii="Arial" w:hAnsi="Arial"/>
          <w:b/>
          <w:bCs/>
          <w:noProof/>
          <w:color w:val="000000" w:themeColor="text1"/>
          <w:sz w:val="18"/>
          <w:szCs w:val="18"/>
        </w:rPr>
        <w:t>Long-run trends in rates of low AHC household income</w:t>
      </w:r>
      <w:r w:rsidRPr="002C3EA2">
        <w:rPr>
          <w:rFonts w:ascii="Arial" w:hAnsi="Arial"/>
          <w:b/>
          <w:bCs/>
          <w:color w:val="000000" w:themeColor="text1"/>
          <w:sz w:val="18"/>
          <w:szCs w:val="18"/>
        </w:rPr>
        <w:t xml:space="preserve"> for children (0-17 yrs), </w:t>
      </w:r>
    </w:p>
    <w:p w14:paraId="4573A285" w14:textId="27E7F8BD" w:rsidR="00BF1C72" w:rsidRDefault="00EC307F" w:rsidP="00BF1C72">
      <w:pPr>
        <w:spacing w:after="0" w:line="240" w:lineRule="auto"/>
        <w:jc w:val="center"/>
        <w:rPr>
          <w:rFonts w:ascii="Arial" w:hAnsi="Arial"/>
          <w:b/>
          <w:bCs/>
          <w:color w:val="000000" w:themeColor="text1"/>
          <w:sz w:val="18"/>
          <w:szCs w:val="18"/>
        </w:rPr>
      </w:pPr>
      <w:r w:rsidRPr="00EC307F">
        <w:rPr>
          <w:noProof/>
        </w:rPr>
        <w:drawing>
          <wp:anchor distT="0" distB="0" distL="114300" distR="114300" simplePos="0" relativeHeight="253018112" behindDoc="0" locked="0" layoutInCell="1" allowOverlap="1" wp14:anchorId="28AB7BE4" wp14:editId="42789C45">
            <wp:simplePos x="0" y="0"/>
            <wp:positionH relativeFrom="margin">
              <wp:align>center</wp:align>
            </wp:positionH>
            <wp:positionV relativeFrom="paragraph">
              <wp:posOffset>205252</wp:posOffset>
            </wp:positionV>
            <wp:extent cx="4271010" cy="2728595"/>
            <wp:effectExtent l="0" t="0" r="0" b="0"/>
            <wp:wrapTopAndBottom/>
            <wp:docPr id="317629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29564" name=""/>
                    <pic:cNvPicPr/>
                  </pic:nvPicPr>
                  <pic:blipFill>
                    <a:blip r:embed="rId73">
                      <a:extLst>
                        <a:ext uri="{28A0092B-C50C-407E-A947-70E740481C1C}">
                          <a14:useLocalDpi xmlns:a14="http://schemas.microsoft.com/office/drawing/2010/main" val="0"/>
                        </a:ext>
                      </a:extLst>
                    </a:blip>
                    <a:stretch>
                      <a:fillRect/>
                    </a:stretch>
                  </pic:blipFill>
                  <pic:spPr>
                    <a:xfrm>
                      <a:off x="0" y="0"/>
                      <a:ext cx="4271010" cy="2728595"/>
                    </a:xfrm>
                    <a:prstGeom prst="rect">
                      <a:avLst/>
                    </a:prstGeom>
                  </pic:spPr>
                </pic:pic>
              </a:graphicData>
            </a:graphic>
            <wp14:sizeRelH relativeFrom="page">
              <wp14:pctWidth>0</wp14:pctWidth>
            </wp14:sizeRelH>
            <wp14:sizeRelV relativeFrom="page">
              <wp14:pctHeight>0</wp14:pctHeight>
            </wp14:sizeRelV>
          </wp:anchor>
        </w:drawing>
      </w:r>
      <w:r w:rsidR="00BF1C72" w:rsidRPr="002C3EA2">
        <w:rPr>
          <w:rFonts w:ascii="Arial" w:hAnsi="Arial"/>
          <w:b/>
          <w:bCs/>
          <w:color w:val="000000" w:themeColor="text1"/>
          <w:sz w:val="18"/>
          <w:szCs w:val="18"/>
        </w:rPr>
        <w:t xml:space="preserve"> </w:t>
      </w:r>
      <w:r w:rsidR="00087C64" w:rsidRPr="002C3EA2">
        <w:rPr>
          <w:rFonts w:ascii="Arial" w:hAnsi="Arial"/>
          <w:b/>
          <w:bCs/>
          <w:color w:val="000000" w:themeColor="text1"/>
          <w:sz w:val="18"/>
          <w:szCs w:val="18"/>
        </w:rPr>
        <w:t>R</w:t>
      </w:r>
      <w:r w:rsidR="00BF1C72" w:rsidRPr="002C3EA2">
        <w:rPr>
          <w:rFonts w:ascii="Arial" w:hAnsi="Arial"/>
          <w:b/>
          <w:bCs/>
          <w:color w:val="000000" w:themeColor="text1"/>
          <w:sz w:val="18"/>
          <w:szCs w:val="18"/>
        </w:rPr>
        <w:t>elative</w:t>
      </w:r>
      <w:r w:rsidR="00087C64">
        <w:rPr>
          <w:rFonts w:ascii="Arial" w:hAnsi="Arial"/>
          <w:b/>
          <w:bCs/>
          <w:color w:val="000000" w:themeColor="text1"/>
          <w:sz w:val="18"/>
          <w:szCs w:val="18"/>
        </w:rPr>
        <w:t xml:space="preserve"> REL</w:t>
      </w:r>
      <w:r w:rsidR="00BF1C72" w:rsidRPr="002C3EA2">
        <w:rPr>
          <w:rFonts w:ascii="Arial" w:hAnsi="Arial"/>
          <w:b/>
          <w:bCs/>
          <w:color w:val="000000" w:themeColor="text1"/>
          <w:sz w:val="18"/>
          <w:szCs w:val="18"/>
        </w:rPr>
        <w:t xml:space="preserve"> (‘moving’) thresholds</w:t>
      </w:r>
    </w:p>
    <w:p w14:paraId="47C59975" w14:textId="3E1788CD" w:rsidR="00EC307F" w:rsidRDefault="00EC307F" w:rsidP="00BF1C72">
      <w:pPr>
        <w:spacing w:after="0" w:line="240" w:lineRule="auto"/>
        <w:jc w:val="center"/>
        <w:rPr>
          <w:rFonts w:ascii="Arial" w:hAnsi="Arial"/>
          <w:b/>
          <w:bCs/>
          <w:color w:val="000000" w:themeColor="text1"/>
          <w:sz w:val="18"/>
          <w:szCs w:val="18"/>
        </w:rPr>
      </w:pPr>
    </w:p>
    <w:bookmarkEnd w:id="20"/>
    <w:p w14:paraId="1AF77022" w14:textId="77777777" w:rsidR="00C11C87" w:rsidRPr="00C11C87" w:rsidRDefault="00C11C87" w:rsidP="00C11C87">
      <w:pPr>
        <w:spacing w:after="0" w:line="240" w:lineRule="auto"/>
        <w:rPr>
          <w:rFonts w:ascii="Arial" w:hAnsi="Arial"/>
          <w:b/>
          <w:bCs/>
          <w:szCs w:val="20"/>
          <w:highlight w:val="yellow"/>
        </w:rPr>
      </w:pPr>
    </w:p>
    <w:p w14:paraId="6F10A389" w14:textId="77777777" w:rsidR="00C11C87" w:rsidRPr="00C11C87" w:rsidRDefault="00C11C87" w:rsidP="00C11C87">
      <w:pPr>
        <w:spacing w:after="0" w:line="240" w:lineRule="auto"/>
        <w:rPr>
          <w:rFonts w:ascii="Arial" w:hAnsi="Arial"/>
          <w:szCs w:val="20"/>
          <w:highlight w:val="yellow"/>
        </w:rPr>
      </w:pPr>
    </w:p>
    <w:p w14:paraId="11DC633F" w14:textId="24D22346" w:rsidR="007F35A8" w:rsidRDefault="007F35A8" w:rsidP="007F35A8">
      <w:pPr>
        <w:spacing w:after="0" w:line="240" w:lineRule="auto"/>
        <w:ind w:right="-44"/>
        <w:rPr>
          <w:rFonts w:ascii="Arial" w:eastAsia="Times New Roman" w:hAnsi="Arial"/>
          <w:bCs/>
          <w:color w:val="000000" w:themeColor="text1"/>
          <w:szCs w:val="20"/>
        </w:rPr>
      </w:pPr>
      <w:r w:rsidRPr="001D6EFF">
        <w:rPr>
          <w:rFonts w:ascii="Arial" w:eastAsia="Times New Roman" w:hAnsi="Arial"/>
          <w:b/>
          <w:color w:val="000000" w:themeColor="text1"/>
          <w:szCs w:val="20"/>
        </w:rPr>
        <w:lastRenderedPageBreak/>
        <w:t xml:space="preserve">Tables </w:t>
      </w:r>
      <w:r w:rsidR="00046A24">
        <w:rPr>
          <w:rFonts w:ascii="Arial" w:eastAsia="Times New Roman" w:hAnsi="Arial"/>
          <w:b/>
          <w:color w:val="000000" w:themeColor="text1"/>
          <w:szCs w:val="20"/>
        </w:rPr>
        <w:t>H</w:t>
      </w:r>
      <w:r w:rsidRPr="001D6EFF">
        <w:rPr>
          <w:rFonts w:ascii="Arial" w:eastAsia="Times New Roman" w:hAnsi="Arial"/>
          <w:b/>
          <w:color w:val="000000" w:themeColor="text1"/>
          <w:szCs w:val="20"/>
        </w:rPr>
        <w:t xml:space="preserve">.1 and </w:t>
      </w:r>
      <w:r w:rsidR="00046A24">
        <w:rPr>
          <w:rFonts w:ascii="Arial" w:eastAsia="Times New Roman" w:hAnsi="Arial"/>
          <w:b/>
          <w:color w:val="000000" w:themeColor="text1"/>
          <w:szCs w:val="20"/>
        </w:rPr>
        <w:t>H</w:t>
      </w:r>
      <w:r w:rsidRPr="001D6EFF">
        <w:rPr>
          <w:rFonts w:ascii="Arial" w:eastAsia="Times New Roman" w:hAnsi="Arial"/>
          <w:b/>
          <w:color w:val="000000" w:themeColor="text1"/>
          <w:szCs w:val="20"/>
        </w:rPr>
        <w:t>.2</w:t>
      </w:r>
      <w:r>
        <w:rPr>
          <w:rFonts w:ascii="Arial" w:eastAsia="Times New Roman" w:hAnsi="Arial"/>
          <w:bCs/>
          <w:color w:val="000000" w:themeColor="text1"/>
          <w:szCs w:val="20"/>
        </w:rPr>
        <w:t xml:space="preserve"> use four AHC low-income thresholds</w:t>
      </w:r>
      <w:r w:rsidR="001D6EFF">
        <w:rPr>
          <w:rFonts w:ascii="Arial" w:eastAsia="Times New Roman" w:hAnsi="Arial"/>
          <w:bCs/>
          <w:color w:val="000000" w:themeColor="text1"/>
          <w:szCs w:val="20"/>
        </w:rPr>
        <w:t xml:space="preserve"> to give an indication of the differing depth of low-income experienced by the various sub-groups (left-hand panel). The right-hand panel shows</w:t>
      </w:r>
      <w:r w:rsidR="00B8386F">
        <w:rPr>
          <w:rFonts w:ascii="Arial" w:eastAsia="Times New Roman" w:hAnsi="Arial"/>
          <w:bCs/>
          <w:color w:val="000000" w:themeColor="text1"/>
          <w:szCs w:val="20"/>
        </w:rPr>
        <w:t xml:space="preserve"> the composition of each sub-group.</w:t>
      </w:r>
      <w:r w:rsidR="001D6EFF">
        <w:rPr>
          <w:rFonts w:ascii="Arial" w:eastAsia="Times New Roman" w:hAnsi="Arial"/>
          <w:bCs/>
          <w:color w:val="000000" w:themeColor="text1"/>
          <w:szCs w:val="20"/>
        </w:rPr>
        <w:t xml:space="preserve"> </w:t>
      </w:r>
    </w:p>
    <w:p w14:paraId="46388F1B" w14:textId="77777777" w:rsidR="001D6EFF" w:rsidRPr="007F35A8" w:rsidRDefault="001D6EFF" w:rsidP="007F35A8">
      <w:pPr>
        <w:spacing w:after="0" w:line="240" w:lineRule="auto"/>
        <w:ind w:right="-44"/>
        <w:rPr>
          <w:rFonts w:ascii="Arial" w:eastAsia="Times New Roman" w:hAnsi="Arial"/>
          <w:bCs/>
          <w:color w:val="000000" w:themeColor="text1"/>
          <w:szCs w:val="20"/>
        </w:rPr>
      </w:pPr>
    </w:p>
    <w:p w14:paraId="52F7D7F5" w14:textId="77777777" w:rsidR="007F35A8" w:rsidRDefault="007F35A8" w:rsidP="007F35A8">
      <w:pPr>
        <w:spacing w:after="0" w:line="240" w:lineRule="auto"/>
        <w:ind w:right="-44"/>
        <w:jc w:val="center"/>
        <w:rPr>
          <w:rFonts w:ascii="Arial" w:eastAsia="Times New Roman" w:hAnsi="Arial"/>
          <w:b/>
          <w:color w:val="000000" w:themeColor="text1"/>
          <w:sz w:val="18"/>
          <w:szCs w:val="18"/>
        </w:rPr>
      </w:pPr>
    </w:p>
    <w:p w14:paraId="4BAA56B4" w14:textId="0458396C" w:rsidR="007F35A8" w:rsidRPr="007F35A8" w:rsidRDefault="007F35A8" w:rsidP="007F35A8">
      <w:pPr>
        <w:spacing w:after="0" w:line="240" w:lineRule="auto"/>
        <w:ind w:right="-44"/>
        <w:jc w:val="center"/>
        <w:rPr>
          <w:rFonts w:ascii="Arial" w:eastAsia="Times New Roman" w:hAnsi="Arial"/>
          <w:bCs/>
          <w:color w:val="FF0000"/>
          <w:sz w:val="18"/>
          <w:szCs w:val="18"/>
        </w:rPr>
      </w:pPr>
      <w:r>
        <w:rPr>
          <w:rFonts w:ascii="Arial" w:eastAsia="Times New Roman" w:hAnsi="Arial"/>
          <w:b/>
          <w:color w:val="000000" w:themeColor="text1"/>
          <w:sz w:val="18"/>
          <w:szCs w:val="18"/>
        </w:rPr>
        <w:t xml:space="preserve">Table </w:t>
      </w:r>
      <w:r w:rsidR="00046A24">
        <w:rPr>
          <w:rFonts w:ascii="Arial" w:eastAsia="Times New Roman" w:hAnsi="Arial"/>
          <w:b/>
          <w:color w:val="000000" w:themeColor="text1"/>
          <w:sz w:val="18"/>
          <w:szCs w:val="18"/>
        </w:rPr>
        <w:t>H</w:t>
      </w:r>
      <w:r>
        <w:rPr>
          <w:rFonts w:ascii="Arial" w:eastAsia="Times New Roman" w:hAnsi="Arial"/>
          <w:b/>
          <w:color w:val="000000" w:themeColor="text1"/>
          <w:sz w:val="18"/>
          <w:szCs w:val="18"/>
        </w:rPr>
        <w:t>.1</w:t>
      </w:r>
    </w:p>
    <w:p w14:paraId="60CD23A9" w14:textId="77777777" w:rsidR="007F35A8" w:rsidRPr="00B73E3F" w:rsidRDefault="007F35A8" w:rsidP="007F35A8">
      <w:pPr>
        <w:spacing w:after="0" w:line="240" w:lineRule="auto"/>
        <w:ind w:right="-44"/>
        <w:jc w:val="center"/>
        <w:rPr>
          <w:rFonts w:ascii="Arial" w:eastAsia="Times New Roman" w:hAnsi="Arial" w:cs="Times New Roman"/>
          <w:b/>
          <w:bCs/>
          <w:color w:val="000000" w:themeColor="text1"/>
          <w:sz w:val="18"/>
          <w:szCs w:val="18"/>
          <w:lang w:eastAsia="en-NZ"/>
        </w:rPr>
      </w:pPr>
      <w:r w:rsidRPr="00B73E3F">
        <w:rPr>
          <w:rFonts w:ascii="Arial" w:eastAsia="Times New Roman" w:hAnsi="Arial" w:cs="Times New Roman"/>
          <w:b/>
          <w:bCs/>
          <w:color w:val="000000" w:themeColor="text1"/>
          <w:sz w:val="18"/>
          <w:szCs w:val="18"/>
          <w:lang w:eastAsia="en-NZ"/>
        </w:rPr>
        <w:t>Low-income rates and composition for selected population groups (AHC incomes, selected thresholds)</w:t>
      </w:r>
    </w:p>
    <w:p w14:paraId="38DDF64B" w14:textId="77777777" w:rsidR="007F35A8" w:rsidRPr="00B73E3F" w:rsidRDefault="007F35A8" w:rsidP="007F35A8">
      <w:pPr>
        <w:spacing w:after="0" w:line="240" w:lineRule="auto"/>
        <w:ind w:right="-44"/>
        <w:jc w:val="center"/>
        <w:rPr>
          <w:rFonts w:ascii="Arial" w:eastAsia="Times New Roman" w:hAnsi="Arial" w:cs="Times New Roman"/>
          <w:b/>
          <w:bCs/>
          <w:color w:val="000000" w:themeColor="text1"/>
          <w:sz w:val="18"/>
          <w:szCs w:val="18"/>
          <w:lang w:eastAsia="en-NZ"/>
        </w:rPr>
      </w:pPr>
      <w:r w:rsidRPr="00B73E3F">
        <w:rPr>
          <w:rFonts w:ascii="Arial" w:eastAsia="Times New Roman" w:hAnsi="Arial" w:cs="Times New Roman"/>
          <w:b/>
          <w:bCs/>
          <w:color w:val="000000" w:themeColor="text1"/>
          <w:sz w:val="18"/>
          <w:szCs w:val="18"/>
          <w:lang w:eastAsia="en-NZ"/>
        </w:rPr>
        <w:t xml:space="preserve">Children (aged 0-17 yrs) </w:t>
      </w:r>
      <w:r>
        <w:rPr>
          <w:rFonts w:ascii="Arial" w:eastAsia="Times New Roman" w:hAnsi="Arial" w:cs="Times New Roman"/>
          <w:b/>
          <w:bCs/>
          <w:color w:val="000000" w:themeColor="text1"/>
          <w:sz w:val="18"/>
          <w:szCs w:val="18"/>
          <w:lang w:eastAsia="en-NZ"/>
        </w:rPr>
        <w:t>HILS 2024-25</w:t>
      </w:r>
    </w:p>
    <w:p w14:paraId="363E644D" w14:textId="77777777" w:rsidR="007F35A8" w:rsidRPr="00B73E3F" w:rsidRDefault="007F35A8" w:rsidP="007F35A8">
      <w:pPr>
        <w:spacing w:after="0" w:line="240" w:lineRule="auto"/>
        <w:jc w:val="center"/>
        <w:rPr>
          <w:rFonts w:ascii="Arial" w:hAnsi="Arial"/>
          <w:b/>
          <w:color w:val="000000" w:themeColor="text1"/>
          <w:sz w:val="16"/>
          <w:szCs w:val="16"/>
        </w:rPr>
      </w:pP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86"/>
        <w:gridCol w:w="513"/>
        <w:gridCol w:w="454"/>
        <w:gridCol w:w="471"/>
        <w:gridCol w:w="471"/>
        <w:gridCol w:w="474"/>
        <w:gridCol w:w="474"/>
        <w:gridCol w:w="474"/>
        <w:gridCol w:w="474"/>
        <w:gridCol w:w="474"/>
        <w:gridCol w:w="603"/>
        <w:gridCol w:w="598"/>
      </w:tblGrid>
      <w:tr w:rsidR="007F35A8" w:rsidRPr="00B73E3F" w14:paraId="7B714D00" w14:textId="77777777" w:rsidTr="0020734C">
        <w:trPr>
          <w:trHeight w:val="300"/>
          <w:jc w:val="center"/>
        </w:trPr>
        <w:tc>
          <w:tcPr>
            <w:tcW w:w="2972" w:type="dxa"/>
            <w:vAlign w:val="center"/>
            <w:hideMark/>
          </w:tcPr>
          <w:p w14:paraId="129ABBA3" w14:textId="77777777" w:rsidR="007F35A8" w:rsidRPr="00B73E3F" w:rsidRDefault="007F35A8" w:rsidP="0020734C">
            <w:pPr>
              <w:spacing w:after="0" w:line="240" w:lineRule="auto"/>
              <w:rPr>
                <w:rFonts w:ascii="Arial" w:eastAsia="Times New Roman" w:hAnsi="Arial" w:cs="Times New Roman"/>
                <w:b/>
                <w:bCs/>
                <w:color w:val="000000" w:themeColor="text1"/>
                <w:sz w:val="16"/>
                <w:szCs w:val="18"/>
                <w:lang w:eastAsia="en-NZ"/>
              </w:rPr>
            </w:pPr>
            <w:r w:rsidRPr="00B73E3F">
              <w:rPr>
                <w:rFonts w:ascii="Arial" w:eastAsia="Times New Roman" w:hAnsi="Arial" w:cs="Times New Roman"/>
                <w:b/>
                <w:bCs/>
                <w:color w:val="000000" w:themeColor="text1"/>
                <w:sz w:val="16"/>
                <w:szCs w:val="18"/>
                <w:lang w:eastAsia="en-NZ"/>
              </w:rPr>
              <w:t> </w:t>
            </w:r>
            <w:r>
              <w:rPr>
                <w:rFonts w:ascii="Arial" w:eastAsia="Times New Roman" w:hAnsi="Arial" w:cs="Times New Roman"/>
                <w:b/>
                <w:bCs/>
                <w:color w:val="000000" w:themeColor="text1"/>
                <w:sz w:val="16"/>
                <w:szCs w:val="18"/>
                <w:lang w:eastAsia="en-NZ"/>
              </w:rPr>
              <w:t>HILS 2024-25</w:t>
            </w:r>
          </w:p>
        </w:tc>
        <w:tc>
          <w:tcPr>
            <w:tcW w:w="2495" w:type="dxa"/>
            <w:gridSpan w:val="5"/>
            <w:tcBorders>
              <w:right w:val="single" w:sz="8" w:space="0" w:color="auto"/>
            </w:tcBorders>
            <w:vAlign w:val="center"/>
            <w:hideMark/>
          </w:tcPr>
          <w:p w14:paraId="551D11A3"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6"/>
                <w:szCs w:val="18"/>
                <w:lang w:eastAsia="en-NZ"/>
              </w:rPr>
            </w:pPr>
            <w:r w:rsidRPr="00B73E3F">
              <w:rPr>
                <w:rFonts w:ascii="Arial" w:eastAsia="Times New Roman" w:hAnsi="Arial" w:cs="Times New Roman"/>
                <w:b/>
                <w:bCs/>
                <w:color w:val="000000" w:themeColor="text1"/>
                <w:sz w:val="16"/>
                <w:szCs w:val="18"/>
                <w:lang w:eastAsia="en-NZ"/>
              </w:rPr>
              <w:t>Low-income rates</w:t>
            </w:r>
          </w:p>
        </w:tc>
        <w:tc>
          <w:tcPr>
            <w:tcW w:w="3571" w:type="dxa"/>
            <w:gridSpan w:val="7"/>
            <w:tcBorders>
              <w:left w:val="single" w:sz="8" w:space="0" w:color="auto"/>
            </w:tcBorders>
            <w:vAlign w:val="center"/>
            <w:hideMark/>
          </w:tcPr>
          <w:p w14:paraId="573A879C"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6"/>
                <w:szCs w:val="18"/>
                <w:lang w:eastAsia="en-NZ"/>
              </w:rPr>
            </w:pPr>
            <w:r w:rsidRPr="00B73E3F">
              <w:rPr>
                <w:rFonts w:ascii="Arial" w:eastAsia="Times New Roman" w:hAnsi="Arial" w:cs="Times New Roman"/>
                <w:b/>
                <w:bCs/>
                <w:color w:val="000000" w:themeColor="text1"/>
                <w:sz w:val="16"/>
                <w:szCs w:val="18"/>
                <w:lang w:eastAsia="en-NZ"/>
              </w:rPr>
              <w:t>Composition</w:t>
            </w:r>
          </w:p>
        </w:tc>
      </w:tr>
      <w:tr w:rsidR="007F35A8" w:rsidRPr="00B73E3F" w14:paraId="64CBE017" w14:textId="77777777" w:rsidTr="0020734C">
        <w:trPr>
          <w:trHeight w:val="300"/>
          <w:jc w:val="center"/>
        </w:trPr>
        <w:tc>
          <w:tcPr>
            <w:tcW w:w="2972" w:type="dxa"/>
            <w:vAlign w:val="center"/>
            <w:hideMark/>
          </w:tcPr>
          <w:p w14:paraId="44A3F754"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eastAsia="Times New Roman" w:hAnsi="Arial" w:cs="Times New Roman"/>
                <w:b/>
                <w:bCs/>
                <w:color w:val="000000" w:themeColor="text1"/>
                <w:sz w:val="14"/>
                <w:szCs w:val="16"/>
                <w:lang w:eastAsia="en-NZ"/>
              </w:rPr>
              <w:t> AHC</w:t>
            </w:r>
          </w:p>
        </w:tc>
        <w:tc>
          <w:tcPr>
            <w:tcW w:w="2495" w:type="dxa"/>
            <w:gridSpan w:val="5"/>
            <w:tcBorders>
              <w:right w:val="single" w:sz="8" w:space="0" w:color="auto"/>
            </w:tcBorders>
            <w:vAlign w:val="center"/>
            <w:hideMark/>
          </w:tcPr>
          <w:p w14:paraId="615434F2" w14:textId="77777777" w:rsidR="007F35A8" w:rsidRPr="00B73E3F" w:rsidRDefault="007F35A8" w:rsidP="0020734C">
            <w:pPr>
              <w:spacing w:after="0" w:line="240" w:lineRule="auto"/>
              <w:jc w:val="center"/>
              <w:rPr>
                <w:rFonts w:ascii="Arial" w:eastAsia="Times New Roman" w:hAnsi="Arial" w:cs="Times New Roman"/>
                <w:color w:val="000000" w:themeColor="text1"/>
                <w:sz w:val="16"/>
                <w:szCs w:val="16"/>
                <w:lang w:eastAsia="en-NZ"/>
              </w:rPr>
            </w:pPr>
            <w:r w:rsidRPr="00B73E3F">
              <w:rPr>
                <w:rFonts w:ascii="Arial" w:eastAsia="Times New Roman" w:hAnsi="Arial" w:cs="Times New Roman"/>
                <w:color w:val="000000" w:themeColor="text1"/>
                <w:sz w:val="16"/>
                <w:szCs w:val="16"/>
                <w:lang w:eastAsia="en-NZ"/>
              </w:rPr>
              <w:t>what % of this group is in a low-income household, using the different thresholds?</w:t>
            </w:r>
          </w:p>
        </w:tc>
        <w:tc>
          <w:tcPr>
            <w:tcW w:w="2370" w:type="dxa"/>
            <w:gridSpan w:val="5"/>
            <w:tcBorders>
              <w:left w:val="single" w:sz="8" w:space="0" w:color="auto"/>
            </w:tcBorders>
            <w:vAlign w:val="center"/>
            <w:hideMark/>
          </w:tcPr>
          <w:p w14:paraId="7680032C" w14:textId="77777777" w:rsidR="007F35A8" w:rsidRPr="00B73E3F" w:rsidRDefault="007F35A8" w:rsidP="0020734C">
            <w:pPr>
              <w:spacing w:after="0" w:line="240" w:lineRule="auto"/>
              <w:jc w:val="center"/>
              <w:rPr>
                <w:rFonts w:ascii="Arial" w:eastAsia="Times New Roman" w:hAnsi="Arial" w:cs="Times New Roman"/>
                <w:color w:val="000000" w:themeColor="text1"/>
                <w:sz w:val="16"/>
                <w:szCs w:val="16"/>
                <w:lang w:eastAsia="en-NZ"/>
              </w:rPr>
            </w:pPr>
            <w:r w:rsidRPr="00B73E3F">
              <w:rPr>
                <w:rFonts w:ascii="Arial" w:eastAsia="Times New Roman" w:hAnsi="Arial" w:cs="Times New Roman"/>
                <w:color w:val="000000" w:themeColor="text1"/>
                <w:sz w:val="16"/>
                <w:szCs w:val="16"/>
                <w:lang w:eastAsia="en-NZ"/>
              </w:rPr>
              <w:t>what % of all those in low-income households (using a given threshold) are in this group / cell?</w:t>
            </w:r>
          </w:p>
        </w:tc>
        <w:tc>
          <w:tcPr>
            <w:tcW w:w="603" w:type="dxa"/>
            <w:vAlign w:val="center"/>
            <w:hideMark/>
          </w:tcPr>
          <w:p w14:paraId="2806B854"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eastAsia="Times New Roman" w:hAnsi="Arial" w:cs="Times New Roman"/>
                <w:b/>
                <w:bCs/>
                <w:color w:val="000000" w:themeColor="text1"/>
                <w:sz w:val="14"/>
                <w:szCs w:val="14"/>
                <w:lang w:eastAsia="en-NZ"/>
              </w:rPr>
              <w:t>000’s</w:t>
            </w:r>
          </w:p>
        </w:tc>
        <w:tc>
          <w:tcPr>
            <w:tcW w:w="598" w:type="dxa"/>
            <w:vAlign w:val="center"/>
          </w:tcPr>
          <w:p w14:paraId="24DA4669"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eastAsia="Times New Roman" w:hAnsi="Arial" w:cs="Times New Roman"/>
                <w:b/>
                <w:bCs/>
                <w:color w:val="000000" w:themeColor="text1"/>
                <w:sz w:val="14"/>
                <w:szCs w:val="14"/>
                <w:lang w:eastAsia="en-NZ"/>
              </w:rPr>
              <w:t>%</w:t>
            </w:r>
          </w:p>
        </w:tc>
      </w:tr>
      <w:tr w:rsidR="007F35A8" w:rsidRPr="00B73E3F" w14:paraId="0896DE27" w14:textId="77777777" w:rsidTr="001D6EFF">
        <w:trPr>
          <w:trHeight w:val="396"/>
          <w:jc w:val="center"/>
        </w:trPr>
        <w:tc>
          <w:tcPr>
            <w:tcW w:w="2972" w:type="dxa"/>
            <w:vAlign w:val="center"/>
            <w:hideMark/>
          </w:tcPr>
          <w:p w14:paraId="7C60CA2A" w14:textId="77777777" w:rsidR="007F35A8" w:rsidRPr="00B73E3F" w:rsidRDefault="007F35A8" w:rsidP="0020734C">
            <w:pPr>
              <w:spacing w:after="0" w:line="240" w:lineRule="auto"/>
              <w:rPr>
                <w:rFonts w:ascii="Arial" w:hAnsi="Arial"/>
                <w:b/>
                <w:bCs/>
                <w:color w:val="000000" w:themeColor="text1"/>
                <w:sz w:val="14"/>
                <w:szCs w:val="14"/>
              </w:rPr>
            </w:pPr>
            <w:r w:rsidRPr="00B73E3F">
              <w:rPr>
                <w:rFonts w:ascii="Arial" w:hAnsi="Arial"/>
                <w:b/>
                <w:bCs/>
                <w:color w:val="000000" w:themeColor="text1"/>
                <w:sz w:val="14"/>
                <w:szCs w:val="14"/>
              </w:rPr>
              <w:t>Low-income threshold as % of median</w:t>
            </w:r>
          </w:p>
        </w:tc>
        <w:tc>
          <w:tcPr>
            <w:tcW w:w="586" w:type="dxa"/>
            <w:vAlign w:val="center"/>
            <w:hideMark/>
          </w:tcPr>
          <w:p w14:paraId="2838981B"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≥70</w:t>
            </w:r>
          </w:p>
        </w:tc>
        <w:tc>
          <w:tcPr>
            <w:tcW w:w="513" w:type="dxa"/>
            <w:vAlign w:val="center"/>
            <w:hideMark/>
          </w:tcPr>
          <w:p w14:paraId="1E301E8D"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&lt;70</w:t>
            </w:r>
          </w:p>
        </w:tc>
        <w:tc>
          <w:tcPr>
            <w:tcW w:w="454" w:type="dxa"/>
            <w:vAlign w:val="center"/>
            <w:hideMark/>
          </w:tcPr>
          <w:p w14:paraId="3710B96D"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&lt;60</w:t>
            </w:r>
          </w:p>
        </w:tc>
        <w:tc>
          <w:tcPr>
            <w:tcW w:w="471" w:type="dxa"/>
            <w:vAlign w:val="center"/>
            <w:hideMark/>
          </w:tcPr>
          <w:p w14:paraId="17A658E7"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&lt;50</w:t>
            </w:r>
          </w:p>
        </w:tc>
        <w:tc>
          <w:tcPr>
            <w:tcW w:w="471" w:type="dxa"/>
            <w:tcBorders>
              <w:right w:val="single" w:sz="8" w:space="0" w:color="auto"/>
            </w:tcBorders>
            <w:vAlign w:val="center"/>
            <w:hideMark/>
          </w:tcPr>
          <w:p w14:paraId="63AD4246"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&lt;40</w:t>
            </w:r>
          </w:p>
        </w:tc>
        <w:tc>
          <w:tcPr>
            <w:tcW w:w="474" w:type="dxa"/>
            <w:tcBorders>
              <w:left w:val="single" w:sz="8" w:space="0" w:color="auto"/>
            </w:tcBorders>
            <w:vAlign w:val="center"/>
            <w:hideMark/>
          </w:tcPr>
          <w:p w14:paraId="08D465A7"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≥70</w:t>
            </w:r>
          </w:p>
        </w:tc>
        <w:tc>
          <w:tcPr>
            <w:tcW w:w="474" w:type="dxa"/>
            <w:vAlign w:val="center"/>
            <w:hideMark/>
          </w:tcPr>
          <w:p w14:paraId="574C728F"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&lt;70</w:t>
            </w:r>
          </w:p>
        </w:tc>
        <w:tc>
          <w:tcPr>
            <w:tcW w:w="474" w:type="dxa"/>
            <w:vAlign w:val="center"/>
            <w:hideMark/>
          </w:tcPr>
          <w:p w14:paraId="2AD3CF50"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&lt;60</w:t>
            </w:r>
          </w:p>
        </w:tc>
        <w:tc>
          <w:tcPr>
            <w:tcW w:w="474" w:type="dxa"/>
            <w:vAlign w:val="center"/>
            <w:hideMark/>
          </w:tcPr>
          <w:p w14:paraId="1AC4F11A"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&lt;50</w:t>
            </w:r>
          </w:p>
        </w:tc>
        <w:tc>
          <w:tcPr>
            <w:tcW w:w="474" w:type="dxa"/>
            <w:tcBorders>
              <w:right w:val="single" w:sz="8" w:space="0" w:color="auto"/>
            </w:tcBorders>
            <w:vAlign w:val="center"/>
            <w:hideMark/>
          </w:tcPr>
          <w:p w14:paraId="10623F66"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&lt;40</w:t>
            </w:r>
          </w:p>
        </w:tc>
        <w:tc>
          <w:tcPr>
            <w:tcW w:w="603" w:type="dxa"/>
            <w:tcBorders>
              <w:left w:val="single" w:sz="8" w:space="0" w:color="auto"/>
            </w:tcBorders>
            <w:vAlign w:val="center"/>
            <w:hideMark/>
          </w:tcPr>
          <w:p w14:paraId="2426F470"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ALL</w:t>
            </w:r>
          </w:p>
        </w:tc>
        <w:tc>
          <w:tcPr>
            <w:tcW w:w="598" w:type="dxa"/>
            <w:vAlign w:val="center"/>
          </w:tcPr>
          <w:p w14:paraId="057C3200"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rPr>
            </w:pPr>
            <w:r w:rsidRPr="00B73E3F">
              <w:rPr>
                <w:rFonts w:ascii="Arial" w:eastAsia="Times New Roman" w:hAnsi="Arial" w:cs="Times New Roman"/>
                <w:b/>
                <w:bCs/>
                <w:color w:val="000000" w:themeColor="text1"/>
                <w:sz w:val="14"/>
                <w:szCs w:val="14"/>
              </w:rPr>
              <w:t>ALL</w:t>
            </w:r>
          </w:p>
        </w:tc>
      </w:tr>
      <w:tr w:rsidR="007F35A8" w:rsidRPr="00B73E3F" w14:paraId="6D18A155" w14:textId="77777777" w:rsidTr="001D6EFF">
        <w:trPr>
          <w:trHeight w:val="227"/>
          <w:jc w:val="center"/>
        </w:trPr>
        <w:tc>
          <w:tcPr>
            <w:tcW w:w="2972" w:type="dxa"/>
            <w:vAlign w:val="center"/>
            <w:hideMark/>
          </w:tcPr>
          <w:p w14:paraId="1ED541D5" w14:textId="77777777" w:rsidR="007F35A8" w:rsidRPr="00B73E3F" w:rsidRDefault="007F35A8" w:rsidP="0020734C">
            <w:pPr>
              <w:spacing w:after="0" w:line="240" w:lineRule="auto"/>
              <w:rPr>
                <w:rFonts w:ascii="Arial" w:hAnsi="Arial"/>
                <w:b/>
                <w:bCs/>
                <w:color w:val="000000" w:themeColor="text1"/>
                <w:sz w:val="14"/>
                <w:szCs w:val="14"/>
              </w:rPr>
            </w:pPr>
          </w:p>
        </w:tc>
        <w:tc>
          <w:tcPr>
            <w:tcW w:w="586" w:type="dxa"/>
            <w:vAlign w:val="center"/>
            <w:hideMark/>
          </w:tcPr>
          <w:p w14:paraId="764B3CAD"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513" w:type="dxa"/>
            <w:vAlign w:val="center"/>
            <w:hideMark/>
          </w:tcPr>
          <w:p w14:paraId="3F63B0CF"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54" w:type="dxa"/>
            <w:vAlign w:val="center"/>
            <w:hideMark/>
          </w:tcPr>
          <w:p w14:paraId="6E82C7B1"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1" w:type="dxa"/>
            <w:vAlign w:val="center"/>
            <w:hideMark/>
          </w:tcPr>
          <w:p w14:paraId="2A33D0FB"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1" w:type="dxa"/>
            <w:tcBorders>
              <w:right w:val="single" w:sz="8" w:space="0" w:color="auto"/>
            </w:tcBorders>
            <w:vAlign w:val="center"/>
            <w:hideMark/>
          </w:tcPr>
          <w:p w14:paraId="20E4F471"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4" w:type="dxa"/>
            <w:tcBorders>
              <w:left w:val="single" w:sz="8" w:space="0" w:color="auto"/>
            </w:tcBorders>
            <w:vAlign w:val="center"/>
            <w:hideMark/>
          </w:tcPr>
          <w:p w14:paraId="0A8262EE"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4" w:type="dxa"/>
            <w:vAlign w:val="center"/>
            <w:hideMark/>
          </w:tcPr>
          <w:p w14:paraId="4719E9B3"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4" w:type="dxa"/>
            <w:vAlign w:val="center"/>
            <w:hideMark/>
          </w:tcPr>
          <w:p w14:paraId="48275C6E"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4" w:type="dxa"/>
            <w:vAlign w:val="center"/>
            <w:hideMark/>
          </w:tcPr>
          <w:p w14:paraId="2911D116"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4" w:type="dxa"/>
            <w:tcBorders>
              <w:right w:val="single" w:sz="8" w:space="0" w:color="auto"/>
            </w:tcBorders>
            <w:vAlign w:val="center"/>
            <w:hideMark/>
          </w:tcPr>
          <w:p w14:paraId="2B8F0CC3"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603" w:type="dxa"/>
            <w:tcBorders>
              <w:left w:val="single" w:sz="8" w:space="0" w:color="auto"/>
            </w:tcBorders>
            <w:vAlign w:val="center"/>
            <w:hideMark/>
          </w:tcPr>
          <w:p w14:paraId="29E97187"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598" w:type="dxa"/>
            <w:vAlign w:val="center"/>
          </w:tcPr>
          <w:p w14:paraId="7BB515F7"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p>
        </w:tc>
      </w:tr>
      <w:tr w:rsidR="007F35A8" w:rsidRPr="00B73E3F" w14:paraId="2F21D5D2" w14:textId="77777777" w:rsidTr="001D6EFF">
        <w:trPr>
          <w:trHeight w:hRule="exact" w:val="227"/>
          <w:jc w:val="center"/>
        </w:trPr>
        <w:tc>
          <w:tcPr>
            <w:tcW w:w="2972" w:type="dxa"/>
            <w:vAlign w:val="center"/>
            <w:hideMark/>
          </w:tcPr>
          <w:p w14:paraId="64F23CC7"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All children (0-17 yrs)</w:t>
            </w:r>
          </w:p>
        </w:tc>
        <w:tc>
          <w:tcPr>
            <w:tcW w:w="586" w:type="dxa"/>
            <w:vAlign w:val="center"/>
          </w:tcPr>
          <w:p w14:paraId="3C1284B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63</w:t>
            </w:r>
          </w:p>
        </w:tc>
        <w:tc>
          <w:tcPr>
            <w:tcW w:w="513" w:type="dxa"/>
            <w:vAlign w:val="center"/>
          </w:tcPr>
          <w:p w14:paraId="2D7A6C4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37</w:t>
            </w:r>
          </w:p>
        </w:tc>
        <w:tc>
          <w:tcPr>
            <w:tcW w:w="454" w:type="dxa"/>
            <w:vAlign w:val="center"/>
          </w:tcPr>
          <w:p w14:paraId="4C99773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71" w:type="dxa"/>
            <w:vAlign w:val="center"/>
          </w:tcPr>
          <w:p w14:paraId="367EC65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1" w:type="dxa"/>
            <w:tcBorders>
              <w:right w:val="single" w:sz="8" w:space="0" w:color="auto"/>
            </w:tcBorders>
            <w:vAlign w:val="center"/>
          </w:tcPr>
          <w:p w14:paraId="388B667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w:t>
            </w:r>
          </w:p>
        </w:tc>
        <w:tc>
          <w:tcPr>
            <w:tcW w:w="474" w:type="dxa"/>
            <w:tcBorders>
              <w:left w:val="single" w:sz="8" w:space="0" w:color="auto"/>
            </w:tcBorders>
            <w:vAlign w:val="center"/>
          </w:tcPr>
          <w:p w14:paraId="56E60CC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4" w:type="dxa"/>
            <w:vAlign w:val="center"/>
          </w:tcPr>
          <w:p w14:paraId="52847D8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4" w:type="dxa"/>
            <w:vAlign w:val="center"/>
          </w:tcPr>
          <w:p w14:paraId="3FD0014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4" w:type="dxa"/>
            <w:vAlign w:val="center"/>
          </w:tcPr>
          <w:p w14:paraId="29CDCFD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4" w:type="dxa"/>
            <w:tcBorders>
              <w:right w:val="single" w:sz="8" w:space="0" w:color="auto"/>
            </w:tcBorders>
            <w:vAlign w:val="center"/>
          </w:tcPr>
          <w:p w14:paraId="57AB5D2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603" w:type="dxa"/>
            <w:tcBorders>
              <w:left w:val="single" w:sz="8" w:space="0" w:color="auto"/>
            </w:tcBorders>
            <w:vAlign w:val="center"/>
          </w:tcPr>
          <w:p w14:paraId="64213FD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1,150</w:t>
            </w:r>
          </w:p>
        </w:tc>
        <w:tc>
          <w:tcPr>
            <w:tcW w:w="598" w:type="dxa"/>
            <w:vAlign w:val="center"/>
          </w:tcPr>
          <w:p w14:paraId="6A99F39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r>
      <w:tr w:rsidR="007F35A8" w:rsidRPr="00B73E3F" w14:paraId="6851646A" w14:textId="77777777" w:rsidTr="001D6EFF">
        <w:trPr>
          <w:trHeight w:hRule="exact" w:val="227"/>
          <w:jc w:val="center"/>
        </w:trPr>
        <w:tc>
          <w:tcPr>
            <w:tcW w:w="2972" w:type="dxa"/>
            <w:vAlign w:val="center"/>
            <w:hideMark/>
          </w:tcPr>
          <w:p w14:paraId="4014B274"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Household type</w:t>
            </w:r>
          </w:p>
        </w:tc>
        <w:tc>
          <w:tcPr>
            <w:tcW w:w="586" w:type="dxa"/>
            <w:vAlign w:val="center"/>
          </w:tcPr>
          <w:p w14:paraId="750EEBD2"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13" w:type="dxa"/>
            <w:vAlign w:val="center"/>
          </w:tcPr>
          <w:p w14:paraId="5879D5C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54" w:type="dxa"/>
            <w:vAlign w:val="center"/>
          </w:tcPr>
          <w:p w14:paraId="550AB16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vAlign w:val="center"/>
          </w:tcPr>
          <w:p w14:paraId="16454152"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tcPr>
          <w:p w14:paraId="79E7AC6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left w:val="single" w:sz="8" w:space="0" w:color="auto"/>
            </w:tcBorders>
            <w:vAlign w:val="center"/>
          </w:tcPr>
          <w:p w14:paraId="47CD951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34DCF9C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1C683000"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64063382"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right w:val="single" w:sz="8" w:space="0" w:color="auto"/>
            </w:tcBorders>
            <w:vAlign w:val="center"/>
          </w:tcPr>
          <w:p w14:paraId="5CF2F55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3" w:type="dxa"/>
            <w:tcBorders>
              <w:left w:val="single" w:sz="8" w:space="0" w:color="auto"/>
            </w:tcBorders>
            <w:vAlign w:val="center"/>
          </w:tcPr>
          <w:p w14:paraId="6FB9FE43"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98" w:type="dxa"/>
            <w:vAlign w:val="center"/>
          </w:tcPr>
          <w:p w14:paraId="4D5C4860"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r>
      <w:tr w:rsidR="007F35A8" w:rsidRPr="00B73E3F" w14:paraId="736DDE1C" w14:textId="77777777" w:rsidTr="001D6EFF">
        <w:trPr>
          <w:trHeight w:hRule="exact" w:val="227"/>
          <w:jc w:val="center"/>
        </w:trPr>
        <w:tc>
          <w:tcPr>
            <w:tcW w:w="2972" w:type="dxa"/>
            <w:vAlign w:val="center"/>
            <w:hideMark/>
          </w:tcPr>
          <w:p w14:paraId="158612AC"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2P HH with any dependent children</w:t>
            </w:r>
          </w:p>
        </w:tc>
        <w:tc>
          <w:tcPr>
            <w:tcW w:w="586" w:type="dxa"/>
            <w:vAlign w:val="center"/>
          </w:tcPr>
          <w:p w14:paraId="538713F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70</w:t>
            </w:r>
          </w:p>
        </w:tc>
        <w:tc>
          <w:tcPr>
            <w:tcW w:w="513" w:type="dxa"/>
            <w:vAlign w:val="center"/>
          </w:tcPr>
          <w:p w14:paraId="0016EA5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w:t>
            </w:r>
          </w:p>
        </w:tc>
        <w:tc>
          <w:tcPr>
            <w:tcW w:w="454" w:type="dxa"/>
            <w:vAlign w:val="center"/>
          </w:tcPr>
          <w:p w14:paraId="0A29CBA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471" w:type="dxa"/>
            <w:vAlign w:val="center"/>
          </w:tcPr>
          <w:p w14:paraId="00758AC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1" w:type="dxa"/>
            <w:tcBorders>
              <w:right w:val="single" w:sz="8" w:space="0" w:color="auto"/>
            </w:tcBorders>
            <w:vAlign w:val="center"/>
          </w:tcPr>
          <w:p w14:paraId="385A9B2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w:t>
            </w:r>
          </w:p>
        </w:tc>
        <w:tc>
          <w:tcPr>
            <w:tcW w:w="474" w:type="dxa"/>
            <w:tcBorders>
              <w:left w:val="single" w:sz="8" w:space="0" w:color="auto"/>
            </w:tcBorders>
            <w:vAlign w:val="center"/>
          </w:tcPr>
          <w:p w14:paraId="06FF162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76</w:t>
            </w:r>
          </w:p>
        </w:tc>
        <w:tc>
          <w:tcPr>
            <w:tcW w:w="474" w:type="dxa"/>
            <w:vAlign w:val="center"/>
          </w:tcPr>
          <w:p w14:paraId="0301DA6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55</w:t>
            </w:r>
          </w:p>
        </w:tc>
        <w:tc>
          <w:tcPr>
            <w:tcW w:w="474" w:type="dxa"/>
            <w:vAlign w:val="center"/>
          </w:tcPr>
          <w:p w14:paraId="7925053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52</w:t>
            </w:r>
          </w:p>
        </w:tc>
        <w:tc>
          <w:tcPr>
            <w:tcW w:w="474" w:type="dxa"/>
            <w:vAlign w:val="center"/>
          </w:tcPr>
          <w:p w14:paraId="1C45569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52</w:t>
            </w:r>
          </w:p>
        </w:tc>
        <w:tc>
          <w:tcPr>
            <w:tcW w:w="474" w:type="dxa"/>
            <w:tcBorders>
              <w:right w:val="single" w:sz="8" w:space="0" w:color="auto"/>
            </w:tcBorders>
            <w:vAlign w:val="center"/>
          </w:tcPr>
          <w:p w14:paraId="2B16A56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53</w:t>
            </w:r>
          </w:p>
        </w:tc>
        <w:tc>
          <w:tcPr>
            <w:tcW w:w="603" w:type="dxa"/>
            <w:tcBorders>
              <w:left w:val="single" w:sz="8" w:space="0" w:color="auto"/>
            </w:tcBorders>
            <w:vAlign w:val="center"/>
          </w:tcPr>
          <w:p w14:paraId="1ED4717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780</w:t>
            </w:r>
          </w:p>
        </w:tc>
        <w:tc>
          <w:tcPr>
            <w:tcW w:w="598" w:type="dxa"/>
            <w:vAlign w:val="center"/>
          </w:tcPr>
          <w:p w14:paraId="5712485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68</w:t>
            </w:r>
          </w:p>
        </w:tc>
      </w:tr>
      <w:tr w:rsidR="007F35A8" w:rsidRPr="00B73E3F" w14:paraId="766B6E15" w14:textId="77777777" w:rsidTr="001D6EFF">
        <w:trPr>
          <w:trHeight w:hRule="exact" w:val="227"/>
          <w:jc w:val="center"/>
        </w:trPr>
        <w:tc>
          <w:tcPr>
            <w:tcW w:w="2972" w:type="dxa"/>
            <w:vAlign w:val="center"/>
            <w:hideMark/>
          </w:tcPr>
          <w:p w14:paraId="58EED454"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 xml:space="preserve">SP HH with any dependent children </w:t>
            </w:r>
          </w:p>
        </w:tc>
        <w:tc>
          <w:tcPr>
            <w:tcW w:w="586" w:type="dxa"/>
            <w:vAlign w:val="center"/>
          </w:tcPr>
          <w:p w14:paraId="5D54739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28</w:t>
            </w:r>
          </w:p>
        </w:tc>
        <w:tc>
          <w:tcPr>
            <w:tcW w:w="513" w:type="dxa"/>
            <w:vAlign w:val="center"/>
          </w:tcPr>
          <w:p w14:paraId="0BE3DA0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72</w:t>
            </w:r>
          </w:p>
        </w:tc>
        <w:tc>
          <w:tcPr>
            <w:tcW w:w="454" w:type="dxa"/>
            <w:vAlign w:val="center"/>
          </w:tcPr>
          <w:p w14:paraId="3F2FF46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61</w:t>
            </w:r>
          </w:p>
        </w:tc>
        <w:tc>
          <w:tcPr>
            <w:tcW w:w="471" w:type="dxa"/>
            <w:vAlign w:val="center"/>
          </w:tcPr>
          <w:p w14:paraId="2DC0775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44</w:t>
            </w:r>
          </w:p>
        </w:tc>
        <w:tc>
          <w:tcPr>
            <w:tcW w:w="471" w:type="dxa"/>
            <w:tcBorders>
              <w:right w:val="single" w:sz="8" w:space="0" w:color="auto"/>
            </w:tcBorders>
            <w:vAlign w:val="center"/>
          </w:tcPr>
          <w:p w14:paraId="4BAF804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25</w:t>
            </w:r>
          </w:p>
        </w:tc>
        <w:tc>
          <w:tcPr>
            <w:tcW w:w="474" w:type="dxa"/>
            <w:tcBorders>
              <w:left w:val="single" w:sz="8" w:space="0" w:color="auto"/>
            </w:tcBorders>
            <w:vAlign w:val="center"/>
          </w:tcPr>
          <w:p w14:paraId="26D9E43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w:t>
            </w:r>
          </w:p>
        </w:tc>
        <w:tc>
          <w:tcPr>
            <w:tcW w:w="474" w:type="dxa"/>
            <w:vAlign w:val="center"/>
          </w:tcPr>
          <w:p w14:paraId="1013D39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34</w:t>
            </w:r>
          </w:p>
        </w:tc>
        <w:tc>
          <w:tcPr>
            <w:tcW w:w="474" w:type="dxa"/>
            <w:vAlign w:val="center"/>
          </w:tcPr>
          <w:p w14:paraId="63A90CA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38</w:t>
            </w:r>
          </w:p>
        </w:tc>
        <w:tc>
          <w:tcPr>
            <w:tcW w:w="474" w:type="dxa"/>
            <w:vAlign w:val="center"/>
          </w:tcPr>
          <w:p w14:paraId="6756BFA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39</w:t>
            </w:r>
          </w:p>
        </w:tc>
        <w:tc>
          <w:tcPr>
            <w:tcW w:w="474" w:type="dxa"/>
            <w:tcBorders>
              <w:right w:val="single" w:sz="8" w:space="0" w:color="auto"/>
            </w:tcBorders>
            <w:vAlign w:val="center"/>
          </w:tcPr>
          <w:p w14:paraId="0604305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39</w:t>
            </w:r>
          </w:p>
        </w:tc>
        <w:tc>
          <w:tcPr>
            <w:tcW w:w="603" w:type="dxa"/>
            <w:tcBorders>
              <w:left w:val="single" w:sz="8" w:space="0" w:color="auto"/>
            </w:tcBorders>
            <w:vAlign w:val="center"/>
          </w:tcPr>
          <w:p w14:paraId="69BFEB1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205</w:t>
            </w:r>
          </w:p>
        </w:tc>
        <w:tc>
          <w:tcPr>
            <w:tcW w:w="598" w:type="dxa"/>
            <w:vAlign w:val="center"/>
          </w:tcPr>
          <w:p w14:paraId="02AB085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w:t>
            </w:r>
          </w:p>
        </w:tc>
      </w:tr>
      <w:tr w:rsidR="007F35A8" w:rsidRPr="00B73E3F" w14:paraId="0A484751" w14:textId="77777777" w:rsidTr="001D6EFF">
        <w:trPr>
          <w:trHeight w:hRule="exact" w:val="227"/>
          <w:jc w:val="center"/>
        </w:trPr>
        <w:tc>
          <w:tcPr>
            <w:tcW w:w="2972" w:type="dxa"/>
            <w:vAlign w:val="center"/>
            <w:hideMark/>
          </w:tcPr>
          <w:p w14:paraId="126B073B"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Other fam HHs with any dep ch</w:t>
            </w:r>
          </w:p>
        </w:tc>
        <w:tc>
          <w:tcPr>
            <w:tcW w:w="586" w:type="dxa"/>
            <w:vAlign w:val="center"/>
          </w:tcPr>
          <w:p w14:paraId="2F0126B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71</w:t>
            </w:r>
          </w:p>
        </w:tc>
        <w:tc>
          <w:tcPr>
            <w:tcW w:w="513" w:type="dxa"/>
            <w:vAlign w:val="center"/>
          </w:tcPr>
          <w:p w14:paraId="5A36405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54" w:type="dxa"/>
            <w:vAlign w:val="center"/>
          </w:tcPr>
          <w:p w14:paraId="6E4F6D5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1" w:type="dxa"/>
            <w:vAlign w:val="center"/>
          </w:tcPr>
          <w:p w14:paraId="7821DE9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1" w:type="dxa"/>
            <w:tcBorders>
              <w:right w:val="single" w:sz="8" w:space="0" w:color="auto"/>
            </w:tcBorders>
            <w:vAlign w:val="center"/>
          </w:tcPr>
          <w:p w14:paraId="4664639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w:t>
            </w:r>
          </w:p>
        </w:tc>
        <w:tc>
          <w:tcPr>
            <w:tcW w:w="474" w:type="dxa"/>
            <w:tcBorders>
              <w:left w:val="single" w:sz="8" w:space="0" w:color="auto"/>
            </w:tcBorders>
            <w:vAlign w:val="center"/>
          </w:tcPr>
          <w:p w14:paraId="144CE4D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4" w:type="dxa"/>
            <w:vAlign w:val="center"/>
          </w:tcPr>
          <w:p w14:paraId="64F37E7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w:t>
            </w:r>
          </w:p>
        </w:tc>
        <w:tc>
          <w:tcPr>
            <w:tcW w:w="474" w:type="dxa"/>
            <w:vAlign w:val="center"/>
          </w:tcPr>
          <w:p w14:paraId="6C47992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w:t>
            </w:r>
          </w:p>
        </w:tc>
        <w:tc>
          <w:tcPr>
            <w:tcW w:w="474" w:type="dxa"/>
            <w:vAlign w:val="center"/>
          </w:tcPr>
          <w:p w14:paraId="11CC86E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w:t>
            </w:r>
          </w:p>
        </w:tc>
        <w:tc>
          <w:tcPr>
            <w:tcW w:w="474" w:type="dxa"/>
            <w:tcBorders>
              <w:right w:val="single" w:sz="8" w:space="0" w:color="auto"/>
            </w:tcBorders>
            <w:vAlign w:val="center"/>
          </w:tcPr>
          <w:p w14:paraId="6E5F214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w:t>
            </w:r>
          </w:p>
        </w:tc>
        <w:tc>
          <w:tcPr>
            <w:tcW w:w="603" w:type="dxa"/>
            <w:tcBorders>
              <w:left w:val="single" w:sz="8" w:space="0" w:color="auto"/>
            </w:tcBorders>
            <w:vAlign w:val="center"/>
          </w:tcPr>
          <w:p w14:paraId="528D96A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155</w:t>
            </w:r>
          </w:p>
        </w:tc>
        <w:tc>
          <w:tcPr>
            <w:tcW w:w="598" w:type="dxa"/>
            <w:vAlign w:val="center"/>
          </w:tcPr>
          <w:p w14:paraId="1CDAA06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r>
      <w:tr w:rsidR="007F35A8" w:rsidRPr="00B73E3F" w14:paraId="0DDA072B" w14:textId="77777777" w:rsidTr="001D6EFF">
        <w:trPr>
          <w:trHeight w:hRule="exact" w:val="227"/>
          <w:jc w:val="center"/>
        </w:trPr>
        <w:tc>
          <w:tcPr>
            <w:tcW w:w="2972" w:type="dxa"/>
            <w:vAlign w:val="center"/>
            <w:hideMark/>
          </w:tcPr>
          <w:p w14:paraId="11E4B53C"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Other HHs (some 0-17s, no dep ch)</w:t>
            </w:r>
          </w:p>
        </w:tc>
        <w:tc>
          <w:tcPr>
            <w:tcW w:w="2495" w:type="dxa"/>
            <w:gridSpan w:val="5"/>
            <w:tcBorders>
              <w:right w:val="single" w:sz="8" w:space="0" w:color="auto"/>
            </w:tcBorders>
            <w:vAlign w:val="center"/>
          </w:tcPr>
          <w:p w14:paraId="0E098B3A" w14:textId="77777777" w:rsidR="007F35A8" w:rsidRPr="00D4379A" w:rsidRDefault="007F35A8" w:rsidP="0020734C">
            <w:pPr>
              <w:spacing w:after="0" w:line="240" w:lineRule="auto"/>
              <w:ind w:left="-83" w:right="-45"/>
              <w:jc w:val="center"/>
              <w:rPr>
                <w:rFonts w:ascii="Arial" w:eastAsia="Times New Roman" w:hAnsi="Arial" w:cs="Times New Roman"/>
                <w:color w:val="000000" w:themeColor="text1"/>
                <w:sz w:val="12"/>
                <w:szCs w:val="12"/>
                <w:highlight w:val="yellow"/>
              </w:rPr>
            </w:pPr>
            <w:r w:rsidRPr="007F35A8">
              <w:rPr>
                <w:rFonts w:ascii="Arial" w:eastAsia="Times New Roman" w:hAnsi="Arial"/>
                <w:color w:val="000000" w:themeColor="text1"/>
                <w:sz w:val="12"/>
                <w:szCs w:val="12"/>
              </w:rPr>
              <w:t>Cell sizes too small – rates supressed</w:t>
            </w:r>
          </w:p>
        </w:tc>
        <w:tc>
          <w:tcPr>
            <w:tcW w:w="474" w:type="dxa"/>
            <w:tcBorders>
              <w:left w:val="single" w:sz="8" w:space="0" w:color="auto"/>
            </w:tcBorders>
            <w:vAlign w:val="center"/>
          </w:tcPr>
          <w:p w14:paraId="1F2EEE0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c>
          <w:tcPr>
            <w:tcW w:w="474" w:type="dxa"/>
            <w:vAlign w:val="center"/>
          </w:tcPr>
          <w:p w14:paraId="666EB16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c>
          <w:tcPr>
            <w:tcW w:w="474" w:type="dxa"/>
            <w:vAlign w:val="center"/>
          </w:tcPr>
          <w:p w14:paraId="3F997A7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c>
          <w:tcPr>
            <w:tcW w:w="474" w:type="dxa"/>
            <w:vAlign w:val="center"/>
          </w:tcPr>
          <w:p w14:paraId="7DFCE9B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c>
          <w:tcPr>
            <w:tcW w:w="474" w:type="dxa"/>
            <w:tcBorders>
              <w:right w:val="single" w:sz="8" w:space="0" w:color="auto"/>
            </w:tcBorders>
            <w:vAlign w:val="center"/>
          </w:tcPr>
          <w:p w14:paraId="6A9F2FA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c>
          <w:tcPr>
            <w:tcW w:w="603" w:type="dxa"/>
            <w:tcBorders>
              <w:left w:val="single" w:sz="8" w:space="0" w:color="auto"/>
            </w:tcBorders>
            <w:vAlign w:val="center"/>
          </w:tcPr>
          <w:p w14:paraId="77F4049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598" w:type="dxa"/>
            <w:vAlign w:val="center"/>
          </w:tcPr>
          <w:p w14:paraId="6760F66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r>
      <w:tr w:rsidR="007F35A8" w:rsidRPr="00B73E3F" w14:paraId="22ABA498" w14:textId="77777777" w:rsidTr="001D6EFF">
        <w:trPr>
          <w:trHeight w:hRule="exact" w:val="227"/>
          <w:jc w:val="center"/>
        </w:trPr>
        <w:tc>
          <w:tcPr>
            <w:tcW w:w="2972" w:type="dxa"/>
            <w:vAlign w:val="center"/>
            <w:hideMark/>
          </w:tcPr>
          <w:p w14:paraId="0051BB1E"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Number of dep children in household</w:t>
            </w:r>
          </w:p>
        </w:tc>
        <w:tc>
          <w:tcPr>
            <w:tcW w:w="586" w:type="dxa"/>
            <w:vAlign w:val="center"/>
          </w:tcPr>
          <w:p w14:paraId="5A840DB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13" w:type="dxa"/>
            <w:vAlign w:val="center"/>
          </w:tcPr>
          <w:p w14:paraId="1710136F"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54" w:type="dxa"/>
            <w:vAlign w:val="center"/>
          </w:tcPr>
          <w:p w14:paraId="5EC65048"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vAlign w:val="center"/>
          </w:tcPr>
          <w:p w14:paraId="7902B48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tcPr>
          <w:p w14:paraId="77D42E66"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left w:val="single" w:sz="8" w:space="0" w:color="auto"/>
            </w:tcBorders>
            <w:vAlign w:val="center"/>
          </w:tcPr>
          <w:p w14:paraId="22050867"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362008F2"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0604083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63BC6A8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right w:val="single" w:sz="8" w:space="0" w:color="auto"/>
            </w:tcBorders>
            <w:vAlign w:val="center"/>
          </w:tcPr>
          <w:p w14:paraId="4E4F34CD"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3" w:type="dxa"/>
            <w:tcBorders>
              <w:left w:val="single" w:sz="8" w:space="0" w:color="auto"/>
            </w:tcBorders>
            <w:vAlign w:val="center"/>
          </w:tcPr>
          <w:p w14:paraId="4FA9770F"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98" w:type="dxa"/>
            <w:vAlign w:val="center"/>
          </w:tcPr>
          <w:p w14:paraId="33496B7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r>
      <w:tr w:rsidR="007F35A8" w:rsidRPr="00B73E3F" w14:paraId="16523CE8" w14:textId="77777777" w:rsidTr="001D6EFF">
        <w:trPr>
          <w:trHeight w:hRule="exact" w:val="227"/>
          <w:jc w:val="center"/>
        </w:trPr>
        <w:tc>
          <w:tcPr>
            <w:tcW w:w="2972" w:type="dxa"/>
            <w:vAlign w:val="center"/>
            <w:hideMark/>
          </w:tcPr>
          <w:p w14:paraId="2DD62D31"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1</w:t>
            </w:r>
          </w:p>
        </w:tc>
        <w:tc>
          <w:tcPr>
            <w:tcW w:w="586" w:type="dxa"/>
            <w:vAlign w:val="center"/>
          </w:tcPr>
          <w:p w14:paraId="0C907FB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71</w:t>
            </w:r>
          </w:p>
        </w:tc>
        <w:tc>
          <w:tcPr>
            <w:tcW w:w="513" w:type="dxa"/>
            <w:vAlign w:val="center"/>
          </w:tcPr>
          <w:p w14:paraId="1E7FDA2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54" w:type="dxa"/>
            <w:vAlign w:val="center"/>
          </w:tcPr>
          <w:p w14:paraId="29E0179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471" w:type="dxa"/>
            <w:vAlign w:val="center"/>
          </w:tcPr>
          <w:p w14:paraId="14F6533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1" w:type="dxa"/>
            <w:tcBorders>
              <w:right w:val="single" w:sz="8" w:space="0" w:color="auto"/>
            </w:tcBorders>
            <w:vAlign w:val="center"/>
          </w:tcPr>
          <w:p w14:paraId="48E2A6B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4" w:type="dxa"/>
            <w:tcBorders>
              <w:left w:val="single" w:sz="8" w:space="0" w:color="auto"/>
            </w:tcBorders>
            <w:vAlign w:val="center"/>
          </w:tcPr>
          <w:p w14:paraId="3A22967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28</w:t>
            </w:r>
          </w:p>
        </w:tc>
        <w:tc>
          <w:tcPr>
            <w:tcW w:w="474" w:type="dxa"/>
            <w:vAlign w:val="center"/>
          </w:tcPr>
          <w:p w14:paraId="5BF43BB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vAlign w:val="center"/>
          </w:tcPr>
          <w:p w14:paraId="43A38A1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w:t>
            </w:r>
          </w:p>
        </w:tc>
        <w:tc>
          <w:tcPr>
            <w:tcW w:w="474" w:type="dxa"/>
            <w:vAlign w:val="center"/>
          </w:tcPr>
          <w:p w14:paraId="73F5471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tcBorders>
              <w:right w:val="single" w:sz="8" w:space="0" w:color="auto"/>
            </w:tcBorders>
            <w:vAlign w:val="center"/>
          </w:tcPr>
          <w:p w14:paraId="23B4C95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w:t>
            </w:r>
          </w:p>
        </w:tc>
        <w:tc>
          <w:tcPr>
            <w:tcW w:w="603" w:type="dxa"/>
            <w:tcBorders>
              <w:left w:val="single" w:sz="8" w:space="0" w:color="auto"/>
            </w:tcBorders>
            <w:vAlign w:val="center"/>
          </w:tcPr>
          <w:p w14:paraId="699D113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280</w:t>
            </w:r>
          </w:p>
        </w:tc>
        <w:tc>
          <w:tcPr>
            <w:tcW w:w="598" w:type="dxa"/>
            <w:vAlign w:val="center"/>
          </w:tcPr>
          <w:p w14:paraId="49A9E8B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25</w:t>
            </w:r>
          </w:p>
        </w:tc>
      </w:tr>
      <w:tr w:rsidR="007F35A8" w:rsidRPr="00B73E3F" w14:paraId="60E3B888" w14:textId="77777777" w:rsidTr="001D6EFF">
        <w:trPr>
          <w:trHeight w:hRule="exact" w:val="227"/>
          <w:jc w:val="center"/>
        </w:trPr>
        <w:tc>
          <w:tcPr>
            <w:tcW w:w="2972" w:type="dxa"/>
            <w:vAlign w:val="center"/>
            <w:hideMark/>
          </w:tcPr>
          <w:p w14:paraId="6BF74421"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2</w:t>
            </w:r>
          </w:p>
        </w:tc>
        <w:tc>
          <w:tcPr>
            <w:tcW w:w="586" w:type="dxa"/>
            <w:vAlign w:val="center"/>
          </w:tcPr>
          <w:p w14:paraId="07FD9A8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69</w:t>
            </w:r>
          </w:p>
        </w:tc>
        <w:tc>
          <w:tcPr>
            <w:tcW w:w="513" w:type="dxa"/>
            <w:vAlign w:val="center"/>
          </w:tcPr>
          <w:p w14:paraId="271D0BB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31</w:t>
            </w:r>
          </w:p>
        </w:tc>
        <w:tc>
          <w:tcPr>
            <w:tcW w:w="454" w:type="dxa"/>
            <w:vAlign w:val="center"/>
          </w:tcPr>
          <w:p w14:paraId="20578F4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1" w:type="dxa"/>
            <w:vAlign w:val="center"/>
          </w:tcPr>
          <w:p w14:paraId="5A204CD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1" w:type="dxa"/>
            <w:tcBorders>
              <w:right w:val="single" w:sz="8" w:space="0" w:color="auto"/>
            </w:tcBorders>
            <w:vAlign w:val="center"/>
          </w:tcPr>
          <w:p w14:paraId="242FC65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w:t>
            </w:r>
          </w:p>
        </w:tc>
        <w:tc>
          <w:tcPr>
            <w:tcW w:w="474" w:type="dxa"/>
            <w:tcBorders>
              <w:left w:val="single" w:sz="8" w:space="0" w:color="auto"/>
            </w:tcBorders>
            <w:vAlign w:val="center"/>
          </w:tcPr>
          <w:p w14:paraId="57D8DE5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48</w:t>
            </w:r>
          </w:p>
        </w:tc>
        <w:tc>
          <w:tcPr>
            <w:tcW w:w="474" w:type="dxa"/>
            <w:vAlign w:val="center"/>
          </w:tcPr>
          <w:p w14:paraId="35D63DD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36</w:t>
            </w:r>
          </w:p>
        </w:tc>
        <w:tc>
          <w:tcPr>
            <w:tcW w:w="474" w:type="dxa"/>
            <w:vAlign w:val="center"/>
          </w:tcPr>
          <w:p w14:paraId="770F4E9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34</w:t>
            </w:r>
          </w:p>
        </w:tc>
        <w:tc>
          <w:tcPr>
            <w:tcW w:w="474" w:type="dxa"/>
            <w:vAlign w:val="center"/>
          </w:tcPr>
          <w:p w14:paraId="214645B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35</w:t>
            </w:r>
          </w:p>
        </w:tc>
        <w:tc>
          <w:tcPr>
            <w:tcW w:w="474" w:type="dxa"/>
            <w:tcBorders>
              <w:right w:val="single" w:sz="8" w:space="0" w:color="auto"/>
            </w:tcBorders>
            <w:vAlign w:val="center"/>
          </w:tcPr>
          <w:p w14:paraId="1FECDE3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36</w:t>
            </w:r>
          </w:p>
        </w:tc>
        <w:tc>
          <w:tcPr>
            <w:tcW w:w="603" w:type="dxa"/>
            <w:tcBorders>
              <w:left w:val="single" w:sz="8" w:space="0" w:color="auto"/>
            </w:tcBorders>
            <w:vAlign w:val="center"/>
          </w:tcPr>
          <w:p w14:paraId="5D16877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495</w:t>
            </w:r>
          </w:p>
        </w:tc>
        <w:tc>
          <w:tcPr>
            <w:tcW w:w="598" w:type="dxa"/>
            <w:vAlign w:val="center"/>
          </w:tcPr>
          <w:p w14:paraId="445736F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43</w:t>
            </w:r>
          </w:p>
        </w:tc>
      </w:tr>
      <w:tr w:rsidR="007F35A8" w:rsidRPr="00B73E3F" w14:paraId="30CEAED6" w14:textId="77777777" w:rsidTr="001D6EFF">
        <w:trPr>
          <w:trHeight w:hRule="exact" w:val="227"/>
          <w:jc w:val="center"/>
        </w:trPr>
        <w:tc>
          <w:tcPr>
            <w:tcW w:w="2972" w:type="dxa"/>
            <w:vAlign w:val="center"/>
            <w:hideMark/>
          </w:tcPr>
          <w:p w14:paraId="1B2B1259"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3</w:t>
            </w:r>
          </w:p>
        </w:tc>
        <w:tc>
          <w:tcPr>
            <w:tcW w:w="586" w:type="dxa"/>
            <w:vAlign w:val="center"/>
          </w:tcPr>
          <w:p w14:paraId="5E6BAB1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53</w:t>
            </w:r>
          </w:p>
        </w:tc>
        <w:tc>
          <w:tcPr>
            <w:tcW w:w="513" w:type="dxa"/>
            <w:vAlign w:val="center"/>
          </w:tcPr>
          <w:p w14:paraId="639035A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47</w:t>
            </w:r>
          </w:p>
        </w:tc>
        <w:tc>
          <w:tcPr>
            <w:tcW w:w="454" w:type="dxa"/>
            <w:vAlign w:val="center"/>
          </w:tcPr>
          <w:p w14:paraId="2E67116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38</w:t>
            </w:r>
          </w:p>
        </w:tc>
        <w:tc>
          <w:tcPr>
            <w:tcW w:w="471" w:type="dxa"/>
            <w:vAlign w:val="center"/>
          </w:tcPr>
          <w:p w14:paraId="431345B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27</w:t>
            </w:r>
          </w:p>
        </w:tc>
        <w:tc>
          <w:tcPr>
            <w:tcW w:w="471" w:type="dxa"/>
            <w:tcBorders>
              <w:right w:val="single" w:sz="8" w:space="0" w:color="auto"/>
            </w:tcBorders>
            <w:vAlign w:val="center"/>
          </w:tcPr>
          <w:p w14:paraId="5565E77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4" w:type="dxa"/>
            <w:tcBorders>
              <w:left w:val="single" w:sz="8" w:space="0" w:color="auto"/>
            </w:tcBorders>
            <w:vAlign w:val="center"/>
          </w:tcPr>
          <w:p w14:paraId="416D178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c>
          <w:tcPr>
            <w:tcW w:w="474" w:type="dxa"/>
            <w:vAlign w:val="center"/>
          </w:tcPr>
          <w:p w14:paraId="112D178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4" w:type="dxa"/>
            <w:vAlign w:val="center"/>
          </w:tcPr>
          <w:p w14:paraId="09EB417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26</w:t>
            </w:r>
          </w:p>
        </w:tc>
        <w:tc>
          <w:tcPr>
            <w:tcW w:w="474" w:type="dxa"/>
            <w:vAlign w:val="center"/>
          </w:tcPr>
          <w:p w14:paraId="213B8CB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26</w:t>
            </w:r>
          </w:p>
        </w:tc>
        <w:tc>
          <w:tcPr>
            <w:tcW w:w="474" w:type="dxa"/>
            <w:tcBorders>
              <w:right w:val="single" w:sz="8" w:space="0" w:color="auto"/>
            </w:tcBorders>
            <w:vAlign w:val="center"/>
          </w:tcPr>
          <w:p w14:paraId="0492D09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25</w:t>
            </w:r>
          </w:p>
        </w:tc>
        <w:tc>
          <w:tcPr>
            <w:tcW w:w="603" w:type="dxa"/>
            <w:tcBorders>
              <w:left w:val="single" w:sz="8" w:space="0" w:color="auto"/>
            </w:tcBorders>
            <w:vAlign w:val="center"/>
          </w:tcPr>
          <w:p w14:paraId="0F5988A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225</w:t>
            </w:r>
          </w:p>
        </w:tc>
        <w:tc>
          <w:tcPr>
            <w:tcW w:w="598" w:type="dxa"/>
            <w:vAlign w:val="center"/>
          </w:tcPr>
          <w:p w14:paraId="78DC26F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r>
      <w:tr w:rsidR="007F35A8" w:rsidRPr="00B73E3F" w14:paraId="6301660A" w14:textId="77777777" w:rsidTr="001D6EFF">
        <w:trPr>
          <w:trHeight w:hRule="exact" w:val="227"/>
          <w:jc w:val="center"/>
        </w:trPr>
        <w:tc>
          <w:tcPr>
            <w:tcW w:w="2972" w:type="dxa"/>
            <w:vAlign w:val="center"/>
            <w:hideMark/>
          </w:tcPr>
          <w:p w14:paraId="04162615"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4+</w:t>
            </w:r>
          </w:p>
        </w:tc>
        <w:tc>
          <w:tcPr>
            <w:tcW w:w="586" w:type="dxa"/>
            <w:vAlign w:val="center"/>
          </w:tcPr>
          <w:p w14:paraId="60BF9B0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37</w:t>
            </w:r>
          </w:p>
        </w:tc>
        <w:tc>
          <w:tcPr>
            <w:tcW w:w="513" w:type="dxa"/>
            <w:vAlign w:val="center"/>
          </w:tcPr>
          <w:p w14:paraId="31ABBD4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63</w:t>
            </w:r>
          </w:p>
        </w:tc>
        <w:tc>
          <w:tcPr>
            <w:tcW w:w="454" w:type="dxa"/>
            <w:vAlign w:val="center"/>
          </w:tcPr>
          <w:p w14:paraId="248A17A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50</w:t>
            </w:r>
          </w:p>
        </w:tc>
        <w:tc>
          <w:tcPr>
            <w:tcW w:w="471" w:type="dxa"/>
            <w:vAlign w:val="center"/>
          </w:tcPr>
          <w:p w14:paraId="60BB267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34</w:t>
            </w:r>
          </w:p>
        </w:tc>
        <w:tc>
          <w:tcPr>
            <w:tcW w:w="471" w:type="dxa"/>
            <w:tcBorders>
              <w:right w:val="single" w:sz="8" w:space="0" w:color="auto"/>
            </w:tcBorders>
            <w:vAlign w:val="center"/>
          </w:tcPr>
          <w:p w14:paraId="06C0265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c>
          <w:tcPr>
            <w:tcW w:w="474" w:type="dxa"/>
            <w:tcBorders>
              <w:left w:val="single" w:sz="8" w:space="0" w:color="auto"/>
            </w:tcBorders>
            <w:vAlign w:val="center"/>
          </w:tcPr>
          <w:p w14:paraId="148B691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w:t>
            </w:r>
          </w:p>
        </w:tc>
        <w:tc>
          <w:tcPr>
            <w:tcW w:w="474" w:type="dxa"/>
            <w:vAlign w:val="center"/>
          </w:tcPr>
          <w:p w14:paraId="434A710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4" w:type="dxa"/>
            <w:vAlign w:val="center"/>
          </w:tcPr>
          <w:p w14:paraId="19DE770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w:t>
            </w:r>
          </w:p>
        </w:tc>
        <w:tc>
          <w:tcPr>
            <w:tcW w:w="474" w:type="dxa"/>
            <w:vAlign w:val="center"/>
          </w:tcPr>
          <w:p w14:paraId="06881EF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4" w:type="dxa"/>
            <w:tcBorders>
              <w:right w:val="single" w:sz="8" w:space="0" w:color="auto"/>
            </w:tcBorders>
            <w:vAlign w:val="center"/>
          </w:tcPr>
          <w:p w14:paraId="2F185C5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w:t>
            </w:r>
          </w:p>
        </w:tc>
        <w:tc>
          <w:tcPr>
            <w:tcW w:w="603" w:type="dxa"/>
            <w:tcBorders>
              <w:left w:val="single" w:sz="8" w:space="0" w:color="auto"/>
            </w:tcBorders>
            <w:vAlign w:val="center"/>
          </w:tcPr>
          <w:p w14:paraId="549A7BE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140</w:t>
            </w:r>
          </w:p>
        </w:tc>
        <w:tc>
          <w:tcPr>
            <w:tcW w:w="598" w:type="dxa"/>
            <w:vAlign w:val="center"/>
          </w:tcPr>
          <w:p w14:paraId="4590E72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12</w:t>
            </w:r>
          </w:p>
        </w:tc>
      </w:tr>
      <w:tr w:rsidR="007F35A8" w:rsidRPr="00B73E3F" w14:paraId="2847D1CA" w14:textId="77777777" w:rsidTr="001D6EFF">
        <w:trPr>
          <w:trHeight w:hRule="exact" w:val="344"/>
          <w:jc w:val="center"/>
        </w:trPr>
        <w:tc>
          <w:tcPr>
            <w:tcW w:w="2972" w:type="dxa"/>
            <w:vAlign w:val="center"/>
            <w:hideMark/>
          </w:tcPr>
          <w:p w14:paraId="47B46C6B"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Source of HH income in the 12 months prior to interview</w:t>
            </w:r>
          </w:p>
        </w:tc>
        <w:tc>
          <w:tcPr>
            <w:tcW w:w="586" w:type="dxa"/>
            <w:vAlign w:val="center"/>
          </w:tcPr>
          <w:p w14:paraId="6FB01617"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13" w:type="dxa"/>
            <w:vAlign w:val="center"/>
          </w:tcPr>
          <w:p w14:paraId="514C6CA9"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54" w:type="dxa"/>
            <w:vAlign w:val="center"/>
          </w:tcPr>
          <w:p w14:paraId="7BF1766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vAlign w:val="center"/>
          </w:tcPr>
          <w:p w14:paraId="7958DDB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tcPr>
          <w:p w14:paraId="613E45E3"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left w:val="single" w:sz="8" w:space="0" w:color="auto"/>
            </w:tcBorders>
            <w:vAlign w:val="center"/>
          </w:tcPr>
          <w:p w14:paraId="2D0C0D47"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42662147"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63177B6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16E5293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right w:val="single" w:sz="8" w:space="0" w:color="auto"/>
            </w:tcBorders>
            <w:vAlign w:val="center"/>
          </w:tcPr>
          <w:p w14:paraId="706B92F9"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3" w:type="dxa"/>
            <w:tcBorders>
              <w:left w:val="single" w:sz="8" w:space="0" w:color="auto"/>
            </w:tcBorders>
            <w:vAlign w:val="center"/>
          </w:tcPr>
          <w:p w14:paraId="69F252CA"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98" w:type="dxa"/>
            <w:vAlign w:val="center"/>
          </w:tcPr>
          <w:p w14:paraId="105F04C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r>
      <w:tr w:rsidR="007F35A8" w:rsidRPr="00B73E3F" w14:paraId="5F97B4B5" w14:textId="77777777" w:rsidTr="001D6EFF">
        <w:trPr>
          <w:trHeight w:hRule="exact" w:val="227"/>
          <w:jc w:val="center"/>
        </w:trPr>
        <w:tc>
          <w:tcPr>
            <w:tcW w:w="2972" w:type="dxa"/>
            <w:vAlign w:val="center"/>
            <w:hideMark/>
          </w:tcPr>
          <w:p w14:paraId="6647F764"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Main source market</w:t>
            </w:r>
          </w:p>
        </w:tc>
        <w:tc>
          <w:tcPr>
            <w:tcW w:w="586" w:type="dxa"/>
            <w:vAlign w:val="center"/>
          </w:tcPr>
          <w:p w14:paraId="71EA9C5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72</w:t>
            </w:r>
          </w:p>
        </w:tc>
        <w:tc>
          <w:tcPr>
            <w:tcW w:w="513" w:type="dxa"/>
            <w:vAlign w:val="center"/>
          </w:tcPr>
          <w:p w14:paraId="507C3D0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28</w:t>
            </w:r>
          </w:p>
        </w:tc>
        <w:tc>
          <w:tcPr>
            <w:tcW w:w="454" w:type="dxa"/>
            <w:vAlign w:val="center"/>
          </w:tcPr>
          <w:p w14:paraId="493DE86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1" w:type="dxa"/>
            <w:vAlign w:val="center"/>
          </w:tcPr>
          <w:p w14:paraId="670A378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1" w:type="dxa"/>
            <w:tcBorders>
              <w:right w:val="single" w:sz="8" w:space="0" w:color="auto"/>
            </w:tcBorders>
            <w:vAlign w:val="center"/>
          </w:tcPr>
          <w:p w14:paraId="0E00E3A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w:t>
            </w:r>
          </w:p>
        </w:tc>
        <w:tc>
          <w:tcPr>
            <w:tcW w:w="474" w:type="dxa"/>
            <w:tcBorders>
              <w:left w:val="single" w:sz="8" w:space="0" w:color="auto"/>
            </w:tcBorders>
            <w:vAlign w:val="center"/>
          </w:tcPr>
          <w:p w14:paraId="532B2F1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97</w:t>
            </w:r>
          </w:p>
        </w:tc>
        <w:tc>
          <w:tcPr>
            <w:tcW w:w="474" w:type="dxa"/>
            <w:vAlign w:val="center"/>
          </w:tcPr>
          <w:p w14:paraId="3AB9D3D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64</w:t>
            </w:r>
          </w:p>
        </w:tc>
        <w:tc>
          <w:tcPr>
            <w:tcW w:w="474" w:type="dxa"/>
            <w:vAlign w:val="center"/>
          </w:tcPr>
          <w:p w14:paraId="0600436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59</w:t>
            </w:r>
          </w:p>
        </w:tc>
        <w:tc>
          <w:tcPr>
            <w:tcW w:w="474" w:type="dxa"/>
            <w:vAlign w:val="center"/>
          </w:tcPr>
          <w:p w14:paraId="5325D87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55</w:t>
            </w:r>
          </w:p>
        </w:tc>
        <w:tc>
          <w:tcPr>
            <w:tcW w:w="474" w:type="dxa"/>
            <w:tcBorders>
              <w:right w:val="single" w:sz="8" w:space="0" w:color="auto"/>
            </w:tcBorders>
            <w:vAlign w:val="center"/>
          </w:tcPr>
          <w:p w14:paraId="6DEF6E6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55</w:t>
            </w:r>
          </w:p>
        </w:tc>
        <w:tc>
          <w:tcPr>
            <w:tcW w:w="603" w:type="dxa"/>
            <w:tcBorders>
              <w:left w:val="single" w:sz="8" w:space="0" w:color="auto"/>
            </w:tcBorders>
            <w:vAlign w:val="center"/>
          </w:tcPr>
          <w:p w14:paraId="156C5A3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970</w:t>
            </w:r>
          </w:p>
        </w:tc>
        <w:tc>
          <w:tcPr>
            <w:tcW w:w="598" w:type="dxa"/>
            <w:vAlign w:val="center"/>
          </w:tcPr>
          <w:p w14:paraId="78CCB063"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84</w:t>
            </w:r>
          </w:p>
        </w:tc>
      </w:tr>
      <w:tr w:rsidR="007F35A8" w:rsidRPr="00B73E3F" w14:paraId="57407648" w14:textId="77777777" w:rsidTr="001D6EFF">
        <w:trPr>
          <w:trHeight w:hRule="exact" w:val="227"/>
          <w:jc w:val="center"/>
        </w:trPr>
        <w:tc>
          <w:tcPr>
            <w:tcW w:w="2972" w:type="dxa"/>
            <w:vAlign w:val="center"/>
            <w:hideMark/>
          </w:tcPr>
          <w:p w14:paraId="59FC6F93"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Main source government</w:t>
            </w:r>
          </w:p>
        </w:tc>
        <w:tc>
          <w:tcPr>
            <w:tcW w:w="586" w:type="dxa"/>
            <w:vAlign w:val="center"/>
          </w:tcPr>
          <w:p w14:paraId="445142D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513" w:type="dxa"/>
            <w:vAlign w:val="center"/>
          </w:tcPr>
          <w:p w14:paraId="7C7E86F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87</w:t>
            </w:r>
          </w:p>
        </w:tc>
        <w:tc>
          <w:tcPr>
            <w:tcW w:w="454" w:type="dxa"/>
            <w:vAlign w:val="center"/>
          </w:tcPr>
          <w:p w14:paraId="1D0D003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75</w:t>
            </w:r>
          </w:p>
        </w:tc>
        <w:tc>
          <w:tcPr>
            <w:tcW w:w="471" w:type="dxa"/>
            <w:vAlign w:val="center"/>
          </w:tcPr>
          <w:p w14:paraId="16CEC85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58</w:t>
            </w:r>
          </w:p>
        </w:tc>
        <w:tc>
          <w:tcPr>
            <w:tcW w:w="471" w:type="dxa"/>
            <w:tcBorders>
              <w:right w:val="single" w:sz="8" w:space="0" w:color="auto"/>
            </w:tcBorders>
            <w:vAlign w:val="center"/>
          </w:tcPr>
          <w:p w14:paraId="15E8F44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33</w:t>
            </w:r>
          </w:p>
        </w:tc>
        <w:tc>
          <w:tcPr>
            <w:tcW w:w="474" w:type="dxa"/>
            <w:tcBorders>
              <w:left w:val="single" w:sz="8" w:space="0" w:color="auto"/>
            </w:tcBorders>
            <w:vAlign w:val="center"/>
          </w:tcPr>
          <w:p w14:paraId="24EFD12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4" w:type="dxa"/>
            <w:vAlign w:val="center"/>
          </w:tcPr>
          <w:p w14:paraId="1F37E06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36</w:t>
            </w:r>
          </w:p>
        </w:tc>
        <w:tc>
          <w:tcPr>
            <w:tcW w:w="474" w:type="dxa"/>
            <w:vAlign w:val="center"/>
          </w:tcPr>
          <w:p w14:paraId="3DA9507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41</w:t>
            </w:r>
          </w:p>
        </w:tc>
        <w:tc>
          <w:tcPr>
            <w:tcW w:w="474" w:type="dxa"/>
            <w:vAlign w:val="center"/>
          </w:tcPr>
          <w:p w14:paraId="2381F9F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45</w:t>
            </w:r>
          </w:p>
        </w:tc>
        <w:tc>
          <w:tcPr>
            <w:tcW w:w="474" w:type="dxa"/>
            <w:tcBorders>
              <w:right w:val="single" w:sz="8" w:space="0" w:color="auto"/>
            </w:tcBorders>
            <w:vAlign w:val="center"/>
          </w:tcPr>
          <w:p w14:paraId="4C6067A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45</w:t>
            </w:r>
          </w:p>
        </w:tc>
        <w:tc>
          <w:tcPr>
            <w:tcW w:w="603" w:type="dxa"/>
            <w:tcBorders>
              <w:left w:val="single" w:sz="8" w:space="0" w:color="auto"/>
            </w:tcBorders>
            <w:vAlign w:val="center"/>
          </w:tcPr>
          <w:p w14:paraId="29755E7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180</w:t>
            </w:r>
          </w:p>
        </w:tc>
        <w:tc>
          <w:tcPr>
            <w:tcW w:w="598" w:type="dxa"/>
            <w:vAlign w:val="center"/>
          </w:tcPr>
          <w:p w14:paraId="16B5CB2F"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16</w:t>
            </w:r>
          </w:p>
        </w:tc>
      </w:tr>
      <w:tr w:rsidR="007F35A8" w:rsidRPr="00B73E3F" w14:paraId="569D5114" w14:textId="77777777" w:rsidTr="001D6EFF">
        <w:trPr>
          <w:trHeight w:hRule="exact" w:val="227"/>
          <w:jc w:val="center"/>
        </w:trPr>
        <w:tc>
          <w:tcPr>
            <w:tcW w:w="2972" w:type="dxa"/>
            <w:vAlign w:val="center"/>
            <w:hideMark/>
          </w:tcPr>
          <w:p w14:paraId="5F068870"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Tenure of household</w:t>
            </w:r>
          </w:p>
        </w:tc>
        <w:tc>
          <w:tcPr>
            <w:tcW w:w="586" w:type="dxa"/>
            <w:vAlign w:val="center"/>
          </w:tcPr>
          <w:p w14:paraId="18AD1A30"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13" w:type="dxa"/>
            <w:vAlign w:val="center"/>
          </w:tcPr>
          <w:p w14:paraId="43D273B0"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54" w:type="dxa"/>
            <w:vAlign w:val="center"/>
          </w:tcPr>
          <w:p w14:paraId="7BACEF0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vAlign w:val="center"/>
          </w:tcPr>
          <w:p w14:paraId="345A629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tcPr>
          <w:p w14:paraId="0A860C1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left w:val="single" w:sz="8" w:space="0" w:color="auto"/>
            </w:tcBorders>
            <w:vAlign w:val="center"/>
          </w:tcPr>
          <w:p w14:paraId="538B574D"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23A1099A"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73FA309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6027BE7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right w:val="single" w:sz="8" w:space="0" w:color="auto"/>
            </w:tcBorders>
            <w:vAlign w:val="center"/>
          </w:tcPr>
          <w:p w14:paraId="6FC1D2EF"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3" w:type="dxa"/>
            <w:tcBorders>
              <w:left w:val="single" w:sz="8" w:space="0" w:color="auto"/>
            </w:tcBorders>
            <w:vAlign w:val="center"/>
          </w:tcPr>
          <w:p w14:paraId="79C60B83"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98" w:type="dxa"/>
            <w:vAlign w:val="center"/>
          </w:tcPr>
          <w:p w14:paraId="3DB4A7F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r>
      <w:tr w:rsidR="007F35A8" w:rsidRPr="00B73E3F" w14:paraId="6BCA6134" w14:textId="77777777" w:rsidTr="001D6EFF">
        <w:trPr>
          <w:trHeight w:hRule="exact" w:val="227"/>
          <w:jc w:val="center"/>
        </w:trPr>
        <w:tc>
          <w:tcPr>
            <w:tcW w:w="2972" w:type="dxa"/>
            <w:vAlign w:val="center"/>
            <w:hideMark/>
          </w:tcPr>
          <w:p w14:paraId="6C3C40A2"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Owned with mortgage (incl FT)</w:t>
            </w:r>
          </w:p>
        </w:tc>
        <w:tc>
          <w:tcPr>
            <w:tcW w:w="586" w:type="dxa"/>
            <w:vAlign w:val="center"/>
          </w:tcPr>
          <w:p w14:paraId="5E8874E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74</w:t>
            </w:r>
          </w:p>
        </w:tc>
        <w:tc>
          <w:tcPr>
            <w:tcW w:w="513" w:type="dxa"/>
            <w:vAlign w:val="center"/>
          </w:tcPr>
          <w:p w14:paraId="33FA552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26</w:t>
            </w:r>
          </w:p>
        </w:tc>
        <w:tc>
          <w:tcPr>
            <w:tcW w:w="454" w:type="dxa"/>
            <w:vAlign w:val="center"/>
          </w:tcPr>
          <w:p w14:paraId="25A0B33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1" w:type="dxa"/>
            <w:vAlign w:val="center"/>
          </w:tcPr>
          <w:p w14:paraId="210767B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1" w:type="dxa"/>
            <w:tcBorders>
              <w:right w:val="single" w:sz="8" w:space="0" w:color="auto"/>
            </w:tcBorders>
            <w:vAlign w:val="center"/>
          </w:tcPr>
          <w:p w14:paraId="3421EC0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w:t>
            </w:r>
          </w:p>
        </w:tc>
        <w:tc>
          <w:tcPr>
            <w:tcW w:w="474" w:type="dxa"/>
            <w:tcBorders>
              <w:left w:val="single" w:sz="8" w:space="0" w:color="auto"/>
            </w:tcBorders>
            <w:vAlign w:val="center"/>
          </w:tcPr>
          <w:p w14:paraId="1468DCF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51</w:t>
            </w:r>
          </w:p>
        </w:tc>
        <w:tc>
          <w:tcPr>
            <w:tcW w:w="474" w:type="dxa"/>
            <w:vAlign w:val="center"/>
          </w:tcPr>
          <w:p w14:paraId="15F2362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31</w:t>
            </w:r>
          </w:p>
        </w:tc>
        <w:tc>
          <w:tcPr>
            <w:tcW w:w="474" w:type="dxa"/>
            <w:vAlign w:val="center"/>
          </w:tcPr>
          <w:p w14:paraId="0813DC5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74" w:type="dxa"/>
            <w:vAlign w:val="center"/>
          </w:tcPr>
          <w:p w14:paraId="7CF7F61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28</w:t>
            </w:r>
          </w:p>
        </w:tc>
        <w:tc>
          <w:tcPr>
            <w:tcW w:w="474" w:type="dxa"/>
            <w:tcBorders>
              <w:right w:val="single" w:sz="8" w:space="0" w:color="auto"/>
            </w:tcBorders>
            <w:vAlign w:val="center"/>
          </w:tcPr>
          <w:p w14:paraId="4FA8314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603" w:type="dxa"/>
            <w:tcBorders>
              <w:left w:val="single" w:sz="8" w:space="0" w:color="auto"/>
            </w:tcBorders>
            <w:vAlign w:val="center"/>
          </w:tcPr>
          <w:p w14:paraId="0276A2A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500</w:t>
            </w:r>
          </w:p>
        </w:tc>
        <w:tc>
          <w:tcPr>
            <w:tcW w:w="598" w:type="dxa"/>
            <w:vAlign w:val="center"/>
          </w:tcPr>
          <w:p w14:paraId="1C4A5C7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44</w:t>
            </w:r>
          </w:p>
        </w:tc>
      </w:tr>
      <w:tr w:rsidR="007F35A8" w:rsidRPr="00B73E3F" w14:paraId="39123281" w14:textId="77777777" w:rsidTr="001D6EFF">
        <w:trPr>
          <w:trHeight w:hRule="exact" w:val="227"/>
          <w:jc w:val="center"/>
        </w:trPr>
        <w:tc>
          <w:tcPr>
            <w:tcW w:w="2972" w:type="dxa"/>
            <w:vAlign w:val="center"/>
            <w:hideMark/>
          </w:tcPr>
          <w:p w14:paraId="4DFFF12A"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Owned no mortgage (incl FT)</w:t>
            </w:r>
          </w:p>
        </w:tc>
        <w:tc>
          <w:tcPr>
            <w:tcW w:w="586" w:type="dxa"/>
            <w:vAlign w:val="center"/>
          </w:tcPr>
          <w:p w14:paraId="6ED3BA0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84</w:t>
            </w:r>
          </w:p>
        </w:tc>
        <w:tc>
          <w:tcPr>
            <w:tcW w:w="513" w:type="dxa"/>
            <w:vAlign w:val="center"/>
          </w:tcPr>
          <w:p w14:paraId="4B94ED0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54" w:type="dxa"/>
            <w:vAlign w:val="center"/>
          </w:tcPr>
          <w:p w14:paraId="2B56AFE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1" w:type="dxa"/>
            <w:vAlign w:val="center"/>
          </w:tcPr>
          <w:p w14:paraId="37A7739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w:t>
            </w:r>
          </w:p>
        </w:tc>
        <w:tc>
          <w:tcPr>
            <w:tcW w:w="471" w:type="dxa"/>
            <w:tcBorders>
              <w:right w:val="single" w:sz="8" w:space="0" w:color="auto"/>
            </w:tcBorders>
            <w:vAlign w:val="center"/>
          </w:tcPr>
          <w:p w14:paraId="2E09F13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4" w:type="dxa"/>
            <w:tcBorders>
              <w:left w:val="single" w:sz="8" w:space="0" w:color="auto"/>
            </w:tcBorders>
            <w:vAlign w:val="center"/>
          </w:tcPr>
          <w:p w14:paraId="4E77E63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w:t>
            </w:r>
          </w:p>
        </w:tc>
        <w:tc>
          <w:tcPr>
            <w:tcW w:w="474" w:type="dxa"/>
            <w:vAlign w:val="center"/>
          </w:tcPr>
          <w:p w14:paraId="68C84D0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w:t>
            </w:r>
          </w:p>
        </w:tc>
        <w:tc>
          <w:tcPr>
            <w:tcW w:w="474" w:type="dxa"/>
            <w:vAlign w:val="center"/>
          </w:tcPr>
          <w:p w14:paraId="67411A4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w:t>
            </w:r>
          </w:p>
        </w:tc>
        <w:tc>
          <w:tcPr>
            <w:tcW w:w="474" w:type="dxa"/>
            <w:vAlign w:val="center"/>
          </w:tcPr>
          <w:p w14:paraId="479B04B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w:t>
            </w:r>
          </w:p>
        </w:tc>
        <w:tc>
          <w:tcPr>
            <w:tcW w:w="474" w:type="dxa"/>
            <w:tcBorders>
              <w:right w:val="single" w:sz="8" w:space="0" w:color="auto"/>
            </w:tcBorders>
            <w:vAlign w:val="center"/>
          </w:tcPr>
          <w:p w14:paraId="2110CD4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w:t>
            </w:r>
          </w:p>
        </w:tc>
        <w:tc>
          <w:tcPr>
            <w:tcW w:w="603" w:type="dxa"/>
            <w:tcBorders>
              <w:left w:val="single" w:sz="8" w:space="0" w:color="auto"/>
            </w:tcBorders>
            <w:vAlign w:val="center"/>
          </w:tcPr>
          <w:p w14:paraId="1C9FECB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155</w:t>
            </w:r>
          </w:p>
        </w:tc>
        <w:tc>
          <w:tcPr>
            <w:tcW w:w="598" w:type="dxa"/>
            <w:vAlign w:val="center"/>
          </w:tcPr>
          <w:p w14:paraId="3E4A079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r>
      <w:tr w:rsidR="007F35A8" w:rsidRPr="00B73E3F" w14:paraId="6E10127B" w14:textId="77777777" w:rsidTr="001D6EFF">
        <w:trPr>
          <w:trHeight w:hRule="exact" w:val="227"/>
          <w:jc w:val="center"/>
        </w:trPr>
        <w:tc>
          <w:tcPr>
            <w:tcW w:w="2972" w:type="dxa"/>
            <w:vAlign w:val="center"/>
            <w:hideMark/>
          </w:tcPr>
          <w:p w14:paraId="0A284201"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Private rental</w:t>
            </w:r>
          </w:p>
        </w:tc>
        <w:tc>
          <w:tcPr>
            <w:tcW w:w="586" w:type="dxa"/>
            <w:vAlign w:val="center"/>
          </w:tcPr>
          <w:p w14:paraId="4578CA4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46</w:t>
            </w:r>
          </w:p>
        </w:tc>
        <w:tc>
          <w:tcPr>
            <w:tcW w:w="513" w:type="dxa"/>
            <w:vAlign w:val="center"/>
          </w:tcPr>
          <w:p w14:paraId="45F3C15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54</w:t>
            </w:r>
          </w:p>
        </w:tc>
        <w:tc>
          <w:tcPr>
            <w:tcW w:w="454" w:type="dxa"/>
            <w:vAlign w:val="center"/>
          </w:tcPr>
          <w:p w14:paraId="334CA9A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44</w:t>
            </w:r>
          </w:p>
        </w:tc>
        <w:tc>
          <w:tcPr>
            <w:tcW w:w="471" w:type="dxa"/>
            <w:vAlign w:val="center"/>
          </w:tcPr>
          <w:p w14:paraId="1F163CD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33</w:t>
            </w:r>
          </w:p>
        </w:tc>
        <w:tc>
          <w:tcPr>
            <w:tcW w:w="471" w:type="dxa"/>
            <w:tcBorders>
              <w:right w:val="single" w:sz="8" w:space="0" w:color="auto"/>
            </w:tcBorders>
            <w:vAlign w:val="center"/>
          </w:tcPr>
          <w:p w14:paraId="332912F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tcBorders>
              <w:left w:val="single" w:sz="8" w:space="0" w:color="auto"/>
            </w:tcBorders>
            <w:vAlign w:val="center"/>
          </w:tcPr>
          <w:p w14:paraId="49CA830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25</w:t>
            </w:r>
          </w:p>
        </w:tc>
        <w:tc>
          <w:tcPr>
            <w:tcW w:w="474" w:type="dxa"/>
            <w:vAlign w:val="center"/>
          </w:tcPr>
          <w:p w14:paraId="7911547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50</w:t>
            </w:r>
          </w:p>
        </w:tc>
        <w:tc>
          <w:tcPr>
            <w:tcW w:w="474" w:type="dxa"/>
            <w:vAlign w:val="center"/>
          </w:tcPr>
          <w:p w14:paraId="28E270E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52</w:t>
            </w:r>
          </w:p>
        </w:tc>
        <w:tc>
          <w:tcPr>
            <w:tcW w:w="474" w:type="dxa"/>
            <w:vAlign w:val="center"/>
          </w:tcPr>
          <w:p w14:paraId="1211808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55</w:t>
            </w:r>
          </w:p>
        </w:tc>
        <w:tc>
          <w:tcPr>
            <w:tcW w:w="474" w:type="dxa"/>
            <w:tcBorders>
              <w:right w:val="single" w:sz="8" w:space="0" w:color="auto"/>
            </w:tcBorders>
            <w:vAlign w:val="center"/>
          </w:tcPr>
          <w:p w14:paraId="447C2FC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57</w:t>
            </w:r>
          </w:p>
        </w:tc>
        <w:tc>
          <w:tcPr>
            <w:tcW w:w="603" w:type="dxa"/>
            <w:tcBorders>
              <w:left w:val="single" w:sz="8" w:space="0" w:color="auto"/>
            </w:tcBorders>
            <w:vAlign w:val="center"/>
          </w:tcPr>
          <w:p w14:paraId="6B42C23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390</w:t>
            </w:r>
          </w:p>
        </w:tc>
        <w:tc>
          <w:tcPr>
            <w:tcW w:w="598" w:type="dxa"/>
            <w:vAlign w:val="center"/>
          </w:tcPr>
          <w:p w14:paraId="7B224DD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34</w:t>
            </w:r>
          </w:p>
        </w:tc>
      </w:tr>
      <w:tr w:rsidR="007F35A8" w:rsidRPr="00B73E3F" w14:paraId="71AA4789" w14:textId="77777777" w:rsidTr="001D6EFF">
        <w:trPr>
          <w:trHeight w:hRule="exact" w:val="227"/>
          <w:jc w:val="center"/>
        </w:trPr>
        <w:tc>
          <w:tcPr>
            <w:tcW w:w="2972" w:type="dxa"/>
            <w:vAlign w:val="center"/>
            <w:hideMark/>
          </w:tcPr>
          <w:p w14:paraId="79A1E481"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Social rental</w:t>
            </w:r>
          </w:p>
        </w:tc>
        <w:tc>
          <w:tcPr>
            <w:tcW w:w="586" w:type="dxa"/>
            <w:vAlign w:val="center"/>
          </w:tcPr>
          <w:p w14:paraId="52C8116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513" w:type="dxa"/>
            <w:vAlign w:val="center"/>
          </w:tcPr>
          <w:p w14:paraId="604FEBC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71</w:t>
            </w:r>
          </w:p>
        </w:tc>
        <w:tc>
          <w:tcPr>
            <w:tcW w:w="454" w:type="dxa"/>
            <w:vAlign w:val="center"/>
          </w:tcPr>
          <w:p w14:paraId="751582A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56</w:t>
            </w:r>
          </w:p>
        </w:tc>
        <w:tc>
          <w:tcPr>
            <w:tcW w:w="471" w:type="dxa"/>
            <w:vAlign w:val="center"/>
          </w:tcPr>
          <w:p w14:paraId="5541BAB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34</w:t>
            </w:r>
          </w:p>
        </w:tc>
        <w:tc>
          <w:tcPr>
            <w:tcW w:w="471" w:type="dxa"/>
            <w:tcBorders>
              <w:right w:val="single" w:sz="8" w:space="0" w:color="auto"/>
            </w:tcBorders>
            <w:vAlign w:val="center"/>
          </w:tcPr>
          <w:p w14:paraId="55A6244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4" w:type="dxa"/>
            <w:tcBorders>
              <w:left w:val="single" w:sz="8" w:space="0" w:color="auto"/>
            </w:tcBorders>
            <w:vAlign w:val="center"/>
          </w:tcPr>
          <w:p w14:paraId="61C9968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4" w:type="dxa"/>
            <w:vAlign w:val="center"/>
          </w:tcPr>
          <w:p w14:paraId="0DA156E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12</w:t>
            </w:r>
          </w:p>
        </w:tc>
        <w:tc>
          <w:tcPr>
            <w:tcW w:w="474" w:type="dxa"/>
            <w:vAlign w:val="center"/>
          </w:tcPr>
          <w:p w14:paraId="018F677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12</w:t>
            </w:r>
          </w:p>
        </w:tc>
        <w:tc>
          <w:tcPr>
            <w:tcW w:w="474" w:type="dxa"/>
            <w:vAlign w:val="center"/>
          </w:tcPr>
          <w:p w14:paraId="7580CC4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w:t>
            </w:r>
          </w:p>
        </w:tc>
        <w:tc>
          <w:tcPr>
            <w:tcW w:w="474" w:type="dxa"/>
            <w:tcBorders>
              <w:right w:val="single" w:sz="8" w:space="0" w:color="auto"/>
            </w:tcBorders>
            <w:vAlign w:val="center"/>
          </w:tcPr>
          <w:p w14:paraId="692A3C7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w:t>
            </w:r>
          </w:p>
        </w:tc>
        <w:tc>
          <w:tcPr>
            <w:tcW w:w="603" w:type="dxa"/>
            <w:tcBorders>
              <w:left w:val="single" w:sz="8" w:space="0" w:color="auto"/>
            </w:tcBorders>
            <w:vAlign w:val="center"/>
          </w:tcPr>
          <w:p w14:paraId="145E000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70</w:t>
            </w:r>
          </w:p>
        </w:tc>
        <w:tc>
          <w:tcPr>
            <w:tcW w:w="598" w:type="dxa"/>
            <w:vAlign w:val="center"/>
          </w:tcPr>
          <w:p w14:paraId="7534479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w:t>
            </w:r>
          </w:p>
        </w:tc>
      </w:tr>
      <w:tr w:rsidR="007F35A8" w:rsidRPr="00B73E3F" w14:paraId="3407F112" w14:textId="77777777" w:rsidTr="001D6EFF">
        <w:trPr>
          <w:trHeight w:hRule="exact" w:val="227"/>
          <w:jc w:val="center"/>
        </w:trPr>
        <w:tc>
          <w:tcPr>
            <w:tcW w:w="2972" w:type="dxa"/>
            <w:vAlign w:val="center"/>
            <w:hideMark/>
          </w:tcPr>
          <w:p w14:paraId="2C874616"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 xml:space="preserve">Other </w:t>
            </w:r>
          </w:p>
        </w:tc>
        <w:tc>
          <w:tcPr>
            <w:tcW w:w="586" w:type="dxa"/>
            <w:vAlign w:val="center"/>
          </w:tcPr>
          <w:p w14:paraId="5C98827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71</w:t>
            </w:r>
          </w:p>
        </w:tc>
        <w:tc>
          <w:tcPr>
            <w:tcW w:w="513" w:type="dxa"/>
            <w:vAlign w:val="center"/>
          </w:tcPr>
          <w:p w14:paraId="61D1420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54" w:type="dxa"/>
            <w:vAlign w:val="center"/>
          </w:tcPr>
          <w:p w14:paraId="33DFE97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1" w:type="dxa"/>
            <w:vAlign w:val="center"/>
          </w:tcPr>
          <w:p w14:paraId="300CD7B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1" w:type="dxa"/>
            <w:tcBorders>
              <w:right w:val="single" w:sz="8" w:space="0" w:color="auto"/>
            </w:tcBorders>
            <w:vAlign w:val="center"/>
          </w:tcPr>
          <w:p w14:paraId="77BC84F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4" w:type="dxa"/>
            <w:tcBorders>
              <w:left w:val="single" w:sz="8" w:space="0" w:color="auto"/>
            </w:tcBorders>
            <w:vAlign w:val="center"/>
          </w:tcPr>
          <w:p w14:paraId="16469AE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4" w:type="dxa"/>
            <w:vAlign w:val="center"/>
          </w:tcPr>
          <w:p w14:paraId="2DB1645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474" w:type="dxa"/>
            <w:vAlign w:val="center"/>
          </w:tcPr>
          <w:p w14:paraId="0964127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474" w:type="dxa"/>
            <w:vAlign w:val="center"/>
          </w:tcPr>
          <w:p w14:paraId="5F25081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474" w:type="dxa"/>
            <w:tcBorders>
              <w:right w:val="single" w:sz="8" w:space="0" w:color="auto"/>
            </w:tcBorders>
            <w:vAlign w:val="center"/>
          </w:tcPr>
          <w:p w14:paraId="2AB34DC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603" w:type="dxa"/>
            <w:tcBorders>
              <w:left w:val="single" w:sz="8" w:space="0" w:color="auto"/>
            </w:tcBorders>
            <w:vAlign w:val="center"/>
          </w:tcPr>
          <w:p w14:paraId="3BBC218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w:t>
            </w:r>
          </w:p>
        </w:tc>
        <w:tc>
          <w:tcPr>
            <w:tcW w:w="598" w:type="dxa"/>
            <w:vAlign w:val="center"/>
          </w:tcPr>
          <w:p w14:paraId="3B5E845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r>
      <w:tr w:rsidR="007F35A8" w:rsidRPr="00B73E3F" w14:paraId="2F857FE9" w14:textId="77777777" w:rsidTr="001D6EFF">
        <w:trPr>
          <w:trHeight w:hRule="exact" w:val="227"/>
          <w:jc w:val="center"/>
        </w:trPr>
        <w:tc>
          <w:tcPr>
            <w:tcW w:w="2972" w:type="dxa"/>
            <w:vAlign w:val="center"/>
            <w:hideMark/>
          </w:tcPr>
          <w:p w14:paraId="2FB815DC"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Private rental by AS receipt</w:t>
            </w:r>
          </w:p>
        </w:tc>
        <w:tc>
          <w:tcPr>
            <w:tcW w:w="586" w:type="dxa"/>
            <w:vAlign w:val="center"/>
          </w:tcPr>
          <w:p w14:paraId="442B55FD"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13" w:type="dxa"/>
            <w:vAlign w:val="center"/>
          </w:tcPr>
          <w:p w14:paraId="4D8EA62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54" w:type="dxa"/>
            <w:vAlign w:val="center"/>
          </w:tcPr>
          <w:p w14:paraId="7489C8F6"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vAlign w:val="center"/>
          </w:tcPr>
          <w:p w14:paraId="64EF838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tcPr>
          <w:p w14:paraId="5396673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left w:val="single" w:sz="8" w:space="0" w:color="auto"/>
            </w:tcBorders>
            <w:vAlign w:val="center"/>
          </w:tcPr>
          <w:p w14:paraId="4C020B7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057E71F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5EE761E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6DA4C6B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right w:val="single" w:sz="8" w:space="0" w:color="auto"/>
            </w:tcBorders>
            <w:vAlign w:val="center"/>
          </w:tcPr>
          <w:p w14:paraId="65676F5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3" w:type="dxa"/>
            <w:tcBorders>
              <w:left w:val="single" w:sz="8" w:space="0" w:color="auto"/>
            </w:tcBorders>
            <w:vAlign w:val="center"/>
          </w:tcPr>
          <w:p w14:paraId="4C26F39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98" w:type="dxa"/>
            <w:vAlign w:val="center"/>
          </w:tcPr>
          <w:p w14:paraId="0D5C7873"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r>
      <w:tr w:rsidR="007F35A8" w:rsidRPr="00B73E3F" w14:paraId="0625EDDB" w14:textId="77777777" w:rsidTr="001D6EFF">
        <w:trPr>
          <w:trHeight w:hRule="exact" w:val="227"/>
          <w:jc w:val="center"/>
        </w:trPr>
        <w:tc>
          <w:tcPr>
            <w:tcW w:w="2972" w:type="dxa"/>
            <w:vAlign w:val="center"/>
            <w:hideMark/>
          </w:tcPr>
          <w:p w14:paraId="2F88E6F6"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Private rental (no AS)</w:t>
            </w:r>
          </w:p>
        </w:tc>
        <w:tc>
          <w:tcPr>
            <w:tcW w:w="586" w:type="dxa"/>
            <w:vAlign w:val="center"/>
          </w:tcPr>
          <w:p w14:paraId="321132A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59</w:t>
            </w:r>
          </w:p>
        </w:tc>
        <w:tc>
          <w:tcPr>
            <w:tcW w:w="513" w:type="dxa"/>
            <w:vAlign w:val="center"/>
          </w:tcPr>
          <w:p w14:paraId="58CFF3F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41</w:t>
            </w:r>
          </w:p>
        </w:tc>
        <w:tc>
          <w:tcPr>
            <w:tcW w:w="454" w:type="dxa"/>
            <w:vAlign w:val="center"/>
          </w:tcPr>
          <w:p w14:paraId="3CD06F9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471" w:type="dxa"/>
            <w:vAlign w:val="center"/>
          </w:tcPr>
          <w:p w14:paraId="23564B5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1" w:type="dxa"/>
            <w:tcBorders>
              <w:right w:val="single" w:sz="8" w:space="0" w:color="auto"/>
            </w:tcBorders>
            <w:vAlign w:val="center"/>
          </w:tcPr>
          <w:p w14:paraId="40957E7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4" w:type="dxa"/>
            <w:tcBorders>
              <w:left w:val="single" w:sz="8" w:space="0" w:color="auto"/>
            </w:tcBorders>
            <w:vAlign w:val="center"/>
          </w:tcPr>
          <w:p w14:paraId="4221224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4" w:type="dxa"/>
            <w:vAlign w:val="center"/>
          </w:tcPr>
          <w:p w14:paraId="0C2CB41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vAlign w:val="center"/>
          </w:tcPr>
          <w:p w14:paraId="2A06B0D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vAlign w:val="center"/>
          </w:tcPr>
          <w:p w14:paraId="5DBA64E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tcBorders>
              <w:right w:val="single" w:sz="8" w:space="0" w:color="auto"/>
            </w:tcBorders>
            <w:vAlign w:val="center"/>
          </w:tcPr>
          <w:p w14:paraId="52BD81A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w:t>
            </w:r>
          </w:p>
        </w:tc>
        <w:tc>
          <w:tcPr>
            <w:tcW w:w="603" w:type="dxa"/>
            <w:tcBorders>
              <w:left w:val="single" w:sz="8" w:space="0" w:color="auto"/>
            </w:tcBorders>
            <w:vAlign w:val="center"/>
          </w:tcPr>
          <w:p w14:paraId="4B23C30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200</w:t>
            </w:r>
          </w:p>
        </w:tc>
        <w:tc>
          <w:tcPr>
            <w:tcW w:w="598" w:type="dxa"/>
            <w:vAlign w:val="center"/>
          </w:tcPr>
          <w:p w14:paraId="35FEAC5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r>
      <w:tr w:rsidR="007F35A8" w:rsidRPr="00B73E3F" w14:paraId="02FC27BF" w14:textId="77777777" w:rsidTr="001D6EFF">
        <w:trPr>
          <w:trHeight w:hRule="exact" w:val="227"/>
          <w:jc w:val="center"/>
        </w:trPr>
        <w:tc>
          <w:tcPr>
            <w:tcW w:w="2972" w:type="dxa"/>
            <w:vAlign w:val="center"/>
            <w:hideMark/>
          </w:tcPr>
          <w:p w14:paraId="7822AE24"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Private rental (with AS)</w:t>
            </w:r>
          </w:p>
        </w:tc>
        <w:tc>
          <w:tcPr>
            <w:tcW w:w="586" w:type="dxa"/>
            <w:vAlign w:val="center"/>
          </w:tcPr>
          <w:p w14:paraId="657F952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513" w:type="dxa"/>
            <w:vAlign w:val="center"/>
          </w:tcPr>
          <w:p w14:paraId="6A89358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68</w:t>
            </w:r>
          </w:p>
        </w:tc>
        <w:tc>
          <w:tcPr>
            <w:tcW w:w="454" w:type="dxa"/>
            <w:vAlign w:val="center"/>
          </w:tcPr>
          <w:p w14:paraId="2CD6953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57</w:t>
            </w:r>
          </w:p>
        </w:tc>
        <w:tc>
          <w:tcPr>
            <w:tcW w:w="471" w:type="dxa"/>
            <w:vAlign w:val="center"/>
          </w:tcPr>
          <w:p w14:paraId="3F283D4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43</w:t>
            </w:r>
          </w:p>
        </w:tc>
        <w:tc>
          <w:tcPr>
            <w:tcW w:w="471" w:type="dxa"/>
            <w:tcBorders>
              <w:right w:val="single" w:sz="8" w:space="0" w:color="auto"/>
            </w:tcBorders>
            <w:vAlign w:val="center"/>
          </w:tcPr>
          <w:p w14:paraId="05C3606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25</w:t>
            </w:r>
          </w:p>
        </w:tc>
        <w:tc>
          <w:tcPr>
            <w:tcW w:w="474" w:type="dxa"/>
            <w:tcBorders>
              <w:left w:val="single" w:sz="8" w:space="0" w:color="auto"/>
            </w:tcBorders>
            <w:vAlign w:val="center"/>
          </w:tcPr>
          <w:p w14:paraId="3356FFB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w:t>
            </w:r>
          </w:p>
        </w:tc>
        <w:tc>
          <w:tcPr>
            <w:tcW w:w="474" w:type="dxa"/>
            <w:vAlign w:val="center"/>
          </w:tcPr>
          <w:p w14:paraId="2B9C688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31</w:t>
            </w:r>
          </w:p>
        </w:tc>
        <w:tc>
          <w:tcPr>
            <w:tcW w:w="474" w:type="dxa"/>
            <w:vAlign w:val="center"/>
          </w:tcPr>
          <w:p w14:paraId="2A627EC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33</w:t>
            </w:r>
          </w:p>
        </w:tc>
        <w:tc>
          <w:tcPr>
            <w:tcW w:w="474" w:type="dxa"/>
            <w:vAlign w:val="center"/>
          </w:tcPr>
          <w:p w14:paraId="1FA63E3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36</w:t>
            </w:r>
          </w:p>
        </w:tc>
        <w:tc>
          <w:tcPr>
            <w:tcW w:w="474" w:type="dxa"/>
            <w:tcBorders>
              <w:right w:val="single" w:sz="8" w:space="0" w:color="auto"/>
            </w:tcBorders>
            <w:vAlign w:val="center"/>
          </w:tcPr>
          <w:p w14:paraId="47AD4DA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36</w:t>
            </w:r>
          </w:p>
        </w:tc>
        <w:tc>
          <w:tcPr>
            <w:tcW w:w="603" w:type="dxa"/>
            <w:tcBorders>
              <w:left w:val="single" w:sz="8" w:space="0" w:color="auto"/>
            </w:tcBorders>
            <w:vAlign w:val="center"/>
          </w:tcPr>
          <w:p w14:paraId="5E889D5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195</w:t>
            </w:r>
          </w:p>
        </w:tc>
        <w:tc>
          <w:tcPr>
            <w:tcW w:w="598" w:type="dxa"/>
            <w:vAlign w:val="center"/>
          </w:tcPr>
          <w:p w14:paraId="3A08E9B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r>
      <w:tr w:rsidR="007F35A8" w:rsidRPr="00B73E3F" w14:paraId="2B78348A" w14:textId="77777777" w:rsidTr="001D6EFF">
        <w:trPr>
          <w:trHeight w:hRule="exact" w:val="227"/>
          <w:jc w:val="center"/>
        </w:trPr>
        <w:tc>
          <w:tcPr>
            <w:tcW w:w="2972" w:type="dxa"/>
            <w:vAlign w:val="center"/>
            <w:hideMark/>
          </w:tcPr>
          <w:p w14:paraId="1E8D7852"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NZDep Quintile</w:t>
            </w:r>
          </w:p>
        </w:tc>
        <w:tc>
          <w:tcPr>
            <w:tcW w:w="586" w:type="dxa"/>
            <w:vAlign w:val="center"/>
          </w:tcPr>
          <w:p w14:paraId="344DA288"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13" w:type="dxa"/>
            <w:vAlign w:val="center"/>
          </w:tcPr>
          <w:p w14:paraId="2161037D"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54" w:type="dxa"/>
            <w:vAlign w:val="center"/>
          </w:tcPr>
          <w:p w14:paraId="21CFA236"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vAlign w:val="center"/>
          </w:tcPr>
          <w:p w14:paraId="358EB64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tcPr>
          <w:p w14:paraId="3EF29DC6"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left w:val="single" w:sz="8" w:space="0" w:color="auto"/>
            </w:tcBorders>
            <w:vAlign w:val="center"/>
          </w:tcPr>
          <w:p w14:paraId="7C9B9DAD"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78FCF380"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1B1666D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vAlign w:val="center"/>
          </w:tcPr>
          <w:p w14:paraId="457525B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4" w:type="dxa"/>
            <w:tcBorders>
              <w:right w:val="single" w:sz="8" w:space="0" w:color="auto"/>
            </w:tcBorders>
            <w:vAlign w:val="center"/>
          </w:tcPr>
          <w:p w14:paraId="3A35D4B9"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3" w:type="dxa"/>
            <w:tcBorders>
              <w:left w:val="single" w:sz="8" w:space="0" w:color="auto"/>
            </w:tcBorders>
            <w:vAlign w:val="center"/>
          </w:tcPr>
          <w:p w14:paraId="3E2E89D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598" w:type="dxa"/>
            <w:vAlign w:val="center"/>
          </w:tcPr>
          <w:p w14:paraId="1A6B8FCC" w14:textId="77777777" w:rsidR="007F35A8" w:rsidRPr="00B73E3F" w:rsidRDefault="007F35A8" w:rsidP="0020734C">
            <w:pPr>
              <w:spacing w:after="0" w:line="240" w:lineRule="auto"/>
              <w:rPr>
                <w:rFonts w:ascii="Arial" w:hAnsi="Arial"/>
                <w:color w:val="000000" w:themeColor="text1"/>
                <w:sz w:val="14"/>
                <w:szCs w:val="14"/>
              </w:rPr>
            </w:pPr>
            <w:r>
              <w:rPr>
                <w:rFonts w:ascii="Arial" w:hAnsi="Arial"/>
                <w:color w:val="000000"/>
                <w:sz w:val="14"/>
                <w:szCs w:val="14"/>
              </w:rPr>
              <w:t> </w:t>
            </w:r>
          </w:p>
        </w:tc>
      </w:tr>
      <w:tr w:rsidR="007F35A8" w:rsidRPr="00B73E3F" w14:paraId="3CF6342C" w14:textId="77777777" w:rsidTr="001D6EFF">
        <w:trPr>
          <w:trHeight w:hRule="exact" w:val="227"/>
          <w:jc w:val="center"/>
        </w:trPr>
        <w:tc>
          <w:tcPr>
            <w:tcW w:w="2972" w:type="dxa"/>
            <w:vAlign w:val="center"/>
            <w:hideMark/>
          </w:tcPr>
          <w:p w14:paraId="3D846B26"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Q1(least deprived 20%)</w:t>
            </w:r>
          </w:p>
        </w:tc>
        <w:tc>
          <w:tcPr>
            <w:tcW w:w="586" w:type="dxa"/>
            <w:vAlign w:val="center"/>
          </w:tcPr>
          <w:p w14:paraId="1C0F628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81</w:t>
            </w:r>
          </w:p>
        </w:tc>
        <w:tc>
          <w:tcPr>
            <w:tcW w:w="513" w:type="dxa"/>
            <w:vAlign w:val="center"/>
          </w:tcPr>
          <w:p w14:paraId="15449B9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54" w:type="dxa"/>
            <w:vAlign w:val="center"/>
          </w:tcPr>
          <w:p w14:paraId="04116D3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1" w:type="dxa"/>
            <w:vAlign w:val="center"/>
          </w:tcPr>
          <w:p w14:paraId="2B9862E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1" w:type="dxa"/>
            <w:tcBorders>
              <w:right w:val="single" w:sz="8" w:space="0" w:color="auto"/>
            </w:tcBorders>
            <w:vAlign w:val="center"/>
          </w:tcPr>
          <w:p w14:paraId="1017E68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w:t>
            </w:r>
          </w:p>
        </w:tc>
        <w:tc>
          <w:tcPr>
            <w:tcW w:w="474" w:type="dxa"/>
            <w:tcBorders>
              <w:left w:val="single" w:sz="8" w:space="0" w:color="auto"/>
            </w:tcBorders>
            <w:vAlign w:val="center"/>
          </w:tcPr>
          <w:p w14:paraId="7FF4A1D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4" w:type="dxa"/>
            <w:vAlign w:val="center"/>
          </w:tcPr>
          <w:p w14:paraId="66F271A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4" w:type="dxa"/>
            <w:vAlign w:val="center"/>
          </w:tcPr>
          <w:p w14:paraId="7DFFE45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w:t>
            </w:r>
          </w:p>
        </w:tc>
        <w:tc>
          <w:tcPr>
            <w:tcW w:w="474" w:type="dxa"/>
            <w:vAlign w:val="center"/>
          </w:tcPr>
          <w:p w14:paraId="5CE6FBE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4" w:type="dxa"/>
            <w:tcBorders>
              <w:right w:val="single" w:sz="8" w:space="0" w:color="auto"/>
            </w:tcBorders>
            <w:vAlign w:val="center"/>
          </w:tcPr>
          <w:p w14:paraId="245A85C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w:t>
            </w:r>
          </w:p>
        </w:tc>
        <w:tc>
          <w:tcPr>
            <w:tcW w:w="603" w:type="dxa"/>
            <w:tcBorders>
              <w:left w:val="single" w:sz="8" w:space="0" w:color="auto"/>
            </w:tcBorders>
            <w:vAlign w:val="center"/>
          </w:tcPr>
          <w:p w14:paraId="3FCB6B0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215</w:t>
            </w:r>
          </w:p>
        </w:tc>
        <w:tc>
          <w:tcPr>
            <w:tcW w:w="598" w:type="dxa"/>
            <w:vAlign w:val="center"/>
          </w:tcPr>
          <w:p w14:paraId="79D6B54D"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19</w:t>
            </w:r>
          </w:p>
        </w:tc>
      </w:tr>
      <w:tr w:rsidR="007F35A8" w:rsidRPr="00B73E3F" w14:paraId="1250171E" w14:textId="77777777" w:rsidTr="001D6EFF">
        <w:trPr>
          <w:trHeight w:hRule="exact" w:val="227"/>
          <w:jc w:val="center"/>
        </w:trPr>
        <w:tc>
          <w:tcPr>
            <w:tcW w:w="2972" w:type="dxa"/>
            <w:vAlign w:val="center"/>
            <w:hideMark/>
          </w:tcPr>
          <w:p w14:paraId="4C3C56B9"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Q2</w:t>
            </w:r>
          </w:p>
        </w:tc>
        <w:tc>
          <w:tcPr>
            <w:tcW w:w="586" w:type="dxa"/>
            <w:vAlign w:val="center"/>
          </w:tcPr>
          <w:p w14:paraId="41D7CFC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70</w:t>
            </w:r>
          </w:p>
        </w:tc>
        <w:tc>
          <w:tcPr>
            <w:tcW w:w="513" w:type="dxa"/>
            <w:vAlign w:val="center"/>
          </w:tcPr>
          <w:p w14:paraId="0F4AAD3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w:t>
            </w:r>
          </w:p>
        </w:tc>
        <w:tc>
          <w:tcPr>
            <w:tcW w:w="454" w:type="dxa"/>
            <w:vAlign w:val="center"/>
          </w:tcPr>
          <w:p w14:paraId="3EE4832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1" w:type="dxa"/>
            <w:vAlign w:val="center"/>
          </w:tcPr>
          <w:p w14:paraId="5F885D6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w:t>
            </w:r>
          </w:p>
        </w:tc>
        <w:tc>
          <w:tcPr>
            <w:tcW w:w="471" w:type="dxa"/>
            <w:tcBorders>
              <w:right w:val="single" w:sz="8" w:space="0" w:color="auto"/>
            </w:tcBorders>
            <w:vAlign w:val="center"/>
          </w:tcPr>
          <w:p w14:paraId="0D73803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4" w:type="dxa"/>
            <w:tcBorders>
              <w:left w:val="single" w:sz="8" w:space="0" w:color="auto"/>
            </w:tcBorders>
            <w:vAlign w:val="center"/>
          </w:tcPr>
          <w:p w14:paraId="230ADBB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w:t>
            </w:r>
          </w:p>
        </w:tc>
        <w:tc>
          <w:tcPr>
            <w:tcW w:w="474" w:type="dxa"/>
            <w:vAlign w:val="center"/>
          </w:tcPr>
          <w:p w14:paraId="729B6FC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4" w:type="dxa"/>
            <w:vAlign w:val="center"/>
          </w:tcPr>
          <w:p w14:paraId="501C8BB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4" w:type="dxa"/>
            <w:vAlign w:val="center"/>
          </w:tcPr>
          <w:p w14:paraId="72281A7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4" w:type="dxa"/>
            <w:tcBorders>
              <w:right w:val="single" w:sz="8" w:space="0" w:color="auto"/>
            </w:tcBorders>
            <w:vAlign w:val="center"/>
          </w:tcPr>
          <w:p w14:paraId="078CD35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c>
          <w:tcPr>
            <w:tcW w:w="603" w:type="dxa"/>
            <w:tcBorders>
              <w:left w:val="single" w:sz="8" w:space="0" w:color="auto"/>
            </w:tcBorders>
            <w:vAlign w:val="center"/>
          </w:tcPr>
          <w:p w14:paraId="4093EDB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210</w:t>
            </w:r>
          </w:p>
        </w:tc>
        <w:tc>
          <w:tcPr>
            <w:tcW w:w="598" w:type="dxa"/>
            <w:vAlign w:val="center"/>
          </w:tcPr>
          <w:p w14:paraId="061297A4"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18</w:t>
            </w:r>
          </w:p>
        </w:tc>
      </w:tr>
      <w:tr w:rsidR="007F35A8" w:rsidRPr="00B73E3F" w14:paraId="28AB4C1B" w14:textId="77777777" w:rsidTr="001D6EFF">
        <w:trPr>
          <w:trHeight w:hRule="exact" w:val="227"/>
          <w:jc w:val="center"/>
        </w:trPr>
        <w:tc>
          <w:tcPr>
            <w:tcW w:w="2972" w:type="dxa"/>
            <w:vAlign w:val="center"/>
            <w:hideMark/>
          </w:tcPr>
          <w:p w14:paraId="259397A4"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Q3</w:t>
            </w:r>
          </w:p>
        </w:tc>
        <w:tc>
          <w:tcPr>
            <w:tcW w:w="586" w:type="dxa"/>
            <w:vAlign w:val="center"/>
          </w:tcPr>
          <w:p w14:paraId="2A2D3BD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62</w:t>
            </w:r>
          </w:p>
        </w:tc>
        <w:tc>
          <w:tcPr>
            <w:tcW w:w="513" w:type="dxa"/>
            <w:vAlign w:val="center"/>
          </w:tcPr>
          <w:p w14:paraId="245D184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38</w:t>
            </w:r>
          </w:p>
        </w:tc>
        <w:tc>
          <w:tcPr>
            <w:tcW w:w="454" w:type="dxa"/>
            <w:vAlign w:val="center"/>
          </w:tcPr>
          <w:p w14:paraId="2278EA4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71" w:type="dxa"/>
            <w:vAlign w:val="center"/>
          </w:tcPr>
          <w:p w14:paraId="13BF9BA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471" w:type="dxa"/>
            <w:tcBorders>
              <w:right w:val="single" w:sz="8" w:space="0" w:color="auto"/>
            </w:tcBorders>
            <w:vAlign w:val="center"/>
          </w:tcPr>
          <w:p w14:paraId="38C2251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4" w:type="dxa"/>
            <w:tcBorders>
              <w:left w:val="single" w:sz="8" w:space="0" w:color="auto"/>
            </w:tcBorders>
            <w:vAlign w:val="center"/>
          </w:tcPr>
          <w:p w14:paraId="0B14ABC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vAlign w:val="center"/>
          </w:tcPr>
          <w:p w14:paraId="330EF0B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4" w:type="dxa"/>
            <w:vAlign w:val="center"/>
          </w:tcPr>
          <w:p w14:paraId="5F36A81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4" w:type="dxa"/>
            <w:vAlign w:val="center"/>
          </w:tcPr>
          <w:p w14:paraId="4EDBC9A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4" w:type="dxa"/>
            <w:tcBorders>
              <w:right w:val="single" w:sz="8" w:space="0" w:color="auto"/>
            </w:tcBorders>
            <w:vAlign w:val="center"/>
          </w:tcPr>
          <w:p w14:paraId="60D5090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603" w:type="dxa"/>
            <w:tcBorders>
              <w:left w:val="single" w:sz="8" w:space="0" w:color="auto"/>
            </w:tcBorders>
            <w:vAlign w:val="center"/>
          </w:tcPr>
          <w:p w14:paraId="67C926B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220</w:t>
            </w:r>
          </w:p>
        </w:tc>
        <w:tc>
          <w:tcPr>
            <w:tcW w:w="598" w:type="dxa"/>
            <w:vAlign w:val="center"/>
          </w:tcPr>
          <w:p w14:paraId="2ADE2E84"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19</w:t>
            </w:r>
          </w:p>
        </w:tc>
      </w:tr>
      <w:tr w:rsidR="007F35A8" w:rsidRPr="00B73E3F" w14:paraId="71FA8F56" w14:textId="77777777" w:rsidTr="001D6EFF">
        <w:trPr>
          <w:trHeight w:hRule="exact" w:val="227"/>
          <w:jc w:val="center"/>
        </w:trPr>
        <w:tc>
          <w:tcPr>
            <w:tcW w:w="2972" w:type="dxa"/>
            <w:vAlign w:val="center"/>
            <w:hideMark/>
          </w:tcPr>
          <w:p w14:paraId="4E936C98"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Q4</w:t>
            </w:r>
          </w:p>
        </w:tc>
        <w:tc>
          <w:tcPr>
            <w:tcW w:w="586" w:type="dxa"/>
            <w:vAlign w:val="center"/>
          </w:tcPr>
          <w:p w14:paraId="08B9D35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57</w:t>
            </w:r>
          </w:p>
        </w:tc>
        <w:tc>
          <w:tcPr>
            <w:tcW w:w="513" w:type="dxa"/>
            <w:vAlign w:val="center"/>
          </w:tcPr>
          <w:p w14:paraId="5BECAAE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43</w:t>
            </w:r>
          </w:p>
        </w:tc>
        <w:tc>
          <w:tcPr>
            <w:tcW w:w="454" w:type="dxa"/>
            <w:vAlign w:val="center"/>
          </w:tcPr>
          <w:p w14:paraId="21666AD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33</w:t>
            </w:r>
          </w:p>
        </w:tc>
        <w:tc>
          <w:tcPr>
            <w:tcW w:w="471" w:type="dxa"/>
            <w:vAlign w:val="center"/>
          </w:tcPr>
          <w:p w14:paraId="711E8A8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1" w:type="dxa"/>
            <w:tcBorders>
              <w:right w:val="single" w:sz="8" w:space="0" w:color="auto"/>
            </w:tcBorders>
            <w:vAlign w:val="center"/>
          </w:tcPr>
          <w:p w14:paraId="3BB572F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12</w:t>
            </w:r>
          </w:p>
        </w:tc>
        <w:tc>
          <w:tcPr>
            <w:tcW w:w="474" w:type="dxa"/>
            <w:tcBorders>
              <w:left w:val="single" w:sz="8" w:space="0" w:color="auto"/>
            </w:tcBorders>
            <w:vAlign w:val="center"/>
          </w:tcPr>
          <w:p w14:paraId="3B08A62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4" w:type="dxa"/>
            <w:vAlign w:val="center"/>
          </w:tcPr>
          <w:p w14:paraId="55DA1A8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4" w:type="dxa"/>
            <w:vAlign w:val="center"/>
          </w:tcPr>
          <w:p w14:paraId="2B378A8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4" w:type="dxa"/>
            <w:vAlign w:val="center"/>
          </w:tcPr>
          <w:p w14:paraId="0CCA115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4" w:type="dxa"/>
            <w:tcBorders>
              <w:right w:val="single" w:sz="8" w:space="0" w:color="auto"/>
            </w:tcBorders>
            <w:vAlign w:val="center"/>
          </w:tcPr>
          <w:p w14:paraId="3F082E9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603" w:type="dxa"/>
            <w:tcBorders>
              <w:left w:val="single" w:sz="8" w:space="0" w:color="auto"/>
            </w:tcBorders>
            <w:vAlign w:val="center"/>
          </w:tcPr>
          <w:p w14:paraId="37EF431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235</w:t>
            </w:r>
          </w:p>
        </w:tc>
        <w:tc>
          <w:tcPr>
            <w:tcW w:w="598" w:type="dxa"/>
            <w:vAlign w:val="center"/>
          </w:tcPr>
          <w:p w14:paraId="70EDE86D"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21</w:t>
            </w:r>
          </w:p>
        </w:tc>
      </w:tr>
      <w:tr w:rsidR="007F35A8" w:rsidRPr="00B73E3F" w14:paraId="0B6D0E79" w14:textId="77777777" w:rsidTr="001D6EFF">
        <w:trPr>
          <w:trHeight w:hRule="exact" w:val="227"/>
          <w:jc w:val="center"/>
        </w:trPr>
        <w:tc>
          <w:tcPr>
            <w:tcW w:w="2972" w:type="dxa"/>
            <w:vAlign w:val="center"/>
            <w:hideMark/>
          </w:tcPr>
          <w:p w14:paraId="3459CC41"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Q5 (most deprived 20%)</w:t>
            </w:r>
          </w:p>
        </w:tc>
        <w:tc>
          <w:tcPr>
            <w:tcW w:w="586" w:type="dxa"/>
            <w:vAlign w:val="center"/>
          </w:tcPr>
          <w:p w14:paraId="73FDB6B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48</w:t>
            </w:r>
          </w:p>
        </w:tc>
        <w:tc>
          <w:tcPr>
            <w:tcW w:w="513" w:type="dxa"/>
            <w:vAlign w:val="center"/>
          </w:tcPr>
          <w:p w14:paraId="6758B51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52</w:t>
            </w:r>
          </w:p>
        </w:tc>
        <w:tc>
          <w:tcPr>
            <w:tcW w:w="454" w:type="dxa"/>
            <w:vAlign w:val="center"/>
          </w:tcPr>
          <w:p w14:paraId="51294A4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40</w:t>
            </w:r>
          </w:p>
        </w:tc>
        <w:tc>
          <w:tcPr>
            <w:tcW w:w="471" w:type="dxa"/>
            <w:vAlign w:val="center"/>
          </w:tcPr>
          <w:p w14:paraId="3813E58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27</w:t>
            </w:r>
          </w:p>
        </w:tc>
        <w:tc>
          <w:tcPr>
            <w:tcW w:w="471" w:type="dxa"/>
            <w:tcBorders>
              <w:right w:val="single" w:sz="8" w:space="0" w:color="auto"/>
            </w:tcBorders>
            <w:vAlign w:val="center"/>
          </w:tcPr>
          <w:p w14:paraId="6E59546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4" w:type="dxa"/>
            <w:tcBorders>
              <w:left w:val="single" w:sz="8" w:space="0" w:color="auto"/>
            </w:tcBorders>
            <w:vAlign w:val="center"/>
          </w:tcPr>
          <w:p w14:paraId="740867A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c>
          <w:tcPr>
            <w:tcW w:w="474" w:type="dxa"/>
            <w:vAlign w:val="center"/>
          </w:tcPr>
          <w:p w14:paraId="017E841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474" w:type="dxa"/>
            <w:vAlign w:val="center"/>
          </w:tcPr>
          <w:p w14:paraId="6D9EF06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474" w:type="dxa"/>
            <w:vAlign w:val="center"/>
          </w:tcPr>
          <w:p w14:paraId="057A5FA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w:t>
            </w:r>
          </w:p>
        </w:tc>
        <w:tc>
          <w:tcPr>
            <w:tcW w:w="474" w:type="dxa"/>
            <w:tcBorders>
              <w:right w:val="single" w:sz="8" w:space="0" w:color="auto"/>
            </w:tcBorders>
            <w:vAlign w:val="center"/>
          </w:tcPr>
          <w:p w14:paraId="42B4C88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27</w:t>
            </w:r>
          </w:p>
        </w:tc>
        <w:tc>
          <w:tcPr>
            <w:tcW w:w="603" w:type="dxa"/>
            <w:tcBorders>
              <w:left w:val="single" w:sz="8" w:space="0" w:color="auto"/>
            </w:tcBorders>
            <w:vAlign w:val="center"/>
          </w:tcPr>
          <w:p w14:paraId="2C7D159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265</w:t>
            </w:r>
          </w:p>
        </w:tc>
        <w:tc>
          <w:tcPr>
            <w:tcW w:w="598" w:type="dxa"/>
            <w:vAlign w:val="center"/>
          </w:tcPr>
          <w:p w14:paraId="55B13C8F"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23</w:t>
            </w:r>
          </w:p>
        </w:tc>
      </w:tr>
    </w:tbl>
    <w:p w14:paraId="71D0E73C" w14:textId="77777777" w:rsidR="007F35A8" w:rsidRPr="00B73E3F" w:rsidRDefault="007F35A8" w:rsidP="007F35A8">
      <w:pPr>
        <w:spacing w:after="0" w:line="240" w:lineRule="auto"/>
        <w:rPr>
          <w:rFonts w:ascii="Arial" w:hAnsi="Arial"/>
          <w:bCs/>
          <w:color w:val="000000" w:themeColor="text1"/>
        </w:rPr>
      </w:pPr>
    </w:p>
    <w:p w14:paraId="7643DA3C" w14:textId="77777777" w:rsidR="007F35A8" w:rsidRDefault="007F35A8" w:rsidP="007F35A8">
      <w:pPr>
        <w:spacing w:after="0" w:line="240" w:lineRule="auto"/>
        <w:rPr>
          <w:rFonts w:ascii="Arial" w:eastAsia="Times New Roman" w:hAnsi="Arial"/>
          <w:b/>
          <w:color w:val="000000" w:themeColor="text1"/>
          <w:sz w:val="18"/>
          <w:szCs w:val="18"/>
        </w:rPr>
      </w:pPr>
      <w:r>
        <w:rPr>
          <w:rFonts w:ascii="Arial" w:eastAsia="Times New Roman" w:hAnsi="Arial"/>
          <w:b/>
          <w:color w:val="000000" w:themeColor="text1"/>
          <w:sz w:val="18"/>
          <w:szCs w:val="18"/>
        </w:rPr>
        <w:br w:type="page"/>
      </w:r>
    </w:p>
    <w:p w14:paraId="2418304D" w14:textId="76D4F044" w:rsidR="007F35A8" w:rsidRPr="00B73E3F" w:rsidRDefault="007F35A8" w:rsidP="007F35A8">
      <w:pPr>
        <w:spacing w:after="0" w:line="240" w:lineRule="auto"/>
        <w:ind w:right="-44"/>
        <w:jc w:val="center"/>
        <w:rPr>
          <w:rFonts w:ascii="Arial" w:eastAsia="Times New Roman" w:hAnsi="Arial"/>
          <w:bCs/>
          <w:color w:val="000000" w:themeColor="text1"/>
          <w:sz w:val="18"/>
          <w:szCs w:val="18"/>
        </w:rPr>
      </w:pPr>
      <w:r w:rsidRPr="00B73E3F">
        <w:rPr>
          <w:rFonts w:ascii="Arial" w:eastAsia="Times New Roman" w:hAnsi="Arial"/>
          <w:b/>
          <w:color w:val="000000" w:themeColor="text1"/>
          <w:sz w:val="18"/>
          <w:szCs w:val="18"/>
        </w:rPr>
        <w:lastRenderedPageBreak/>
        <w:t xml:space="preserve">Table </w:t>
      </w:r>
      <w:r w:rsidR="00046A24">
        <w:rPr>
          <w:rFonts w:ascii="Arial" w:eastAsia="Times New Roman" w:hAnsi="Arial"/>
          <w:b/>
          <w:color w:val="000000" w:themeColor="text1"/>
          <w:sz w:val="18"/>
          <w:szCs w:val="18"/>
        </w:rPr>
        <w:t>H</w:t>
      </w:r>
      <w:r>
        <w:rPr>
          <w:rFonts w:ascii="Arial" w:eastAsia="Times New Roman" w:hAnsi="Arial"/>
          <w:b/>
          <w:color w:val="000000" w:themeColor="text1"/>
          <w:sz w:val="18"/>
          <w:szCs w:val="18"/>
        </w:rPr>
        <w:t>.2</w:t>
      </w:r>
    </w:p>
    <w:p w14:paraId="4F01C13B" w14:textId="77777777" w:rsidR="007F35A8" w:rsidRPr="00B73E3F" w:rsidRDefault="007F35A8" w:rsidP="007F35A8">
      <w:pPr>
        <w:spacing w:after="0" w:line="240" w:lineRule="auto"/>
        <w:ind w:right="-44"/>
        <w:jc w:val="center"/>
        <w:rPr>
          <w:rFonts w:ascii="Arial" w:eastAsia="Times New Roman" w:hAnsi="Arial" w:cs="Times New Roman"/>
          <w:b/>
          <w:bCs/>
          <w:color w:val="000000" w:themeColor="text1"/>
          <w:sz w:val="18"/>
          <w:szCs w:val="18"/>
          <w:lang w:eastAsia="en-NZ"/>
        </w:rPr>
      </w:pPr>
      <w:r w:rsidRPr="00B73E3F">
        <w:rPr>
          <w:rFonts w:ascii="Arial" w:eastAsia="Times New Roman" w:hAnsi="Arial" w:cs="Times New Roman"/>
          <w:b/>
          <w:bCs/>
          <w:color w:val="000000" w:themeColor="text1"/>
          <w:sz w:val="18"/>
          <w:szCs w:val="18"/>
          <w:lang w:eastAsia="en-NZ"/>
        </w:rPr>
        <w:t>Low-income rates and composition for selected population groups (AHC, 5 thresholds),</w:t>
      </w:r>
    </w:p>
    <w:p w14:paraId="115EC44F" w14:textId="77777777" w:rsidR="007F35A8" w:rsidRPr="00B73E3F" w:rsidRDefault="007F35A8" w:rsidP="007F35A8">
      <w:pPr>
        <w:spacing w:line="240" w:lineRule="auto"/>
        <w:jc w:val="center"/>
        <w:rPr>
          <w:rFonts w:ascii="Arial" w:hAnsi="Arial"/>
          <w:b/>
          <w:color w:val="000000" w:themeColor="text1"/>
          <w:sz w:val="16"/>
          <w:szCs w:val="16"/>
        </w:rPr>
      </w:pPr>
      <w:r w:rsidRPr="00B73E3F">
        <w:rPr>
          <w:rFonts w:ascii="Arial" w:eastAsia="Times New Roman" w:hAnsi="Arial" w:cs="Times New Roman"/>
          <w:b/>
          <w:bCs/>
          <w:color w:val="000000" w:themeColor="text1"/>
          <w:sz w:val="18"/>
          <w:szCs w:val="18"/>
          <w:lang w:eastAsia="en-NZ"/>
        </w:rPr>
        <w:t xml:space="preserve">Children (aged 0-17 years), </w:t>
      </w:r>
      <w:r>
        <w:rPr>
          <w:rFonts w:ascii="Arial" w:eastAsia="Times New Roman" w:hAnsi="Arial" w:cs="Times New Roman"/>
          <w:b/>
          <w:bCs/>
          <w:color w:val="000000" w:themeColor="text1"/>
          <w:sz w:val="18"/>
          <w:szCs w:val="18"/>
          <w:lang w:eastAsia="en-NZ"/>
        </w:rPr>
        <w:t>HILS 2024-25</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471"/>
        <w:gridCol w:w="470"/>
        <w:gridCol w:w="470"/>
        <w:gridCol w:w="489"/>
        <w:gridCol w:w="471"/>
        <w:gridCol w:w="475"/>
        <w:gridCol w:w="475"/>
        <w:gridCol w:w="475"/>
        <w:gridCol w:w="475"/>
        <w:gridCol w:w="475"/>
        <w:gridCol w:w="606"/>
        <w:gridCol w:w="605"/>
      </w:tblGrid>
      <w:tr w:rsidR="007F35A8" w:rsidRPr="00B73E3F" w14:paraId="7DE8FBD7" w14:textId="77777777" w:rsidTr="0020734C">
        <w:trPr>
          <w:trHeight w:val="300"/>
          <w:jc w:val="center"/>
        </w:trPr>
        <w:tc>
          <w:tcPr>
            <w:tcW w:w="2934" w:type="dxa"/>
            <w:vAlign w:val="center"/>
            <w:hideMark/>
          </w:tcPr>
          <w:p w14:paraId="7B9DD64C" w14:textId="77777777" w:rsidR="007F35A8" w:rsidRPr="00B73E3F" w:rsidRDefault="007F35A8" w:rsidP="0020734C">
            <w:pPr>
              <w:spacing w:after="0" w:line="240" w:lineRule="auto"/>
              <w:rPr>
                <w:rFonts w:ascii="Arial" w:eastAsia="Times New Roman" w:hAnsi="Arial" w:cs="Times New Roman"/>
                <w:b/>
                <w:bCs/>
                <w:color w:val="000000" w:themeColor="text1"/>
                <w:sz w:val="16"/>
                <w:szCs w:val="18"/>
                <w:lang w:eastAsia="en-NZ"/>
              </w:rPr>
            </w:pPr>
            <w:r w:rsidRPr="00B73E3F">
              <w:rPr>
                <w:rFonts w:ascii="Arial" w:hAnsi="Arial"/>
                <w:b/>
                <w:bCs/>
                <w:color w:val="000000" w:themeColor="text1"/>
                <w:sz w:val="16"/>
                <w:szCs w:val="16"/>
              </w:rPr>
              <w:t> </w:t>
            </w:r>
            <w:r>
              <w:rPr>
                <w:rFonts w:ascii="Arial" w:hAnsi="Arial"/>
                <w:b/>
                <w:bCs/>
                <w:color w:val="000000" w:themeColor="text1"/>
                <w:sz w:val="16"/>
                <w:szCs w:val="16"/>
              </w:rPr>
              <w:t>HILS 2024-25</w:t>
            </w:r>
          </w:p>
        </w:tc>
        <w:tc>
          <w:tcPr>
            <w:tcW w:w="2371" w:type="dxa"/>
            <w:gridSpan w:val="5"/>
            <w:tcBorders>
              <w:right w:val="single" w:sz="8" w:space="0" w:color="auto"/>
            </w:tcBorders>
            <w:vAlign w:val="center"/>
            <w:hideMark/>
          </w:tcPr>
          <w:p w14:paraId="71332C60"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6"/>
                <w:szCs w:val="18"/>
                <w:lang w:eastAsia="en-NZ"/>
              </w:rPr>
            </w:pPr>
            <w:r w:rsidRPr="00B73E3F">
              <w:rPr>
                <w:rFonts w:ascii="Arial" w:hAnsi="Arial"/>
                <w:b/>
                <w:bCs/>
                <w:color w:val="000000" w:themeColor="text1"/>
                <w:sz w:val="16"/>
                <w:szCs w:val="16"/>
              </w:rPr>
              <w:t>Low-income rates</w:t>
            </w:r>
          </w:p>
        </w:tc>
        <w:tc>
          <w:tcPr>
            <w:tcW w:w="3586" w:type="dxa"/>
            <w:gridSpan w:val="7"/>
            <w:tcBorders>
              <w:left w:val="single" w:sz="8" w:space="0" w:color="auto"/>
            </w:tcBorders>
            <w:vAlign w:val="center"/>
            <w:hideMark/>
          </w:tcPr>
          <w:p w14:paraId="533A4800"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6"/>
                <w:szCs w:val="18"/>
                <w:lang w:eastAsia="en-NZ"/>
              </w:rPr>
            </w:pPr>
            <w:r w:rsidRPr="00B73E3F">
              <w:rPr>
                <w:rFonts w:ascii="Arial" w:hAnsi="Arial"/>
                <w:b/>
                <w:bCs/>
                <w:color w:val="000000" w:themeColor="text1"/>
                <w:sz w:val="16"/>
                <w:szCs w:val="16"/>
              </w:rPr>
              <w:t>Composition</w:t>
            </w:r>
          </w:p>
        </w:tc>
      </w:tr>
      <w:tr w:rsidR="007F35A8" w:rsidRPr="00B73E3F" w14:paraId="2BD7D8D4" w14:textId="77777777" w:rsidTr="0020734C">
        <w:trPr>
          <w:trHeight w:val="300"/>
          <w:jc w:val="center"/>
        </w:trPr>
        <w:tc>
          <w:tcPr>
            <w:tcW w:w="2934" w:type="dxa"/>
            <w:vAlign w:val="center"/>
            <w:hideMark/>
          </w:tcPr>
          <w:p w14:paraId="6E12711F"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 AHC</w:t>
            </w:r>
          </w:p>
        </w:tc>
        <w:tc>
          <w:tcPr>
            <w:tcW w:w="2371" w:type="dxa"/>
            <w:gridSpan w:val="5"/>
            <w:tcBorders>
              <w:right w:val="single" w:sz="8" w:space="0" w:color="auto"/>
            </w:tcBorders>
            <w:vAlign w:val="center"/>
            <w:hideMark/>
          </w:tcPr>
          <w:p w14:paraId="548AA294" w14:textId="77777777" w:rsidR="007F35A8" w:rsidRPr="00B73E3F" w:rsidRDefault="007F35A8" w:rsidP="0020734C">
            <w:pPr>
              <w:spacing w:after="0" w:line="240" w:lineRule="auto"/>
              <w:jc w:val="center"/>
              <w:rPr>
                <w:rFonts w:ascii="Arial" w:eastAsia="Times New Roman" w:hAnsi="Arial" w:cs="Times New Roman"/>
                <w:color w:val="000000" w:themeColor="text1"/>
                <w:sz w:val="16"/>
                <w:szCs w:val="16"/>
                <w:lang w:eastAsia="en-NZ"/>
              </w:rPr>
            </w:pPr>
            <w:r w:rsidRPr="00B73E3F">
              <w:rPr>
                <w:rFonts w:ascii="Arial" w:hAnsi="Arial"/>
                <w:color w:val="000000" w:themeColor="text1"/>
                <w:sz w:val="16"/>
                <w:szCs w:val="16"/>
              </w:rPr>
              <w:t>what % of this group is in a low-income household, using the different thresholds?</w:t>
            </w:r>
          </w:p>
        </w:tc>
        <w:tc>
          <w:tcPr>
            <w:tcW w:w="2375" w:type="dxa"/>
            <w:gridSpan w:val="5"/>
            <w:tcBorders>
              <w:left w:val="single" w:sz="8" w:space="0" w:color="auto"/>
              <w:right w:val="single" w:sz="8" w:space="0" w:color="auto"/>
            </w:tcBorders>
            <w:vAlign w:val="center"/>
            <w:hideMark/>
          </w:tcPr>
          <w:p w14:paraId="658BEC64" w14:textId="77777777" w:rsidR="007F35A8" w:rsidRPr="00B73E3F" w:rsidRDefault="007F35A8" w:rsidP="0020734C">
            <w:pPr>
              <w:spacing w:after="0" w:line="240" w:lineRule="auto"/>
              <w:jc w:val="center"/>
              <w:rPr>
                <w:rFonts w:ascii="Arial" w:eastAsia="Times New Roman" w:hAnsi="Arial" w:cs="Times New Roman"/>
                <w:color w:val="000000" w:themeColor="text1"/>
                <w:sz w:val="16"/>
                <w:szCs w:val="16"/>
                <w:lang w:eastAsia="en-NZ"/>
              </w:rPr>
            </w:pPr>
            <w:r w:rsidRPr="00B73E3F">
              <w:rPr>
                <w:rFonts w:ascii="Arial" w:hAnsi="Arial"/>
                <w:color w:val="000000" w:themeColor="text1"/>
                <w:sz w:val="16"/>
                <w:szCs w:val="16"/>
              </w:rPr>
              <w:t>what % of all those in low-income households (using a given threshold) are in this group / cell?</w:t>
            </w:r>
          </w:p>
        </w:tc>
        <w:tc>
          <w:tcPr>
            <w:tcW w:w="606" w:type="dxa"/>
            <w:tcBorders>
              <w:left w:val="single" w:sz="8" w:space="0" w:color="auto"/>
            </w:tcBorders>
            <w:vAlign w:val="center"/>
            <w:hideMark/>
          </w:tcPr>
          <w:p w14:paraId="43F8B65C"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000’s</w:t>
            </w:r>
          </w:p>
        </w:tc>
        <w:tc>
          <w:tcPr>
            <w:tcW w:w="605" w:type="dxa"/>
            <w:vAlign w:val="center"/>
          </w:tcPr>
          <w:p w14:paraId="3778AED4"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w:t>
            </w:r>
          </w:p>
        </w:tc>
      </w:tr>
      <w:tr w:rsidR="007F35A8" w:rsidRPr="00B73E3F" w14:paraId="48917E7D" w14:textId="77777777" w:rsidTr="0020734C">
        <w:trPr>
          <w:trHeight w:val="396"/>
          <w:jc w:val="center"/>
        </w:trPr>
        <w:tc>
          <w:tcPr>
            <w:tcW w:w="2934" w:type="dxa"/>
            <w:vAlign w:val="center"/>
            <w:hideMark/>
          </w:tcPr>
          <w:p w14:paraId="12A60061"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Low-income threshold as % of median</w:t>
            </w:r>
          </w:p>
        </w:tc>
        <w:tc>
          <w:tcPr>
            <w:tcW w:w="471" w:type="dxa"/>
            <w:vAlign w:val="center"/>
            <w:hideMark/>
          </w:tcPr>
          <w:p w14:paraId="05694808"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≥70</w:t>
            </w:r>
          </w:p>
        </w:tc>
        <w:tc>
          <w:tcPr>
            <w:tcW w:w="470" w:type="dxa"/>
            <w:vAlign w:val="center"/>
            <w:hideMark/>
          </w:tcPr>
          <w:p w14:paraId="32FD16A0"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&lt;70</w:t>
            </w:r>
          </w:p>
        </w:tc>
        <w:tc>
          <w:tcPr>
            <w:tcW w:w="470" w:type="dxa"/>
            <w:vAlign w:val="center"/>
            <w:hideMark/>
          </w:tcPr>
          <w:p w14:paraId="3259C90C"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&lt;60</w:t>
            </w:r>
          </w:p>
        </w:tc>
        <w:tc>
          <w:tcPr>
            <w:tcW w:w="489" w:type="dxa"/>
            <w:vAlign w:val="center"/>
            <w:hideMark/>
          </w:tcPr>
          <w:p w14:paraId="3982B1CB"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&lt;50</w:t>
            </w:r>
          </w:p>
        </w:tc>
        <w:tc>
          <w:tcPr>
            <w:tcW w:w="471" w:type="dxa"/>
            <w:tcBorders>
              <w:right w:val="single" w:sz="8" w:space="0" w:color="auto"/>
            </w:tcBorders>
            <w:vAlign w:val="center"/>
            <w:hideMark/>
          </w:tcPr>
          <w:p w14:paraId="65EB89D1"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&lt;40</w:t>
            </w:r>
          </w:p>
        </w:tc>
        <w:tc>
          <w:tcPr>
            <w:tcW w:w="475" w:type="dxa"/>
            <w:tcBorders>
              <w:left w:val="single" w:sz="8" w:space="0" w:color="auto"/>
            </w:tcBorders>
            <w:vAlign w:val="center"/>
            <w:hideMark/>
          </w:tcPr>
          <w:p w14:paraId="1813054C"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≥70</w:t>
            </w:r>
          </w:p>
        </w:tc>
        <w:tc>
          <w:tcPr>
            <w:tcW w:w="475" w:type="dxa"/>
            <w:vAlign w:val="center"/>
            <w:hideMark/>
          </w:tcPr>
          <w:p w14:paraId="2CBEFD71"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&lt;70</w:t>
            </w:r>
          </w:p>
        </w:tc>
        <w:tc>
          <w:tcPr>
            <w:tcW w:w="475" w:type="dxa"/>
            <w:vAlign w:val="center"/>
            <w:hideMark/>
          </w:tcPr>
          <w:p w14:paraId="360DA0CF"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&lt;60</w:t>
            </w:r>
          </w:p>
        </w:tc>
        <w:tc>
          <w:tcPr>
            <w:tcW w:w="475" w:type="dxa"/>
            <w:vAlign w:val="center"/>
            <w:hideMark/>
          </w:tcPr>
          <w:p w14:paraId="43DEE6FD"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&lt;50</w:t>
            </w:r>
          </w:p>
        </w:tc>
        <w:tc>
          <w:tcPr>
            <w:tcW w:w="475" w:type="dxa"/>
            <w:tcBorders>
              <w:right w:val="single" w:sz="8" w:space="0" w:color="auto"/>
            </w:tcBorders>
            <w:vAlign w:val="center"/>
            <w:hideMark/>
          </w:tcPr>
          <w:p w14:paraId="59503DD1"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&lt;40</w:t>
            </w:r>
          </w:p>
        </w:tc>
        <w:tc>
          <w:tcPr>
            <w:tcW w:w="606" w:type="dxa"/>
            <w:tcBorders>
              <w:left w:val="single" w:sz="8" w:space="0" w:color="auto"/>
            </w:tcBorders>
            <w:vAlign w:val="center"/>
            <w:hideMark/>
          </w:tcPr>
          <w:p w14:paraId="766066D2"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ALL</w:t>
            </w:r>
          </w:p>
        </w:tc>
        <w:tc>
          <w:tcPr>
            <w:tcW w:w="605" w:type="dxa"/>
            <w:vAlign w:val="center"/>
          </w:tcPr>
          <w:p w14:paraId="6B5575B5" w14:textId="77777777" w:rsidR="007F35A8" w:rsidRPr="00B73E3F" w:rsidRDefault="007F35A8" w:rsidP="0020734C">
            <w:pPr>
              <w:spacing w:after="0" w:line="240" w:lineRule="auto"/>
              <w:jc w:val="center"/>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ALL</w:t>
            </w:r>
          </w:p>
        </w:tc>
      </w:tr>
      <w:tr w:rsidR="007F35A8" w:rsidRPr="00B73E3F" w14:paraId="23F6312A" w14:textId="77777777" w:rsidTr="0020734C">
        <w:trPr>
          <w:trHeight w:val="227"/>
          <w:jc w:val="center"/>
        </w:trPr>
        <w:tc>
          <w:tcPr>
            <w:tcW w:w="2934" w:type="dxa"/>
            <w:vAlign w:val="center"/>
          </w:tcPr>
          <w:p w14:paraId="10AE643E"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p>
        </w:tc>
        <w:tc>
          <w:tcPr>
            <w:tcW w:w="471" w:type="dxa"/>
            <w:vAlign w:val="center"/>
            <w:hideMark/>
          </w:tcPr>
          <w:p w14:paraId="0D486868"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0" w:type="dxa"/>
            <w:vAlign w:val="center"/>
            <w:hideMark/>
          </w:tcPr>
          <w:p w14:paraId="2DDA1501"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0" w:type="dxa"/>
            <w:vAlign w:val="center"/>
            <w:hideMark/>
          </w:tcPr>
          <w:p w14:paraId="22649C2F"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89" w:type="dxa"/>
            <w:vAlign w:val="center"/>
            <w:hideMark/>
          </w:tcPr>
          <w:p w14:paraId="08C8823B"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1" w:type="dxa"/>
            <w:tcBorders>
              <w:right w:val="single" w:sz="8" w:space="0" w:color="auto"/>
            </w:tcBorders>
            <w:vAlign w:val="center"/>
            <w:hideMark/>
          </w:tcPr>
          <w:p w14:paraId="0F38CC08"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5" w:type="dxa"/>
            <w:tcBorders>
              <w:left w:val="single" w:sz="8" w:space="0" w:color="auto"/>
            </w:tcBorders>
            <w:vAlign w:val="center"/>
            <w:hideMark/>
          </w:tcPr>
          <w:p w14:paraId="10F80409"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5" w:type="dxa"/>
            <w:vAlign w:val="center"/>
            <w:hideMark/>
          </w:tcPr>
          <w:p w14:paraId="15BF786E"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5" w:type="dxa"/>
            <w:vAlign w:val="center"/>
            <w:hideMark/>
          </w:tcPr>
          <w:p w14:paraId="6D7BDF69"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5" w:type="dxa"/>
            <w:vAlign w:val="center"/>
            <w:hideMark/>
          </w:tcPr>
          <w:p w14:paraId="4436BBFA"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475" w:type="dxa"/>
            <w:tcBorders>
              <w:right w:val="single" w:sz="8" w:space="0" w:color="auto"/>
            </w:tcBorders>
            <w:vAlign w:val="center"/>
            <w:hideMark/>
          </w:tcPr>
          <w:p w14:paraId="02D630FA"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606" w:type="dxa"/>
            <w:tcBorders>
              <w:left w:val="single" w:sz="8" w:space="0" w:color="auto"/>
            </w:tcBorders>
            <w:vAlign w:val="center"/>
            <w:hideMark/>
          </w:tcPr>
          <w:p w14:paraId="6E21A169"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r w:rsidRPr="00B73E3F">
              <w:rPr>
                <w:rFonts w:ascii="Arial" w:eastAsia="Times New Roman" w:hAnsi="Arial" w:cs="Times New Roman"/>
                <w:color w:val="000000" w:themeColor="text1"/>
                <w:sz w:val="14"/>
                <w:szCs w:val="14"/>
                <w:lang w:eastAsia="en-NZ"/>
              </w:rPr>
              <w:t> </w:t>
            </w:r>
          </w:p>
        </w:tc>
        <w:tc>
          <w:tcPr>
            <w:tcW w:w="605" w:type="dxa"/>
            <w:vAlign w:val="center"/>
          </w:tcPr>
          <w:p w14:paraId="1B3A3B00" w14:textId="77777777" w:rsidR="007F35A8" w:rsidRPr="00B73E3F" w:rsidRDefault="007F35A8" w:rsidP="0020734C">
            <w:pPr>
              <w:spacing w:after="0" w:line="240" w:lineRule="auto"/>
              <w:rPr>
                <w:rFonts w:ascii="Arial" w:eastAsia="Times New Roman" w:hAnsi="Arial" w:cs="Times New Roman"/>
                <w:color w:val="000000" w:themeColor="text1"/>
                <w:sz w:val="14"/>
                <w:szCs w:val="14"/>
                <w:lang w:eastAsia="en-NZ"/>
              </w:rPr>
            </w:pPr>
          </w:p>
        </w:tc>
      </w:tr>
      <w:tr w:rsidR="007F35A8" w:rsidRPr="00B73E3F" w14:paraId="38D3D040" w14:textId="77777777" w:rsidTr="0020734C">
        <w:trPr>
          <w:trHeight w:hRule="exact" w:val="227"/>
          <w:jc w:val="center"/>
        </w:trPr>
        <w:tc>
          <w:tcPr>
            <w:tcW w:w="2934" w:type="dxa"/>
            <w:vAlign w:val="center"/>
            <w:hideMark/>
          </w:tcPr>
          <w:p w14:paraId="36C8DAA5"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eastAsia="Times New Roman" w:hAnsi="Arial" w:cs="Times New Roman"/>
                <w:b/>
                <w:bCs/>
                <w:color w:val="000000" w:themeColor="text1"/>
                <w:sz w:val="14"/>
                <w:szCs w:val="14"/>
                <w:lang w:eastAsia="en-NZ"/>
              </w:rPr>
              <w:t>All children (0-17 yrs)</w:t>
            </w:r>
          </w:p>
        </w:tc>
        <w:tc>
          <w:tcPr>
            <w:tcW w:w="471" w:type="dxa"/>
            <w:vAlign w:val="center"/>
            <w:hideMark/>
          </w:tcPr>
          <w:p w14:paraId="5278C33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63</w:t>
            </w:r>
          </w:p>
        </w:tc>
        <w:tc>
          <w:tcPr>
            <w:tcW w:w="470" w:type="dxa"/>
            <w:vAlign w:val="center"/>
            <w:hideMark/>
          </w:tcPr>
          <w:p w14:paraId="7DE69FB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37</w:t>
            </w:r>
          </w:p>
        </w:tc>
        <w:tc>
          <w:tcPr>
            <w:tcW w:w="470" w:type="dxa"/>
            <w:vAlign w:val="center"/>
            <w:hideMark/>
          </w:tcPr>
          <w:p w14:paraId="138A6EA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89" w:type="dxa"/>
            <w:vAlign w:val="center"/>
            <w:hideMark/>
          </w:tcPr>
          <w:p w14:paraId="40C2B1B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471" w:type="dxa"/>
            <w:tcBorders>
              <w:right w:val="single" w:sz="8" w:space="0" w:color="auto"/>
            </w:tcBorders>
            <w:vAlign w:val="center"/>
            <w:hideMark/>
          </w:tcPr>
          <w:p w14:paraId="0827844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w:t>
            </w:r>
          </w:p>
        </w:tc>
        <w:tc>
          <w:tcPr>
            <w:tcW w:w="475" w:type="dxa"/>
            <w:tcBorders>
              <w:left w:val="single" w:sz="8" w:space="0" w:color="auto"/>
            </w:tcBorders>
            <w:vAlign w:val="center"/>
            <w:hideMark/>
          </w:tcPr>
          <w:p w14:paraId="6F0B763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5" w:type="dxa"/>
            <w:vAlign w:val="center"/>
            <w:hideMark/>
          </w:tcPr>
          <w:p w14:paraId="25C3A3B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5" w:type="dxa"/>
            <w:vAlign w:val="center"/>
            <w:hideMark/>
          </w:tcPr>
          <w:p w14:paraId="5D6CFEC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5" w:type="dxa"/>
            <w:vAlign w:val="center"/>
            <w:hideMark/>
          </w:tcPr>
          <w:p w14:paraId="3977A4F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475" w:type="dxa"/>
            <w:tcBorders>
              <w:right w:val="single" w:sz="8" w:space="0" w:color="auto"/>
            </w:tcBorders>
            <w:vAlign w:val="center"/>
            <w:hideMark/>
          </w:tcPr>
          <w:p w14:paraId="3E013F5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c>
          <w:tcPr>
            <w:tcW w:w="606" w:type="dxa"/>
            <w:tcBorders>
              <w:left w:val="single" w:sz="8" w:space="0" w:color="auto"/>
            </w:tcBorders>
            <w:vAlign w:val="center"/>
            <w:hideMark/>
          </w:tcPr>
          <w:p w14:paraId="50E71C9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1,150</w:t>
            </w:r>
          </w:p>
        </w:tc>
        <w:tc>
          <w:tcPr>
            <w:tcW w:w="605" w:type="dxa"/>
            <w:vAlign w:val="center"/>
          </w:tcPr>
          <w:p w14:paraId="4D405A4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100</w:t>
            </w:r>
          </w:p>
        </w:tc>
      </w:tr>
      <w:tr w:rsidR="007F35A8" w:rsidRPr="00B73E3F" w14:paraId="3702BD46" w14:textId="77777777" w:rsidTr="0020734C">
        <w:trPr>
          <w:trHeight w:hRule="exact" w:val="227"/>
          <w:jc w:val="center"/>
        </w:trPr>
        <w:tc>
          <w:tcPr>
            <w:tcW w:w="2934" w:type="dxa"/>
            <w:vAlign w:val="center"/>
            <w:hideMark/>
          </w:tcPr>
          <w:p w14:paraId="30E8F028"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Ethnicity (total)</w:t>
            </w:r>
          </w:p>
        </w:tc>
        <w:tc>
          <w:tcPr>
            <w:tcW w:w="471" w:type="dxa"/>
            <w:vAlign w:val="center"/>
            <w:hideMark/>
          </w:tcPr>
          <w:p w14:paraId="7351FE41"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0" w:type="dxa"/>
            <w:vAlign w:val="center"/>
            <w:hideMark/>
          </w:tcPr>
          <w:p w14:paraId="2B93E7A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0" w:type="dxa"/>
            <w:vAlign w:val="center"/>
            <w:hideMark/>
          </w:tcPr>
          <w:p w14:paraId="642A6B4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89" w:type="dxa"/>
            <w:vAlign w:val="center"/>
            <w:hideMark/>
          </w:tcPr>
          <w:p w14:paraId="4A6331F4"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hideMark/>
          </w:tcPr>
          <w:p w14:paraId="5A80345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tcBorders>
              <w:left w:val="single" w:sz="8" w:space="0" w:color="auto"/>
            </w:tcBorders>
            <w:vAlign w:val="center"/>
            <w:hideMark/>
          </w:tcPr>
          <w:p w14:paraId="036480C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vAlign w:val="center"/>
            <w:hideMark/>
          </w:tcPr>
          <w:p w14:paraId="41AD8C0A"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vAlign w:val="center"/>
            <w:hideMark/>
          </w:tcPr>
          <w:p w14:paraId="39E2407D"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vAlign w:val="center"/>
            <w:hideMark/>
          </w:tcPr>
          <w:p w14:paraId="37D0C19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tcBorders>
              <w:right w:val="single" w:sz="8" w:space="0" w:color="auto"/>
            </w:tcBorders>
            <w:vAlign w:val="center"/>
            <w:hideMark/>
          </w:tcPr>
          <w:p w14:paraId="5EA0ABCE"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6" w:type="dxa"/>
            <w:tcBorders>
              <w:left w:val="single" w:sz="8" w:space="0" w:color="auto"/>
            </w:tcBorders>
            <w:vAlign w:val="center"/>
            <w:hideMark/>
          </w:tcPr>
          <w:p w14:paraId="54EBDCC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5" w:type="dxa"/>
            <w:vAlign w:val="center"/>
          </w:tcPr>
          <w:p w14:paraId="778150B9" w14:textId="77777777" w:rsidR="007F35A8" w:rsidRPr="00B73E3F" w:rsidRDefault="007F35A8" w:rsidP="0020734C">
            <w:pPr>
              <w:spacing w:after="0" w:line="240" w:lineRule="auto"/>
              <w:rPr>
                <w:rFonts w:ascii="Arial" w:hAnsi="Arial"/>
                <w:color w:val="000000" w:themeColor="text1"/>
                <w:sz w:val="14"/>
                <w:szCs w:val="14"/>
              </w:rPr>
            </w:pPr>
            <w:r>
              <w:rPr>
                <w:rFonts w:ascii="Arial" w:hAnsi="Arial"/>
                <w:color w:val="000000"/>
                <w:sz w:val="14"/>
                <w:szCs w:val="14"/>
              </w:rPr>
              <w:t> </w:t>
            </w:r>
          </w:p>
        </w:tc>
      </w:tr>
      <w:tr w:rsidR="007F35A8" w:rsidRPr="00B73E3F" w14:paraId="6764D496" w14:textId="77777777" w:rsidTr="0020734C">
        <w:trPr>
          <w:trHeight w:hRule="exact" w:val="227"/>
          <w:jc w:val="center"/>
        </w:trPr>
        <w:tc>
          <w:tcPr>
            <w:tcW w:w="2934" w:type="dxa"/>
            <w:vAlign w:val="center"/>
            <w:hideMark/>
          </w:tcPr>
          <w:p w14:paraId="7F23E7D7"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European</w:t>
            </w:r>
          </w:p>
        </w:tc>
        <w:tc>
          <w:tcPr>
            <w:tcW w:w="471" w:type="dxa"/>
            <w:vAlign w:val="center"/>
            <w:hideMark/>
          </w:tcPr>
          <w:p w14:paraId="1F8212E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67</w:t>
            </w:r>
          </w:p>
        </w:tc>
        <w:tc>
          <w:tcPr>
            <w:tcW w:w="470" w:type="dxa"/>
            <w:vAlign w:val="center"/>
            <w:hideMark/>
          </w:tcPr>
          <w:p w14:paraId="5C1BDBB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33</w:t>
            </w:r>
          </w:p>
        </w:tc>
        <w:tc>
          <w:tcPr>
            <w:tcW w:w="470" w:type="dxa"/>
            <w:vAlign w:val="center"/>
            <w:hideMark/>
          </w:tcPr>
          <w:p w14:paraId="33C802D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25</w:t>
            </w:r>
          </w:p>
        </w:tc>
        <w:tc>
          <w:tcPr>
            <w:tcW w:w="489" w:type="dxa"/>
            <w:vAlign w:val="center"/>
            <w:hideMark/>
          </w:tcPr>
          <w:p w14:paraId="1B2207B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c>
          <w:tcPr>
            <w:tcW w:w="471" w:type="dxa"/>
            <w:tcBorders>
              <w:right w:val="single" w:sz="8" w:space="0" w:color="auto"/>
            </w:tcBorders>
            <w:vAlign w:val="center"/>
            <w:hideMark/>
          </w:tcPr>
          <w:p w14:paraId="038FAD6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10</w:t>
            </w:r>
          </w:p>
        </w:tc>
        <w:tc>
          <w:tcPr>
            <w:tcW w:w="475" w:type="dxa"/>
            <w:tcBorders>
              <w:left w:val="single" w:sz="8" w:space="0" w:color="auto"/>
            </w:tcBorders>
            <w:vAlign w:val="center"/>
            <w:hideMark/>
          </w:tcPr>
          <w:p w14:paraId="39FB6CA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54</w:t>
            </w:r>
          </w:p>
        </w:tc>
        <w:tc>
          <w:tcPr>
            <w:tcW w:w="475" w:type="dxa"/>
            <w:vAlign w:val="center"/>
            <w:hideMark/>
          </w:tcPr>
          <w:p w14:paraId="7D83492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42</w:t>
            </w:r>
          </w:p>
        </w:tc>
        <w:tc>
          <w:tcPr>
            <w:tcW w:w="475" w:type="dxa"/>
            <w:vAlign w:val="center"/>
            <w:hideMark/>
          </w:tcPr>
          <w:p w14:paraId="309985B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41</w:t>
            </w:r>
          </w:p>
        </w:tc>
        <w:tc>
          <w:tcPr>
            <w:tcW w:w="475" w:type="dxa"/>
            <w:vAlign w:val="center"/>
            <w:hideMark/>
          </w:tcPr>
          <w:p w14:paraId="0CAC0B7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40</w:t>
            </w:r>
          </w:p>
        </w:tc>
        <w:tc>
          <w:tcPr>
            <w:tcW w:w="475" w:type="dxa"/>
            <w:tcBorders>
              <w:right w:val="single" w:sz="8" w:space="0" w:color="auto"/>
            </w:tcBorders>
            <w:vAlign w:val="center"/>
            <w:hideMark/>
          </w:tcPr>
          <w:p w14:paraId="3F406E0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40</w:t>
            </w:r>
          </w:p>
        </w:tc>
        <w:tc>
          <w:tcPr>
            <w:tcW w:w="606" w:type="dxa"/>
            <w:tcBorders>
              <w:left w:val="single" w:sz="8" w:space="0" w:color="auto"/>
            </w:tcBorders>
            <w:vAlign w:val="center"/>
            <w:hideMark/>
          </w:tcPr>
          <w:p w14:paraId="25C908C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730</w:t>
            </w:r>
          </w:p>
        </w:tc>
        <w:tc>
          <w:tcPr>
            <w:tcW w:w="605" w:type="dxa"/>
            <w:vAlign w:val="center"/>
          </w:tcPr>
          <w:p w14:paraId="2C62DA7E"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49</w:t>
            </w:r>
          </w:p>
        </w:tc>
      </w:tr>
      <w:tr w:rsidR="007F35A8" w:rsidRPr="00B73E3F" w14:paraId="41602438" w14:textId="77777777" w:rsidTr="0020734C">
        <w:trPr>
          <w:trHeight w:hRule="exact" w:val="227"/>
          <w:jc w:val="center"/>
        </w:trPr>
        <w:tc>
          <w:tcPr>
            <w:tcW w:w="2934" w:type="dxa"/>
            <w:vAlign w:val="center"/>
            <w:hideMark/>
          </w:tcPr>
          <w:p w14:paraId="223C5CE7"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 xml:space="preserve">NZ Māori </w:t>
            </w:r>
          </w:p>
        </w:tc>
        <w:tc>
          <w:tcPr>
            <w:tcW w:w="471" w:type="dxa"/>
            <w:vAlign w:val="center"/>
            <w:hideMark/>
          </w:tcPr>
          <w:p w14:paraId="00C4DEA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54</w:t>
            </w:r>
          </w:p>
        </w:tc>
        <w:tc>
          <w:tcPr>
            <w:tcW w:w="470" w:type="dxa"/>
            <w:vAlign w:val="center"/>
            <w:hideMark/>
          </w:tcPr>
          <w:p w14:paraId="1B9EE3F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46</w:t>
            </w:r>
          </w:p>
        </w:tc>
        <w:tc>
          <w:tcPr>
            <w:tcW w:w="470" w:type="dxa"/>
            <w:vAlign w:val="center"/>
            <w:hideMark/>
          </w:tcPr>
          <w:p w14:paraId="399B79A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35</w:t>
            </w:r>
          </w:p>
        </w:tc>
        <w:tc>
          <w:tcPr>
            <w:tcW w:w="489" w:type="dxa"/>
            <w:vAlign w:val="center"/>
            <w:hideMark/>
          </w:tcPr>
          <w:p w14:paraId="1C95FC1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1" w:type="dxa"/>
            <w:tcBorders>
              <w:right w:val="single" w:sz="8" w:space="0" w:color="auto"/>
            </w:tcBorders>
            <w:vAlign w:val="center"/>
            <w:hideMark/>
          </w:tcPr>
          <w:p w14:paraId="40F5551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5" w:type="dxa"/>
            <w:tcBorders>
              <w:left w:val="single" w:sz="8" w:space="0" w:color="auto"/>
            </w:tcBorders>
            <w:vAlign w:val="center"/>
            <w:hideMark/>
          </w:tcPr>
          <w:p w14:paraId="1ECE904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18</w:t>
            </w:r>
          </w:p>
        </w:tc>
        <w:tc>
          <w:tcPr>
            <w:tcW w:w="475" w:type="dxa"/>
            <w:vAlign w:val="center"/>
            <w:hideMark/>
          </w:tcPr>
          <w:p w14:paraId="7580BDD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5" w:type="dxa"/>
            <w:vAlign w:val="center"/>
            <w:hideMark/>
          </w:tcPr>
          <w:p w14:paraId="6700C69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5" w:type="dxa"/>
            <w:vAlign w:val="center"/>
            <w:hideMark/>
          </w:tcPr>
          <w:p w14:paraId="23CF59B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5" w:type="dxa"/>
            <w:tcBorders>
              <w:right w:val="single" w:sz="8" w:space="0" w:color="auto"/>
            </w:tcBorders>
            <w:vAlign w:val="center"/>
            <w:hideMark/>
          </w:tcPr>
          <w:p w14:paraId="64B1603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606" w:type="dxa"/>
            <w:tcBorders>
              <w:left w:val="single" w:sz="8" w:space="0" w:color="auto"/>
            </w:tcBorders>
            <w:vAlign w:val="center"/>
            <w:hideMark/>
          </w:tcPr>
          <w:p w14:paraId="03C4708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300</w:t>
            </w:r>
          </w:p>
        </w:tc>
        <w:tc>
          <w:tcPr>
            <w:tcW w:w="605" w:type="dxa"/>
            <w:vAlign w:val="center"/>
          </w:tcPr>
          <w:p w14:paraId="221CAE87"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20</w:t>
            </w:r>
          </w:p>
        </w:tc>
      </w:tr>
      <w:tr w:rsidR="007F35A8" w:rsidRPr="00B73E3F" w14:paraId="55E6A156" w14:textId="77777777" w:rsidTr="007F35A8">
        <w:trPr>
          <w:trHeight w:hRule="exact" w:val="227"/>
          <w:jc w:val="center"/>
        </w:trPr>
        <w:tc>
          <w:tcPr>
            <w:tcW w:w="2934" w:type="dxa"/>
            <w:vAlign w:val="center"/>
            <w:hideMark/>
          </w:tcPr>
          <w:p w14:paraId="205A5482"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 xml:space="preserve">Pacific peoples </w:t>
            </w:r>
          </w:p>
        </w:tc>
        <w:tc>
          <w:tcPr>
            <w:tcW w:w="471" w:type="dxa"/>
            <w:vAlign w:val="center"/>
            <w:hideMark/>
          </w:tcPr>
          <w:p w14:paraId="4468C2B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49</w:t>
            </w:r>
          </w:p>
        </w:tc>
        <w:tc>
          <w:tcPr>
            <w:tcW w:w="470" w:type="dxa"/>
            <w:vAlign w:val="center"/>
            <w:hideMark/>
          </w:tcPr>
          <w:p w14:paraId="0203996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51</w:t>
            </w:r>
          </w:p>
        </w:tc>
        <w:tc>
          <w:tcPr>
            <w:tcW w:w="470" w:type="dxa"/>
            <w:vAlign w:val="center"/>
            <w:hideMark/>
          </w:tcPr>
          <w:p w14:paraId="5F2044C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40</w:t>
            </w:r>
          </w:p>
        </w:tc>
        <w:tc>
          <w:tcPr>
            <w:tcW w:w="489" w:type="dxa"/>
            <w:shd w:val="clear" w:color="auto" w:fill="F7CAAC" w:themeFill="accent2" w:themeFillTint="66"/>
            <w:vAlign w:val="center"/>
            <w:hideMark/>
          </w:tcPr>
          <w:p w14:paraId="73FC648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sidRPr="007F35A8">
              <w:rPr>
                <w:rFonts w:ascii="Arial" w:hAnsi="Arial"/>
                <w:color w:val="000000"/>
                <w:sz w:val="14"/>
                <w:szCs w:val="14"/>
              </w:rPr>
              <w:t>28</w:t>
            </w:r>
          </w:p>
        </w:tc>
        <w:tc>
          <w:tcPr>
            <w:tcW w:w="471" w:type="dxa"/>
            <w:tcBorders>
              <w:right w:val="single" w:sz="8" w:space="0" w:color="auto"/>
            </w:tcBorders>
            <w:vAlign w:val="center"/>
            <w:hideMark/>
          </w:tcPr>
          <w:p w14:paraId="34A8BF9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5" w:type="dxa"/>
            <w:tcBorders>
              <w:left w:val="single" w:sz="8" w:space="0" w:color="auto"/>
            </w:tcBorders>
            <w:vAlign w:val="center"/>
            <w:hideMark/>
          </w:tcPr>
          <w:p w14:paraId="48CBFBE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9</w:t>
            </w:r>
          </w:p>
        </w:tc>
        <w:tc>
          <w:tcPr>
            <w:tcW w:w="475" w:type="dxa"/>
            <w:vAlign w:val="center"/>
            <w:hideMark/>
          </w:tcPr>
          <w:p w14:paraId="548C594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5" w:type="dxa"/>
            <w:vAlign w:val="center"/>
            <w:hideMark/>
          </w:tcPr>
          <w:p w14:paraId="274B1DF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5" w:type="dxa"/>
            <w:shd w:val="clear" w:color="auto" w:fill="C5E0B3" w:themeFill="accent6" w:themeFillTint="66"/>
            <w:vAlign w:val="center"/>
            <w:hideMark/>
          </w:tcPr>
          <w:p w14:paraId="07C966A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sidRPr="007F35A8">
              <w:rPr>
                <w:rFonts w:ascii="Arial" w:hAnsi="Arial"/>
                <w:color w:val="000000"/>
                <w:sz w:val="14"/>
                <w:szCs w:val="14"/>
              </w:rPr>
              <w:t>16</w:t>
            </w:r>
          </w:p>
        </w:tc>
        <w:tc>
          <w:tcPr>
            <w:tcW w:w="475" w:type="dxa"/>
            <w:tcBorders>
              <w:right w:val="single" w:sz="8" w:space="0" w:color="auto"/>
            </w:tcBorders>
            <w:vAlign w:val="center"/>
            <w:hideMark/>
          </w:tcPr>
          <w:p w14:paraId="5473A09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606" w:type="dxa"/>
            <w:tcBorders>
              <w:left w:val="single" w:sz="8" w:space="0" w:color="auto"/>
            </w:tcBorders>
            <w:vAlign w:val="center"/>
            <w:hideMark/>
          </w:tcPr>
          <w:p w14:paraId="72E4496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175</w:t>
            </w:r>
          </w:p>
        </w:tc>
        <w:tc>
          <w:tcPr>
            <w:tcW w:w="605" w:type="dxa"/>
            <w:vAlign w:val="center"/>
          </w:tcPr>
          <w:p w14:paraId="3AE09CA8"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12</w:t>
            </w:r>
          </w:p>
        </w:tc>
      </w:tr>
      <w:tr w:rsidR="007F35A8" w:rsidRPr="00B73E3F" w14:paraId="08B7C60A" w14:textId="77777777" w:rsidTr="0020734C">
        <w:trPr>
          <w:trHeight w:hRule="exact" w:val="227"/>
          <w:jc w:val="center"/>
        </w:trPr>
        <w:tc>
          <w:tcPr>
            <w:tcW w:w="2934" w:type="dxa"/>
            <w:vAlign w:val="center"/>
            <w:hideMark/>
          </w:tcPr>
          <w:p w14:paraId="0BC844F3"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 xml:space="preserve">Asian </w:t>
            </w:r>
          </w:p>
        </w:tc>
        <w:tc>
          <w:tcPr>
            <w:tcW w:w="471" w:type="dxa"/>
            <w:vAlign w:val="center"/>
            <w:hideMark/>
          </w:tcPr>
          <w:p w14:paraId="1D09D68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63</w:t>
            </w:r>
          </w:p>
        </w:tc>
        <w:tc>
          <w:tcPr>
            <w:tcW w:w="470" w:type="dxa"/>
            <w:vAlign w:val="center"/>
            <w:hideMark/>
          </w:tcPr>
          <w:p w14:paraId="1D78A28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37</w:t>
            </w:r>
          </w:p>
        </w:tc>
        <w:tc>
          <w:tcPr>
            <w:tcW w:w="470" w:type="dxa"/>
            <w:vAlign w:val="center"/>
            <w:hideMark/>
          </w:tcPr>
          <w:p w14:paraId="37FF336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w:t>
            </w:r>
          </w:p>
        </w:tc>
        <w:tc>
          <w:tcPr>
            <w:tcW w:w="489" w:type="dxa"/>
            <w:vAlign w:val="center"/>
            <w:hideMark/>
          </w:tcPr>
          <w:p w14:paraId="5464295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1" w:type="dxa"/>
            <w:tcBorders>
              <w:right w:val="single" w:sz="8" w:space="0" w:color="auto"/>
            </w:tcBorders>
            <w:vAlign w:val="center"/>
            <w:hideMark/>
          </w:tcPr>
          <w:p w14:paraId="21930BE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5" w:type="dxa"/>
            <w:tcBorders>
              <w:left w:val="single" w:sz="8" w:space="0" w:color="auto"/>
            </w:tcBorders>
            <w:vAlign w:val="center"/>
            <w:hideMark/>
          </w:tcPr>
          <w:p w14:paraId="213B9AB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5" w:type="dxa"/>
            <w:vAlign w:val="center"/>
            <w:hideMark/>
          </w:tcPr>
          <w:p w14:paraId="06AA5DF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5" w:type="dxa"/>
            <w:vAlign w:val="center"/>
            <w:hideMark/>
          </w:tcPr>
          <w:p w14:paraId="50E42C5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16</w:t>
            </w:r>
          </w:p>
        </w:tc>
        <w:tc>
          <w:tcPr>
            <w:tcW w:w="475" w:type="dxa"/>
            <w:vAlign w:val="center"/>
            <w:hideMark/>
          </w:tcPr>
          <w:p w14:paraId="5C84F9D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17</w:t>
            </w:r>
          </w:p>
        </w:tc>
        <w:tc>
          <w:tcPr>
            <w:tcW w:w="475" w:type="dxa"/>
            <w:tcBorders>
              <w:right w:val="single" w:sz="8" w:space="0" w:color="auto"/>
            </w:tcBorders>
            <w:vAlign w:val="center"/>
            <w:hideMark/>
          </w:tcPr>
          <w:p w14:paraId="7472765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w:t>
            </w:r>
          </w:p>
        </w:tc>
        <w:tc>
          <w:tcPr>
            <w:tcW w:w="606" w:type="dxa"/>
            <w:tcBorders>
              <w:left w:val="single" w:sz="8" w:space="0" w:color="auto"/>
            </w:tcBorders>
            <w:vAlign w:val="center"/>
            <w:hideMark/>
          </w:tcPr>
          <w:p w14:paraId="6632C66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235</w:t>
            </w:r>
          </w:p>
        </w:tc>
        <w:tc>
          <w:tcPr>
            <w:tcW w:w="605" w:type="dxa"/>
            <w:vAlign w:val="center"/>
          </w:tcPr>
          <w:p w14:paraId="44F1BBA0"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16</w:t>
            </w:r>
          </w:p>
        </w:tc>
      </w:tr>
      <w:tr w:rsidR="007F35A8" w:rsidRPr="00B73E3F" w14:paraId="20F1ABD1" w14:textId="77777777" w:rsidTr="0020734C">
        <w:trPr>
          <w:trHeight w:hRule="exact" w:val="227"/>
          <w:jc w:val="center"/>
        </w:trPr>
        <w:tc>
          <w:tcPr>
            <w:tcW w:w="2934" w:type="dxa"/>
            <w:vAlign w:val="center"/>
            <w:hideMark/>
          </w:tcPr>
          <w:p w14:paraId="0D352A1A" w14:textId="77777777" w:rsidR="007F35A8" w:rsidRPr="00B73E3F" w:rsidRDefault="007F35A8" w:rsidP="0020734C">
            <w:pPr>
              <w:spacing w:after="0" w:line="240" w:lineRule="auto"/>
              <w:ind w:firstLineChars="100" w:firstLine="140"/>
              <w:rPr>
                <w:rFonts w:ascii="Arial" w:eastAsia="Times New Roman" w:hAnsi="Arial" w:cs="Times New Roman"/>
                <w:color w:val="000000" w:themeColor="text1"/>
                <w:sz w:val="14"/>
                <w:szCs w:val="14"/>
                <w:lang w:eastAsia="en-NZ"/>
              </w:rPr>
            </w:pPr>
            <w:r w:rsidRPr="00B73E3F">
              <w:rPr>
                <w:rFonts w:ascii="Arial" w:hAnsi="Arial"/>
                <w:color w:val="000000" w:themeColor="text1"/>
                <w:sz w:val="14"/>
                <w:szCs w:val="14"/>
              </w:rPr>
              <w:t xml:space="preserve">Other </w:t>
            </w:r>
          </w:p>
        </w:tc>
        <w:tc>
          <w:tcPr>
            <w:tcW w:w="471" w:type="dxa"/>
            <w:vAlign w:val="center"/>
            <w:hideMark/>
          </w:tcPr>
          <w:p w14:paraId="4B9CF15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62</w:t>
            </w:r>
          </w:p>
        </w:tc>
        <w:tc>
          <w:tcPr>
            <w:tcW w:w="470" w:type="dxa"/>
            <w:vAlign w:val="center"/>
            <w:hideMark/>
          </w:tcPr>
          <w:p w14:paraId="5EE2DAB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38</w:t>
            </w:r>
          </w:p>
        </w:tc>
        <w:tc>
          <w:tcPr>
            <w:tcW w:w="470" w:type="dxa"/>
            <w:vAlign w:val="center"/>
            <w:hideMark/>
          </w:tcPr>
          <w:p w14:paraId="3FEE597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489" w:type="dxa"/>
            <w:vAlign w:val="center"/>
            <w:hideMark/>
          </w:tcPr>
          <w:p w14:paraId="35EB8ED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471" w:type="dxa"/>
            <w:tcBorders>
              <w:right w:val="single" w:sz="8" w:space="0" w:color="auto"/>
            </w:tcBorders>
            <w:vAlign w:val="center"/>
            <w:hideMark/>
          </w:tcPr>
          <w:p w14:paraId="28D388B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5" w:type="dxa"/>
            <w:tcBorders>
              <w:left w:val="single" w:sz="8" w:space="0" w:color="auto"/>
            </w:tcBorders>
            <w:vAlign w:val="center"/>
            <w:hideMark/>
          </w:tcPr>
          <w:p w14:paraId="5630168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5" w:type="dxa"/>
            <w:vAlign w:val="center"/>
            <w:hideMark/>
          </w:tcPr>
          <w:p w14:paraId="0DDC977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5" w:type="dxa"/>
            <w:vAlign w:val="center"/>
            <w:hideMark/>
          </w:tcPr>
          <w:p w14:paraId="62ABEEC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5" w:type="dxa"/>
            <w:vAlign w:val="center"/>
            <w:hideMark/>
          </w:tcPr>
          <w:p w14:paraId="78F3F86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475" w:type="dxa"/>
            <w:tcBorders>
              <w:right w:val="single" w:sz="8" w:space="0" w:color="auto"/>
            </w:tcBorders>
            <w:vAlign w:val="center"/>
            <w:hideMark/>
          </w:tcPr>
          <w:p w14:paraId="428D2C0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w:t>
            </w:r>
          </w:p>
        </w:tc>
        <w:tc>
          <w:tcPr>
            <w:tcW w:w="606" w:type="dxa"/>
            <w:tcBorders>
              <w:left w:val="single" w:sz="8" w:space="0" w:color="auto"/>
            </w:tcBorders>
            <w:vAlign w:val="center"/>
            <w:hideMark/>
          </w:tcPr>
          <w:p w14:paraId="3CE00E8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40</w:t>
            </w:r>
          </w:p>
        </w:tc>
        <w:tc>
          <w:tcPr>
            <w:tcW w:w="605" w:type="dxa"/>
            <w:vAlign w:val="center"/>
          </w:tcPr>
          <w:p w14:paraId="7A9AD531"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3</w:t>
            </w:r>
          </w:p>
        </w:tc>
      </w:tr>
      <w:tr w:rsidR="007F35A8" w:rsidRPr="00B73E3F" w14:paraId="06B2743E" w14:textId="77777777" w:rsidTr="0020734C">
        <w:trPr>
          <w:trHeight w:hRule="exact" w:val="227"/>
          <w:jc w:val="center"/>
        </w:trPr>
        <w:tc>
          <w:tcPr>
            <w:tcW w:w="2934" w:type="dxa"/>
            <w:vAlign w:val="center"/>
            <w:hideMark/>
          </w:tcPr>
          <w:p w14:paraId="725943DE" w14:textId="77777777" w:rsidR="007F35A8" w:rsidRPr="00B73E3F" w:rsidRDefault="007F35A8" w:rsidP="0020734C">
            <w:pPr>
              <w:spacing w:after="0" w:line="240" w:lineRule="auto"/>
              <w:rPr>
                <w:rFonts w:ascii="Arial" w:eastAsia="Times New Roman" w:hAnsi="Arial" w:cs="Times New Roman"/>
                <w:b/>
                <w:bCs/>
                <w:color w:val="000000" w:themeColor="text1"/>
                <w:sz w:val="14"/>
                <w:szCs w:val="14"/>
                <w:lang w:eastAsia="en-NZ"/>
              </w:rPr>
            </w:pPr>
            <w:r w:rsidRPr="00B73E3F">
              <w:rPr>
                <w:rFonts w:ascii="Arial" w:hAnsi="Arial"/>
                <w:b/>
                <w:bCs/>
                <w:color w:val="000000" w:themeColor="text1"/>
                <w:sz w:val="14"/>
                <w:szCs w:val="14"/>
              </w:rPr>
              <w:t>Ethnicity (prioritised)</w:t>
            </w:r>
          </w:p>
        </w:tc>
        <w:tc>
          <w:tcPr>
            <w:tcW w:w="471" w:type="dxa"/>
            <w:vAlign w:val="center"/>
            <w:hideMark/>
          </w:tcPr>
          <w:p w14:paraId="658D9EC5"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0" w:type="dxa"/>
            <w:vAlign w:val="center"/>
            <w:hideMark/>
          </w:tcPr>
          <w:p w14:paraId="0510E6FA"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0" w:type="dxa"/>
            <w:vAlign w:val="center"/>
            <w:hideMark/>
          </w:tcPr>
          <w:p w14:paraId="7479BE83"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89" w:type="dxa"/>
            <w:vAlign w:val="center"/>
            <w:hideMark/>
          </w:tcPr>
          <w:p w14:paraId="7D8EA28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1" w:type="dxa"/>
            <w:tcBorders>
              <w:right w:val="single" w:sz="8" w:space="0" w:color="auto"/>
            </w:tcBorders>
            <w:vAlign w:val="center"/>
            <w:hideMark/>
          </w:tcPr>
          <w:p w14:paraId="63FEB18B"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tcBorders>
              <w:left w:val="single" w:sz="8" w:space="0" w:color="auto"/>
            </w:tcBorders>
            <w:vAlign w:val="center"/>
            <w:hideMark/>
          </w:tcPr>
          <w:p w14:paraId="3CEE15DC"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vAlign w:val="center"/>
            <w:hideMark/>
          </w:tcPr>
          <w:p w14:paraId="14C97623"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vAlign w:val="center"/>
            <w:hideMark/>
          </w:tcPr>
          <w:p w14:paraId="0FC5CEB2"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vAlign w:val="center"/>
            <w:hideMark/>
          </w:tcPr>
          <w:p w14:paraId="32973C0F"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475" w:type="dxa"/>
            <w:tcBorders>
              <w:right w:val="single" w:sz="8" w:space="0" w:color="auto"/>
            </w:tcBorders>
            <w:vAlign w:val="center"/>
            <w:hideMark/>
          </w:tcPr>
          <w:p w14:paraId="6EE7EA88"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6" w:type="dxa"/>
            <w:tcBorders>
              <w:left w:val="single" w:sz="8" w:space="0" w:color="auto"/>
            </w:tcBorders>
            <w:vAlign w:val="center"/>
            <w:hideMark/>
          </w:tcPr>
          <w:p w14:paraId="521D5080" w14:textId="77777777" w:rsidR="007F35A8" w:rsidRPr="00B73E3F" w:rsidRDefault="007F35A8" w:rsidP="0020734C">
            <w:pPr>
              <w:spacing w:after="0" w:line="240" w:lineRule="auto"/>
              <w:rPr>
                <w:rFonts w:ascii="Arial" w:eastAsia="Times New Roman" w:hAnsi="Arial" w:cs="Times New Roman"/>
                <w:color w:val="000000" w:themeColor="text1"/>
                <w:sz w:val="14"/>
                <w:szCs w:val="14"/>
              </w:rPr>
            </w:pPr>
            <w:r>
              <w:rPr>
                <w:rFonts w:ascii="Arial" w:hAnsi="Arial"/>
                <w:color w:val="000000"/>
                <w:sz w:val="14"/>
                <w:szCs w:val="14"/>
              </w:rPr>
              <w:t> </w:t>
            </w:r>
          </w:p>
        </w:tc>
        <w:tc>
          <w:tcPr>
            <w:tcW w:w="605" w:type="dxa"/>
            <w:vAlign w:val="center"/>
          </w:tcPr>
          <w:p w14:paraId="49A62A52" w14:textId="77777777" w:rsidR="007F35A8" w:rsidRPr="00B73E3F" w:rsidRDefault="007F35A8" w:rsidP="0020734C">
            <w:pPr>
              <w:spacing w:after="0" w:line="240" w:lineRule="auto"/>
              <w:rPr>
                <w:rFonts w:ascii="Arial" w:hAnsi="Arial"/>
                <w:color w:val="000000" w:themeColor="text1"/>
                <w:sz w:val="14"/>
                <w:szCs w:val="14"/>
              </w:rPr>
            </w:pPr>
            <w:r>
              <w:rPr>
                <w:rFonts w:ascii="Arial" w:hAnsi="Arial"/>
                <w:color w:val="000000"/>
                <w:sz w:val="14"/>
                <w:szCs w:val="14"/>
              </w:rPr>
              <w:t> </w:t>
            </w:r>
          </w:p>
        </w:tc>
      </w:tr>
      <w:tr w:rsidR="007F35A8" w:rsidRPr="00B73E3F" w14:paraId="33B74FBB" w14:textId="77777777" w:rsidTr="0020734C">
        <w:trPr>
          <w:trHeight w:hRule="exact" w:val="227"/>
          <w:jc w:val="center"/>
        </w:trPr>
        <w:tc>
          <w:tcPr>
            <w:tcW w:w="2934" w:type="dxa"/>
            <w:vAlign w:val="center"/>
            <w:hideMark/>
          </w:tcPr>
          <w:p w14:paraId="072229F2"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European</w:t>
            </w:r>
          </w:p>
        </w:tc>
        <w:tc>
          <w:tcPr>
            <w:tcW w:w="471" w:type="dxa"/>
            <w:vAlign w:val="center"/>
            <w:hideMark/>
          </w:tcPr>
          <w:p w14:paraId="44AFDDF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71</w:t>
            </w:r>
          </w:p>
        </w:tc>
        <w:tc>
          <w:tcPr>
            <w:tcW w:w="470" w:type="dxa"/>
            <w:vAlign w:val="center"/>
            <w:hideMark/>
          </w:tcPr>
          <w:p w14:paraId="29E3174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70" w:type="dxa"/>
            <w:vAlign w:val="center"/>
            <w:hideMark/>
          </w:tcPr>
          <w:p w14:paraId="08011B1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w:t>
            </w:r>
          </w:p>
        </w:tc>
        <w:tc>
          <w:tcPr>
            <w:tcW w:w="489" w:type="dxa"/>
            <w:vAlign w:val="center"/>
            <w:hideMark/>
          </w:tcPr>
          <w:p w14:paraId="2D793DD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1" w:type="dxa"/>
            <w:tcBorders>
              <w:right w:val="single" w:sz="8" w:space="0" w:color="auto"/>
            </w:tcBorders>
            <w:vAlign w:val="center"/>
            <w:hideMark/>
          </w:tcPr>
          <w:p w14:paraId="1F45231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w:t>
            </w:r>
          </w:p>
        </w:tc>
        <w:tc>
          <w:tcPr>
            <w:tcW w:w="475" w:type="dxa"/>
            <w:tcBorders>
              <w:left w:val="single" w:sz="8" w:space="0" w:color="auto"/>
            </w:tcBorders>
            <w:vAlign w:val="center"/>
            <w:hideMark/>
          </w:tcPr>
          <w:p w14:paraId="3A5FEA9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48</w:t>
            </w:r>
          </w:p>
        </w:tc>
        <w:tc>
          <w:tcPr>
            <w:tcW w:w="475" w:type="dxa"/>
            <w:vAlign w:val="center"/>
            <w:hideMark/>
          </w:tcPr>
          <w:p w14:paraId="0CB8914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34</w:t>
            </w:r>
          </w:p>
        </w:tc>
        <w:tc>
          <w:tcPr>
            <w:tcW w:w="475" w:type="dxa"/>
            <w:vAlign w:val="center"/>
            <w:hideMark/>
          </w:tcPr>
          <w:p w14:paraId="1FA94CF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33</w:t>
            </w:r>
          </w:p>
        </w:tc>
        <w:tc>
          <w:tcPr>
            <w:tcW w:w="475" w:type="dxa"/>
            <w:vAlign w:val="center"/>
            <w:hideMark/>
          </w:tcPr>
          <w:p w14:paraId="3CFB991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31</w:t>
            </w:r>
          </w:p>
        </w:tc>
        <w:tc>
          <w:tcPr>
            <w:tcW w:w="475" w:type="dxa"/>
            <w:tcBorders>
              <w:right w:val="single" w:sz="8" w:space="0" w:color="auto"/>
            </w:tcBorders>
            <w:vAlign w:val="center"/>
            <w:hideMark/>
          </w:tcPr>
          <w:p w14:paraId="1B2C177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31</w:t>
            </w:r>
          </w:p>
        </w:tc>
        <w:tc>
          <w:tcPr>
            <w:tcW w:w="606" w:type="dxa"/>
            <w:tcBorders>
              <w:left w:val="single" w:sz="8" w:space="0" w:color="auto"/>
            </w:tcBorders>
            <w:vAlign w:val="center"/>
            <w:hideMark/>
          </w:tcPr>
          <w:p w14:paraId="058DE8F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490</w:t>
            </w:r>
          </w:p>
        </w:tc>
        <w:tc>
          <w:tcPr>
            <w:tcW w:w="605" w:type="dxa"/>
            <w:vAlign w:val="center"/>
          </w:tcPr>
          <w:p w14:paraId="302FC578"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43</w:t>
            </w:r>
          </w:p>
        </w:tc>
      </w:tr>
      <w:tr w:rsidR="007F35A8" w:rsidRPr="00B73E3F" w14:paraId="0C27A776" w14:textId="77777777" w:rsidTr="0020734C">
        <w:trPr>
          <w:trHeight w:hRule="exact" w:val="227"/>
          <w:jc w:val="center"/>
        </w:trPr>
        <w:tc>
          <w:tcPr>
            <w:tcW w:w="2934" w:type="dxa"/>
            <w:vAlign w:val="center"/>
            <w:hideMark/>
          </w:tcPr>
          <w:p w14:paraId="1A7A892F"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 xml:space="preserve">NZ Māori </w:t>
            </w:r>
          </w:p>
        </w:tc>
        <w:tc>
          <w:tcPr>
            <w:tcW w:w="471" w:type="dxa"/>
            <w:vAlign w:val="center"/>
            <w:hideMark/>
          </w:tcPr>
          <w:p w14:paraId="69ED982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54</w:t>
            </w:r>
          </w:p>
        </w:tc>
        <w:tc>
          <w:tcPr>
            <w:tcW w:w="470" w:type="dxa"/>
            <w:vAlign w:val="center"/>
            <w:hideMark/>
          </w:tcPr>
          <w:p w14:paraId="5AF3065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46</w:t>
            </w:r>
          </w:p>
        </w:tc>
        <w:tc>
          <w:tcPr>
            <w:tcW w:w="470" w:type="dxa"/>
            <w:vAlign w:val="center"/>
            <w:hideMark/>
          </w:tcPr>
          <w:p w14:paraId="3846AF8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35</w:t>
            </w:r>
          </w:p>
        </w:tc>
        <w:tc>
          <w:tcPr>
            <w:tcW w:w="489" w:type="dxa"/>
            <w:vAlign w:val="center"/>
            <w:hideMark/>
          </w:tcPr>
          <w:p w14:paraId="0AC81D1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24</w:t>
            </w:r>
          </w:p>
        </w:tc>
        <w:tc>
          <w:tcPr>
            <w:tcW w:w="471" w:type="dxa"/>
            <w:tcBorders>
              <w:right w:val="single" w:sz="8" w:space="0" w:color="auto"/>
            </w:tcBorders>
            <w:vAlign w:val="center"/>
            <w:hideMark/>
          </w:tcPr>
          <w:p w14:paraId="3A11CA49"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5" w:type="dxa"/>
            <w:tcBorders>
              <w:left w:val="single" w:sz="8" w:space="0" w:color="auto"/>
            </w:tcBorders>
            <w:vAlign w:val="center"/>
            <w:hideMark/>
          </w:tcPr>
          <w:p w14:paraId="578A29C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5" w:type="dxa"/>
            <w:vAlign w:val="center"/>
            <w:hideMark/>
          </w:tcPr>
          <w:p w14:paraId="6A72DB7D"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475" w:type="dxa"/>
            <w:vAlign w:val="center"/>
            <w:hideMark/>
          </w:tcPr>
          <w:p w14:paraId="535B3CD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32</w:t>
            </w:r>
          </w:p>
        </w:tc>
        <w:tc>
          <w:tcPr>
            <w:tcW w:w="475" w:type="dxa"/>
            <w:vAlign w:val="center"/>
            <w:hideMark/>
          </w:tcPr>
          <w:p w14:paraId="6E39528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31</w:t>
            </w:r>
          </w:p>
        </w:tc>
        <w:tc>
          <w:tcPr>
            <w:tcW w:w="475" w:type="dxa"/>
            <w:tcBorders>
              <w:right w:val="single" w:sz="8" w:space="0" w:color="auto"/>
            </w:tcBorders>
            <w:vAlign w:val="center"/>
            <w:hideMark/>
          </w:tcPr>
          <w:p w14:paraId="281EEF4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606" w:type="dxa"/>
            <w:tcBorders>
              <w:left w:val="single" w:sz="8" w:space="0" w:color="auto"/>
            </w:tcBorders>
            <w:vAlign w:val="center"/>
            <w:hideMark/>
          </w:tcPr>
          <w:p w14:paraId="45CDB36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300</w:t>
            </w:r>
          </w:p>
        </w:tc>
        <w:tc>
          <w:tcPr>
            <w:tcW w:w="605" w:type="dxa"/>
            <w:vAlign w:val="center"/>
          </w:tcPr>
          <w:p w14:paraId="7F6977D8"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26</w:t>
            </w:r>
          </w:p>
        </w:tc>
      </w:tr>
      <w:tr w:rsidR="007F35A8" w:rsidRPr="00B73E3F" w14:paraId="057D82C0" w14:textId="77777777" w:rsidTr="0020734C">
        <w:trPr>
          <w:trHeight w:hRule="exact" w:val="227"/>
          <w:jc w:val="center"/>
        </w:trPr>
        <w:tc>
          <w:tcPr>
            <w:tcW w:w="2934" w:type="dxa"/>
            <w:vAlign w:val="center"/>
            <w:hideMark/>
          </w:tcPr>
          <w:p w14:paraId="6850156F"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 xml:space="preserve">Pacific peoples </w:t>
            </w:r>
          </w:p>
        </w:tc>
        <w:tc>
          <w:tcPr>
            <w:tcW w:w="471" w:type="dxa"/>
            <w:vAlign w:val="center"/>
            <w:hideMark/>
          </w:tcPr>
          <w:p w14:paraId="63532CA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51</w:t>
            </w:r>
          </w:p>
        </w:tc>
        <w:tc>
          <w:tcPr>
            <w:tcW w:w="470" w:type="dxa"/>
            <w:vAlign w:val="center"/>
            <w:hideMark/>
          </w:tcPr>
          <w:p w14:paraId="08E5AB2A"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49</w:t>
            </w:r>
          </w:p>
        </w:tc>
        <w:tc>
          <w:tcPr>
            <w:tcW w:w="470" w:type="dxa"/>
            <w:vAlign w:val="center"/>
            <w:hideMark/>
          </w:tcPr>
          <w:p w14:paraId="6DE4143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40</w:t>
            </w:r>
          </w:p>
        </w:tc>
        <w:tc>
          <w:tcPr>
            <w:tcW w:w="489" w:type="dxa"/>
            <w:vAlign w:val="center"/>
            <w:hideMark/>
          </w:tcPr>
          <w:p w14:paraId="61E8776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28</w:t>
            </w:r>
          </w:p>
        </w:tc>
        <w:tc>
          <w:tcPr>
            <w:tcW w:w="471" w:type="dxa"/>
            <w:tcBorders>
              <w:right w:val="single" w:sz="8" w:space="0" w:color="auto"/>
            </w:tcBorders>
            <w:vAlign w:val="center"/>
            <w:hideMark/>
          </w:tcPr>
          <w:p w14:paraId="2E392972"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5" w:type="dxa"/>
            <w:tcBorders>
              <w:left w:val="single" w:sz="8" w:space="0" w:color="auto"/>
            </w:tcBorders>
            <w:vAlign w:val="center"/>
            <w:hideMark/>
          </w:tcPr>
          <w:p w14:paraId="61F7C66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8</w:t>
            </w:r>
          </w:p>
        </w:tc>
        <w:tc>
          <w:tcPr>
            <w:tcW w:w="475" w:type="dxa"/>
            <w:vAlign w:val="center"/>
            <w:hideMark/>
          </w:tcPr>
          <w:p w14:paraId="7982CB3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5" w:type="dxa"/>
            <w:vAlign w:val="center"/>
            <w:hideMark/>
          </w:tcPr>
          <w:p w14:paraId="29BAAB2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5" w:type="dxa"/>
            <w:vAlign w:val="center"/>
            <w:hideMark/>
          </w:tcPr>
          <w:p w14:paraId="7944335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14</w:t>
            </w:r>
          </w:p>
        </w:tc>
        <w:tc>
          <w:tcPr>
            <w:tcW w:w="475" w:type="dxa"/>
            <w:tcBorders>
              <w:right w:val="single" w:sz="8" w:space="0" w:color="auto"/>
            </w:tcBorders>
            <w:vAlign w:val="center"/>
            <w:hideMark/>
          </w:tcPr>
          <w:p w14:paraId="48731B8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12</w:t>
            </w:r>
          </w:p>
        </w:tc>
        <w:tc>
          <w:tcPr>
            <w:tcW w:w="606" w:type="dxa"/>
            <w:tcBorders>
              <w:left w:val="single" w:sz="8" w:space="0" w:color="auto"/>
            </w:tcBorders>
            <w:vAlign w:val="center"/>
            <w:hideMark/>
          </w:tcPr>
          <w:p w14:paraId="02F2D7A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120</w:t>
            </w:r>
          </w:p>
        </w:tc>
        <w:tc>
          <w:tcPr>
            <w:tcW w:w="605" w:type="dxa"/>
            <w:vAlign w:val="center"/>
          </w:tcPr>
          <w:p w14:paraId="394775C3"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10</w:t>
            </w:r>
          </w:p>
        </w:tc>
      </w:tr>
      <w:tr w:rsidR="007F35A8" w:rsidRPr="00B73E3F" w14:paraId="37A3669C" w14:textId="77777777" w:rsidTr="0020734C">
        <w:trPr>
          <w:trHeight w:hRule="exact" w:val="227"/>
          <w:jc w:val="center"/>
        </w:trPr>
        <w:tc>
          <w:tcPr>
            <w:tcW w:w="2934" w:type="dxa"/>
            <w:vAlign w:val="center"/>
            <w:hideMark/>
          </w:tcPr>
          <w:p w14:paraId="3B0DC01D"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 xml:space="preserve">Asian </w:t>
            </w:r>
          </w:p>
        </w:tc>
        <w:tc>
          <w:tcPr>
            <w:tcW w:w="471" w:type="dxa"/>
            <w:vAlign w:val="center"/>
            <w:hideMark/>
          </w:tcPr>
          <w:p w14:paraId="198FF38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63</w:t>
            </w:r>
          </w:p>
        </w:tc>
        <w:tc>
          <w:tcPr>
            <w:tcW w:w="470" w:type="dxa"/>
            <w:vAlign w:val="center"/>
            <w:hideMark/>
          </w:tcPr>
          <w:p w14:paraId="427D3C9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37</w:t>
            </w:r>
          </w:p>
        </w:tc>
        <w:tc>
          <w:tcPr>
            <w:tcW w:w="470" w:type="dxa"/>
            <w:vAlign w:val="center"/>
            <w:hideMark/>
          </w:tcPr>
          <w:p w14:paraId="598AEE9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29</w:t>
            </w:r>
          </w:p>
        </w:tc>
        <w:tc>
          <w:tcPr>
            <w:tcW w:w="489" w:type="dxa"/>
            <w:vAlign w:val="center"/>
            <w:hideMark/>
          </w:tcPr>
          <w:p w14:paraId="41F0AA8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1" w:type="dxa"/>
            <w:tcBorders>
              <w:right w:val="single" w:sz="8" w:space="0" w:color="auto"/>
            </w:tcBorders>
            <w:vAlign w:val="center"/>
            <w:hideMark/>
          </w:tcPr>
          <w:p w14:paraId="48CA6D9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15</w:t>
            </w:r>
          </w:p>
        </w:tc>
        <w:tc>
          <w:tcPr>
            <w:tcW w:w="475" w:type="dxa"/>
            <w:tcBorders>
              <w:left w:val="single" w:sz="8" w:space="0" w:color="auto"/>
            </w:tcBorders>
            <w:vAlign w:val="center"/>
            <w:hideMark/>
          </w:tcPr>
          <w:p w14:paraId="18DBC37B"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5" w:type="dxa"/>
            <w:vAlign w:val="center"/>
            <w:hideMark/>
          </w:tcPr>
          <w:p w14:paraId="41E6F5F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5" w:type="dxa"/>
            <w:vAlign w:val="center"/>
            <w:hideMark/>
          </w:tcPr>
          <w:p w14:paraId="5475D120"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19</w:t>
            </w:r>
          </w:p>
        </w:tc>
        <w:tc>
          <w:tcPr>
            <w:tcW w:w="475" w:type="dxa"/>
            <w:vAlign w:val="center"/>
            <w:hideMark/>
          </w:tcPr>
          <w:p w14:paraId="46E4A9C4"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21</w:t>
            </w:r>
          </w:p>
        </w:tc>
        <w:tc>
          <w:tcPr>
            <w:tcW w:w="475" w:type="dxa"/>
            <w:tcBorders>
              <w:right w:val="single" w:sz="8" w:space="0" w:color="auto"/>
            </w:tcBorders>
            <w:vAlign w:val="center"/>
            <w:hideMark/>
          </w:tcPr>
          <w:p w14:paraId="4D51A8A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26</w:t>
            </w:r>
          </w:p>
        </w:tc>
        <w:tc>
          <w:tcPr>
            <w:tcW w:w="606" w:type="dxa"/>
            <w:tcBorders>
              <w:left w:val="single" w:sz="8" w:space="0" w:color="auto"/>
            </w:tcBorders>
            <w:vAlign w:val="center"/>
            <w:hideMark/>
          </w:tcPr>
          <w:p w14:paraId="50C10B4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220</w:t>
            </w:r>
          </w:p>
        </w:tc>
        <w:tc>
          <w:tcPr>
            <w:tcW w:w="605" w:type="dxa"/>
            <w:vAlign w:val="center"/>
          </w:tcPr>
          <w:p w14:paraId="18DB7EFD"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19</w:t>
            </w:r>
          </w:p>
        </w:tc>
      </w:tr>
      <w:tr w:rsidR="007F35A8" w:rsidRPr="00B73E3F" w14:paraId="16E8A23E" w14:textId="77777777" w:rsidTr="0020734C">
        <w:trPr>
          <w:trHeight w:hRule="exact" w:val="227"/>
          <w:jc w:val="center"/>
        </w:trPr>
        <w:tc>
          <w:tcPr>
            <w:tcW w:w="2934" w:type="dxa"/>
            <w:vAlign w:val="center"/>
            <w:hideMark/>
          </w:tcPr>
          <w:p w14:paraId="12A43914" w14:textId="77777777" w:rsidR="007F35A8" w:rsidRPr="00B73E3F" w:rsidRDefault="007F35A8" w:rsidP="0020734C">
            <w:pPr>
              <w:spacing w:after="0" w:line="240" w:lineRule="auto"/>
              <w:ind w:firstLineChars="100" w:firstLine="140"/>
              <w:rPr>
                <w:rFonts w:ascii="Arial Mäori" w:eastAsia="Times New Roman" w:hAnsi="Arial Mäori" w:cs="Calibri"/>
                <w:color w:val="000000" w:themeColor="text1"/>
                <w:sz w:val="14"/>
                <w:szCs w:val="14"/>
                <w:lang w:eastAsia="en-NZ"/>
              </w:rPr>
            </w:pPr>
            <w:r w:rsidRPr="00B73E3F">
              <w:rPr>
                <w:rFonts w:ascii="Arial" w:hAnsi="Arial"/>
                <w:color w:val="000000" w:themeColor="text1"/>
                <w:sz w:val="14"/>
                <w:szCs w:val="14"/>
              </w:rPr>
              <w:t xml:space="preserve">Other </w:t>
            </w:r>
          </w:p>
        </w:tc>
        <w:tc>
          <w:tcPr>
            <w:tcW w:w="471" w:type="dxa"/>
            <w:vAlign w:val="center"/>
            <w:hideMark/>
          </w:tcPr>
          <w:p w14:paraId="412E75E7"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59</w:t>
            </w:r>
          </w:p>
        </w:tc>
        <w:tc>
          <w:tcPr>
            <w:tcW w:w="470" w:type="dxa"/>
            <w:vAlign w:val="center"/>
            <w:hideMark/>
          </w:tcPr>
          <w:p w14:paraId="2E6DFD41"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41</w:t>
            </w:r>
          </w:p>
        </w:tc>
        <w:tc>
          <w:tcPr>
            <w:tcW w:w="470" w:type="dxa"/>
            <w:vAlign w:val="center"/>
            <w:hideMark/>
          </w:tcPr>
          <w:p w14:paraId="4C99746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35</w:t>
            </w:r>
          </w:p>
        </w:tc>
        <w:tc>
          <w:tcPr>
            <w:tcW w:w="489" w:type="dxa"/>
            <w:vAlign w:val="center"/>
            <w:hideMark/>
          </w:tcPr>
          <w:p w14:paraId="3612E8A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23</w:t>
            </w:r>
          </w:p>
        </w:tc>
        <w:tc>
          <w:tcPr>
            <w:tcW w:w="471" w:type="dxa"/>
            <w:tcBorders>
              <w:right w:val="single" w:sz="8" w:space="0" w:color="auto"/>
            </w:tcBorders>
            <w:vAlign w:val="center"/>
            <w:hideMark/>
          </w:tcPr>
          <w:p w14:paraId="0E73738F"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13</w:t>
            </w:r>
          </w:p>
        </w:tc>
        <w:tc>
          <w:tcPr>
            <w:tcW w:w="475" w:type="dxa"/>
            <w:tcBorders>
              <w:left w:val="single" w:sz="8" w:space="0" w:color="auto"/>
            </w:tcBorders>
            <w:vAlign w:val="center"/>
            <w:hideMark/>
          </w:tcPr>
          <w:p w14:paraId="7E24ED38"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1</w:t>
            </w:r>
          </w:p>
        </w:tc>
        <w:tc>
          <w:tcPr>
            <w:tcW w:w="475" w:type="dxa"/>
            <w:vAlign w:val="center"/>
            <w:hideMark/>
          </w:tcPr>
          <w:p w14:paraId="69AD66FE"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475" w:type="dxa"/>
            <w:vAlign w:val="center"/>
            <w:hideMark/>
          </w:tcPr>
          <w:p w14:paraId="3C54FC9C"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475" w:type="dxa"/>
            <w:vAlign w:val="center"/>
            <w:hideMark/>
          </w:tcPr>
          <w:p w14:paraId="236BBA73"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475" w:type="dxa"/>
            <w:tcBorders>
              <w:right w:val="single" w:sz="8" w:space="0" w:color="auto"/>
            </w:tcBorders>
            <w:vAlign w:val="center"/>
            <w:hideMark/>
          </w:tcPr>
          <w:p w14:paraId="76DC9615"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w:t>
            </w:r>
          </w:p>
        </w:tc>
        <w:tc>
          <w:tcPr>
            <w:tcW w:w="606" w:type="dxa"/>
            <w:tcBorders>
              <w:left w:val="single" w:sz="8" w:space="0" w:color="auto"/>
            </w:tcBorders>
            <w:vAlign w:val="center"/>
            <w:hideMark/>
          </w:tcPr>
          <w:p w14:paraId="07768856" w14:textId="77777777" w:rsidR="007F35A8" w:rsidRPr="00B73E3F" w:rsidRDefault="007F35A8" w:rsidP="0020734C">
            <w:pPr>
              <w:spacing w:after="0" w:line="240" w:lineRule="auto"/>
              <w:jc w:val="center"/>
              <w:rPr>
                <w:rFonts w:ascii="Arial" w:eastAsia="Times New Roman" w:hAnsi="Arial" w:cs="Times New Roman"/>
                <w:color w:val="000000" w:themeColor="text1"/>
                <w:sz w:val="14"/>
                <w:szCs w:val="14"/>
              </w:rPr>
            </w:pPr>
            <w:r>
              <w:rPr>
                <w:rFonts w:ascii="Arial" w:hAnsi="Arial"/>
                <w:color w:val="000000"/>
                <w:sz w:val="14"/>
                <w:szCs w:val="14"/>
              </w:rPr>
              <w:t>20</w:t>
            </w:r>
          </w:p>
        </w:tc>
        <w:tc>
          <w:tcPr>
            <w:tcW w:w="605" w:type="dxa"/>
            <w:vAlign w:val="center"/>
          </w:tcPr>
          <w:p w14:paraId="69590383" w14:textId="77777777" w:rsidR="007F35A8" w:rsidRPr="00B73E3F" w:rsidRDefault="007F35A8" w:rsidP="0020734C">
            <w:pPr>
              <w:spacing w:after="0" w:line="240" w:lineRule="auto"/>
              <w:jc w:val="center"/>
              <w:rPr>
                <w:rFonts w:ascii="Arial" w:hAnsi="Arial"/>
                <w:color w:val="000000" w:themeColor="text1"/>
                <w:sz w:val="14"/>
                <w:szCs w:val="14"/>
              </w:rPr>
            </w:pPr>
            <w:r>
              <w:rPr>
                <w:rFonts w:ascii="Arial" w:hAnsi="Arial"/>
                <w:color w:val="000000"/>
                <w:sz w:val="14"/>
                <w:szCs w:val="14"/>
              </w:rPr>
              <w:t>2</w:t>
            </w:r>
          </w:p>
        </w:tc>
      </w:tr>
    </w:tbl>
    <w:p w14:paraId="75A4DC58" w14:textId="77777777" w:rsidR="007F35A8" w:rsidRPr="00B73E3F" w:rsidRDefault="007F35A8" w:rsidP="007F35A8">
      <w:pPr>
        <w:spacing w:before="60" w:after="0" w:line="240" w:lineRule="auto"/>
        <w:rPr>
          <w:rFonts w:ascii="Arial" w:hAnsi="Arial"/>
          <w:bCs/>
          <w:color w:val="000000" w:themeColor="text1"/>
          <w:sz w:val="16"/>
          <w:szCs w:val="16"/>
        </w:rPr>
      </w:pPr>
      <w:r w:rsidRPr="00B73E3F">
        <w:rPr>
          <w:rFonts w:ascii="Arial" w:hAnsi="Arial"/>
          <w:bCs/>
          <w:color w:val="000000" w:themeColor="text1"/>
          <w:sz w:val="16"/>
          <w:szCs w:val="16"/>
          <w:u w:val="single"/>
        </w:rPr>
        <w:t>Reading note</w:t>
      </w:r>
      <w:r w:rsidRPr="00B73E3F">
        <w:rPr>
          <w:rFonts w:ascii="Arial" w:hAnsi="Arial"/>
          <w:bCs/>
          <w:color w:val="000000" w:themeColor="text1"/>
          <w:sz w:val="16"/>
          <w:szCs w:val="16"/>
        </w:rPr>
        <w:t xml:space="preserve"> for interpreting ‘total ethnicity’ percentages. The total ethnicities approach counts ethnicities, not children. There are around 250,000 more ethnicity responses than there are children, as many report more than one ethnicity. </w:t>
      </w:r>
    </w:p>
    <w:p w14:paraId="50A6022C" w14:textId="77777777" w:rsidR="007F35A8" w:rsidRPr="00B73E3F" w:rsidRDefault="007F35A8">
      <w:pPr>
        <w:pStyle w:val="ListParagraph"/>
        <w:numPr>
          <w:ilvl w:val="0"/>
          <w:numId w:val="51"/>
        </w:numPr>
        <w:spacing w:before="60" w:after="0" w:line="240" w:lineRule="auto"/>
        <w:ind w:left="425" w:hanging="153"/>
        <w:contextualSpacing w:val="0"/>
        <w:rPr>
          <w:rFonts w:ascii="Arial" w:hAnsi="Arial"/>
          <w:bCs/>
          <w:color w:val="000000" w:themeColor="text1"/>
          <w:sz w:val="16"/>
          <w:szCs w:val="16"/>
        </w:rPr>
      </w:pPr>
      <w:r w:rsidRPr="00B73E3F">
        <w:rPr>
          <w:rFonts w:ascii="Arial" w:hAnsi="Arial"/>
          <w:bCs/>
          <w:color w:val="000000" w:themeColor="text1"/>
          <w:sz w:val="16"/>
          <w:szCs w:val="16"/>
        </w:rPr>
        <w:t xml:space="preserve">The </w:t>
      </w:r>
      <w:r w:rsidRPr="007F35A8">
        <w:rPr>
          <w:rFonts w:ascii="Arial" w:hAnsi="Arial"/>
          <w:bCs/>
          <w:color w:val="000000" w:themeColor="text1"/>
          <w:sz w:val="16"/>
          <w:szCs w:val="16"/>
          <w:shd w:val="clear" w:color="auto" w:fill="F7CAAC" w:themeFill="accent2" w:themeFillTint="66"/>
        </w:rPr>
        <w:t>‘28%</w:t>
      </w:r>
      <w:r w:rsidRPr="00B73E3F">
        <w:rPr>
          <w:rFonts w:ascii="Arial" w:hAnsi="Arial"/>
          <w:bCs/>
          <w:color w:val="000000" w:themeColor="text1"/>
          <w:sz w:val="16"/>
          <w:szCs w:val="16"/>
        </w:rPr>
        <w:t xml:space="preserve">’ figure in the Pacific row for the 50% AHC </w:t>
      </w:r>
      <w:r w:rsidRPr="00B73E3F">
        <w:rPr>
          <w:rFonts w:ascii="Arial" w:hAnsi="Arial"/>
          <w:bCs/>
          <w:color w:val="000000" w:themeColor="text1"/>
          <w:sz w:val="16"/>
          <w:szCs w:val="16"/>
          <w:u w:val="single"/>
        </w:rPr>
        <w:t>low-income rate</w:t>
      </w:r>
      <w:r w:rsidRPr="00B73E3F">
        <w:rPr>
          <w:rFonts w:ascii="Arial" w:hAnsi="Arial"/>
          <w:bCs/>
          <w:color w:val="000000" w:themeColor="text1"/>
          <w:sz w:val="16"/>
          <w:szCs w:val="16"/>
        </w:rPr>
        <w:t xml:space="preserve"> means that out of all the ethnicities reported by children in the 50% AHC column, </w:t>
      </w:r>
      <w:r w:rsidRPr="007F35A8">
        <w:rPr>
          <w:rFonts w:ascii="Arial" w:hAnsi="Arial"/>
          <w:bCs/>
          <w:color w:val="000000" w:themeColor="text1"/>
          <w:sz w:val="16"/>
          <w:szCs w:val="16"/>
        </w:rPr>
        <w:t>28%</w:t>
      </w:r>
      <w:r w:rsidRPr="00B73E3F">
        <w:rPr>
          <w:rFonts w:ascii="Arial" w:hAnsi="Arial"/>
          <w:bCs/>
          <w:color w:val="000000" w:themeColor="text1"/>
          <w:sz w:val="16"/>
          <w:szCs w:val="16"/>
        </w:rPr>
        <w:t xml:space="preserve"> are Pacific (whether only Pacific or Pacific and one or more other ethnicities). </w:t>
      </w:r>
    </w:p>
    <w:p w14:paraId="0BAE2289" w14:textId="77777777" w:rsidR="007F35A8" w:rsidRPr="00B73E3F" w:rsidRDefault="007F35A8">
      <w:pPr>
        <w:pStyle w:val="ListParagraph"/>
        <w:numPr>
          <w:ilvl w:val="0"/>
          <w:numId w:val="51"/>
        </w:numPr>
        <w:spacing w:before="60" w:after="0" w:line="240" w:lineRule="auto"/>
        <w:ind w:left="425" w:hanging="153"/>
        <w:contextualSpacing w:val="0"/>
        <w:rPr>
          <w:rFonts w:ascii="Arial" w:hAnsi="Arial"/>
          <w:bCs/>
          <w:color w:val="000000" w:themeColor="text1"/>
          <w:sz w:val="16"/>
          <w:szCs w:val="16"/>
        </w:rPr>
      </w:pPr>
      <w:r w:rsidRPr="00B73E3F">
        <w:rPr>
          <w:rFonts w:ascii="Arial" w:hAnsi="Arial"/>
          <w:bCs/>
          <w:color w:val="000000" w:themeColor="text1"/>
          <w:sz w:val="16"/>
          <w:szCs w:val="16"/>
        </w:rPr>
        <w:t xml:space="preserve">The </w:t>
      </w:r>
      <w:r w:rsidRPr="007F35A8">
        <w:rPr>
          <w:rFonts w:ascii="Arial" w:hAnsi="Arial"/>
          <w:bCs/>
          <w:color w:val="000000" w:themeColor="text1"/>
          <w:sz w:val="16"/>
          <w:szCs w:val="16"/>
        </w:rPr>
        <w:t>‘</w:t>
      </w:r>
      <w:r w:rsidRPr="007F35A8">
        <w:rPr>
          <w:rFonts w:ascii="Arial" w:hAnsi="Arial"/>
          <w:bCs/>
          <w:color w:val="000000" w:themeColor="text1"/>
          <w:sz w:val="16"/>
          <w:szCs w:val="16"/>
          <w:shd w:val="clear" w:color="auto" w:fill="C5E0B3" w:themeFill="accent6" w:themeFillTint="66"/>
        </w:rPr>
        <w:t>16%’</w:t>
      </w:r>
      <w:r w:rsidRPr="00B73E3F">
        <w:rPr>
          <w:rFonts w:ascii="Arial" w:hAnsi="Arial"/>
          <w:bCs/>
          <w:color w:val="000000" w:themeColor="text1"/>
          <w:sz w:val="16"/>
          <w:szCs w:val="16"/>
        </w:rPr>
        <w:t xml:space="preserve"> figure in the Pacific row for the 50% AHC </w:t>
      </w:r>
      <w:r w:rsidRPr="00B73E3F">
        <w:rPr>
          <w:rFonts w:ascii="Arial" w:hAnsi="Arial"/>
          <w:bCs/>
          <w:color w:val="000000" w:themeColor="text1"/>
          <w:sz w:val="16"/>
          <w:szCs w:val="16"/>
          <w:u w:val="single"/>
        </w:rPr>
        <w:t>composition</w:t>
      </w:r>
      <w:r w:rsidRPr="00B73E3F">
        <w:rPr>
          <w:rFonts w:ascii="Arial" w:hAnsi="Arial"/>
          <w:bCs/>
          <w:color w:val="000000" w:themeColor="text1"/>
          <w:sz w:val="16"/>
          <w:szCs w:val="16"/>
        </w:rPr>
        <w:t xml:space="preserve"> means that out of all the ethnicities reported by children in the 50% AHC column, </w:t>
      </w:r>
      <w:r w:rsidRPr="007F35A8">
        <w:rPr>
          <w:rFonts w:ascii="Arial" w:hAnsi="Arial"/>
          <w:bCs/>
          <w:color w:val="000000" w:themeColor="text1"/>
          <w:sz w:val="16"/>
          <w:szCs w:val="16"/>
        </w:rPr>
        <w:t>16%</w:t>
      </w:r>
      <w:r w:rsidRPr="00B73E3F">
        <w:rPr>
          <w:rFonts w:ascii="Arial" w:hAnsi="Arial"/>
          <w:bCs/>
          <w:color w:val="000000" w:themeColor="text1"/>
          <w:sz w:val="16"/>
          <w:szCs w:val="16"/>
        </w:rPr>
        <w:t xml:space="preserve"> are Pacific (whether only Pacific or Pacific and one or more other ethnicities). </w:t>
      </w:r>
    </w:p>
    <w:p w14:paraId="326F9F5D" w14:textId="77777777" w:rsidR="007F35A8" w:rsidRPr="00B73E3F" w:rsidRDefault="007F35A8" w:rsidP="007F35A8">
      <w:pPr>
        <w:spacing w:after="0" w:line="240" w:lineRule="auto"/>
        <w:rPr>
          <w:rFonts w:ascii="Arial" w:hAnsi="Arial"/>
          <w:bCs/>
          <w:color w:val="000000" w:themeColor="text1"/>
          <w:highlight w:val="yellow"/>
        </w:rPr>
      </w:pPr>
    </w:p>
    <w:p w14:paraId="7F417219" w14:textId="03FBC7EF" w:rsidR="007F35A8" w:rsidRPr="00F113EF" w:rsidRDefault="007F35A8" w:rsidP="007F35A8"/>
    <w:p w14:paraId="10A301BE" w14:textId="77777777" w:rsidR="00C11C87" w:rsidRPr="00244C25" w:rsidRDefault="00C11C87" w:rsidP="00C11C87">
      <w:pPr>
        <w:tabs>
          <w:tab w:val="right" w:pos="9026"/>
        </w:tabs>
        <w:spacing w:after="0" w:line="240" w:lineRule="auto"/>
        <w:rPr>
          <w:rFonts w:ascii="Arial" w:hAnsi="Arial"/>
          <w:b/>
          <w:bCs/>
          <w:color w:val="000000" w:themeColor="text1"/>
          <w:sz w:val="18"/>
          <w:szCs w:val="18"/>
        </w:rPr>
      </w:pPr>
    </w:p>
    <w:p w14:paraId="56907161" w14:textId="77777777" w:rsidR="007F4F8A" w:rsidRDefault="007F4F8A">
      <w:pPr>
        <w:spacing w:after="0" w:line="240" w:lineRule="auto"/>
        <w:rPr>
          <w:rFonts w:ascii="Arial" w:hAnsi="Arial"/>
          <w:b/>
          <w:bCs/>
          <w:color w:val="000000"/>
          <w:sz w:val="22"/>
          <w:szCs w:val="24"/>
        </w:rPr>
      </w:pPr>
      <w:r>
        <w:rPr>
          <w:rFonts w:ascii="Arial" w:hAnsi="Arial"/>
          <w:b/>
          <w:bCs/>
          <w:color w:val="000000"/>
          <w:sz w:val="22"/>
          <w:szCs w:val="24"/>
        </w:rPr>
        <w:br w:type="page"/>
      </w:r>
    </w:p>
    <w:p w14:paraId="715D0405" w14:textId="1BB053ED" w:rsidR="004C0B87" w:rsidRPr="005E1D60" w:rsidRDefault="001E59B8" w:rsidP="000654F4">
      <w:pPr>
        <w:tabs>
          <w:tab w:val="right" w:pos="9026"/>
        </w:tabs>
        <w:spacing w:after="60" w:line="240" w:lineRule="auto"/>
        <w:rPr>
          <w:rFonts w:ascii="Arial" w:hAnsi="Arial"/>
          <w:b/>
          <w:bCs/>
          <w:color w:val="000000" w:themeColor="text1"/>
          <w:sz w:val="36"/>
          <w:szCs w:val="36"/>
        </w:rPr>
      </w:pPr>
      <w:r>
        <w:rPr>
          <w:rFonts w:ascii="Arial" w:hAnsi="Arial"/>
          <w:b/>
          <w:bCs/>
          <w:color w:val="000000"/>
          <w:sz w:val="22"/>
          <w:szCs w:val="24"/>
        </w:rPr>
        <w:lastRenderedPageBreak/>
        <w:br w:type="page"/>
      </w:r>
      <w:bookmarkStart w:id="21" w:name="_Hlk109033149"/>
      <w:bookmarkEnd w:id="18"/>
      <w:r w:rsidR="004C0B87" w:rsidRPr="005E1D60">
        <w:rPr>
          <w:rFonts w:ascii="Arial" w:hAnsi="Arial"/>
          <w:b/>
          <w:bCs/>
          <w:color w:val="000000" w:themeColor="text1"/>
          <w:sz w:val="36"/>
          <w:szCs w:val="36"/>
        </w:rPr>
        <w:lastRenderedPageBreak/>
        <w:t xml:space="preserve">Section </w:t>
      </w:r>
      <w:r w:rsidR="00046A24">
        <w:rPr>
          <w:rFonts w:ascii="Arial" w:hAnsi="Arial"/>
          <w:b/>
          <w:bCs/>
          <w:color w:val="000000" w:themeColor="text1"/>
          <w:sz w:val="36"/>
          <w:szCs w:val="36"/>
        </w:rPr>
        <w:t>I</w:t>
      </w:r>
    </w:p>
    <w:p w14:paraId="187026AF" w14:textId="063BC08E" w:rsidR="004C0B87" w:rsidRPr="00244C25" w:rsidRDefault="004C0B87" w:rsidP="005E1D60">
      <w:pPr>
        <w:tabs>
          <w:tab w:val="right" w:pos="9026"/>
        </w:tabs>
        <w:spacing w:after="0" w:line="240" w:lineRule="auto"/>
        <w:rPr>
          <w:rFonts w:ascii="Arial" w:hAnsi="Arial"/>
          <w:b/>
          <w:bCs/>
          <w:color w:val="000000" w:themeColor="text1"/>
          <w:sz w:val="22"/>
        </w:rPr>
      </w:pPr>
      <w:r w:rsidRPr="005E1D60">
        <w:rPr>
          <w:rFonts w:ascii="Arial" w:hAnsi="Arial"/>
          <w:b/>
          <w:bCs/>
          <w:color w:val="000000" w:themeColor="text1"/>
          <w:sz w:val="28"/>
          <w:szCs w:val="28"/>
        </w:rPr>
        <w:t>Housing costs and housing affordability for owners &amp; renters (HHs with children)</w:t>
      </w:r>
      <w:r w:rsidRPr="00244C25">
        <w:rPr>
          <w:rFonts w:ascii="Arial" w:hAnsi="Arial"/>
          <w:b/>
          <w:bCs/>
          <w:color w:val="000000" w:themeColor="text1"/>
          <w:sz w:val="22"/>
        </w:rPr>
        <w:tab/>
      </w:r>
    </w:p>
    <w:p w14:paraId="390E3B64" w14:textId="77777777" w:rsidR="00AA5612" w:rsidRDefault="00AA5612" w:rsidP="00AA5612">
      <w:pPr>
        <w:tabs>
          <w:tab w:val="right" w:pos="9026"/>
        </w:tabs>
        <w:spacing w:after="0" w:line="240" w:lineRule="auto"/>
        <w:rPr>
          <w:rFonts w:ascii="Arial" w:hAnsi="Arial"/>
          <w:color w:val="000000" w:themeColor="text1"/>
          <w:szCs w:val="20"/>
        </w:rPr>
      </w:pPr>
    </w:p>
    <w:p w14:paraId="14E4FE3B" w14:textId="3ECF50B9" w:rsidR="009E7374" w:rsidRPr="00417CD4" w:rsidRDefault="009E7374" w:rsidP="009E7374">
      <w:pPr>
        <w:spacing w:after="0" w:line="240" w:lineRule="auto"/>
        <w:jc w:val="both"/>
        <w:rPr>
          <w:rFonts w:ascii="Arial" w:eastAsia="Times New Roman" w:hAnsi="Arial" w:cs="Times New Roman"/>
          <w:color w:val="000000" w:themeColor="text1"/>
          <w:szCs w:val="20"/>
          <w:lang w:val="en-GB"/>
        </w:rPr>
      </w:pPr>
      <w:r w:rsidRPr="00417CD4">
        <w:rPr>
          <w:rFonts w:ascii="Arial" w:eastAsia="Times New Roman" w:hAnsi="Arial" w:cs="Times New Roman"/>
          <w:color w:val="000000" w:themeColor="text1"/>
          <w:szCs w:val="20"/>
          <w:lang w:val="en-GB"/>
        </w:rPr>
        <w:t xml:space="preserve">This Section on housing affordability focuses on those </w:t>
      </w:r>
      <w:r w:rsidR="00261FBB" w:rsidRPr="00417CD4">
        <w:rPr>
          <w:rFonts w:ascii="Arial" w:eastAsia="Times New Roman" w:hAnsi="Arial" w:cs="Times New Roman"/>
          <w:color w:val="000000" w:themeColor="text1"/>
          <w:szCs w:val="20"/>
          <w:lang w:val="en-GB"/>
        </w:rPr>
        <w:t xml:space="preserve">households with children who are </w:t>
      </w:r>
      <w:r w:rsidRPr="00417CD4">
        <w:rPr>
          <w:rFonts w:ascii="Arial" w:eastAsia="Times New Roman" w:hAnsi="Arial" w:cs="Times New Roman"/>
          <w:color w:val="000000" w:themeColor="text1"/>
          <w:szCs w:val="20"/>
          <w:lang w:val="en-GB"/>
        </w:rPr>
        <w:t xml:space="preserve">already in their own homes or renting. It does not look at affordability from the perspective of those in the market seeking to purchase a property. </w:t>
      </w:r>
    </w:p>
    <w:p w14:paraId="2FF9D15C" w14:textId="77777777" w:rsidR="009E7374" w:rsidRPr="00417CD4" w:rsidRDefault="009E7374" w:rsidP="009E7374">
      <w:pPr>
        <w:spacing w:after="0" w:line="240" w:lineRule="auto"/>
        <w:jc w:val="both"/>
        <w:rPr>
          <w:rFonts w:ascii="Arial" w:eastAsia="Times New Roman" w:hAnsi="Arial" w:cs="Times New Roman"/>
          <w:color w:val="000000" w:themeColor="text1"/>
          <w:szCs w:val="20"/>
        </w:rPr>
      </w:pPr>
    </w:p>
    <w:p w14:paraId="1DE18B8B" w14:textId="77777777" w:rsidR="009E7374" w:rsidRPr="00417CD4" w:rsidRDefault="009E7374" w:rsidP="009E7374">
      <w:pPr>
        <w:spacing w:after="0" w:line="240" w:lineRule="auto"/>
        <w:jc w:val="both"/>
        <w:rPr>
          <w:rFonts w:ascii="Arial" w:eastAsia="Times New Roman" w:hAnsi="Arial" w:cs="Times New Roman"/>
          <w:color w:val="000000" w:themeColor="text1"/>
          <w:szCs w:val="20"/>
        </w:rPr>
      </w:pPr>
      <w:r w:rsidRPr="00417CD4">
        <w:rPr>
          <w:rFonts w:ascii="Arial" w:eastAsia="Times New Roman" w:hAnsi="Arial" w:cs="Times New Roman"/>
          <w:color w:val="000000" w:themeColor="text1"/>
          <w:szCs w:val="20"/>
        </w:rPr>
        <w:t xml:space="preserve">High outgoings for housing costs relative to income are often associated with financial stress for low- to middle-income households. Low-income households especially can be left with insufficient income to meet other basic needs such as food, clothing, basic household operations, transport, medical care and education for household members. </w:t>
      </w:r>
    </w:p>
    <w:p w14:paraId="70B31428" w14:textId="77777777" w:rsidR="009E7374" w:rsidRPr="00417CD4" w:rsidRDefault="009E7374" w:rsidP="009E7374">
      <w:pPr>
        <w:spacing w:after="0" w:line="240" w:lineRule="auto"/>
        <w:jc w:val="both"/>
        <w:rPr>
          <w:rFonts w:ascii="Arial" w:eastAsia="Times New Roman" w:hAnsi="Arial" w:cs="Times New Roman"/>
          <w:color w:val="000000" w:themeColor="text1"/>
          <w:szCs w:val="20"/>
        </w:rPr>
      </w:pPr>
    </w:p>
    <w:p w14:paraId="11A4C2E0" w14:textId="2545217B" w:rsidR="00AA5612" w:rsidRPr="00417CD4" w:rsidRDefault="009E7374" w:rsidP="009E7374">
      <w:pPr>
        <w:tabs>
          <w:tab w:val="right" w:pos="9026"/>
        </w:tabs>
        <w:spacing w:after="0" w:line="240" w:lineRule="auto"/>
        <w:rPr>
          <w:rFonts w:ascii="Arial" w:hAnsi="Arial"/>
          <w:color w:val="000000" w:themeColor="text1"/>
          <w:szCs w:val="20"/>
        </w:rPr>
      </w:pPr>
      <w:r w:rsidRPr="00417CD4">
        <w:rPr>
          <w:rFonts w:ascii="Arial" w:eastAsia="Times New Roman" w:hAnsi="Arial" w:cs="Times New Roman"/>
          <w:color w:val="000000" w:themeColor="text1"/>
          <w:szCs w:val="20"/>
        </w:rPr>
        <w:t>There is no internationally agreed measure of housing (un)affordability but the general idea of a ratio of housing costs outgoings to income is widely used.</w:t>
      </w:r>
      <w:r w:rsidRPr="00417CD4">
        <w:rPr>
          <w:rStyle w:val="FootnoteReference"/>
          <w:rFonts w:ascii="Arial" w:eastAsia="Times New Roman" w:hAnsi="Arial" w:cs="Times New Roman"/>
          <w:color w:val="000000" w:themeColor="text1"/>
          <w:szCs w:val="20"/>
        </w:rPr>
        <w:footnoteReference w:id="86"/>
      </w:r>
      <w:r w:rsidRPr="00417CD4">
        <w:rPr>
          <w:rFonts w:ascii="Arial" w:eastAsia="Times New Roman" w:hAnsi="Arial" w:cs="Times New Roman"/>
          <w:color w:val="000000" w:themeColor="text1"/>
          <w:szCs w:val="20"/>
        </w:rPr>
        <w:t xml:space="preserve"> </w:t>
      </w:r>
      <w:r w:rsidRPr="00417CD4">
        <w:rPr>
          <w:rFonts w:ascii="Arial" w:eastAsia="Times New Roman" w:hAnsi="Arial" w:cs="Times New Roman"/>
          <w:color w:val="000000" w:themeColor="text1"/>
          <w:szCs w:val="20"/>
          <w:u w:val="single"/>
        </w:rPr>
        <w:t>The ratio is called OTI for short (outgoings-to-income ratio)</w:t>
      </w:r>
      <w:r w:rsidRPr="00417CD4">
        <w:rPr>
          <w:rFonts w:ascii="Arial" w:eastAsia="Times New Roman" w:hAnsi="Arial" w:cs="Times New Roman"/>
          <w:color w:val="000000" w:themeColor="text1"/>
          <w:szCs w:val="20"/>
        </w:rPr>
        <w:t>.</w:t>
      </w:r>
      <w:r w:rsidRPr="00417CD4">
        <w:rPr>
          <w:rStyle w:val="FootnoteReference"/>
          <w:rFonts w:ascii="Arial" w:eastAsia="Times New Roman" w:hAnsi="Arial" w:cs="Times New Roman"/>
          <w:color w:val="000000" w:themeColor="text1"/>
          <w:szCs w:val="20"/>
        </w:rPr>
        <w:footnoteReference w:id="87"/>
      </w:r>
      <w:r w:rsidRPr="00417CD4">
        <w:rPr>
          <w:color w:val="000000" w:themeColor="text1"/>
        </w:rPr>
        <w:t xml:space="preserve"> </w:t>
      </w:r>
    </w:p>
    <w:p w14:paraId="14430787" w14:textId="77777777" w:rsidR="00AA5612" w:rsidRPr="00417CD4" w:rsidRDefault="00AA5612" w:rsidP="00261FBB">
      <w:pPr>
        <w:tabs>
          <w:tab w:val="right" w:pos="9026"/>
        </w:tabs>
        <w:spacing w:after="0" w:line="240" w:lineRule="auto"/>
        <w:rPr>
          <w:rFonts w:ascii="Arial" w:hAnsi="Arial"/>
          <w:color w:val="000000" w:themeColor="text1"/>
          <w:szCs w:val="20"/>
        </w:rPr>
      </w:pPr>
    </w:p>
    <w:p w14:paraId="203CA1CC" w14:textId="067CB47D" w:rsidR="00201655" w:rsidRPr="00417CD4" w:rsidRDefault="00EA6749" w:rsidP="007A2AF6">
      <w:pPr>
        <w:tabs>
          <w:tab w:val="right" w:pos="9026"/>
        </w:tabs>
        <w:spacing w:after="0" w:line="240" w:lineRule="auto"/>
        <w:rPr>
          <w:rFonts w:ascii="Arial" w:hAnsi="Arial"/>
          <w:color w:val="000000" w:themeColor="text1"/>
          <w:szCs w:val="20"/>
        </w:rPr>
      </w:pPr>
      <w:r w:rsidRPr="00417CD4">
        <w:rPr>
          <w:rFonts w:ascii="Arial" w:hAnsi="Arial"/>
          <w:color w:val="000000" w:themeColor="text1"/>
          <w:szCs w:val="20"/>
        </w:rPr>
        <w:t xml:space="preserve">The Section </w:t>
      </w:r>
      <w:r w:rsidR="00201655" w:rsidRPr="00417CD4">
        <w:rPr>
          <w:rFonts w:ascii="Arial" w:hAnsi="Arial"/>
          <w:color w:val="000000" w:themeColor="text1"/>
          <w:szCs w:val="20"/>
        </w:rPr>
        <w:t>reports:</w:t>
      </w:r>
    </w:p>
    <w:p w14:paraId="048A737D" w14:textId="07EFBA29" w:rsidR="00201655" w:rsidRPr="00417CD4" w:rsidRDefault="00201655">
      <w:pPr>
        <w:pStyle w:val="ListParagraph"/>
        <w:numPr>
          <w:ilvl w:val="0"/>
          <w:numId w:val="46"/>
        </w:numPr>
        <w:tabs>
          <w:tab w:val="right" w:pos="9026"/>
        </w:tabs>
        <w:spacing w:after="0" w:line="240" w:lineRule="auto"/>
        <w:rPr>
          <w:rFonts w:ascii="Arial" w:hAnsi="Arial"/>
          <w:color w:val="000000" w:themeColor="text1"/>
          <w:szCs w:val="20"/>
        </w:rPr>
      </w:pPr>
      <w:r w:rsidRPr="00417CD4">
        <w:rPr>
          <w:rFonts w:ascii="Arial" w:hAnsi="Arial"/>
          <w:color w:val="000000" w:themeColor="text1"/>
          <w:szCs w:val="20"/>
        </w:rPr>
        <w:t>the number and proportions of children by tenure of their household for HES 202</w:t>
      </w:r>
      <w:r w:rsidR="002F657F">
        <w:rPr>
          <w:rFonts w:ascii="Arial" w:hAnsi="Arial"/>
          <w:color w:val="000000" w:themeColor="text1"/>
          <w:szCs w:val="20"/>
        </w:rPr>
        <w:t>4</w:t>
      </w:r>
      <w:r w:rsidRPr="00417CD4">
        <w:rPr>
          <w:rFonts w:ascii="Arial" w:hAnsi="Arial"/>
          <w:color w:val="000000" w:themeColor="text1"/>
          <w:szCs w:val="20"/>
        </w:rPr>
        <w:t>-2</w:t>
      </w:r>
      <w:r w:rsidR="002F657F">
        <w:rPr>
          <w:rFonts w:ascii="Arial" w:hAnsi="Arial"/>
          <w:color w:val="000000" w:themeColor="text1"/>
          <w:szCs w:val="20"/>
        </w:rPr>
        <w:t>5</w:t>
      </w:r>
    </w:p>
    <w:p w14:paraId="58BCA82D" w14:textId="39F0774C" w:rsidR="0025493F" w:rsidRPr="00417CD4" w:rsidRDefault="00201655">
      <w:pPr>
        <w:pStyle w:val="ListParagraph"/>
        <w:numPr>
          <w:ilvl w:val="0"/>
          <w:numId w:val="46"/>
        </w:numPr>
        <w:tabs>
          <w:tab w:val="right" w:pos="9026"/>
        </w:tabs>
        <w:spacing w:after="0" w:line="240" w:lineRule="auto"/>
        <w:rPr>
          <w:rFonts w:ascii="Arial" w:hAnsi="Arial"/>
          <w:color w:val="000000" w:themeColor="text1"/>
          <w:szCs w:val="20"/>
        </w:rPr>
      </w:pPr>
      <w:r w:rsidRPr="00417CD4">
        <w:rPr>
          <w:rFonts w:ascii="Arial" w:hAnsi="Arial"/>
          <w:color w:val="000000" w:themeColor="text1"/>
          <w:szCs w:val="20"/>
        </w:rPr>
        <w:t>a</w:t>
      </w:r>
      <w:r w:rsidR="004C0B87" w:rsidRPr="00417CD4">
        <w:rPr>
          <w:rFonts w:ascii="Arial" w:hAnsi="Arial"/>
          <w:color w:val="000000" w:themeColor="text1"/>
          <w:szCs w:val="20"/>
        </w:rPr>
        <w:t>verage housing costs relative to household BHC income, by income quintile, 1988 to 202</w:t>
      </w:r>
      <w:r w:rsidR="002F657F">
        <w:rPr>
          <w:rFonts w:ascii="Arial" w:hAnsi="Arial"/>
          <w:color w:val="000000" w:themeColor="text1"/>
          <w:szCs w:val="20"/>
        </w:rPr>
        <w:t>5</w:t>
      </w:r>
      <w:r w:rsidRPr="00417CD4">
        <w:rPr>
          <w:rFonts w:ascii="Arial" w:hAnsi="Arial"/>
          <w:color w:val="000000" w:themeColor="text1"/>
          <w:szCs w:val="20"/>
        </w:rPr>
        <w:t>, for all households with children (adults under 65 yrs)</w:t>
      </w:r>
    </w:p>
    <w:p w14:paraId="3A0862B1" w14:textId="1504E479" w:rsidR="009D1117" w:rsidRPr="00417CD4" w:rsidRDefault="00201655">
      <w:pPr>
        <w:pStyle w:val="ListParagraph"/>
        <w:numPr>
          <w:ilvl w:val="0"/>
          <w:numId w:val="46"/>
        </w:numPr>
        <w:tabs>
          <w:tab w:val="right" w:pos="9026"/>
        </w:tabs>
        <w:spacing w:after="0" w:line="240" w:lineRule="auto"/>
        <w:rPr>
          <w:rFonts w:ascii="Arial" w:hAnsi="Arial"/>
          <w:color w:val="000000" w:themeColor="text1"/>
          <w:szCs w:val="20"/>
        </w:rPr>
      </w:pPr>
      <w:r w:rsidRPr="00417CD4">
        <w:rPr>
          <w:rFonts w:ascii="Arial" w:hAnsi="Arial"/>
          <w:color w:val="000000" w:themeColor="text1"/>
          <w:szCs w:val="20"/>
        </w:rPr>
        <w:t>s</w:t>
      </w:r>
      <w:r w:rsidR="004C0B87" w:rsidRPr="00417CD4">
        <w:rPr>
          <w:rFonts w:ascii="Arial" w:hAnsi="Arial"/>
          <w:color w:val="000000" w:themeColor="text1"/>
          <w:szCs w:val="20"/>
        </w:rPr>
        <w:t xml:space="preserve">pending on housing costs as a proportion of BHC income for </w:t>
      </w:r>
      <w:r w:rsidR="00A07284" w:rsidRPr="00417CD4">
        <w:rPr>
          <w:rFonts w:ascii="Arial" w:hAnsi="Arial"/>
          <w:color w:val="000000" w:themeColor="text1"/>
          <w:szCs w:val="20"/>
        </w:rPr>
        <w:t>all household with children</w:t>
      </w:r>
      <w:r w:rsidR="00B56B11" w:rsidRPr="00417CD4">
        <w:rPr>
          <w:rFonts w:ascii="Arial" w:hAnsi="Arial"/>
          <w:color w:val="000000" w:themeColor="text1"/>
          <w:szCs w:val="20"/>
        </w:rPr>
        <w:t xml:space="preserve"> and for low-income r</w:t>
      </w:r>
      <w:r w:rsidR="004C0B87" w:rsidRPr="00417CD4">
        <w:rPr>
          <w:rFonts w:ascii="Arial" w:hAnsi="Arial"/>
          <w:color w:val="000000" w:themeColor="text1"/>
          <w:szCs w:val="20"/>
        </w:rPr>
        <w:t xml:space="preserve">enters receiving the </w:t>
      </w:r>
      <w:r w:rsidR="00FC5A04" w:rsidRPr="00417CD4">
        <w:rPr>
          <w:rFonts w:ascii="Arial" w:hAnsi="Arial"/>
          <w:color w:val="000000" w:themeColor="text1"/>
          <w:szCs w:val="20"/>
        </w:rPr>
        <w:t>AS</w:t>
      </w:r>
      <w:r w:rsidR="004C0B87" w:rsidRPr="00417CD4">
        <w:rPr>
          <w:rFonts w:ascii="Arial" w:hAnsi="Arial"/>
          <w:color w:val="000000" w:themeColor="text1"/>
          <w:szCs w:val="20"/>
        </w:rPr>
        <w:t>, by OTIs greater than 30%, 40% and 50%</w:t>
      </w:r>
      <w:r w:rsidR="00B56B11" w:rsidRPr="00417CD4">
        <w:rPr>
          <w:rFonts w:ascii="Arial" w:hAnsi="Arial"/>
          <w:color w:val="000000" w:themeColor="text1"/>
          <w:szCs w:val="20"/>
        </w:rPr>
        <w:t>.</w:t>
      </w:r>
    </w:p>
    <w:p w14:paraId="30891D80" w14:textId="77777777" w:rsidR="009D1117" w:rsidRPr="00417CD4" w:rsidRDefault="009D1117" w:rsidP="002C3EA2">
      <w:pPr>
        <w:spacing w:after="0" w:line="240" w:lineRule="auto"/>
        <w:rPr>
          <w:rFonts w:ascii="Arial" w:hAnsi="Arial"/>
          <w:b/>
          <w:bCs/>
          <w:color w:val="000000" w:themeColor="text1"/>
        </w:rPr>
      </w:pPr>
    </w:p>
    <w:p w14:paraId="26577A79" w14:textId="5CE3D619" w:rsidR="00A72A00" w:rsidRPr="00417CD4" w:rsidRDefault="009578A0">
      <w:pPr>
        <w:spacing w:after="0" w:line="240" w:lineRule="auto"/>
        <w:rPr>
          <w:rFonts w:ascii="Arial" w:hAnsi="Arial"/>
          <w:color w:val="000000" w:themeColor="text1"/>
        </w:rPr>
      </w:pPr>
      <w:r w:rsidRPr="00417CD4">
        <w:rPr>
          <w:rFonts w:ascii="Arial" w:hAnsi="Arial"/>
          <w:b/>
          <w:bCs/>
          <w:color w:val="000000" w:themeColor="text1"/>
        </w:rPr>
        <w:t xml:space="preserve">Table </w:t>
      </w:r>
      <w:r w:rsidR="00046A24">
        <w:rPr>
          <w:rFonts w:ascii="Arial" w:hAnsi="Arial"/>
          <w:b/>
          <w:bCs/>
          <w:color w:val="000000" w:themeColor="text1"/>
        </w:rPr>
        <w:t>I</w:t>
      </w:r>
      <w:r w:rsidR="002F0B52" w:rsidRPr="00417CD4">
        <w:rPr>
          <w:rFonts w:ascii="Arial" w:hAnsi="Arial"/>
          <w:b/>
          <w:bCs/>
          <w:color w:val="000000" w:themeColor="text1"/>
        </w:rPr>
        <w:t>.1</w:t>
      </w:r>
      <w:r w:rsidRPr="00417CD4">
        <w:rPr>
          <w:rFonts w:ascii="Arial" w:hAnsi="Arial"/>
          <w:color w:val="000000" w:themeColor="text1"/>
        </w:rPr>
        <w:t xml:space="preserve"> shows where children live in terms of the tenure of their households. The majority (close to 60%) live in owner-occupied dwellings and a third are in </w:t>
      </w:r>
      <w:r w:rsidR="00B532D4" w:rsidRPr="00417CD4">
        <w:rPr>
          <w:rFonts w:ascii="Arial" w:hAnsi="Arial"/>
          <w:color w:val="000000" w:themeColor="text1"/>
        </w:rPr>
        <w:t xml:space="preserve">private </w:t>
      </w:r>
      <w:r w:rsidRPr="00417CD4">
        <w:rPr>
          <w:rFonts w:ascii="Arial" w:hAnsi="Arial"/>
          <w:color w:val="000000" w:themeColor="text1"/>
        </w:rPr>
        <w:t>rental accommodation. The bulk of the renters are in private rentals, evenly split between households receiving assistance from the Accommodation Supplement and those who don’t.</w:t>
      </w:r>
      <w:r w:rsidR="007111BE" w:rsidRPr="00417CD4">
        <w:rPr>
          <w:rFonts w:ascii="Arial" w:hAnsi="Arial"/>
          <w:color w:val="000000" w:themeColor="text1"/>
        </w:rPr>
        <w:t xml:space="preserve"> The proportions reported below are very similar to those published in 2024 using the </w:t>
      </w:r>
      <w:r w:rsidR="00244257" w:rsidRPr="00417CD4">
        <w:rPr>
          <w:rFonts w:ascii="Arial" w:hAnsi="Arial"/>
          <w:color w:val="000000" w:themeColor="text1"/>
        </w:rPr>
        <w:t>H</w:t>
      </w:r>
      <w:r w:rsidR="007111BE" w:rsidRPr="00417CD4">
        <w:rPr>
          <w:rFonts w:ascii="Arial" w:hAnsi="Arial"/>
          <w:vanish/>
          <w:color w:val="000000" w:themeColor="text1"/>
        </w:rPr>
        <w:t>ES 2022-23 data.</w:t>
      </w:r>
      <w:r w:rsidR="00B532D4" w:rsidRPr="00417CD4">
        <w:rPr>
          <w:rFonts w:ascii="Arial" w:hAnsi="Arial"/>
          <w:color w:val="000000" w:themeColor="text1"/>
        </w:rPr>
        <w:t xml:space="preserve"> </w:t>
      </w:r>
    </w:p>
    <w:p w14:paraId="2FC7A255" w14:textId="77777777" w:rsidR="00796E93" w:rsidRPr="00417CD4" w:rsidRDefault="00796E93">
      <w:pPr>
        <w:spacing w:after="0" w:line="240" w:lineRule="auto"/>
        <w:rPr>
          <w:rFonts w:ascii="Arial" w:hAnsi="Arial"/>
          <w:b/>
          <w:bCs/>
          <w:color w:val="000000" w:themeColor="text1"/>
          <w:sz w:val="18"/>
          <w:szCs w:val="18"/>
        </w:rPr>
      </w:pPr>
    </w:p>
    <w:p w14:paraId="22E7B454" w14:textId="75088271" w:rsidR="00094898" w:rsidRPr="00417CD4" w:rsidRDefault="00F50823" w:rsidP="00094898">
      <w:pPr>
        <w:spacing w:after="0" w:line="240" w:lineRule="auto"/>
        <w:jc w:val="center"/>
        <w:rPr>
          <w:rFonts w:ascii="Arial" w:hAnsi="Arial"/>
          <w:b/>
          <w:bCs/>
          <w:color w:val="000000" w:themeColor="text1"/>
          <w:sz w:val="18"/>
          <w:szCs w:val="18"/>
        </w:rPr>
      </w:pPr>
      <w:r w:rsidRPr="00417CD4">
        <w:rPr>
          <w:rFonts w:ascii="Arial" w:hAnsi="Arial"/>
          <w:b/>
          <w:bCs/>
          <w:color w:val="000000" w:themeColor="text1"/>
          <w:sz w:val="18"/>
          <w:szCs w:val="18"/>
        </w:rPr>
        <w:t>T</w:t>
      </w:r>
      <w:r w:rsidR="00094898" w:rsidRPr="00417CD4">
        <w:rPr>
          <w:rFonts w:ascii="Arial" w:hAnsi="Arial"/>
          <w:b/>
          <w:bCs/>
          <w:color w:val="000000" w:themeColor="text1"/>
          <w:sz w:val="18"/>
          <w:szCs w:val="18"/>
        </w:rPr>
        <w:t xml:space="preserve">able </w:t>
      </w:r>
      <w:r w:rsidR="00046A24">
        <w:rPr>
          <w:rFonts w:ascii="Arial" w:hAnsi="Arial"/>
          <w:b/>
          <w:bCs/>
          <w:color w:val="000000" w:themeColor="text1"/>
          <w:sz w:val="18"/>
          <w:szCs w:val="18"/>
        </w:rPr>
        <w:t>I</w:t>
      </w:r>
      <w:r w:rsidR="008B1AC0" w:rsidRPr="00417CD4">
        <w:rPr>
          <w:rFonts w:ascii="Arial" w:hAnsi="Arial"/>
          <w:b/>
          <w:bCs/>
          <w:color w:val="000000" w:themeColor="text1"/>
          <w:sz w:val="18"/>
          <w:szCs w:val="18"/>
        </w:rPr>
        <w:t>.1</w:t>
      </w:r>
    </w:p>
    <w:p w14:paraId="1E72B062" w14:textId="77777777" w:rsidR="00796E93" w:rsidRPr="00417CD4" w:rsidRDefault="00796E93" w:rsidP="00796E93">
      <w:pPr>
        <w:spacing w:after="0" w:line="240" w:lineRule="auto"/>
        <w:jc w:val="center"/>
        <w:rPr>
          <w:rFonts w:ascii="Arial" w:hAnsi="Arial"/>
          <w:b/>
          <w:bCs/>
          <w:color w:val="000000" w:themeColor="text1"/>
          <w:sz w:val="18"/>
          <w:szCs w:val="18"/>
        </w:rPr>
      </w:pPr>
      <w:r w:rsidRPr="00417CD4">
        <w:rPr>
          <w:rFonts w:ascii="Arial" w:hAnsi="Arial"/>
          <w:b/>
          <w:bCs/>
          <w:color w:val="000000" w:themeColor="text1"/>
          <w:sz w:val="18"/>
          <w:szCs w:val="18"/>
        </w:rPr>
        <w:t>Numbers and proportions (%) of children and households with children by tenure:</w:t>
      </w:r>
    </w:p>
    <w:p w14:paraId="30E5697C" w14:textId="77777777" w:rsidR="00796E93" w:rsidRPr="00417CD4" w:rsidRDefault="00796E93" w:rsidP="00796E93">
      <w:pPr>
        <w:spacing w:line="240" w:lineRule="auto"/>
        <w:jc w:val="center"/>
        <w:rPr>
          <w:rFonts w:ascii="Arial" w:hAnsi="Arial"/>
          <w:b/>
          <w:bCs/>
          <w:color w:val="000000" w:themeColor="text1"/>
          <w:sz w:val="18"/>
          <w:szCs w:val="18"/>
        </w:rPr>
      </w:pPr>
      <w:r w:rsidRPr="00417CD4">
        <w:rPr>
          <w:rFonts w:ascii="Arial" w:hAnsi="Arial"/>
          <w:b/>
          <w:bCs/>
          <w:color w:val="000000" w:themeColor="text1"/>
          <w:sz w:val="18"/>
          <w:szCs w:val="18"/>
        </w:rPr>
        <w:t>HILS 2024-25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6"/>
        <w:gridCol w:w="1117"/>
        <w:gridCol w:w="1134"/>
        <w:gridCol w:w="1134"/>
        <w:gridCol w:w="992"/>
        <w:gridCol w:w="709"/>
        <w:gridCol w:w="850"/>
      </w:tblGrid>
      <w:tr w:rsidR="00796E93" w:rsidRPr="00417CD4" w14:paraId="419C8C55" w14:textId="77777777" w:rsidTr="0020734C">
        <w:trPr>
          <w:jc w:val="center"/>
        </w:trPr>
        <w:tc>
          <w:tcPr>
            <w:tcW w:w="2706" w:type="dxa"/>
            <w:tcMar>
              <w:top w:w="0" w:type="dxa"/>
              <w:left w:w="108" w:type="dxa"/>
              <w:bottom w:w="0" w:type="dxa"/>
              <w:right w:w="108" w:type="dxa"/>
            </w:tcMar>
            <w:vAlign w:val="center"/>
          </w:tcPr>
          <w:p w14:paraId="6C0C8845"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p>
        </w:tc>
        <w:tc>
          <w:tcPr>
            <w:tcW w:w="1117" w:type="dxa"/>
            <w:tcMar>
              <w:top w:w="0" w:type="dxa"/>
              <w:left w:w="57" w:type="dxa"/>
              <w:bottom w:w="0" w:type="dxa"/>
              <w:right w:w="57" w:type="dxa"/>
            </w:tcMar>
            <w:vAlign w:val="center"/>
            <w:hideMark/>
          </w:tcPr>
          <w:p w14:paraId="37D4B12F"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Owned incl Family Trust</w:t>
            </w:r>
          </w:p>
        </w:tc>
        <w:tc>
          <w:tcPr>
            <w:tcW w:w="1134" w:type="dxa"/>
            <w:tcMar>
              <w:top w:w="0" w:type="dxa"/>
              <w:left w:w="57" w:type="dxa"/>
              <w:bottom w:w="0" w:type="dxa"/>
              <w:right w:w="57" w:type="dxa"/>
            </w:tcMar>
            <w:vAlign w:val="center"/>
            <w:hideMark/>
          </w:tcPr>
          <w:p w14:paraId="759E2420"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Rent (private) no AS</w:t>
            </w:r>
          </w:p>
        </w:tc>
        <w:tc>
          <w:tcPr>
            <w:tcW w:w="1134" w:type="dxa"/>
            <w:tcMar>
              <w:top w:w="0" w:type="dxa"/>
              <w:left w:w="57" w:type="dxa"/>
              <w:bottom w:w="0" w:type="dxa"/>
              <w:right w:w="57" w:type="dxa"/>
            </w:tcMar>
            <w:vAlign w:val="center"/>
            <w:hideMark/>
          </w:tcPr>
          <w:p w14:paraId="4EDCC77A"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Rent (private) with AS</w:t>
            </w:r>
          </w:p>
        </w:tc>
        <w:tc>
          <w:tcPr>
            <w:tcW w:w="992" w:type="dxa"/>
            <w:tcMar>
              <w:top w:w="0" w:type="dxa"/>
              <w:left w:w="57" w:type="dxa"/>
              <w:bottom w:w="0" w:type="dxa"/>
              <w:right w:w="57" w:type="dxa"/>
            </w:tcMar>
            <w:vAlign w:val="center"/>
            <w:hideMark/>
          </w:tcPr>
          <w:p w14:paraId="06DD63DF"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Rent (social)</w:t>
            </w:r>
          </w:p>
        </w:tc>
        <w:tc>
          <w:tcPr>
            <w:tcW w:w="709" w:type="dxa"/>
            <w:vAlign w:val="center"/>
          </w:tcPr>
          <w:p w14:paraId="764D1F9A"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Other</w:t>
            </w:r>
          </w:p>
        </w:tc>
        <w:tc>
          <w:tcPr>
            <w:tcW w:w="850" w:type="dxa"/>
            <w:tcMar>
              <w:top w:w="0" w:type="dxa"/>
              <w:left w:w="57" w:type="dxa"/>
              <w:bottom w:w="0" w:type="dxa"/>
              <w:right w:w="57" w:type="dxa"/>
            </w:tcMar>
            <w:vAlign w:val="center"/>
            <w:hideMark/>
          </w:tcPr>
          <w:p w14:paraId="07C23CA0" w14:textId="77777777" w:rsidR="00796E93" w:rsidRPr="00417CD4" w:rsidRDefault="00796E93" w:rsidP="0020734C">
            <w:pPr>
              <w:spacing w:before="40" w:after="40" w:line="240" w:lineRule="auto"/>
              <w:jc w:val="center"/>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ALL</w:t>
            </w:r>
          </w:p>
        </w:tc>
      </w:tr>
      <w:tr w:rsidR="00796E93" w:rsidRPr="00417CD4" w14:paraId="6F52779A" w14:textId="77777777" w:rsidTr="0020734C">
        <w:trPr>
          <w:jc w:val="center"/>
        </w:trPr>
        <w:tc>
          <w:tcPr>
            <w:tcW w:w="2706" w:type="dxa"/>
            <w:tcMar>
              <w:top w:w="0" w:type="dxa"/>
              <w:left w:w="108" w:type="dxa"/>
              <w:bottom w:w="0" w:type="dxa"/>
              <w:right w:w="108" w:type="dxa"/>
            </w:tcMar>
            <w:vAlign w:val="center"/>
            <w:hideMark/>
          </w:tcPr>
          <w:p w14:paraId="2DC07A4A" w14:textId="77777777" w:rsidR="00796E93" w:rsidRPr="00417CD4" w:rsidRDefault="00796E93" w:rsidP="0020734C">
            <w:pPr>
              <w:spacing w:before="40" w:after="40" w:line="240" w:lineRule="auto"/>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Households with children (numbers)</w:t>
            </w:r>
          </w:p>
        </w:tc>
        <w:tc>
          <w:tcPr>
            <w:tcW w:w="1117" w:type="dxa"/>
            <w:tcMar>
              <w:top w:w="0" w:type="dxa"/>
              <w:left w:w="57" w:type="dxa"/>
              <w:bottom w:w="0" w:type="dxa"/>
              <w:right w:w="57" w:type="dxa"/>
            </w:tcMar>
            <w:vAlign w:val="center"/>
          </w:tcPr>
          <w:p w14:paraId="4C202174"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383,000</w:t>
            </w:r>
          </w:p>
        </w:tc>
        <w:tc>
          <w:tcPr>
            <w:tcW w:w="1134" w:type="dxa"/>
            <w:tcMar>
              <w:top w:w="0" w:type="dxa"/>
              <w:left w:w="57" w:type="dxa"/>
              <w:bottom w:w="0" w:type="dxa"/>
              <w:right w:w="57" w:type="dxa"/>
            </w:tcMar>
            <w:vAlign w:val="center"/>
          </w:tcPr>
          <w:p w14:paraId="07B03E4E"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123,000</w:t>
            </w:r>
          </w:p>
        </w:tc>
        <w:tc>
          <w:tcPr>
            <w:tcW w:w="1134" w:type="dxa"/>
            <w:tcMar>
              <w:top w:w="0" w:type="dxa"/>
              <w:left w:w="57" w:type="dxa"/>
              <w:bottom w:w="0" w:type="dxa"/>
              <w:right w:w="57" w:type="dxa"/>
            </w:tcMar>
            <w:vAlign w:val="center"/>
          </w:tcPr>
          <w:p w14:paraId="0F52DDAD"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103,000</w:t>
            </w:r>
          </w:p>
        </w:tc>
        <w:tc>
          <w:tcPr>
            <w:tcW w:w="992" w:type="dxa"/>
            <w:tcMar>
              <w:top w:w="0" w:type="dxa"/>
              <w:left w:w="57" w:type="dxa"/>
              <w:bottom w:w="0" w:type="dxa"/>
              <w:right w:w="57" w:type="dxa"/>
            </w:tcMar>
            <w:vAlign w:val="center"/>
          </w:tcPr>
          <w:p w14:paraId="790EF72F"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31,000</w:t>
            </w:r>
          </w:p>
        </w:tc>
        <w:tc>
          <w:tcPr>
            <w:tcW w:w="709" w:type="dxa"/>
            <w:vAlign w:val="center"/>
          </w:tcPr>
          <w:p w14:paraId="4E2DAEE6" w14:textId="77777777" w:rsidR="00796E93" w:rsidRPr="00417CD4" w:rsidRDefault="00796E93" w:rsidP="0020734C">
            <w:pPr>
              <w:spacing w:before="40" w:after="40" w:line="240" w:lineRule="auto"/>
              <w:jc w:val="center"/>
              <w:rPr>
                <w:rFonts w:ascii="Arial" w:hAnsi="Arial"/>
                <w:color w:val="000000" w:themeColor="text1"/>
                <w:sz w:val="14"/>
                <w:szCs w:val="14"/>
              </w:rPr>
            </w:pPr>
            <w:r w:rsidRPr="00417CD4">
              <w:rPr>
                <w:rFonts w:ascii="Arial" w:hAnsi="Arial"/>
                <w:color w:val="000000" w:themeColor="text1"/>
                <w:sz w:val="14"/>
                <w:szCs w:val="14"/>
              </w:rPr>
              <w:t>17,000</w:t>
            </w:r>
          </w:p>
        </w:tc>
        <w:tc>
          <w:tcPr>
            <w:tcW w:w="850" w:type="dxa"/>
            <w:tcMar>
              <w:top w:w="0" w:type="dxa"/>
              <w:left w:w="57" w:type="dxa"/>
              <w:bottom w:w="0" w:type="dxa"/>
              <w:right w:w="57" w:type="dxa"/>
            </w:tcMar>
            <w:vAlign w:val="center"/>
          </w:tcPr>
          <w:p w14:paraId="499B8BE4" w14:textId="77777777" w:rsidR="00796E93" w:rsidRPr="00417CD4" w:rsidRDefault="00796E93" w:rsidP="0020734C">
            <w:pPr>
              <w:spacing w:before="40" w:after="40" w:line="240" w:lineRule="auto"/>
              <w:jc w:val="center"/>
              <w:rPr>
                <w:rFonts w:ascii="Arial" w:hAnsi="Arial"/>
                <w:color w:val="000000" w:themeColor="text1"/>
                <w:sz w:val="14"/>
                <w:szCs w:val="14"/>
              </w:rPr>
            </w:pPr>
            <w:r w:rsidRPr="00417CD4">
              <w:rPr>
                <w:rFonts w:ascii="Arial" w:hAnsi="Arial"/>
                <w:color w:val="000000" w:themeColor="text1"/>
                <w:sz w:val="14"/>
                <w:szCs w:val="14"/>
              </w:rPr>
              <w:t>656,000</w:t>
            </w:r>
          </w:p>
        </w:tc>
      </w:tr>
      <w:tr w:rsidR="00796E93" w:rsidRPr="00417CD4" w14:paraId="376F65E0" w14:textId="77777777" w:rsidTr="0020734C">
        <w:trPr>
          <w:jc w:val="center"/>
        </w:trPr>
        <w:tc>
          <w:tcPr>
            <w:tcW w:w="2706" w:type="dxa"/>
            <w:tcMar>
              <w:top w:w="0" w:type="dxa"/>
              <w:left w:w="108" w:type="dxa"/>
              <w:bottom w:w="0" w:type="dxa"/>
              <w:right w:w="108" w:type="dxa"/>
            </w:tcMar>
            <w:vAlign w:val="center"/>
            <w:hideMark/>
          </w:tcPr>
          <w:p w14:paraId="49C33D9D" w14:textId="77777777" w:rsidR="00796E93" w:rsidRPr="00417CD4" w:rsidRDefault="00796E93" w:rsidP="0020734C">
            <w:pPr>
              <w:spacing w:before="40" w:after="40" w:line="240" w:lineRule="auto"/>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Children (numbers)</w:t>
            </w:r>
          </w:p>
        </w:tc>
        <w:tc>
          <w:tcPr>
            <w:tcW w:w="1117" w:type="dxa"/>
            <w:tcMar>
              <w:top w:w="0" w:type="dxa"/>
              <w:left w:w="57" w:type="dxa"/>
              <w:bottom w:w="0" w:type="dxa"/>
              <w:right w:w="57" w:type="dxa"/>
            </w:tcMar>
            <w:vAlign w:val="center"/>
          </w:tcPr>
          <w:p w14:paraId="621F94D0"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670,000</w:t>
            </w:r>
          </w:p>
        </w:tc>
        <w:tc>
          <w:tcPr>
            <w:tcW w:w="1134" w:type="dxa"/>
            <w:tcMar>
              <w:top w:w="0" w:type="dxa"/>
              <w:left w:w="57" w:type="dxa"/>
              <w:bottom w:w="0" w:type="dxa"/>
              <w:right w:w="57" w:type="dxa"/>
            </w:tcMar>
            <w:vAlign w:val="center"/>
          </w:tcPr>
          <w:p w14:paraId="709CD52A"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213,000</w:t>
            </w:r>
          </w:p>
        </w:tc>
        <w:tc>
          <w:tcPr>
            <w:tcW w:w="1134" w:type="dxa"/>
            <w:tcMar>
              <w:top w:w="0" w:type="dxa"/>
              <w:left w:w="57" w:type="dxa"/>
              <w:bottom w:w="0" w:type="dxa"/>
              <w:right w:w="57" w:type="dxa"/>
            </w:tcMar>
            <w:vAlign w:val="center"/>
          </w:tcPr>
          <w:p w14:paraId="4BAA91C9"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195,000</w:t>
            </w:r>
          </w:p>
        </w:tc>
        <w:tc>
          <w:tcPr>
            <w:tcW w:w="992" w:type="dxa"/>
            <w:tcMar>
              <w:top w:w="0" w:type="dxa"/>
              <w:left w:w="57" w:type="dxa"/>
              <w:bottom w:w="0" w:type="dxa"/>
              <w:right w:w="57" w:type="dxa"/>
            </w:tcMar>
            <w:vAlign w:val="center"/>
          </w:tcPr>
          <w:p w14:paraId="69A7AAA7"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73,000</w:t>
            </w:r>
          </w:p>
        </w:tc>
        <w:tc>
          <w:tcPr>
            <w:tcW w:w="709" w:type="dxa"/>
            <w:vAlign w:val="center"/>
          </w:tcPr>
          <w:p w14:paraId="604AB251" w14:textId="77777777" w:rsidR="00796E93" w:rsidRPr="00417CD4" w:rsidRDefault="00796E93" w:rsidP="0020734C">
            <w:pPr>
              <w:spacing w:before="40" w:after="40" w:line="240" w:lineRule="auto"/>
              <w:jc w:val="center"/>
              <w:rPr>
                <w:rFonts w:ascii="Arial" w:hAnsi="Arial"/>
                <w:color w:val="000000" w:themeColor="text1"/>
                <w:sz w:val="14"/>
                <w:szCs w:val="14"/>
              </w:rPr>
            </w:pPr>
            <w:r w:rsidRPr="00417CD4">
              <w:rPr>
                <w:rFonts w:ascii="Arial" w:hAnsi="Arial"/>
                <w:color w:val="000000" w:themeColor="text1"/>
                <w:sz w:val="14"/>
                <w:szCs w:val="14"/>
              </w:rPr>
              <w:t>32,000</w:t>
            </w:r>
          </w:p>
        </w:tc>
        <w:tc>
          <w:tcPr>
            <w:tcW w:w="850" w:type="dxa"/>
            <w:tcMar>
              <w:top w:w="0" w:type="dxa"/>
              <w:left w:w="57" w:type="dxa"/>
              <w:bottom w:w="0" w:type="dxa"/>
              <w:right w:w="57" w:type="dxa"/>
            </w:tcMar>
            <w:vAlign w:val="center"/>
            <w:hideMark/>
          </w:tcPr>
          <w:p w14:paraId="2CA7AB9D" w14:textId="77777777" w:rsidR="00796E93" w:rsidRPr="00417CD4" w:rsidRDefault="00796E93" w:rsidP="0020734C">
            <w:pPr>
              <w:spacing w:before="40" w:after="40" w:line="240" w:lineRule="auto"/>
              <w:jc w:val="center"/>
              <w:rPr>
                <w:rFonts w:ascii="Arial" w:hAnsi="Arial"/>
                <w:color w:val="000000" w:themeColor="text1"/>
                <w:sz w:val="14"/>
                <w:szCs w:val="14"/>
              </w:rPr>
            </w:pPr>
            <w:r w:rsidRPr="00417CD4">
              <w:rPr>
                <w:rFonts w:ascii="Arial" w:hAnsi="Arial"/>
                <w:color w:val="000000" w:themeColor="text1"/>
                <w:sz w:val="14"/>
                <w:szCs w:val="14"/>
              </w:rPr>
              <w:t>1,183,000</w:t>
            </w:r>
          </w:p>
        </w:tc>
      </w:tr>
      <w:tr w:rsidR="00796E93" w:rsidRPr="00417CD4" w14:paraId="77F0DC05" w14:textId="77777777" w:rsidTr="0020734C">
        <w:trPr>
          <w:jc w:val="center"/>
        </w:trPr>
        <w:tc>
          <w:tcPr>
            <w:tcW w:w="2706" w:type="dxa"/>
            <w:tcMar>
              <w:top w:w="0" w:type="dxa"/>
              <w:left w:w="108" w:type="dxa"/>
              <w:bottom w:w="0" w:type="dxa"/>
              <w:right w:w="108" w:type="dxa"/>
            </w:tcMar>
            <w:vAlign w:val="center"/>
            <w:hideMark/>
          </w:tcPr>
          <w:p w14:paraId="47A412EC" w14:textId="77777777" w:rsidR="00796E93" w:rsidRPr="00417CD4" w:rsidRDefault="00796E93" w:rsidP="0020734C">
            <w:pPr>
              <w:spacing w:before="40" w:after="40" w:line="240" w:lineRule="auto"/>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Households with children (% across)</w:t>
            </w:r>
          </w:p>
        </w:tc>
        <w:tc>
          <w:tcPr>
            <w:tcW w:w="1117" w:type="dxa"/>
            <w:tcMar>
              <w:top w:w="0" w:type="dxa"/>
              <w:left w:w="57" w:type="dxa"/>
              <w:bottom w:w="0" w:type="dxa"/>
              <w:right w:w="57" w:type="dxa"/>
            </w:tcMar>
            <w:vAlign w:val="center"/>
          </w:tcPr>
          <w:p w14:paraId="7C76CBAF"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58</w:t>
            </w:r>
          </w:p>
        </w:tc>
        <w:tc>
          <w:tcPr>
            <w:tcW w:w="1134" w:type="dxa"/>
            <w:tcMar>
              <w:top w:w="0" w:type="dxa"/>
              <w:left w:w="57" w:type="dxa"/>
              <w:bottom w:w="0" w:type="dxa"/>
              <w:right w:w="57" w:type="dxa"/>
            </w:tcMar>
            <w:vAlign w:val="center"/>
          </w:tcPr>
          <w:p w14:paraId="7471049D"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19</w:t>
            </w:r>
          </w:p>
        </w:tc>
        <w:tc>
          <w:tcPr>
            <w:tcW w:w="1134" w:type="dxa"/>
            <w:tcMar>
              <w:top w:w="0" w:type="dxa"/>
              <w:left w:w="57" w:type="dxa"/>
              <w:bottom w:w="0" w:type="dxa"/>
              <w:right w:w="57" w:type="dxa"/>
            </w:tcMar>
            <w:vAlign w:val="center"/>
          </w:tcPr>
          <w:p w14:paraId="2ECAE79C"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16</w:t>
            </w:r>
          </w:p>
        </w:tc>
        <w:tc>
          <w:tcPr>
            <w:tcW w:w="992" w:type="dxa"/>
            <w:tcMar>
              <w:top w:w="0" w:type="dxa"/>
              <w:left w:w="57" w:type="dxa"/>
              <w:bottom w:w="0" w:type="dxa"/>
              <w:right w:w="57" w:type="dxa"/>
            </w:tcMar>
            <w:vAlign w:val="center"/>
          </w:tcPr>
          <w:p w14:paraId="392406CB"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5</w:t>
            </w:r>
          </w:p>
        </w:tc>
        <w:tc>
          <w:tcPr>
            <w:tcW w:w="709" w:type="dxa"/>
            <w:vAlign w:val="center"/>
          </w:tcPr>
          <w:p w14:paraId="36255949"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3</w:t>
            </w:r>
          </w:p>
        </w:tc>
        <w:tc>
          <w:tcPr>
            <w:tcW w:w="850" w:type="dxa"/>
            <w:tcMar>
              <w:top w:w="0" w:type="dxa"/>
              <w:left w:w="57" w:type="dxa"/>
              <w:bottom w:w="0" w:type="dxa"/>
              <w:right w:w="57" w:type="dxa"/>
            </w:tcMar>
            <w:vAlign w:val="center"/>
            <w:hideMark/>
          </w:tcPr>
          <w:p w14:paraId="51DF208F"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100</w:t>
            </w:r>
          </w:p>
        </w:tc>
      </w:tr>
      <w:tr w:rsidR="00796E93" w:rsidRPr="00417CD4" w14:paraId="7DDB0F43" w14:textId="77777777" w:rsidTr="0020734C">
        <w:trPr>
          <w:jc w:val="center"/>
        </w:trPr>
        <w:tc>
          <w:tcPr>
            <w:tcW w:w="2706" w:type="dxa"/>
            <w:tcMar>
              <w:top w:w="0" w:type="dxa"/>
              <w:left w:w="108" w:type="dxa"/>
              <w:bottom w:w="0" w:type="dxa"/>
              <w:right w:w="108" w:type="dxa"/>
            </w:tcMar>
            <w:vAlign w:val="center"/>
            <w:hideMark/>
          </w:tcPr>
          <w:p w14:paraId="6E35B65B" w14:textId="77777777" w:rsidR="00796E93" w:rsidRPr="00417CD4" w:rsidRDefault="00796E93" w:rsidP="0020734C">
            <w:pPr>
              <w:spacing w:before="40" w:after="40" w:line="240" w:lineRule="auto"/>
              <w:rPr>
                <w:rFonts w:ascii="Arial" w:hAnsi="Arial"/>
                <w:b/>
                <w:bCs/>
                <w:color w:val="000000" w:themeColor="text1"/>
                <w:sz w:val="14"/>
                <w:szCs w:val="14"/>
                <w:lang w:eastAsia="en-NZ"/>
              </w:rPr>
            </w:pPr>
            <w:r w:rsidRPr="00417CD4">
              <w:rPr>
                <w:rFonts w:ascii="Arial" w:hAnsi="Arial"/>
                <w:b/>
                <w:bCs/>
                <w:color w:val="000000" w:themeColor="text1"/>
                <w:sz w:val="14"/>
                <w:szCs w:val="14"/>
                <w:lang w:eastAsia="en-NZ"/>
              </w:rPr>
              <w:t>Children (% across)</w:t>
            </w:r>
          </w:p>
        </w:tc>
        <w:tc>
          <w:tcPr>
            <w:tcW w:w="1117" w:type="dxa"/>
            <w:tcMar>
              <w:top w:w="0" w:type="dxa"/>
              <w:left w:w="57" w:type="dxa"/>
              <w:bottom w:w="0" w:type="dxa"/>
              <w:right w:w="57" w:type="dxa"/>
            </w:tcMar>
            <w:vAlign w:val="center"/>
          </w:tcPr>
          <w:p w14:paraId="1DA1BBB8"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57</w:t>
            </w:r>
          </w:p>
        </w:tc>
        <w:tc>
          <w:tcPr>
            <w:tcW w:w="1134" w:type="dxa"/>
            <w:tcMar>
              <w:top w:w="0" w:type="dxa"/>
              <w:left w:w="57" w:type="dxa"/>
              <w:bottom w:w="0" w:type="dxa"/>
              <w:right w:w="57" w:type="dxa"/>
            </w:tcMar>
            <w:vAlign w:val="center"/>
          </w:tcPr>
          <w:p w14:paraId="60AB42A8" w14:textId="77777777" w:rsidR="00796E93" w:rsidRPr="00417CD4" w:rsidRDefault="00796E93" w:rsidP="0020734C">
            <w:pPr>
              <w:spacing w:before="40" w:after="40" w:line="240" w:lineRule="auto"/>
              <w:jc w:val="center"/>
              <w:rPr>
                <w:rFonts w:ascii="Arial" w:hAnsi="Arial"/>
                <w:color w:val="000000" w:themeColor="text1"/>
                <w:sz w:val="14"/>
                <w:szCs w:val="14"/>
                <w:lang w:eastAsia="en-NZ"/>
              </w:rPr>
            </w:pPr>
            <w:r w:rsidRPr="00417CD4">
              <w:rPr>
                <w:rFonts w:ascii="Arial" w:hAnsi="Arial"/>
                <w:color w:val="000000" w:themeColor="text1"/>
                <w:sz w:val="14"/>
                <w:szCs w:val="14"/>
              </w:rPr>
              <w:t>18</w:t>
            </w:r>
          </w:p>
        </w:tc>
        <w:tc>
          <w:tcPr>
            <w:tcW w:w="1134" w:type="dxa"/>
            <w:tcMar>
              <w:top w:w="0" w:type="dxa"/>
              <w:left w:w="57" w:type="dxa"/>
              <w:bottom w:w="0" w:type="dxa"/>
              <w:right w:w="57" w:type="dxa"/>
            </w:tcMar>
            <w:vAlign w:val="center"/>
          </w:tcPr>
          <w:p w14:paraId="25290571"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16</w:t>
            </w:r>
          </w:p>
        </w:tc>
        <w:tc>
          <w:tcPr>
            <w:tcW w:w="992" w:type="dxa"/>
            <w:tcMar>
              <w:top w:w="0" w:type="dxa"/>
              <w:left w:w="57" w:type="dxa"/>
              <w:bottom w:w="0" w:type="dxa"/>
              <w:right w:w="57" w:type="dxa"/>
            </w:tcMar>
            <w:vAlign w:val="center"/>
          </w:tcPr>
          <w:p w14:paraId="31C294CC" w14:textId="77777777" w:rsidR="00796E93" w:rsidRPr="00417CD4" w:rsidRDefault="00796E93" w:rsidP="0020734C">
            <w:pPr>
              <w:spacing w:before="40" w:after="40" w:line="240" w:lineRule="auto"/>
              <w:jc w:val="center"/>
              <w:rPr>
                <w:rFonts w:ascii="Arial" w:hAnsi="Arial"/>
                <w:color w:val="000000" w:themeColor="text1"/>
                <w:sz w:val="14"/>
                <w:szCs w:val="14"/>
                <w:highlight w:val="yellow"/>
                <w:lang w:eastAsia="en-NZ"/>
              </w:rPr>
            </w:pPr>
            <w:r w:rsidRPr="00417CD4">
              <w:rPr>
                <w:rFonts w:ascii="Arial" w:hAnsi="Arial"/>
                <w:color w:val="000000" w:themeColor="text1"/>
                <w:sz w:val="14"/>
                <w:szCs w:val="14"/>
              </w:rPr>
              <w:t>6</w:t>
            </w:r>
          </w:p>
        </w:tc>
        <w:tc>
          <w:tcPr>
            <w:tcW w:w="709" w:type="dxa"/>
            <w:vAlign w:val="center"/>
          </w:tcPr>
          <w:p w14:paraId="10D31A4C" w14:textId="77777777" w:rsidR="00796E93" w:rsidRPr="00417CD4" w:rsidRDefault="00796E93" w:rsidP="0020734C">
            <w:pPr>
              <w:spacing w:before="40" w:after="40" w:line="240" w:lineRule="auto"/>
              <w:jc w:val="center"/>
              <w:rPr>
                <w:rFonts w:ascii="Arial" w:hAnsi="Arial"/>
                <w:color w:val="000000" w:themeColor="text1"/>
                <w:sz w:val="14"/>
                <w:szCs w:val="14"/>
              </w:rPr>
            </w:pPr>
            <w:r w:rsidRPr="00417CD4">
              <w:rPr>
                <w:rFonts w:ascii="Arial" w:hAnsi="Arial"/>
                <w:color w:val="000000" w:themeColor="text1"/>
                <w:sz w:val="14"/>
                <w:szCs w:val="14"/>
              </w:rPr>
              <w:t>3</w:t>
            </w:r>
          </w:p>
        </w:tc>
        <w:tc>
          <w:tcPr>
            <w:tcW w:w="850" w:type="dxa"/>
            <w:tcMar>
              <w:top w:w="0" w:type="dxa"/>
              <w:left w:w="57" w:type="dxa"/>
              <w:bottom w:w="0" w:type="dxa"/>
              <w:right w:w="57" w:type="dxa"/>
            </w:tcMar>
            <w:vAlign w:val="center"/>
            <w:hideMark/>
          </w:tcPr>
          <w:p w14:paraId="0DA49454" w14:textId="77777777" w:rsidR="00796E93" w:rsidRPr="00417CD4" w:rsidRDefault="00796E93" w:rsidP="0020734C">
            <w:pPr>
              <w:spacing w:before="40" w:after="40" w:line="240" w:lineRule="auto"/>
              <w:jc w:val="center"/>
              <w:rPr>
                <w:rFonts w:ascii="Arial" w:hAnsi="Arial"/>
                <w:color w:val="000000" w:themeColor="text1"/>
                <w:sz w:val="14"/>
                <w:szCs w:val="14"/>
              </w:rPr>
            </w:pPr>
            <w:r w:rsidRPr="00417CD4">
              <w:rPr>
                <w:rFonts w:ascii="Arial" w:hAnsi="Arial"/>
                <w:color w:val="000000" w:themeColor="text1"/>
                <w:sz w:val="14"/>
                <w:szCs w:val="14"/>
              </w:rPr>
              <w:t>100</w:t>
            </w:r>
          </w:p>
        </w:tc>
      </w:tr>
    </w:tbl>
    <w:p w14:paraId="5D3816C9" w14:textId="77777777" w:rsidR="00635991" w:rsidRPr="00417CD4" w:rsidRDefault="00635991" w:rsidP="00D23CF6">
      <w:pPr>
        <w:spacing w:after="0" w:line="240" w:lineRule="auto"/>
        <w:rPr>
          <w:rFonts w:ascii="Arial" w:hAnsi="Arial"/>
          <w:color w:val="000000" w:themeColor="text1"/>
        </w:rPr>
      </w:pPr>
    </w:p>
    <w:p w14:paraId="6C75B01A" w14:textId="511AA0F2" w:rsidR="00B55258" w:rsidRPr="00417CD4" w:rsidRDefault="00F50823" w:rsidP="00D23CF6">
      <w:pPr>
        <w:spacing w:after="0" w:line="240" w:lineRule="auto"/>
        <w:rPr>
          <w:rFonts w:ascii="Arial" w:hAnsi="Arial"/>
          <w:color w:val="000000" w:themeColor="text1"/>
        </w:rPr>
      </w:pPr>
      <w:r w:rsidRPr="00417CD4">
        <w:rPr>
          <w:rFonts w:ascii="Arial" w:hAnsi="Arial"/>
          <w:color w:val="000000" w:themeColor="text1"/>
        </w:rPr>
        <w:t xml:space="preserve">Of the </w:t>
      </w:r>
      <w:r w:rsidR="00796E93" w:rsidRPr="00417CD4">
        <w:rPr>
          <w:rFonts w:ascii="Arial" w:hAnsi="Arial"/>
          <w:color w:val="000000" w:themeColor="text1"/>
        </w:rPr>
        <w:t>170</w:t>
      </w:r>
      <w:r w:rsidRPr="00417CD4">
        <w:rPr>
          <w:rFonts w:ascii="Arial" w:hAnsi="Arial"/>
          <w:color w:val="000000" w:themeColor="text1"/>
        </w:rPr>
        <w:t>,000 children in households reporting</w:t>
      </w:r>
      <w:r w:rsidR="00615259" w:rsidRPr="00417CD4">
        <w:rPr>
          <w:rFonts w:ascii="Arial" w:hAnsi="Arial"/>
          <w:color w:val="000000" w:themeColor="text1"/>
        </w:rPr>
        <w:t xml:space="preserve"> </w:t>
      </w:r>
      <w:r w:rsidR="00560E77" w:rsidRPr="00417CD4">
        <w:rPr>
          <w:rFonts w:ascii="Arial" w:hAnsi="Arial"/>
          <w:color w:val="000000" w:themeColor="text1"/>
        </w:rPr>
        <w:t>material hardship</w:t>
      </w:r>
      <w:r w:rsidR="009C01F7" w:rsidRPr="00417CD4">
        <w:rPr>
          <w:rFonts w:ascii="Arial" w:hAnsi="Arial"/>
          <w:color w:val="000000" w:themeColor="text1"/>
        </w:rPr>
        <w:t xml:space="preserve"> in 202</w:t>
      </w:r>
      <w:r w:rsidR="000D3F96" w:rsidRPr="00417CD4">
        <w:rPr>
          <w:rFonts w:ascii="Arial" w:hAnsi="Arial"/>
          <w:color w:val="000000" w:themeColor="text1"/>
        </w:rPr>
        <w:t>4</w:t>
      </w:r>
      <w:r w:rsidR="009C01F7" w:rsidRPr="00417CD4">
        <w:rPr>
          <w:rFonts w:ascii="Arial" w:hAnsi="Arial"/>
          <w:color w:val="000000" w:themeColor="text1"/>
        </w:rPr>
        <w:t>-2</w:t>
      </w:r>
      <w:r w:rsidR="000D3F96" w:rsidRPr="00417CD4">
        <w:rPr>
          <w:rFonts w:ascii="Arial" w:hAnsi="Arial"/>
          <w:color w:val="000000" w:themeColor="text1"/>
        </w:rPr>
        <w:t>5</w:t>
      </w:r>
      <w:r w:rsidR="00D23CF6" w:rsidRPr="00417CD4">
        <w:rPr>
          <w:rFonts w:ascii="Arial" w:hAnsi="Arial"/>
          <w:color w:val="000000" w:themeColor="text1"/>
        </w:rPr>
        <w:t>:</w:t>
      </w:r>
      <w:r w:rsidR="00560E77" w:rsidRPr="00417CD4">
        <w:rPr>
          <w:rStyle w:val="FootnoteReference"/>
          <w:rFonts w:ascii="Arial" w:hAnsi="Arial"/>
          <w:color w:val="000000" w:themeColor="text1"/>
        </w:rPr>
        <w:footnoteReference w:id="88"/>
      </w:r>
      <w:r w:rsidRPr="00417CD4">
        <w:rPr>
          <w:rFonts w:ascii="Arial" w:hAnsi="Arial"/>
          <w:color w:val="000000" w:themeColor="text1"/>
        </w:rPr>
        <w:t xml:space="preserve"> </w:t>
      </w:r>
    </w:p>
    <w:p w14:paraId="48BBB6C6" w14:textId="01B3502C" w:rsidR="00B55258" w:rsidRPr="00417CD4" w:rsidRDefault="00A72A00">
      <w:pPr>
        <w:pStyle w:val="ListParagraph"/>
        <w:numPr>
          <w:ilvl w:val="0"/>
          <w:numId w:val="45"/>
        </w:numPr>
        <w:spacing w:after="0" w:line="240" w:lineRule="auto"/>
        <w:rPr>
          <w:rFonts w:ascii="Arial" w:hAnsi="Arial"/>
          <w:color w:val="000000" w:themeColor="text1"/>
          <w:sz w:val="18"/>
          <w:szCs w:val="20"/>
        </w:rPr>
      </w:pPr>
      <w:r w:rsidRPr="00417CD4">
        <w:rPr>
          <w:rFonts w:ascii="Arial" w:hAnsi="Arial"/>
          <w:color w:val="000000" w:themeColor="text1"/>
          <w:sz w:val="18"/>
          <w:szCs w:val="20"/>
        </w:rPr>
        <w:t>6</w:t>
      </w:r>
      <w:r w:rsidR="00560E77" w:rsidRPr="00417CD4">
        <w:rPr>
          <w:rFonts w:ascii="Arial" w:hAnsi="Arial"/>
          <w:color w:val="000000" w:themeColor="text1"/>
          <w:sz w:val="18"/>
          <w:szCs w:val="20"/>
        </w:rPr>
        <w:t>,</w:t>
      </w:r>
      <w:r w:rsidR="00E27F07" w:rsidRPr="00417CD4">
        <w:rPr>
          <w:rFonts w:ascii="Arial" w:hAnsi="Arial"/>
          <w:color w:val="000000" w:themeColor="text1"/>
          <w:sz w:val="18"/>
          <w:szCs w:val="20"/>
        </w:rPr>
        <w:t>000 are from owned</w:t>
      </w:r>
      <w:r w:rsidR="009C01F7" w:rsidRPr="00417CD4">
        <w:rPr>
          <w:rFonts w:ascii="Arial" w:hAnsi="Arial"/>
          <w:color w:val="000000" w:themeColor="text1"/>
          <w:sz w:val="18"/>
          <w:szCs w:val="20"/>
        </w:rPr>
        <w:t>-</w:t>
      </w:r>
      <w:r w:rsidR="00E27F07" w:rsidRPr="00417CD4">
        <w:rPr>
          <w:rFonts w:ascii="Arial" w:hAnsi="Arial"/>
          <w:color w:val="000000" w:themeColor="text1"/>
          <w:sz w:val="18"/>
          <w:szCs w:val="20"/>
        </w:rPr>
        <w:t>no</w:t>
      </w:r>
      <w:r w:rsidR="009C01F7" w:rsidRPr="00417CD4">
        <w:rPr>
          <w:rFonts w:ascii="Arial" w:hAnsi="Arial"/>
          <w:color w:val="000000" w:themeColor="text1"/>
          <w:sz w:val="18"/>
          <w:szCs w:val="20"/>
        </w:rPr>
        <w:t>-</w:t>
      </w:r>
      <w:r w:rsidR="00E27F07" w:rsidRPr="00417CD4">
        <w:rPr>
          <w:rFonts w:ascii="Arial" w:hAnsi="Arial"/>
          <w:color w:val="000000" w:themeColor="text1"/>
          <w:sz w:val="18"/>
          <w:szCs w:val="20"/>
        </w:rPr>
        <w:t>mortgage</w:t>
      </w:r>
      <w:r w:rsidR="009C01F7" w:rsidRPr="00417CD4">
        <w:rPr>
          <w:rFonts w:ascii="Arial" w:hAnsi="Arial"/>
          <w:color w:val="000000" w:themeColor="text1"/>
          <w:sz w:val="18"/>
          <w:szCs w:val="20"/>
        </w:rPr>
        <w:t xml:space="preserve"> homes</w:t>
      </w:r>
      <w:r w:rsidR="00E27F07" w:rsidRPr="00417CD4">
        <w:rPr>
          <w:rFonts w:ascii="Arial" w:hAnsi="Arial"/>
          <w:color w:val="000000" w:themeColor="text1"/>
          <w:sz w:val="18"/>
          <w:szCs w:val="20"/>
        </w:rPr>
        <w:t xml:space="preserve"> </w:t>
      </w:r>
    </w:p>
    <w:p w14:paraId="425462AC" w14:textId="385E558C" w:rsidR="00B55258" w:rsidRPr="00417CD4" w:rsidRDefault="00E27F07">
      <w:pPr>
        <w:pStyle w:val="ListParagraph"/>
        <w:numPr>
          <w:ilvl w:val="0"/>
          <w:numId w:val="45"/>
        </w:numPr>
        <w:spacing w:after="0" w:line="240" w:lineRule="auto"/>
        <w:rPr>
          <w:rFonts w:ascii="Arial" w:hAnsi="Arial"/>
          <w:color w:val="000000" w:themeColor="text1"/>
          <w:sz w:val="18"/>
          <w:szCs w:val="20"/>
        </w:rPr>
      </w:pPr>
      <w:r w:rsidRPr="00417CD4">
        <w:rPr>
          <w:rFonts w:ascii="Arial" w:hAnsi="Arial"/>
          <w:color w:val="000000" w:themeColor="text1"/>
          <w:sz w:val="18"/>
          <w:szCs w:val="20"/>
        </w:rPr>
        <w:t>2</w:t>
      </w:r>
      <w:r w:rsidR="00A72A00" w:rsidRPr="00417CD4">
        <w:rPr>
          <w:rFonts w:ascii="Arial" w:hAnsi="Arial"/>
          <w:color w:val="000000" w:themeColor="text1"/>
          <w:sz w:val="18"/>
          <w:szCs w:val="20"/>
        </w:rPr>
        <w:t>5</w:t>
      </w:r>
      <w:r w:rsidR="00DB7345" w:rsidRPr="00417CD4">
        <w:rPr>
          <w:rFonts w:ascii="Arial" w:hAnsi="Arial"/>
          <w:color w:val="000000" w:themeColor="text1"/>
          <w:sz w:val="18"/>
          <w:szCs w:val="20"/>
        </w:rPr>
        <w:t>,000 are from owned</w:t>
      </w:r>
      <w:r w:rsidR="009C01F7" w:rsidRPr="00417CD4">
        <w:rPr>
          <w:rFonts w:ascii="Arial" w:hAnsi="Arial"/>
          <w:color w:val="000000" w:themeColor="text1"/>
          <w:sz w:val="18"/>
          <w:szCs w:val="20"/>
        </w:rPr>
        <w:t>-</w:t>
      </w:r>
      <w:r w:rsidR="00DB7345" w:rsidRPr="00417CD4">
        <w:rPr>
          <w:rFonts w:ascii="Arial" w:hAnsi="Arial"/>
          <w:color w:val="000000" w:themeColor="text1"/>
          <w:sz w:val="18"/>
          <w:szCs w:val="20"/>
        </w:rPr>
        <w:t>with</w:t>
      </w:r>
      <w:r w:rsidR="009C01F7" w:rsidRPr="00417CD4">
        <w:rPr>
          <w:rFonts w:ascii="Arial" w:hAnsi="Arial"/>
          <w:color w:val="000000" w:themeColor="text1"/>
          <w:sz w:val="18"/>
          <w:szCs w:val="20"/>
        </w:rPr>
        <w:t>-</w:t>
      </w:r>
      <w:r w:rsidR="00DB7345" w:rsidRPr="00417CD4">
        <w:rPr>
          <w:rFonts w:ascii="Arial" w:hAnsi="Arial"/>
          <w:color w:val="000000" w:themeColor="text1"/>
          <w:sz w:val="18"/>
          <w:szCs w:val="20"/>
        </w:rPr>
        <w:t>mortgage</w:t>
      </w:r>
      <w:r w:rsidR="009C01F7" w:rsidRPr="00417CD4">
        <w:rPr>
          <w:rFonts w:ascii="Arial" w:hAnsi="Arial"/>
          <w:color w:val="000000" w:themeColor="text1"/>
          <w:sz w:val="18"/>
          <w:szCs w:val="20"/>
        </w:rPr>
        <w:t xml:space="preserve"> homes</w:t>
      </w:r>
      <w:r w:rsidR="00DB7345" w:rsidRPr="00417CD4">
        <w:rPr>
          <w:rFonts w:ascii="Arial" w:hAnsi="Arial"/>
          <w:color w:val="000000" w:themeColor="text1"/>
          <w:sz w:val="18"/>
          <w:szCs w:val="20"/>
        </w:rPr>
        <w:t xml:space="preserve"> </w:t>
      </w:r>
    </w:p>
    <w:p w14:paraId="3242D669" w14:textId="4DB5A5F5" w:rsidR="00B55258" w:rsidRPr="00417CD4" w:rsidRDefault="007111BE">
      <w:pPr>
        <w:pStyle w:val="ListParagraph"/>
        <w:numPr>
          <w:ilvl w:val="0"/>
          <w:numId w:val="45"/>
        </w:numPr>
        <w:spacing w:after="0" w:line="240" w:lineRule="auto"/>
        <w:rPr>
          <w:rFonts w:ascii="Arial" w:hAnsi="Arial"/>
          <w:color w:val="000000" w:themeColor="text1"/>
          <w:sz w:val="18"/>
          <w:szCs w:val="20"/>
        </w:rPr>
      </w:pPr>
      <w:r w:rsidRPr="00417CD4">
        <w:rPr>
          <w:rFonts w:ascii="Arial" w:hAnsi="Arial"/>
          <w:color w:val="000000" w:themeColor="text1"/>
          <w:sz w:val="18"/>
          <w:szCs w:val="20"/>
        </w:rPr>
        <w:t>2</w:t>
      </w:r>
      <w:r w:rsidR="00A72A00" w:rsidRPr="00417CD4">
        <w:rPr>
          <w:rFonts w:ascii="Arial" w:hAnsi="Arial"/>
          <w:color w:val="000000" w:themeColor="text1"/>
          <w:sz w:val="18"/>
          <w:szCs w:val="20"/>
        </w:rPr>
        <w:t>1</w:t>
      </w:r>
      <w:r w:rsidR="00DB7345" w:rsidRPr="00417CD4">
        <w:rPr>
          <w:rFonts w:ascii="Arial" w:hAnsi="Arial"/>
          <w:color w:val="000000" w:themeColor="text1"/>
          <w:sz w:val="18"/>
          <w:szCs w:val="20"/>
        </w:rPr>
        <w:t xml:space="preserve">,000 are from private rentals with no AS </w:t>
      </w:r>
    </w:p>
    <w:p w14:paraId="2BF3F32B" w14:textId="420C4ACC" w:rsidR="00B55258" w:rsidRPr="00417CD4" w:rsidRDefault="007111BE">
      <w:pPr>
        <w:pStyle w:val="ListParagraph"/>
        <w:numPr>
          <w:ilvl w:val="0"/>
          <w:numId w:val="45"/>
        </w:numPr>
        <w:spacing w:after="0" w:line="240" w:lineRule="auto"/>
        <w:rPr>
          <w:rFonts w:ascii="Arial" w:hAnsi="Arial"/>
          <w:color w:val="000000" w:themeColor="text1"/>
          <w:sz w:val="18"/>
          <w:szCs w:val="20"/>
        </w:rPr>
      </w:pPr>
      <w:r w:rsidRPr="00417CD4">
        <w:rPr>
          <w:rFonts w:ascii="Arial" w:hAnsi="Arial"/>
          <w:color w:val="000000" w:themeColor="text1"/>
          <w:sz w:val="18"/>
          <w:szCs w:val="20"/>
        </w:rPr>
        <w:t>7</w:t>
      </w:r>
      <w:r w:rsidR="00796E93" w:rsidRPr="00417CD4">
        <w:rPr>
          <w:rFonts w:ascii="Arial" w:hAnsi="Arial"/>
          <w:color w:val="000000" w:themeColor="text1"/>
          <w:sz w:val="18"/>
          <w:szCs w:val="20"/>
        </w:rPr>
        <w:t>8</w:t>
      </w:r>
      <w:r w:rsidR="00D0059A" w:rsidRPr="00417CD4">
        <w:rPr>
          <w:rFonts w:ascii="Arial" w:hAnsi="Arial"/>
          <w:color w:val="000000" w:themeColor="text1"/>
          <w:sz w:val="18"/>
          <w:szCs w:val="20"/>
        </w:rPr>
        <w:t xml:space="preserve">,000 </w:t>
      </w:r>
      <w:r w:rsidR="00615259" w:rsidRPr="00417CD4">
        <w:rPr>
          <w:rFonts w:ascii="Arial" w:hAnsi="Arial"/>
          <w:color w:val="000000" w:themeColor="text1"/>
          <w:sz w:val="18"/>
          <w:szCs w:val="20"/>
        </w:rPr>
        <w:t xml:space="preserve">are </w:t>
      </w:r>
      <w:r w:rsidR="00F50823" w:rsidRPr="00417CD4">
        <w:rPr>
          <w:rFonts w:ascii="Arial" w:hAnsi="Arial"/>
          <w:color w:val="000000" w:themeColor="text1"/>
          <w:sz w:val="18"/>
          <w:szCs w:val="20"/>
        </w:rPr>
        <w:t>from private rentals</w:t>
      </w:r>
      <w:r w:rsidR="00D0059A" w:rsidRPr="00417CD4">
        <w:rPr>
          <w:rFonts w:ascii="Arial" w:hAnsi="Arial"/>
          <w:color w:val="000000" w:themeColor="text1"/>
          <w:sz w:val="18"/>
          <w:szCs w:val="20"/>
        </w:rPr>
        <w:t xml:space="preserve"> with AS</w:t>
      </w:r>
    </w:p>
    <w:p w14:paraId="5845F8CD" w14:textId="5CAB6509" w:rsidR="00A20E27" w:rsidRPr="00417CD4" w:rsidRDefault="00D0059A">
      <w:pPr>
        <w:pStyle w:val="ListParagraph"/>
        <w:numPr>
          <w:ilvl w:val="0"/>
          <w:numId w:val="45"/>
        </w:numPr>
        <w:spacing w:after="0" w:line="240" w:lineRule="auto"/>
        <w:rPr>
          <w:rFonts w:ascii="Arial" w:hAnsi="Arial"/>
          <w:color w:val="000000" w:themeColor="text1"/>
          <w:sz w:val="18"/>
          <w:szCs w:val="20"/>
        </w:rPr>
      </w:pPr>
      <w:r w:rsidRPr="00417CD4">
        <w:rPr>
          <w:rFonts w:ascii="Arial" w:hAnsi="Arial"/>
          <w:color w:val="000000" w:themeColor="text1"/>
          <w:sz w:val="18"/>
          <w:szCs w:val="20"/>
        </w:rPr>
        <w:t>3</w:t>
      </w:r>
      <w:r w:rsidR="000D3F96" w:rsidRPr="00417CD4">
        <w:rPr>
          <w:rFonts w:ascii="Arial" w:hAnsi="Arial"/>
          <w:color w:val="000000" w:themeColor="text1"/>
          <w:sz w:val="18"/>
          <w:szCs w:val="20"/>
        </w:rPr>
        <w:t>6</w:t>
      </w:r>
      <w:r w:rsidR="00F50823" w:rsidRPr="00417CD4">
        <w:rPr>
          <w:rFonts w:ascii="Arial" w:hAnsi="Arial"/>
          <w:color w:val="000000" w:themeColor="text1"/>
          <w:sz w:val="18"/>
          <w:szCs w:val="20"/>
        </w:rPr>
        <w:t xml:space="preserve">,000 </w:t>
      </w:r>
      <w:r w:rsidRPr="00417CD4">
        <w:rPr>
          <w:rFonts w:ascii="Arial" w:hAnsi="Arial"/>
          <w:color w:val="000000" w:themeColor="text1"/>
          <w:sz w:val="18"/>
          <w:szCs w:val="20"/>
        </w:rPr>
        <w:t xml:space="preserve">are </w:t>
      </w:r>
      <w:r w:rsidR="00F50823" w:rsidRPr="00417CD4">
        <w:rPr>
          <w:rFonts w:ascii="Arial" w:hAnsi="Arial"/>
          <w:color w:val="000000" w:themeColor="text1"/>
          <w:sz w:val="18"/>
          <w:szCs w:val="20"/>
        </w:rPr>
        <w:t>fro</w:t>
      </w:r>
      <w:r w:rsidR="00615259" w:rsidRPr="00417CD4">
        <w:rPr>
          <w:rFonts w:ascii="Arial" w:hAnsi="Arial"/>
          <w:color w:val="000000" w:themeColor="text1"/>
          <w:sz w:val="18"/>
          <w:szCs w:val="20"/>
        </w:rPr>
        <w:t>m</w:t>
      </w:r>
      <w:r w:rsidR="00F50823" w:rsidRPr="00417CD4">
        <w:rPr>
          <w:rFonts w:ascii="Arial" w:hAnsi="Arial"/>
          <w:color w:val="000000" w:themeColor="text1"/>
          <w:sz w:val="18"/>
          <w:szCs w:val="20"/>
        </w:rPr>
        <w:t xml:space="preserve"> social</w:t>
      </w:r>
      <w:r w:rsidR="00615259" w:rsidRPr="00417CD4">
        <w:rPr>
          <w:rFonts w:ascii="Arial" w:hAnsi="Arial"/>
          <w:color w:val="000000" w:themeColor="text1"/>
          <w:sz w:val="18"/>
          <w:szCs w:val="20"/>
        </w:rPr>
        <w:t xml:space="preserve"> rentals</w:t>
      </w:r>
      <w:r w:rsidR="00635991" w:rsidRPr="00417CD4">
        <w:rPr>
          <w:rFonts w:ascii="Arial" w:hAnsi="Arial"/>
          <w:color w:val="000000" w:themeColor="text1"/>
          <w:sz w:val="18"/>
          <w:szCs w:val="20"/>
        </w:rPr>
        <w:t>, and another 5000 from ‘other’ categories.</w:t>
      </w:r>
    </w:p>
    <w:p w14:paraId="1DD10742" w14:textId="77777777" w:rsidR="00796E93" w:rsidRPr="00417CD4" w:rsidRDefault="00796E93" w:rsidP="00796E93">
      <w:pPr>
        <w:spacing w:after="0" w:line="240" w:lineRule="auto"/>
        <w:rPr>
          <w:rFonts w:ascii="Arial" w:hAnsi="Arial"/>
          <w:color w:val="000000" w:themeColor="text1"/>
        </w:rPr>
      </w:pPr>
    </w:p>
    <w:p w14:paraId="3EDAADD9" w14:textId="492BEA72" w:rsidR="00796E93" w:rsidRPr="00417CD4" w:rsidRDefault="00796E93" w:rsidP="00796E93">
      <w:pPr>
        <w:spacing w:after="0" w:line="240" w:lineRule="auto"/>
        <w:rPr>
          <w:rFonts w:ascii="Arial" w:hAnsi="Arial"/>
          <w:color w:val="000000" w:themeColor="text1"/>
        </w:rPr>
      </w:pPr>
      <w:r w:rsidRPr="00417CD4">
        <w:rPr>
          <w:rFonts w:ascii="Arial" w:hAnsi="Arial"/>
          <w:color w:val="000000" w:themeColor="text1"/>
        </w:rPr>
        <w:t>The risk ratios for Private Rent with AS (2.8) and Social Rent (3.4) indicate over-representation of these groups</w:t>
      </w:r>
      <w:r w:rsidR="00244257" w:rsidRPr="00417CD4">
        <w:rPr>
          <w:rFonts w:ascii="Arial" w:hAnsi="Arial"/>
          <w:color w:val="000000" w:themeColor="text1"/>
        </w:rPr>
        <w:t xml:space="preserve"> reporting material hardship</w:t>
      </w:r>
      <w:r w:rsidRPr="00417CD4">
        <w:rPr>
          <w:rFonts w:ascii="Arial" w:hAnsi="Arial"/>
          <w:color w:val="000000" w:themeColor="text1"/>
        </w:rPr>
        <w:t>.</w:t>
      </w:r>
      <w:r w:rsidRPr="00417CD4">
        <w:rPr>
          <w:rStyle w:val="FootnoteReference"/>
          <w:rFonts w:ascii="Arial" w:hAnsi="Arial"/>
          <w:color w:val="000000" w:themeColor="text1"/>
        </w:rPr>
        <w:footnoteReference w:id="89"/>
      </w:r>
    </w:p>
    <w:p w14:paraId="7C880115" w14:textId="42834B1A" w:rsidR="002C3EA2" w:rsidRPr="00417CD4" w:rsidRDefault="002C3EA2" w:rsidP="002C3EA2">
      <w:pPr>
        <w:spacing w:after="0" w:line="240" w:lineRule="auto"/>
        <w:rPr>
          <w:rFonts w:ascii="Arial" w:hAnsi="Arial"/>
          <w:color w:val="000000" w:themeColor="text1"/>
        </w:rPr>
      </w:pPr>
      <w:bookmarkStart w:id="22" w:name="_Hlk173917301"/>
      <w:r w:rsidRPr="00417CD4">
        <w:rPr>
          <w:rFonts w:ascii="Arial" w:hAnsi="Arial"/>
          <w:b/>
          <w:bCs/>
          <w:color w:val="000000" w:themeColor="text1"/>
        </w:rPr>
        <w:lastRenderedPageBreak/>
        <w:t xml:space="preserve">Figure </w:t>
      </w:r>
      <w:r w:rsidR="00046A24">
        <w:rPr>
          <w:rFonts w:ascii="Arial" w:hAnsi="Arial"/>
          <w:b/>
          <w:bCs/>
          <w:color w:val="000000" w:themeColor="text1"/>
        </w:rPr>
        <w:t>I</w:t>
      </w:r>
      <w:r w:rsidR="009D1117" w:rsidRPr="00417CD4">
        <w:rPr>
          <w:rFonts w:ascii="Arial" w:hAnsi="Arial"/>
          <w:b/>
          <w:bCs/>
          <w:color w:val="000000" w:themeColor="text1"/>
        </w:rPr>
        <w:t>.1</w:t>
      </w:r>
      <w:r w:rsidRPr="00417CD4">
        <w:rPr>
          <w:rFonts w:ascii="Arial" w:hAnsi="Arial"/>
          <w:color w:val="000000" w:themeColor="text1"/>
        </w:rPr>
        <w:t xml:space="preserve"> shows the trends in average housing costs as a proportion of average unequivalised </w:t>
      </w:r>
      <w:r w:rsidR="008C553F" w:rsidRPr="00417CD4">
        <w:rPr>
          <w:rFonts w:ascii="Arial" w:hAnsi="Arial"/>
          <w:color w:val="000000" w:themeColor="text1"/>
        </w:rPr>
        <w:t xml:space="preserve">BHC </w:t>
      </w:r>
      <w:r w:rsidRPr="00417CD4">
        <w:rPr>
          <w:rFonts w:ascii="Arial" w:hAnsi="Arial"/>
          <w:color w:val="000000" w:themeColor="text1"/>
        </w:rPr>
        <w:t xml:space="preserve">income for </w:t>
      </w:r>
      <w:r w:rsidR="00977241" w:rsidRPr="00417CD4">
        <w:rPr>
          <w:rFonts w:ascii="Arial" w:hAnsi="Arial"/>
          <w:color w:val="000000" w:themeColor="text1"/>
        </w:rPr>
        <w:t>income quintiles</w:t>
      </w:r>
      <w:r w:rsidRPr="00417CD4">
        <w:rPr>
          <w:rFonts w:ascii="Arial" w:hAnsi="Arial"/>
          <w:color w:val="000000" w:themeColor="text1"/>
        </w:rPr>
        <w:t xml:space="preserve"> of households with dependent children (with all adults under 65). Housing costs are:</w:t>
      </w:r>
    </w:p>
    <w:p w14:paraId="089E8708" w14:textId="2403BED1" w:rsidR="002C3EA2" w:rsidRPr="00417CD4" w:rsidRDefault="002C3EA2">
      <w:pPr>
        <w:numPr>
          <w:ilvl w:val="0"/>
          <w:numId w:val="25"/>
        </w:numPr>
        <w:spacing w:before="60" w:after="0" w:line="240" w:lineRule="auto"/>
        <w:ind w:left="714" w:hanging="357"/>
        <w:rPr>
          <w:rFonts w:ascii="Arial" w:hAnsi="Arial"/>
          <w:color w:val="000000" w:themeColor="text1"/>
          <w:sz w:val="18"/>
          <w:szCs w:val="20"/>
        </w:rPr>
      </w:pPr>
      <w:r w:rsidRPr="00417CD4">
        <w:rPr>
          <w:rFonts w:ascii="Arial" w:hAnsi="Arial"/>
          <w:color w:val="000000" w:themeColor="text1"/>
          <w:sz w:val="18"/>
          <w:szCs w:val="20"/>
        </w:rPr>
        <w:t xml:space="preserve">up from 15% in 1988 to 22% in HES </w:t>
      </w:r>
      <w:r w:rsidR="000E6393" w:rsidRPr="00417CD4">
        <w:rPr>
          <w:rFonts w:ascii="Arial" w:hAnsi="Arial"/>
          <w:color w:val="000000" w:themeColor="text1"/>
          <w:sz w:val="18"/>
          <w:szCs w:val="20"/>
        </w:rPr>
        <w:t xml:space="preserve">2019 </w:t>
      </w:r>
      <w:r w:rsidR="00046830" w:rsidRPr="00417CD4">
        <w:rPr>
          <w:rFonts w:ascii="Arial" w:hAnsi="Arial"/>
          <w:color w:val="000000" w:themeColor="text1"/>
          <w:sz w:val="18"/>
          <w:szCs w:val="20"/>
        </w:rPr>
        <w:t>and 2</w:t>
      </w:r>
      <w:r w:rsidR="00427AE5" w:rsidRPr="00417CD4">
        <w:rPr>
          <w:rFonts w:ascii="Arial" w:hAnsi="Arial"/>
          <w:color w:val="000000" w:themeColor="text1"/>
          <w:sz w:val="18"/>
          <w:szCs w:val="20"/>
        </w:rPr>
        <w:t>5</w:t>
      </w:r>
      <w:r w:rsidR="00046830" w:rsidRPr="00417CD4">
        <w:rPr>
          <w:rFonts w:ascii="Arial" w:hAnsi="Arial"/>
          <w:color w:val="000000" w:themeColor="text1"/>
          <w:sz w:val="18"/>
          <w:szCs w:val="20"/>
        </w:rPr>
        <w:t>% in H</w:t>
      </w:r>
      <w:r w:rsidR="001F2808">
        <w:rPr>
          <w:rFonts w:ascii="Arial" w:hAnsi="Arial"/>
          <w:color w:val="000000" w:themeColor="text1"/>
          <w:sz w:val="18"/>
          <w:szCs w:val="20"/>
        </w:rPr>
        <w:t>ILS</w:t>
      </w:r>
      <w:r w:rsidR="00046830" w:rsidRPr="00417CD4">
        <w:rPr>
          <w:rFonts w:ascii="Arial" w:hAnsi="Arial"/>
          <w:color w:val="000000" w:themeColor="text1"/>
          <w:sz w:val="18"/>
          <w:szCs w:val="20"/>
        </w:rPr>
        <w:t xml:space="preserve"> 202</w:t>
      </w:r>
      <w:r w:rsidR="005E3E07" w:rsidRPr="00417CD4">
        <w:rPr>
          <w:rFonts w:ascii="Arial" w:hAnsi="Arial"/>
          <w:color w:val="000000" w:themeColor="text1"/>
          <w:sz w:val="18"/>
          <w:szCs w:val="20"/>
        </w:rPr>
        <w:t>5</w:t>
      </w:r>
      <w:r w:rsidR="00046830" w:rsidRPr="00417CD4">
        <w:rPr>
          <w:rFonts w:ascii="Arial" w:hAnsi="Arial"/>
          <w:color w:val="000000" w:themeColor="text1"/>
          <w:sz w:val="18"/>
          <w:szCs w:val="20"/>
        </w:rPr>
        <w:t xml:space="preserve">, </w:t>
      </w:r>
      <w:r w:rsidRPr="00417CD4">
        <w:rPr>
          <w:rFonts w:ascii="Arial" w:hAnsi="Arial"/>
          <w:color w:val="000000" w:themeColor="text1"/>
          <w:sz w:val="18"/>
          <w:szCs w:val="20"/>
        </w:rPr>
        <w:t>for all households with children</w:t>
      </w:r>
    </w:p>
    <w:p w14:paraId="44AEEFE2" w14:textId="415E8EF6" w:rsidR="002C3EA2" w:rsidRPr="00417CD4" w:rsidRDefault="002C3EA2">
      <w:pPr>
        <w:numPr>
          <w:ilvl w:val="0"/>
          <w:numId w:val="25"/>
        </w:numPr>
        <w:spacing w:before="60" w:after="0" w:line="240" w:lineRule="auto"/>
        <w:ind w:left="714" w:hanging="357"/>
        <w:rPr>
          <w:rFonts w:ascii="Arial" w:hAnsi="Arial"/>
          <w:color w:val="000000" w:themeColor="text1"/>
          <w:sz w:val="18"/>
          <w:szCs w:val="20"/>
        </w:rPr>
      </w:pPr>
      <w:r w:rsidRPr="00417CD4">
        <w:rPr>
          <w:rFonts w:ascii="Arial" w:hAnsi="Arial"/>
          <w:color w:val="000000" w:themeColor="text1"/>
          <w:sz w:val="18"/>
          <w:szCs w:val="20"/>
        </w:rPr>
        <w:t xml:space="preserve">up from 23% </w:t>
      </w:r>
      <w:r w:rsidR="001F2808">
        <w:rPr>
          <w:rFonts w:ascii="Arial" w:hAnsi="Arial"/>
          <w:color w:val="000000" w:themeColor="text1"/>
          <w:sz w:val="18"/>
          <w:szCs w:val="20"/>
        </w:rPr>
        <w:t xml:space="preserve">in 1988 </w:t>
      </w:r>
      <w:r w:rsidRPr="00417CD4">
        <w:rPr>
          <w:rFonts w:ascii="Arial" w:hAnsi="Arial"/>
          <w:color w:val="000000" w:themeColor="text1"/>
          <w:sz w:val="18"/>
          <w:szCs w:val="20"/>
        </w:rPr>
        <w:t>to 4</w:t>
      </w:r>
      <w:r w:rsidR="00977241" w:rsidRPr="00417CD4">
        <w:rPr>
          <w:rFonts w:ascii="Arial" w:hAnsi="Arial"/>
          <w:color w:val="000000" w:themeColor="text1"/>
          <w:sz w:val="18"/>
          <w:szCs w:val="20"/>
        </w:rPr>
        <w:t>4</w:t>
      </w:r>
      <w:r w:rsidRPr="00417CD4">
        <w:rPr>
          <w:rFonts w:ascii="Arial" w:hAnsi="Arial"/>
          <w:color w:val="000000" w:themeColor="text1"/>
          <w:sz w:val="18"/>
          <w:szCs w:val="20"/>
        </w:rPr>
        <w:t>%</w:t>
      </w:r>
      <w:r w:rsidR="001F2808">
        <w:rPr>
          <w:rFonts w:ascii="Arial" w:hAnsi="Arial"/>
          <w:color w:val="000000" w:themeColor="text1"/>
          <w:sz w:val="18"/>
          <w:szCs w:val="20"/>
        </w:rPr>
        <w:t xml:space="preserve"> in 2025</w:t>
      </w:r>
      <w:r w:rsidRPr="00417CD4">
        <w:rPr>
          <w:rFonts w:ascii="Arial" w:hAnsi="Arial"/>
          <w:color w:val="000000" w:themeColor="text1"/>
          <w:sz w:val="18"/>
          <w:szCs w:val="20"/>
        </w:rPr>
        <w:t xml:space="preserve"> for the lowest income quintile (Q1)</w:t>
      </w:r>
      <w:r w:rsidR="00046830" w:rsidRPr="00417CD4">
        <w:rPr>
          <w:rFonts w:ascii="Arial" w:hAnsi="Arial"/>
          <w:color w:val="000000" w:themeColor="text1"/>
          <w:sz w:val="18"/>
          <w:szCs w:val="20"/>
        </w:rPr>
        <w:t>;</w:t>
      </w:r>
      <w:r w:rsidRPr="00417CD4">
        <w:rPr>
          <w:rFonts w:ascii="Arial" w:hAnsi="Arial"/>
          <w:color w:val="000000" w:themeColor="text1"/>
          <w:sz w:val="18"/>
          <w:szCs w:val="20"/>
        </w:rPr>
        <w:t xml:space="preserve"> and </w:t>
      </w:r>
      <w:r w:rsidR="00046830" w:rsidRPr="00417CD4">
        <w:rPr>
          <w:rFonts w:ascii="Arial" w:hAnsi="Arial"/>
          <w:color w:val="000000" w:themeColor="text1"/>
          <w:sz w:val="18"/>
          <w:szCs w:val="20"/>
        </w:rPr>
        <w:t xml:space="preserve">for Q2, up from </w:t>
      </w:r>
      <w:r w:rsidRPr="00417CD4">
        <w:rPr>
          <w:rFonts w:ascii="Arial" w:hAnsi="Arial"/>
          <w:color w:val="000000" w:themeColor="text1"/>
          <w:sz w:val="18"/>
          <w:szCs w:val="20"/>
        </w:rPr>
        <w:t xml:space="preserve">19% </w:t>
      </w:r>
      <w:r w:rsidR="00427AE5" w:rsidRPr="00417CD4">
        <w:rPr>
          <w:rFonts w:ascii="Arial" w:hAnsi="Arial"/>
          <w:color w:val="000000" w:themeColor="text1"/>
          <w:sz w:val="18"/>
          <w:szCs w:val="20"/>
        </w:rPr>
        <w:t xml:space="preserve">in 1988 </w:t>
      </w:r>
      <w:r w:rsidRPr="00417CD4">
        <w:rPr>
          <w:rFonts w:ascii="Arial" w:hAnsi="Arial"/>
          <w:color w:val="000000" w:themeColor="text1"/>
          <w:sz w:val="18"/>
          <w:szCs w:val="20"/>
        </w:rPr>
        <w:t>to 30% for</w:t>
      </w:r>
      <w:r w:rsidR="00046830" w:rsidRPr="00417CD4">
        <w:rPr>
          <w:rFonts w:ascii="Arial" w:hAnsi="Arial"/>
          <w:color w:val="000000" w:themeColor="text1"/>
          <w:sz w:val="18"/>
          <w:szCs w:val="20"/>
        </w:rPr>
        <w:t xml:space="preserve"> 2019 to 2021</w:t>
      </w:r>
      <w:r w:rsidRPr="00417CD4">
        <w:rPr>
          <w:rFonts w:ascii="Arial" w:hAnsi="Arial"/>
          <w:color w:val="000000" w:themeColor="text1"/>
          <w:sz w:val="18"/>
          <w:szCs w:val="20"/>
        </w:rPr>
        <w:t xml:space="preserve"> </w:t>
      </w:r>
      <w:r w:rsidR="00046830" w:rsidRPr="00417CD4">
        <w:rPr>
          <w:rFonts w:ascii="Arial" w:hAnsi="Arial"/>
          <w:color w:val="000000" w:themeColor="text1"/>
          <w:sz w:val="18"/>
          <w:szCs w:val="20"/>
        </w:rPr>
        <w:t xml:space="preserve">and even higher at </w:t>
      </w:r>
      <w:r w:rsidR="005E3E07" w:rsidRPr="00417CD4">
        <w:rPr>
          <w:rFonts w:ascii="Arial" w:hAnsi="Arial"/>
          <w:color w:val="000000" w:themeColor="text1"/>
          <w:sz w:val="18"/>
          <w:szCs w:val="20"/>
        </w:rPr>
        <w:t>32-</w:t>
      </w:r>
      <w:r w:rsidR="00046830" w:rsidRPr="00417CD4">
        <w:rPr>
          <w:rFonts w:ascii="Arial" w:hAnsi="Arial"/>
          <w:color w:val="000000" w:themeColor="text1"/>
          <w:sz w:val="18"/>
          <w:szCs w:val="20"/>
        </w:rPr>
        <w:t xml:space="preserve">33% for </w:t>
      </w:r>
      <w:r w:rsidR="00427AE5" w:rsidRPr="00417CD4">
        <w:rPr>
          <w:rFonts w:ascii="Arial" w:hAnsi="Arial"/>
          <w:color w:val="000000" w:themeColor="text1"/>
          <w:sz w:val="18"/>
          <w:szCs w:val="20"/>
        </w:rPr>
        <w:t xml:space="preserve">2023 </w:t>
      </w:r>
      <w:r w:rsidR="005E3E07" w:rsidRPr="00417CD4">
        <w:rPr>
          <w:rFonts w:ascii="Arial" w:hAnsi="Arial"/>
          <w:color w:val="000000" w:themeColor="text1"/>
          <w:sz w:val="18"/>
          <w:szCs w:val="20"/>
        </w:rPr>
        <w:t>to 2025.</w:t>
      </w:r>
    </w:p>
    <w:p w14:paraId="6F291299" w14:textId="4C64EB74" w:rsidR="00986178" w:rsidRPr="00417CD4" w:rsidRDefault="00986178" w:rsidP="00986178">
      <w:pPr>
        <w:spacing w:after="0" w:line="240" w:lineRule="auto"/>
        <w:jc w:val="center"/>
        <w:rPr>
          <w:rFonts w:ascii="Arial" w:hAnsi="Arial"/>
          <w:b/>
          <w:bCs/>
          <w:color w:val="000000" w:themeColor="text1"/>
          <w:sz w:val="18"/>
          <w:szCs w:val="18"/>
        </w:rPr>
      </w:pPr>
      <w:bookmarkStart w:id="23" w:name="_Hlk173915920"/>
    </w:p>
    <w:p w14:paraId="50032701" w14:textId="0D1EB6B6" w:rsidR="002C3EA2" w:rsidRPr="00417CD4" w:rsidRDefault="002C3EA2" w:rsidP="00986178">
      <w:pPr>
        <w:spacing w:after="0" w:line="240" w:lineRule="auto"/>
        <w:jc w:val="center"/>
        <w:rPr>
          <w:rFonts w:ascii="Arial" w:hAnsi="Arial"/>
          <w:b/>
          <w:bCs/>
          <w:color w:val="000000" w:themeColor="text1"/>
          <w:sz w:val="18"/>
          <w:szCs w:val="18"/>
        </w:rPr>
      </w:pPr>
      <w:r w:rsidRPr="00417CD4">
        <w:rPr>
          <w:rFonts w:ascii="Arial" w:hAnsi="Arial"/>
          <w:b/>
          <w:bCs/>
          <w:color w:val="000000" w:themeColor="text1"/>
          <w:sz w:val="18"/>
          <w:szCs w:val="18"/>
        </w:rPr>
        <w:t xml:space="preserve">Figure </w:t>
      </w:r>
      <w:r w:rsidR="00046A24">
        <w:rPr>
          <w:rFonts w:ascii="Arial" w:hAnsi="Arial"/>
          <w:b/>
          <w:bCs/>
          <w:color w:val="000000" w:themeColor="text1"/>
          <w:sz w:val="18"/>
          <w:szCs w:val="18"/>
        </w:rPr>
        <w:t>I</w:t>
      </w:r>
      <w:r w:rsidR="009D1117" w:rsidRPr="00417CD4">
        <w:rPr>
          <w:rFonts w:ascii="Arial" w:hAnsi="Arial"/>
          <w:b/>
          <w:bCs/>
          <w:color w:val="000000" w:themeColor="text1"/>
          <w:sz w:val="18"/>
          <w:szCs w:val="18"/>
        </w:rPr>
        <w:t>.1</w:t>
      </w:r>
    </w:p>
    <w:p w14:paraId="1EF4FA54" w14:textId="22069B58" w:rsidR="002C3EA2" w:rsidRPr="00417CD4" w:rsidRDefault="00DE1339" w:rsidP="00147B3B">
      <w:pPr>
        <w:spacing w:after="0" w:line="240" w:lineRule="auto"/>
        <w:jc w:val="center"/>
        <w:rPr>
          <w:rFonts w:ascii="Arial" w:hAnsi="Arial"/>
          <w:b/>
          <w:bCs/>
          <w:color w:val="000000" w:themeColor="text1"/>
          <w:sz w:val="18"/>
          <w:szCs w:val="18"/>
        </w:rPr>
      </w:pPr>
      <w:r w:rsidRPr="00417CD4">
        <w:rPr>
          <w:noProof/>
          <w:color w:val="000000" w:themeColor="text1"/>
        </w:rPr>
        <w:drawing>
          <wp:anchor distT="0" distB="0" distL="114300" distR="114300" simplePos="0" relativeHeight="253060096" behindDoc="0" locked="0" layoutInCell="1" allowOverlap="1" wp14:anchorId="4D957988" wp14:editId="4720C86E">
            <wp:simplePos x="0" y="0"/>
            <wp:positionH relativeFrom="margin">
              <wp:align>center</wp:align>
            </wp:positionH>
            <wp:positionV relativeFrom="paragraph">
              <wp:posOffset>190500</wp:posOffset>
            </wp:positionV>
            <wp:extent cx="3420110" cy="2106930"/>
            <wp:effectExtent l="0" t="0" r="8890" b="7620"/>
            <wp:wrapTopAndBottom/>
            <wp:docPr id="1156433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33637"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420110" cy="2106930"/>
                    </a:xfrm>
                    <a:prstGeom prst="rect">
                      <a:avLst/>
                    </a:prstGeom>
                  </pic:spPr>
                </pic:pic>
              </a:graphicData>
            </a:graphic>
            <wp14:sizeRelH relativeFrom="page">
              <wp14:pctWidth>0</wp14:pctWidth>
            </wp14:sizeRelH>
            <wp14:sizeRelV relativeFrom="page">
              <wp14:pctHeight>0</wp14:pctHeight>
            </wp14:sizeRelV>
          </wp:anchor>
        </w:drawing>
      </w:r>
      <w:r w:rsidR="002C3EA2" w:rsidRPr="00417CD4">
        <w:rPr>
          <w:rFonts w:ascii="Arial" w:hAnsi="Arial"/>
          <w:b/>
          <w:bCs/>
          <w:noProof/>
          <w:color w:val="000000" w:themeColor="text1"/>
          <w:sz w:val="18"/>
          <w:szCs w:val="18"/>
        </w:rPr>
        <w:t>Av</w:t>
      </w:r>
      <w:r w:rsidR="00147B3B" w:rsidRPr="00417CD4">
        <w:rPr>
          <w:rFonts w:ascii="Arial" w:hAnsi="Arial"/>
          <w:b/>
          <w:bCs/>
          <w:noProof/>
          <w:color w:val="000000" w:themeColor="text1"/>
          <w:sz w:val="18"/>
          <w:szCs w:val="18"/>
        </w:rPr>
        <w:t>g</w:t>
      </w:r>
      <w:r w:rsidR="002C3EA2" w:rsidRPr="00417CD4">
        <w:rPr>
          <w:rFonts w:ascii="Arial" w:hAnsi="Arial"/>
          <w:b/>
          <w:bCs/>
          <w:noProof/>
          <w:color w:val="000000" w:themeColor="text1"/>
          <w:sz w:val="18"/>
          <w:szCs w:val="18"/>
        </w:rPr>
        <w:t xml:space="preserve"> housing costs relative to unequivalised income (%),</w:t>
      </w:r>
      <w:r w:rsidR="00147B3B" w:rsidRPr="00417CD4">
        <w:rPr>
          <w:rFonts w:ascii="Arial" w:hAnsi="Arial"/>
          <w:b/>
          <w:bCs/>
          <w:noProof/>
          <w:color w:val="000000" w:themeColor="text1"/>
          <w:sz w:val="18"/>
          <w:szCs w:val="18"/>
        </w:rPr>
        <w:t xml:space="preserve"> </w:t>
      </w:r>
      <w:r w:rsidR="002C3EA2" w:rsidRPr="00417CD4">
        <w:rPr>
          <w:rFonts w:ascii="Arial" w:hAnsi="Arial"/>
          <w:b/>
          <w:bCs/>
          <w:noProof/>
          <w:color w:val="000000" w:themeColor="text1"/>
          <w:sz w:val="18"/>
          <w:szCs w:val="18"/>
        </w:rPr>
        <w:t>under 65 households with children, 1988 to 202</w:t>
      </w:r>
      <w:r w:rsidRPr="00417CD4">
        <w:rPr>
          <w:rFonts w:ascii="Arial" w:hAnsi="Arial"/>
          <w:b/>
          <w:bCs/>
          <w:noProof/>
          <w:color w:val="000000" w:themeColor="text1"/>
          <w:sz w:val="18"/>
          <w:szCs w:val="18"/>
        </w:rPr>
        <w:t>5</w:t>
      </w:r>
    </w:p>
    <w:p w14:paraId="37342A9A" w14:textId="2C967498" w:rsidR="002C3EA2" w:rsidRPr="00417CD4" w:rsidRDefault="002C3EA2" w:rsidP="00E3766F">
      <w:pPr>
        <w:spacing w:after="0" w:line="240" w:lineRule="auto"/>
        <w:ind w:left="1276" w:right="1371"/>
        <w:rPr>
          <w:rFonts w:ascii="Arial" w:hAnsi="Arial"/>
          <w:color w:val="000000" w:themeColor="text1"/>
          <w:sz w:val="16"/>
          <w:szCs w:val="16"/>
        </w:rPr>
      </w:pPr>
      <w:r w:rsidRPr="00417CD4">
        <w:rPr>
          <w:rFonts w:ascii="Arial" w:hAnsi="Arial"/>
          <w:color w:val="000000" w:themeColor="text1"/>
          <w:sz w:val="16"/>
          <w:szCs w:val="16"/>
        </w:rPr>
        <w:t xml:space="preserve">Note for </w:t>
      </w:r>
      <w:r w:rsidR="008C00B2" w:rsidRPr="00417CD4">
        <w:rPr>
          <w:rFonts w:ascii="Arial" w:hAnsi="Arial"/>
          <w:color w:val="000000" w:themeColor="text1"/>
          <w:sz w:val="16"/>
          <w:szCs w:val="16"/>
        </w:rPr>
        <w:t xml:space="preserve">Figure </w:t>
      </w:r>
      <w:r w:rsidR="00046A24">
        <w:rPr>
          <w:rFonts w:ascii="Arial" w:hAnsi="Arial"/>
          <w:color w:val="000000" w:themeColor="text1"/>
          <w:sz w:val="16"/>
          <w:szCs w:val="16"/>
        </w:rPr>
        <w:t>I</w:t>
      </w:r>
      <w:r w:rsidR="008C00B2" w:rsidRPr="00417CD4">
        <w:rPr>
          <w:rFonts w:ascii="Arial" w:hAnsi="Arial"/>
          <w:color w:val="000000" w:themeColor="text1"/>
          <w:sz w:val="16"/>
          <w:szCs w:val="16"/>
        </w:rPr>
        <w:t>.1:</w:t>
      </w:r>
      <w:r w:rsidRPr="00417CD4">
        <w:rPr>
          <w:rFonts w:ascii="Arial" w:hAnsi="Arial"/>
          <w:color w:val="000000" w:themeColor="text1"/>
          <w:sz w:val="16"/>
          <w:szCs w:val="16"/>
        </w:rPr>
        <w:t xml:space="preserve">. </w:t>
      </w:r>
    </w:p>
    <w:p w14:paraId="65BCB6BD" w14:textId="57A023A5" w:rsidR="00EF276B" w:rsidRPr="00417CD4" w:rsidRDefault="00EF276B" w:rsidP="00D21305">
      <w:pPr>
        <w:spacing w:after="0" w:line="240" w:lineRule="auto"/>
        <w:ind w:left="1418" w:right="1371"/>
        <w:contextualSpacing/>
        <w:rPr>
          <w:rFonts w:ascii="Arial" w:hAnsi="Arial"/>
          <w:color w:val="000000" w:themeColor="text1"/>
          <w:sz w:val="16"/>
          <w:szCs w:val="16"/>
        </w:rPr>
      </w:pPr>
      <w:r w:rsidRPr="00417CD4">
        <w:rPr>
          <w:rFonts w:ascii="Arial" w:hAnsi="Arial"/>
          <w:color w:val="000000" w:themeColor="text1"/>
          <w:sz w:val="16"/>
          <w:szCs w:val="16"/>
        </w:rPr>
        <w:t xml:space="preserve">The </w:t>
      </w:r>
      <w:r w:rsidR="000579AF" w:rsidRPr="00417CD4">
        <w:rPr>
          <w:rFonts w:ascii="Arial" w:hAnsi="Arial"/>
          <w:color w:val="000000" w:themeColor="text1"/>
          <w:sz w:val="16"/>
          <w:szCs w:val="16"/>
        </w:rPr>
        <w:t xml:space="preserve">longer-term </w:t>
      </w:r>
      <w:r w:rsidRPr="00417CD4">
        <w:rPr>
          <w:rFonts w:ascii="Arial" w:hAnsi="Arial"/>
          <w:color w:val="000000" w:themeColor="text1"/>
          <w:sz w:val="16"/>
          <w:szCs w:val="16"/>
        </w:rPr>
        <w:t>trend lines give robust indications of current and past levels of spending on accommodation relative to income, and of the relativities between groups</w:t>
      </w:r>
      <w:r w:rsidR="00672A30" w:rsidRPr="00417CD4">
        <w:rPr>
          <w:rFonts w:ascii="Arial" w:hAnsi="Arial"/>
          <w:color w:val="000000" w:themeColor="text1"/>
          <w:sz w:val="16"/>
          <w:szCs w:val="16"/>
        </w:rPr>
        <w:t xml:space="preserve"> (as</w:t>
      </w:r>
      <w:r w:rsidR="000579AF" w:rsidRPr="00417CD4">
        <w:rPr>
          <w:rFonts w:ascii="Arial" w:hAnsi="Arial"/>
          <w:color w:val="000000" w:themeColor="text1"/>
          <w:sz w:val="16"/>
          <w:szCs w:val="16"/>
        </w:rPr>
        <w:t xml:space="preserve"> reported</w:t>
      </w:r>
      <w:r w:rsidR="00672A30" w:rsidRPr="00417CD4">
        <w:rPr>
          <w:rFonts w:ascii="Arial" w:hAnsi="Arial"/>
          <w:color w:val="000000" w:themeColor="text1"/>
          <w:sz w:val="16"/>
          <w:szCs w:val="16"/>
        </w:rPr>
        <w:t xml:space="preserve"> in the associated text)</w:t>
      </w:r>
      <w:r w:rsidRPr="00417CD4">
        <w:rPr>
          <w:rFonts w:ascii="Arial" w:hAnsi="Arial"/>
          <w:color w:val="000000" w:themeColor="text1"/>
          <w:sz w:val="16"/>
          <w:szCs w:val="16"/>
        </w:rPr>
        <w:t xml:space="preserve">. The </w:t>
      </w:r>
      <w:r w:rsidR="00DD5AEE" w:rsidRPr="00417CD4">
        <w:rPr>
          <w:rFonts w:ascii="Arial" w:hAnsi="Arial"/>
          <w:color w:val="000000" w:themeColor="text1"/>
          <w:sz w:val="16"/>
          <w:szCs w:val="16"/>
        </w:rPr>
        <w:t xml:space="preserve">year-on-year </w:t>
      </w:r>
      <w:r w:rsidRPr="00417CD4">
        <w:rPr>
          <w:rFonts w:ascii="Arial" w:hAnsi="Arial"/>
          <w:color w:val="000000" w:themeColor="text1"/>
          <w:sz w:val="16"/>
          <w:szCs w:val="16"/>
        </w:rPr>
        <w:t>fluctuations</w:t>
      </w:r>
      <w:r w:rsidR="00DD5AEE" w:rsidRPr="00417CD4">
        <w:rPr>
          <w:rFonts w:ascii="Arial" w:hAnsi="Arial"/>
          <w:color w:val="000000" w:themeColor="text1"/>
          <w:sz w:val="16"/>
          <w:szCs w:val="16"/>
        </w:rPr>
        <w:t xml:space="preserve"> are </w:t>
      </w:r>
      <w:r w:rsidR="00673F63" w:rsidRPr="00417CD4">
        <w:rPr>
          <w:rFonts w:ascii="Arial" w:hAnsi="Arial"/>
          <w:color w:val="000000" w:themeColor="text1"/>
          <w:sz w:val="16"/>
          <w:szCs w:val="16"/>
        </w:rPr>
        <w:t xml:space="preserve">usually </w:t>
      </w:r>
      <w:r w:rsidR="00DD5AEE" w:rsidRPr="00417CD4">
        <w:rPr>
          <w:rFonts w:ascii="Arial" w:hAnsi="Arial"/>
          <w:color w:val="000000" w:themeColor="text1"/>
          <w:sz w:val="16"/>
          <w:szCs w:val="16"/>
        </w:rPr>
        <w:t xml:space="preserve">not </w:t>
      </w:r>
      <w:r w:rsidR="00D47548" w:rsidRPr="00417CD4">
        <w:rPr>
          <w:rFonts w:ascii="Arial" w:hAnsi="Arial"/>
          <w:color w:val="000000" w:themeColor="text1"/>
          <w:sz w:val="16"/>
          <w:szCs w:val="16"/>
        </w:rPr>
        <w:t>robust</w:t>
      </w:r>
      <w:r w:rsidR="00DD5AEE" w:rsidRPr="00417CD4">
        <w:rPr>
          <w:rFonts w:ascii="Arial" w:hAnsi="Arial"/>
          <w:color w:val="000000" w:themeColor="text1"/>
          <w:sz w:val="16"/>
          <w:szCs w:val="16"/>
        </w:rPr>
        <w:t xml:space="preserve"> enough to support </w:t>
      </w:r>
      <w:r w:rsidR="00D47548" w:rsidRPr="00417CD4">
        <w:rPr>
          <w:rFonts w:ascii="Arial" w:hAnsi="Arial"/>
          <w:color w:val="000000" w:themeColor="text1"/>
          <w:sz w:val="16"/>
          <w:szCs w:val="16"/>
        </w:rPr>
        <w:t>conclusions about</w:t>
      </w:r>
      <w:r w:rsidR="00DD5AEE" w:rsidRPr="00417CD4">
        <w:rPr>
          <w:rFonts w:ascii="Arial" w:hAnsi="Arial"/>
          <w:color w:val="000000" w:themeColor="text1"/>
          <w:sz w:val="16"/>
          <w:szCs w:val="16"/>
        </w:rPr>
        <w:t xml:space="preserve"> rises or falls in these and similar short periods. </w:t>
      </w:r>
      <w:r w:rsidRPr="00417CD4">
        <w:rPr>
          <w:rFonts w:ascii="Arial" w:hAnsi="Arial"/>
          <w:color w:val="000000" w:themeColor="text1"/>
          <w:sz w:val="16"/>
          <w:szCs w:val="16"/>
        </w:rPr>
        <w:t xml:space="preserve"> </w:t>
      </w:r>
    </w:p>
    <w:bookmarkEnd w:id="23"/>
    <w:p w14:paraId="7E8DB5FB" w14:textId="193E0329" w:rsidR="002C3EA2" w:rsidRPr="00417CD4" w:rsidRDefault="002C3EA2" w:rsidP="002C3EA2">
      <w:pPr>
        <w:spacing w:after="0" w:line="240" w:lineRule="auto"/>
        <w:rPr>
          <w:rFonts w:ascii="Arial" w:hAnsi="Arial"/>
          <w:color w:val="000000" w:themeColor="text1"/>
          <w:szCs w:val="20"/>
        </w:rPr>
      </w:pPr>
    </w:p>
    <w:p w14:paraId="1D8B4F1A" w14:textId="1828DD36" w:rsidR="002C3EA2" w:rsidRPr="009701B8" w:rsidRDefault="002C3EA2" w:rsidP="002C3EA2">
      <w:pPr>
        <w:spacing w:after="0" w:line="240" w:lineRule="auto"/>
        <w:rPr>
          <w:rFonts w:ascii="Arial" w:hAnsi="Arial"/>
          <w:color w:val="000000" w:themeColor="text1"/>
          <w:sz w:val="24"/>
          <w:szCs w:val="28"/>
        </w:rPr>
      </w:pPr>
      <w:r w:rsidRPr="00417CD4">
        <w:rPr>
          <w:rFonts w:ascii="Arial" w:hAnsi="Arial"/>
          <w:color w:val="000000" w:themeColor="text1"/>
        </w:rPr>
        <w:t xml:space="preserve">The reported Q1 proportion in Figure </w:t>
      </w:r>
      <w:r w:rsidR="00046A24">
        <w:rPr>
          <w:rFonts w:ascii="Arial" w:hAnsi="Arial"/>
          <w:color w:val="000000" w:themeColor="text1"/>
        </w:rPr>
        <w:t>I</w:t>
      </w:r>
      <w:r w:rsidR="00E62071" w:rsidRPr="00417CD4">
        <w:rPr>
          <w:rFonts w:ascii="Arial" w:hAnsi="Arial"/>
          <w:color w:val="000000" w:themeColor="text1"/>
        </w:rPr>
        <w:t>.1 above</w:t>
      </w:r>
      <w:r w:rsidRPr="00417CD4">
        <w:rPr>
          <w:rFonts w:ascii="Arial" w:hAnsi="Arial"/>
          <w:color w:val="000000" w:themeColor="text1"/>
        </w:rPr>
        <w:t xml:space="preserve"> (</w:t>
      </w:r>
      <w:r w:rsidR="00CE3D6D" w:rsidRPr="00417CD4">
        <w:rPr>
          <w:rFonts w:ascii="Arial" w:hAnsi="Arial"/>
          <w:color w:val="000000" w:themeColor="text1"/>
        </w:rPr>
        <w:t xml:space="preserve">averaging </w:t>
      </w:r>
      <w:r w:rsidRPr="00417CD4">
        <w:rPr>
          <w:rFonts w:ascii="Arial" w:hAnsi="Arial"/>
          <w:color w:val="000000" w:themeColor="text1"/>
        </w:rPr>
        <w:t>40</w:t>
      </w:r>
      <w:r w:rsidR="00E62071" w:rsidRPr="00417CD4">
        <w:rPr>
          <w:rFonts w:ascii="Arial" w:hAnsi="Arial"/>
          <w:color w:val="000000" w:themeColor="text1"/>
        </w:rPr>
        <w:t xml:space="preserve"> to 45</w:t>
      </w:r>
      <w:r w:rsidRPr="00417CD4">
        <w:rPr>
          <w:rFonts w:ascii="Arial" w:hAnsi="Arial"/>
          <w:color w:val="000000" w:themeColor="text1"/>
        </w:rPr>
        <w:t>%</w:t>
      </w:r>
      <w:r w:rsidR="00046830" w:rsidRPr="00417CD4">
        <w:rPr>
          <w:rFonts w:ascii="Arial" w:hAnsi="Arial"/>
          <w:color w:val="000000" w:themeColor="text1"/>
        </w:rPr>
        <w:t xml:space="preserve"> in recent years</w:t>
      </w:r>
      <w:r w:rsidRPr="00417CD4">
        <w:rPr>
          <w:rFonts w:ascii="Arial" w:hAnsi="Arial"/>
          <w:color w:val="000000" w:themeColor="text1"/>
        </w:rPr>
        <w:t>) is dampened by the presen</w:t>
      </w:r>
      <w:r w:rsidR="00F75204" w:rsidRPr="00417CD4">
        <w:rPr>
          <w:rFonts w:ascii="Arial" w:hAnsi="Arial"/>
          <w:color w:val="000000" w:themeColor="text1"/>
        </w:rPr>
        <w:t>c</w:t>
      </w:r>
      <w:r w:rsidRPr="00417CD4">
        <w:rPr>
          <w:rFonts w:ascii="Arial" w:hAnsi="Arial"/>
          <w:color w:val="000000" w:themeColor="text1"/>
        </w:rPr>
        <w:t xml:space="preserve">e of households that reside in public </w:t>
      </w:r>
      <w:r w:rsidR="00046830" w:rsidRPr="00417CD4">
        <w:rPr>
          <w:rFonts w:ascii="Arial" w:hAnsi="Arial"/>
          <w:color w:val="000000" w:themeColor="text1"/>
        </w:rPr>
        <w:t xml:space="preserve">/ social </w:t>
      </w:r>
      <w:r w:rsidRPr="00417CD4">
        <w:rPr>
          <w:rFonts w:ascii="Arial" w:hAnsi="Arial"/>
          <w:color w:val="000000" w:themeColor="text1"/>
        </w:rPr>
        <w:t>housing for which the rent is capped at 25% of income. Most of these households are in Q1. For many in low-income households, rent makes up more than 40</w:t>
      </w:r>
      <w:r w:rsidR="00E62071" w:rsidRPr="00417CD4">
        <w:rPr>
          <w:rFonts w:ascii="Arial" w:hAnsi="Arial"/>
          <w:color w:val="000000" w:themeColor="text1"/>
        </w:rPr>
        <w:t>-45</w:t>
      </w:r>
      <w:r w:rsidRPr="00417CD4">
        <w:rPr>
          <w:rFonts w:ascii="Arial" w:hAnsi="Arial"/>
          <w:color w:val="000000" w:themeColor="text1"/>
        </w:rPr>
        <w:t xml:space="preserve">% of income. One such group are those that rent privately and receive the Accommodation Supplement (AS), with </w:t>
      </w:r>
      <w:r w:rsidR="00F75204" w:rsidRPr="00417CD4">
        <w:rPr>
          <w:rFonts w:ascii="Arial" w:hAnsi="Arial"/>
          <w:color w:val="000000" w:themeColor="text1"/>
        </w:rPr>
        <w:t>a</w:t>
      </w:r>
      <w:r w:rsidR="00DE1339" w:rsidRPr="00417CD4">
        <w:rPr>
          <w:rFonts w:ascii="Arial" w:hAnsi="Arial"/>
          <w:color w:val="000000" w:themeColor="text1"/>
        </w:rPr>
        <w:t>round</w:t>
      </w:r>
      <w:r w:rsidR="00F75204" w:rsidRPr="00417CD4">
        <w:rPr>
          <w:rFonts w:ascii="Arial" w:hAnsi="Arial"/>
          <w:color w:val="000000" w:themeColor="text1"/>
        </w:rPr>
        <w:t xml:space="preserve"> half</w:t>
      </w:r>
      <w:r w:rsidRPr="00417CD4">
        <w:rPr>
          <w:rFonts w:ascii="Arial" w:hAnsi="Arial"/>
          <w:color w:val="000000" w:themeColor="text1"/>
        </w:rPr>
        <w:t xml:space="preserve"> of </w:t>
      </w:r>
      <w:r w:rsidR="00F75204" w:rsidRPr="00417CD4">
        <w:rPr>
          <w:rFonts w:ascii="Arial" w:hAnsi="Arial"/>
          <w:color w:val="000000" w:themeColor="text1"/>
        </w:rPr>
        <w:t xml:space="preserve">household </w:t>
      </w:r>
      <w:r w:rsidRPr="00417CD4">
        <w:rPr>
          <w:rFonts w:ascii="Arial" w:hAnsi="Arial"/>
          <w:color w:val="000000" w:themeColor="text1"/>
        </w:rPr>
        <w:t xml:space="preserve">income spent on accommodation on average by those in Q1 (top broken line in </w:t>
      </w:r>
      <w:r w:rsidR="00F75204" w:rsidRPr="00417CD4">
        <w:rPr>
          <w:rFonts w:ascii="Arial" w:hAnsi="Arial"/>
          <w:color w:val="000000" w:themeColor="text1"/>
        </w:rPr>
        <w:t>chart)</w:t>
      </w:r>
      <w:r w:rsidR="004324B0" w:rsidRPr="00417CD4">
        <w:rPr>
          <w:rFonts w:ascii="Arial" w:hAnsi="Arial"/>
          <w:color w:val="000000" w:themeColor="text1"/>
        </w:rPr>
        <w:t>. This leaves very little for the other necessities and it is not surprising that this group has high material hardship rates</w:t>
      </w:r>
      <w:r w:rsidR="00E62071" w:rsidRPr="00417CD4">
        <w:rPr>
          <w:rFonts w:ascii="Arial" w:hAnsi="Arial"/>
          <w:color w:val="000000" w:themeColor="text1"/>
        </w:rPr>
        <w:t xml:space="preserve"> (~4</w:t>
      </w:r>
      <w:r w:rsidR="00CD65C9">
        <w:rPr>
          <w:rFonts w:ascii="Arial" w:hAnsi="Arial"/>
          <w:color w:val="000000" w:themeColor="text1"/>
        </w:rPr>
        <w:t>0</w:t>
      </w:r>
      <w:r w:rsidR="00E62071" w:rsidRPr="00417CD4">
        <w:rPr>
          <w:rFonts w:ascii="Arial" w:hAnsi="Arial"/>
          <w:color w:val="000000" w:themeColor="text1"/>
        </w:rPr>
        <w:t xml:space="preserve">%, see Fig </w:t>
      </w:r>
      <w:r w:rsidR="008C00B2" w:rsidRPr="00417CD4">
        <w:rPr>
          <w:rFonts w:ascii="Arial" w:hAnsi="Arial"/>
          <w:color w:val="000000" w:themeColor="text1"/>
        </w:rPr>
        <w:t>F</w:t>
      </w:r>
      <w:r w:rsidR="00E62071" w:rsidRPr="00417CD4">
        <w:rPr>
          <w:rFonts w:ascii="Arial" w:hAnsi="Arial"/>
          <w:color w:val="000000" w:themeColor="text1"/>
        </w:rPr>
        <w:t>.3).</w:t>
      </w:r>
      <w:r w:rsidR="009701B8">
        <w:rPr>
          <w:rFonts w:ascii="Arial" w:hAnsi="Arial"/>
          <w:color w:val="000000" w:themeColor="text1"/>
        </w:rPr>
        <w:t xml:space="preserve"> </w:t>
      </w:r>
      <w:r w:rsidR="009701B8" w:rsidRPr="009701B8">
        <w:rPr>
          <w:rFonts w:ascii="Arial" w:hAnsi="Arial"/>
          <w:szCs w:val="20"/>
        </w:rPr>
        <w:t xml:space="preserve">MH rates for children in social housing are high at around 45-50% despite a cap on rentals. This no doubt </w:t>
      </w:r>
      <w:r w:rsidR="009701B8">
        <w:rPr>
          <w:rFonts w:ascii="Arial" w:hAnsi="Arial"/>
          <w:szCs w:val="20"/>
        </w:rPr>
        <w:t xml:space="preserve">in part </w:t>
      </w:r>
      <w:r w:rsidR="009701B8" w:rsidRPr="009701B8">
        <w:rPr>
          <w:rFonts w:ascii="Arial" w:hAnsi="Arial"/>
          <w:szCs w:val="20"/>
        </w:rPr>
        <w:t>reflects the application of eligibility criteria to enable a focus on those most in need.</w:t>
      </w:r>
    </w:p>
    <w:bookmarkEnd w:id="22"/>
    <w:p w14:paraId="04666819" w14:textId="56C8073B" w:rsidR="002C3EA2" w:rsidRPr="00417CD4" w:rsidRDefault="002C3EA2" w:rsidP="005B4043">
      <w:pPr>
        <w:spacing w:after="0" w:line="240" w:lineRule="auto"/>
        <w:rPr>
          <w:rFonts w:ascii="Arial" w:hAnsi="Arial"/>
          <w:color w:val="000000" w:themeColor="text1"/>
        </w:rPr>
      </w:pPr>
    </w:p>
    <w:p w14:paraId="40AE547F" w14:textId="5D3F09A1" w:rsidR="00E87D76" w:rsidRPr="00417CD4" w:rsidRDefault="00E87D76" w:rsidP="00E87D76">
      <w:pPr>
        <w:spacing w:after="0" w:line="240" w:lineRule="auto"/>
        <w:jc w:val="center"/>
        <w:rPr>
          <w:rFonts w:ascii="Arial Mäori" w:hAnsi="Arial Mäori"/>
          <w:b/>
          <w:bCs/>
          <w:color w:val="000000" w:themeColor="text1"/>
          <w:kern w:val="2"/>
          <w:sz w:val="18"/>
          <w:szCs w:val="18"/>
          <w14:ligatures w14:val="standardContextual"/>
        </w:rPr>
      </w:pPr>
      <w:r w:rsidRPr="00417CD4">
        <w:rPr>
          <w:rFonts w:ascii="Arial Mäori" w:hAnsi="Arial Mäori"/>
          <w:b/>
          <w:bCs/>
          <w:color w:val="000000" w:themeColor="text1"/>
          <w:kern w:val="2"/>
          <w:sz w:val="18"/>
          <w:szCs w:val="18"/>
          <w14:ligatures w14:val="standardContextual"/>
        </w:rPr>
        <w:t xml:space="preserve">Table </w:t>
      </w:r>
      <w:r w:rsidR="00046A24">
        <w:rPr>
          <w:rFonts w:ascii="Arial Mäori" w:hAnsi="Arial Mäori"/>
          <w:b/>
          <w:bCs/>
          <w:color w:val="000000" w:themeColor="text1"/>
          <w:kern w:val="2"/>
          <w:sz w:val="18"/>
          <w:szCs w:val="18"/>
          <w14:ligatures w14:val="standardContextual"/>
        </w:rPr>
        <w:t>I</w:t>
      </w:r>
      <w:r w:rsidRPr="00417CD4">
        <w:rPr>
          <w:rFonts w:ascii="Arial Mäori" w:hAnsi="Arial Mäori"/>
          <w:b/>
          <w:bCs/>
          <w:color w:val="000000" w:themeColor="text1"/>
          <w:kern w:val="2"/>
          <w:sz w:val="18"/>
          <w:szCs w:val="18"/>
          <w14:ligatures w14:val="standardContextual"/>
        </w:rPr>
        <w:t>.2</w:t>
      </w:r>
    </w:p>
    <w:p w14:paraId="0D512A10" w14:textId="7E059B1F" w:rsidR="00E87D76" w:rsidRPr="00417CD4" w:rsidRDefault="00E87D76" w:rsidP="00E87D76">
      <w:pPr>
        <w:spacing w:after="0" w:line="240" w:lineRule="auto"/>
        <w:jc w:val="center"/>
        <w:rPr>
          <w:rFonts w:ascii="Arial Mäori" w:hAnsi="Arial Mäori"/>
          <w:b/>
          <w:bCs/>
          <w:color w:val="000000" w:themeColor="text1"/>
          <w:kern w:val="2"/>
          <w:sz w:val="18"/>
          <w:szCs w:val="18"/>
          <w14:ligatures w14:val="standardContextual"/>
        </w:rPr>
      </w:pPr>
      <w:r w:rsidRPr="00417CD4">
        <w:rPr>
          <w:rFonts w:ascii="Arial Mäori" w:hAnsi="Arial Mäori"/>
          <w:b/>
          <w:bCs/>
          <w:color w:val="000000" w:themeColor="text1"/>
          <w:kern w:val="2"/>
          <w:sz w:val="18"/>
          <w:szCs w:val="18"/>
          <w14:ligatures w14:val="standardContextual"/>
        </w:rPr>
        <w:t>Mean housing costs (HC) as a % of unequivalised household income</w:t>
      </w:r>
    </w:p>
    <w:p w14:paraId="7DC75DD5" w14:textId="77777777" w:rsidR="00E87D76" w:rsidRPr="00417CD4" w:rsidRDefault="00E87D76" w:rsidP="00E87D76">
      <w:pPr>
        <w:spacing w:after="60" w:line="240" w:lineRule="auto"/>
        <w:jc w:val="center"/>
        <w:rPr>
          <w:rFonts w:ascii="Arial Mäori" w:hAnsi="Arial Mäori"/>
          <w:b/>
          <w:bCs/>
          <w:color w:val="000000" w:themeColor="text1"/>
          <w:kern w:val="2"/>
          <w:sz w:val="18"/>
          <w:szCs w:val="18"/>
          <w14:ligatures w14:val="standardContextual"/>
        </w:rPr>
      </w:pPr>
      <w:r w:rsidRPr="00417CD4">
        <w:rPr>
          <w:rFonts w:ascii="Arial Mäori" w:hAnsi="Arial Mäori"/>
          <w:b/>
          <w:bCs/>
          <w:color w:val="000000" w:themeColor="text1"/>
          <w:kern w:val="2"/>
          <w:sz w:val="18"/>
          <w:szCs w:val="18"/>
          <w14:ligatures w14:val="standardContextual"/>
        </w:rPr>
        <w:t>HHs with children (age 0-17s), households with all under-65 only</w:t>
      </w:r>
    </w:p>
    <w:tbl>
      <w:tblPr>
        <w:tblW w:w="6072" w:type="dxa"/>
        <w:jc w:val="center"/>
        <w:tblLook w:val="04A0" w:firstRow="1" w:lastRow="0" w:firstColumn="1" w:lastColumn="0" w:noHBand="0" w:noVBand="1"/>
      </w:tblPr>
      <w:tblGrid>
        <w:gridCol w:w="1912"/>
        <w:gridCol w:w="1040"/>
        <w:gridCol w:w="1040"/>
        <w:gridCol w:w="1040"/>
        <w:gridCol w:w="1040"/>
      </w:tblGrid>
      <w:tr w:rsidR="00E87D76" w:rsidRPr="00417CD4" w14:paraId="656D36CE" w14:textId="77777777" w:rsidTr="00E87D76">
        <w:trPr>
          <w:trHeight w:val="280"/>
          <w:jc w:val="center"/>
        </w:trPr>
        <w:tc>
          <w:tcPr>
            <w:tcW w:w="1912" w:type="dxa"/>
            <w:vMerge w:val="restart"/>
            <w:tcBorders>
              <w:top w:val="single" w:sz="4" w:space="0" w:color="auto"/>
              <w:left w:val="single" w:sz="4" w:space="0" w:color="auto"/>
              <w:bottom w:val="single" w:sz="8" w:space="0" w:color="000000"/>
              <w:right w:val="single" w:sz="4" w:space="0" w:color="auto"/>
            </w:tcBorders>
            <w:noWrap/>
            <w:vAlign w:val="center"/>
            <w:hideMark/>
          </w:tcPr>
          <w:p w14:paraId="6467B328" w14:textId="77777777" w:rsidR="00E87D76" w:rsidRPr="00417CD4" w:rsidRDefault="00E87D76" w:rsidP="0020734C">
            <w:pPr>
              <w:spacing w:after="0" w:line="240" w:lineRule="auto"/>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 </w:t>
            </w:r>
          </w:p>
        </w:tc>
        <w:tc>
          <w:tcPr>
            <w:tcW w:w="2080" w:type="dxa"/>
            <w:gridSpan w:val="2"/>
            <w:tcBorders>
              <w:top w:val="single" w:sz="4" w:space="0" w:color="auto"/>
              <w:left w:val="nil"/>
              <w:bottom w:val="single" w:sz="4" w:space="0" w:color="auto"/>
              <w:right w:val="single" w:sz="8" w:space="0" w:color="auto"/>
            </w:tcBorders>
            <w:noWrap/>
            <w:vAlign w:val="center"/>
            <w:hideMark/>
          </w:tcPr>
          <w:p w14:paraId="7950EC41" w14:textId="77777777" w:rsidR="00E87D76" w:rsidRPr="00417CD4" w:rsidRDefault="00E87D76" w:rsidP="0020734C">
            <w:pPr>
              <w:spacing w:after="0" w:line="240" w:lineRule="auto"/>
              <w:jc w:val="center"/>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HES 2023-24</w:t>
            </w:r>
          </w:p>
        </w:tc>
        <w:tc>
          <w:tcPr>
            <w:tcW w:w="2080" w:type="dxa"/>
            <w:gridSpan w:val="2"/>
            <w:tcBorders>
              <w:top w:val="single" w:sz="4" w:space="0" w:color="auto"/>
              <w:left w:val="single" w:sz="8" w:space="0" w:color="auto"/>
              <w:bottom w:val="single" w:sz="4" w:space="0" w:color="auto"/>
              <w:right w:val="single" w:sz="4" w:space="0" w:color="auto"/>
            </w:tcBorders>
            <w:noWrap/>
            <w:vAlign w:val="center"/>
            <w:hideMark/>
          </w:tcPr>
          <w:p w14:paraId="30847AF1" w14:textId="77777777" w:rsidR="00E87D76" w:rsidRPr="00417CD4" w:rsidRDefault="00E87D76" w:rsidP="0020734C">
            <w:pPr>
              <w:spacing w:after="0" w:line="240" w:lineRule="auto"/>
              <w:jc w:val="center"/>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HILS 2024-25</w:t>
            </w:r>
          </w:p>
        </w:tc>
      </w:tr>
      <w:tr w:rsidR="00E87D76" w:rsidRPr="00417CD4" w14:paraId="73FA4CB4" w14:textId="77777777" w:rsidTr="006B495F">
        <w:trPr>
          <w:trHeight w:val="510"/>
          <w:jc w:val="center"/>
        </w:trPr>
        <w:tc>
          <w:tcPr>
            <w:tcW w:w="1912" w:type="dxa"/>
            <w:vMerge/>
            <w:tcBorders>
              <w:top w:val="single" w:sz="4" w:space="0" w:color="auto"/>
              <w:left w:val="single" w:sz="4" w:space="0" w:color="auto"/>
              <w:bottom w:val="single" w:sz="8" w:space="0" w:color="000000"/>
              <w:right w:val="single" w:sz="4" w:space="0" w:color="auto"/>
            </w:tcBorders>
            <w:vAlign w:val="center"/>
            <w:hideMark/>
          </w:tcPr>
          <w:p w14:paraId="29DC7313" w14:textId="77777777" w:rsidR="00E87D76" w:rsidRPr="00417CD4" w:rsidRDefault="00E87D76" w:rsidP="0020734C">
            <w:pPr>
              <w:spacing w:after="0" w:line="240" w:lineRule="auto"/>
              <w:rPr>
                <w:rFonts w:ascii="Arial Mäori" w:eastAsia="Times New Roman" w:hAnsi="Arial Mäori" w:cs="Times New Roman"/>
                <w:color w:val="000000" w:themeColor="text1"/>
                <w:sz w:val="14"/>
                <w:szCs w:val="14"/>
                <w:lang w:eastAsia="en-NZ"/>
              </w:rPr>
            </w:pPr>
          </w:p>
        </w:tc>
        <w:tc>
          <w:tcPr>
            <w:tcW w:w="1040" w:type="dxa"/>
            <w:tcBorders>
              <w:top w:val="nil"/>
              <w:left w:val="nil"/>
              <w:bottom w:val="single" w:sz="8" w:space="0" w:color="auto"/>
              <w:right w:val="single" w:sz="4" w:space="0" w:color="auto"/>
            </w:tcBorders>
            <w:vAlign w:val="center"/>
            <w:hideMark/>
          </w:tcPr>
          <w:p w14:paraId="09376B82" w14:textId="77777777" w:rsidR="00E87D76" w:rsidRPr="00417CD4" w:rsidRDefault="00E87D76" w:rsidP="006B495F">
            <w:pPr>
              <w:spacing w:after="0" w:line="240" w:lineRule="auto"/>
              <w:jc w:val="center"/>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mean HCs as % of income</w:t>
            </w:r>
          </w:p>
        </w:tc>
        <w:tc>
          <w:tcPr>
            <w:tcW w:w="1040" w:type="dxa"/>
            <w:tcBorders>
              <w:top w:val="nil"/>
              <w:left w:val="nil"/>
              <w:bottom w:val="single" w:sz="8" w:space="0" w:color="auto"/>
              <w:right w:val="single" w:sz="8" w:space="0" w:color="auto"/>
            </w:tcBorders>
            <w:vAlign w:val="center"/>
            <w:hideMark/>
          </w:tcPr>
          <w:p w14:paraId="2E241845" w14:textId="77777777" w:rsidR="00E87D76" w:rsidRPr="00417CD4" w:rsidRDefault="00E87D76" w:rsidP="006B495F">
            <w:pPr>
              <w:spacing w:after="0" w:line="240" w:lineRule="auto"/>
              <w:jc w:val="center"/>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 HHs</w:t>
            </w:r>
          </w:p>
        </w:tc>
        <w:tc>
          <w:tcPr>
            <w:tcW w:w="1040" w:type="dxa"/>
            <w:tcBorders>
              <w:top w:val="nil"/>
              <w:left w:val="single" w:sz="8" w:space="0" w:color="auto"/>
              <w:bottom w:val="single" w:sz="8" w:space="0" w:color="auto"/>
              <w:right w:val="single" w:sz="4" w:space="0" w:color="auto"/>
            </w:tcBorders>
            <w:vAlign w:val="center"/>
            <w:hideMark/>
          </w:tcPr>
          <w:p w14:paraId="39C3D1D4" w14:textId="77777777" w:rsidR="00E87D76" w:rsidRPr="00417CD4" w:rsidRDefault="00E87D76" w:rsidP="006B495F">
            <w:pPr>
              <w:spacing w:after="0" w:line="240" w:lineRule="auto"/>
              <w:jc w:val="center"/>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mean HCs as % of income</w:t>
            </w:r>
          </w:p>
        </w:tc>
        <w:tc>
          <w:tcPr>
            <w:tcW w:w="1040" w:type="dxa"/>
            <w:tcBorders>
              <w:top w:val="nil"/>
              <w:left w:val="nil"/>
              <w:bottom w:val="single" w:sz="8" w:space="0" w:color="auto"/>
              <w:right w:val="single" w:sz="4" w:space="0" w:color="auto"/>
            </w:tcBorders>
            <w:vAlign w:val="center"/>
            <w:hideMark/>
          </w:tcPr>
          <w:p w14:paraId="285585CA" w14:textId="77777777" w:rsidR="00E87D76" w:rsidRPr="00417CD4" w:rsidRDefault="00E87D76" w:rsidP="006B495F">
            <w:pPr>
              <w:spacing w:after="0" w:line="240" w:lineRule="auto"/>
              <w:jc w:val="center"/>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 HHs</w:t>
            </w:r>
          </w:p>
        </w:tc>
      </w:tr>
      <w:tr w:rsidR="006B495F" w:rsidRPr="00417CD4" w14:paraId="2C345862" w14:textId="77777777" w:rsidTr="009701B8">
        <w:trPr>
          <w:trHeight w:val="272"/>
          <w:jc w:val="center"/>
        </w:trPr>
        <w:tc>
          <w:tcPr>
            <w:tcW w:w="1912" w:type="dxa"/>
            <w:tcBorders>
              <w:top w:val="nil"/>
              <w:left w:val="single" w:sz="4" w:space="0" w:color="auto"/>
              <w:bottom w:val="single" w:sz="4" w:space="0" w:color="auto"/>
              <w:right w:val="single" w:sz="4" w:space="0" w:color="auto"/>
            </w:tcBorders>
            <w:noWrap/>
            <w:vAlign w:val="center"/>
          </w:tcPr>
          <w:p w14:paraId="645D89AD" w14:textId="595677D3"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Q1</w:t>
            </w:r>
          </w:p>
        </w:tc>
        <w:tc>
          <w:tcPr>
            <w:tcW w:w="1040" w:type="dxa"/>
            <w:tcBorders>
              <w:top w:val="nil"/>
              <w:left w:val="single" w:sz="4" w:space="0" w:color="auto"/>
              <w:bottom w:val="single" w:sz="4" w:space="0" w:color="auto"/>
              <w:right w:val="single" w:sz="4" w:space="0" w:color="auto"/>
            </w:tcBorders>
            <w:noWrap/>
            <w:vAlign w:val="center"/>
          </w:tcPr>
          <w:p w14:paraId="7377AE73" w14:textId="653FB630"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44</w:t>
            </w:r>
          </w:p>
        </w:tc>
        <w:tc>
          <w:tcPr>
            <w:tcW w:w="1040" w:type="dxa"/>
            <w:tcBorders>
              <w:top w:val="single" w:sz="8" w:space="0" w:color="auto"/>
              <w:left w:val="single" w:sz="4" w:space="0" w:color="auto"/>
              <w:bottom w:val="single" w:sz="4" w:space="0" w:color="auto"/>
              <w:right w:val="single" w:sz="8" w:space="0" w:color="auto"/>
            </w:tcBorders>
            <w:noWrap/>
            <w:vAlign w:val="center"/>
          </w:tcPr>
          <w:p w14:paraId="516C749A" w14:textId="583D35CA"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sz w:val="14"/>
                <w:szCs w:val="14"/>
              </w:rPr>
              <w:t>121,000</w:t>
            </w:r>
          </w:p>
        </w:tc>
        <w:tc>
          <w:tcPr>
            <w:tcW w:w="1040" w:type="dxa"/>
            <w:tcBorders>
              <w:top w:val="nil"/>
              <w:left w:val="single" w:sz="8" w:space="0" w:color="auto"/>
              <w:bottom w:val="single" w:sz="4" w:space="0" w:color="auto"/>
              <w:right w:val="single" w:sz="4" w:space="0" w:color="auto"/>
            </w:tcBorders>
            <w:noWrap/>
            <w:vAlign w:val="center"/>
          </w:tcPr>
          <w:p w14:paraId="48C2177B" w14:textId="3F4564DE"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45</w:t>
            </w:r>
          </w:p>
        </w:tc>
        <w:tc>
          <w:tcPr>
            <w:tcW w:w="1040" w:type="dxa"/>
            <w:tcBorders>
              <w:top w:val="nil"/>
              <w:left w:val="single" w:sz="4" w:space="0" w:color="auto"/>
              <w:bottom w:val="single" w:sz="4" w:space="0" w:color="auto"/>
              <w:right w:val="single" w:sz="4" w:space="0" w:color="auto"/>
            </w:tcBorders>
            <w:noWrap/>
            <w:vAlign w:val="center"/>
          </w:tcPr>
          <w:p w14:paraId="590B93DD" w14:textId="643B745C"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sz w:val="14"/>
                <w:szCs w:val="14"/>
              </w:rPr>
              <w:t>122,000</w:t>
            </w:r>
          </w:p>
        </w:tc>
      </w:tr>
      <w:tr w:rsidR="006B495F" w:rsidRPr="00417CD4" w14:paraId="0D326AC4" w14:textId="77777777" w:rsidTr="009701B8">
        <w:trPr>
          <w:trHeight w:val="272"/>
          <w:jc w:val="center"/>
        </w:trPr>
        <w:tc>
          <w:tcPr>
            <w:tcW w:w="1912" w:type="dxa"/>
            <w:tcBorders>
              <w:top w:val="single" w:sz="4" w:space="0" w:color="auto"/>
              <w:left w:val="single" w:sz="4" w:space="0" w:color="auto"/>
              <w:bottom w:val="single" w:sz="4" w:space="0" w:color="auto"/>
              <w:right w:val="single" w:sz="4" w:space="0" w:color="auto"/>
            </w:tcBorders>
            <w:noWrap/>
            <w:vAlign w:val="center"/>
          </w:tcPr>
          <w:p w14:paraId="7F369CD1" w14:textId="57EBD3D9"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Q2</w:t>
            </w:r>
          </w:p>
        </w:tc>
        <w:tc>
          <w:tcPr>
            <w:tcW w:w="1040" w:type="dxa"/>
            <w:tcBorders>
              <w:top w:val="single" w:sz="4" w:space="0" w:color="auto"/>
              <w:left w:val="single" w:sz="4" w:space="0" w:color="auto"/>
              <w:bottom w:val="single" w:sz="4" w:space="0" w:color="auto"/>
              <w:right w:val="single" w:sz="4" w:space="0" w:color="auto"/>
            </w:tcBorders>
            <w:noWrap/>
            <w:vAlign w:val="center"/>
          </w:tcPr>
          <w:p w14:paraId="6D2AF463" w14:textId="0D2B114A"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33</w:t>
            </w:r>
          </w:p>
        </w:tc>
        <w:tc>
          <w:tcPr>
            <w:tcW w:w="1040" w:type="dxa"/>
            <w:tcBorders>
              <w:top w:val="single" w:sz="4" w:space="0" w:color="auto"/>
              <w:left w:val="single" w:sz="4" w:space="0" w:color="auto"/>
              <w:bottom w:val="single" w:sz="4" w:space="0" w:color="auto"/>
              <w:right w:val="single" w:sz="8" w:space="0" w:color="auto"/>
            </w:tcBorders>
            <w:noWrap/>
            <w:vAlign w:val="center"/>
          </w:tcPr>
          <w:p w14:paraId="23EE5A8D" w14:textId="4842F51C"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120,000</w:t>
            </w:r>
          </w:p>
        </w:tc>
        <w:tc>
          <w:tcPr>
            <w:tcW w:w="1040" w:type="dxa"/>
            <w:tcBorders>
              <w:top w:val="single" w:sz="4" w:space="0" w:color="auto"/>
              <w:left w:val="single" w:sz="8" w:space="0" w:color="auto"/>
              <w:bottom w:val="single" w:sz="4" w:space="0" w:color="auto"/>
              <w:right w:val="single" w:sz="4" w:space="0" w:color="auto"/>
            </w:tcBorders>
            <w:noWrap/>
            <w:vAlign w:val="center"/>
          </w:tcPr>
          <w:p w14:paraId="0A148BF2" w14:textId="4BC219F9"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31</w:t>
            </w:r>
          </w:p>
        </w:tc>
        <w:tc>
          <w:tcPr>
            <w:tcW w:w="1040" w:type="dxa"/>
            <w:tcBorders>
              <w:top w:val="single" w:sz="4" w:space="0" w:color="auto"/>
              <w:left w:val="single" w:sz="4" w:space="0" w:color="auto"/>
              <w:bottom w:val="single" w:sz="4" w:space="0" w:color="auto"/>
              <w:right w:val="single" w:sz="4" w:space="0" w:color="auto"/>
            </w:tcBorders>
            <w:noWrap/>
            <w:vAlign w:val="center"/>
          </w:tcPr>
          <w:p w14:paraId="514989A5" w14:textId="706B4763"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122,000</w:t>
            </w:r>
          </w:p>
        </w:tc>
      </w:tr>
      <w:tr w:rsidR="006B495F" w:rsidRPr="00417CD4" w14:paraId="55EDEC72" w14:textId="77777777" w:rsidTr="009701B8">
        <w:trPr>
          <w:trHeight w:val="272"/>
          <w:jc w:val="center"/>
        </w:trPr>
        <w:tc>
          <w:tcPr>
            <w:tcW w:w="1912" w:type="dxa"/>
            <w:tcBorders>
              <w:top w:val="single" w:sz="4" w:space="0" w:color="auto"/>
              <w:left w:val="single" w:sz="4" w:space="0" w:color="auto"/>
              <w:bottom w:val="single" w:sz="4" w:space="0" w:color="auto"/>
              <w:right w:val="single" w:sz="4" w:space="0" w:color="auto"/>
            </w:tcBorders>
            <w:noWrap/>
            <w:vAlign w:val="center"/>
          </w:tcPr>
          <w:p w14:paraId="49278490" w14:textId="5E9E8A50"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Q3</w:t>
            </w:r>
          </w:p>
        </w:tc>
        <w:tc>
          <w:tcPr>
            <w:tcW w:w="1040" w:type="dxa"/>
            <w:tcBorders>
              <w:top w:val="single" w:sz="4" w:space="0" w:color="auto"/>
              <w:left w:val="single" w:sz="4" w:space="0" w:color="auto"/>
              <w:bottom w:val="single" w:sz="4" w:space="0" w:color="auto"/>
              <w:right w:val="single" w:sz="4" w:space="0" w:color="auto"/>
            </w:tcBorders>
            <w:noWrap/>
            <w:vAlign w:val="center"/>
          </w:tcPr>
          <w:p w14:paraId="0C155D0F" w14:textId="032D07E4"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27</w:t>
            </w:r>
          </w:p>
        </w:tc>
        <w:tc>
          <w:tcPr>
            <w:tcW w:w="1040" w:type="dxa"/>
            <w:tcBorders>
              <w:top w:val="single" w:sz="4" w:space="0" w:color="auto"/>
              <w:left w:val="single" w:sz="4" w:space="0" w:color="auto"/>
              <w:bottom w:val="single" w:sz="4" w:space="0" w:color="auto"/>
              <w:right w:val="single" w:sz="8" w:space="0" w:color="auto"/>
            </w:tcBorders>
            <w:noWrap/>
            <w:vAlign w:val="center"/>
          </w:tcPr>
          <w:p w14:paraId="2A9FCCA3" w14:textId="71946DB9"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119,000</w:t>
            </w:r>
          </w:p>
        </w:tc>
        <w:tc>
          <w:tcPr>
            <w:tcW w:w="1040" w:type="dxa"/>
            <w:tcBorders>
              <w:top w:val="single" w:sz="4" w:space="0" w:color="auto"/>
              <w:left w:val="single" w:sz="8" w:space="0" w:color="auto"/>
              <w:bottom w:val="single" w:sz="4" w:space="0" w:color="auto"/>
              <w:right w:val="single" w:sz="4" w:space="0" w:color="auto"/>
            </w:tcBorders>
            <w:noWrap/>
            <w:vAlign w:val="center"/>
          </w:tcPr>
          <w:p w14:paraId="4F7A47EE" w14:textId="66423F61"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29</w:t>
            </w:r>
          </w:p>
        </w:tc>
        <w:tc>
          <w:tcPr>
            <w:tcW w:w="1040" w:type="dxa"/>
            <w:tcBorders>
              <w:top w:val="single" w:sz="4" w:space="0" w:color="auto"/>
              <w:left w:val="single" w:sz="4" w:space="0" w:color="auto"/>
              <w:bottom w:val="single" w:sz="4" w:space="0" w:color="auto"/>
              <w:right w:val="single" w:sz="4" w:space="0" w:color="auto"/>
            </w:tcBorders>
            <w:noWrap/>
            <w:vAlign w:val="center"/>
          </w:tcPr>
          <w:p w14:paraId="21265093" w14:textId="16864FAC"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123,000</w:t>
            </w:r>
          </w:p>
        </w:tc>
      </w:tr>
      <w:tr w:rsidR="006B495F" w:rsidRPr="00417CD4" w14:paraId="0A3030DF" w14:textId="77777777" w:rsidTr="009701B8">
        <w:trPr>
          <w:trHeight w:val="272"/>
          <w:jc w:val="center"/>
        </w:trPr>
        <w:tc>
          <w:tcPr>
            <w:tcW w:w="1912" w:type="dxa"/>
            <w:tcBorders>
              <w:top w:val="single" w:sz="4" w:space="0" w:color="auto"/>
              <w:left w:val="single" w:sz="4" w:space="0" w:color="auto"/>
              <w:bottom w:val="single" w:sz="4" w:space="0" w:color="auto"/>
              <w:right w:val="single" w:sz="4" w:space="0" w:color="auto"/>
            </w:tcBorders>
            <w:noWrap/>
            <w:vAlign w:val="center"/>
          </w:tcPr>
          <w:p w14:paraId="73DF2A17" w14:textId="39AB2E62"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Q4</w:t>
            </w:r>
          </w:p>
        </w:tc>
        <w:tc>
          <w:tcPr>
            <w:tcW w:w="1040" w:type="dxa"/>
            <w:tcBorders>
              <w:top w:val="single" w:sz="4" w:space="0" w:color="auto"/>
              <w:left w:val="single" w:sz="4" w:space="0" w:color="auto"/>
              <w:bottom w:val="single" w:sz="4" w:space="0" w:color="auto"/>
              <w:right w:val="single" w:sz="4" w:space="0" w:color="auto"/>
            </w:tcBorders>
            <w:noWrap/>
            <w:vAlign w:val="center"/>
          </w:tcPr>
          <w:p w14:paraId="535EB1A2" w14:textId="771F4894"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24</w:t>
            </w:r>
          </w:p>
        </w:tc>
        <w:tc>
          <w:tcPr>
            <w:tcW w:w="1040" w:type="dxa"/>
            <w:tcBorders>
              <w:top w:val="single" w:sz="4" w:space="0" w:color="auto"/>
              <w:left w:val="single" w:sz="4" w:space="0" w:color="auto"/>
              <w:bottom w:val="single" w:sz="4" w:space="0" w:color="auto"/>
              <w:right w:val="single" w:sz="8" w:space="0" w:color="auto"/>
            </w:tcBorders>
            <w:noWrap/>
            <w:vAlign w:val="center"/>
          </w:tcPr>
          <w:p w14:paraId="72D188A9" w14:textId="063053F3"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116,000</w:t>
            </w:r>
          </w:p>
        </w:tc>
        <w:tc>
          <w:tcPr>
            <w:tcW w:w="1040" w:type="dxa"/>
            <w:tcBorders>
              <w:top w:val="single" w:sz="4" w:space="0" w:color="auto"/>
              <w:left w:val="single" w:sz="8" w:space="0" w:color="auto"/>
              <w:bottom w:val="single" w:sz="4" w:space="0" w:color="auto"/>
              <w:right w:val="single" w:sz="4" w:space="0" w:color="auto"/>
            </w:tcBorders>
            <w:noWrap/>
            <w:vAlign w:val="center"/>
          </w:tcPr>
          <w:p w14:paraId="6B74C26A" w14:textId="07114043"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25</w:t>
            </w:r>
          </w:p>
        </w:tc>
        <w:tc>
          <w:tcPr>
            <w:tcW w:w="1040" w:type="dxa"/>
            <w:tcBorders>
              <w:top w:val="single" w:sz="4" w:space="0" w:color="auto"/>
              <w:left w:val="single" w:sz="4" w:space="0" w:color="auto"/>
              <w:bottom w:val="single" w:sz="4" w:space="0" w:color="auto"/>
              <w:right w:val="single" w:sz="4" w:space="0" w:color="auto"/>
            </w:tcBorders>
            <w:noWrap/>
            <w:vAlign w:val="center"/>
          </w:tcPr>
          <w:p w14:paraId="795342A2" w14:textId="3BDAF98C"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121,000</w:t>
            </w:r>
          </w:p>
        </w:tc>
      </w:tr>
      <w:tr w:rsidR="006B495F" w:rsidRPr="00417CD4" w14:paraId="2A2E6084" w14:textId="77777777" w:rsidTr="009701B8">
        <w:trPr>
          <w:trHeight w:val="272"/>
          <w:jc w:val="center"/>
        </w:trPr>
        <w:tc>
          <w:tcPr>
            <w:tcW w:w="1912" w:type="dxa"/>
            <w:tcBorders>
              <w:top w:val="single" w:sz="4" w:space="0" w:color="auto"/>
              <w:left w:val="single" w:sz="4" w:space="0" w:color="auto"/>
              <w:bottom w:val="single" w:sz="8" w:space="0" w:color="auto"/>
              <w:right w:val="single" w:sz="4" w:space="0" w:color="auto"/>
            </w:tcBorders>
            <w:noWrap/>
            <w:vAlign w:val="center"/>
          </w:tcPr>
          <w:p w14:paraId="2E7C29B3" w14:textId="5AA433F8"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Q5</w:t>
            </w:r>
          </w:p>
        </w:tc>
        <w:tc>
          <w:tcPr>
            <w:tcW w:w="1040" w:type="dxa"/>
            <w:tcBorders>
              <w:top w:val="single" w:sz="4" w:space="0" w:color="auto"/>
              <w:left w:val="single" w:sz="4" w:space="0" w:color="auto"/>
              <w:bottom w:val="single" w:sz="8" w:space="0" w:color="auto"/>
              <w:right w:val="single" w:sz="4" w:space="0" w:color="auto"/>
            </w:tcBorders>
            <w:noWrap/>
            <w:vAlign w:val="center"/>
          </w:tcPr>
          <w:p w14:paraId="6C5870E5" w14:textId="686A8F34"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17</w:t>
            </w:r>
          </w:p>
        </w:tc>
        <w:tc>
          <w:tcPr>
            <w:tcW w:w="1040" w:type="dxa"/>
            <w:tcBorders>
              <w:top w:val="single" w:sz="4" w:space="0" w:color="auto"/>
              <w:left w:val="single" w:sz="4" w:space="0" w:color="auto"/>
              <w:bottom w:val="single" w:sz="8" w:space="0" w:color="auto"/>
              <w:right w:val="single" w:sz="8" w:space="0" w:color="auto"/>
            </w:tcBorders>
            <w:noWrap/>
            <w:vAlign w:val="center"/>
          </w:tcPr>
          <w:p w14:paraId="17EFFC3A" w14:textId="5B049D20"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113,000</w:t>
            </w:r>
          </w:p>
        </w:tc>
        <w:tc>
          <w:tcPr>
            <w:tcW w:w="1040" w:type="dxa"/>
            <w:tcBorders>
              <w:top w:val="single" w:sz="4" w:space="0" w:color="auto"/>
              <w:left w:val="single" w:sz="8" w:space="0" w:color="auto"/>
              <w:bottom w:val="single" w:sz="8" w:space="0" w:color="auto"/>
              <w:right w:val="single" w:sz="4" w:space="0" w:color="auto"/>
            </w:tcBorders>
            <w:noWrap/>
            <w:vAlign w:val="center"/>
          </w:tcPr>
          <w:p w14:paraId="6CABFA6F" w14:textId="5B0CA94B"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17</w:t>
            </w:r>
          </w:p>
        </w:tc>
        <w:tc>
          <w:tcPr>
            <w:tcW w:w="1040" w:type="dxa"/>
            <w:tcBorders>
              <w:top w:val="single" w:sz="4" w:space="0" w:color="auto"/>
              <w:left w:val="single" w:sz="4" w:space="0" w:color="auto"/>
              <w:bottom w:val="single" w:sz="8" w:space="0" w:color="auto"/>
              <w:right w:val="single" w:sz="4" w:space="0" w:color="auto"/>
            </w:tcBorders>
            <w:noWrap/>
            <w:vAlign w:val="center"/>
          </w:tcPr>
          <w:p w14:paraId="1CB36B76" w14:textId="0FC785D4"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117,000</w:t>
            </w:r>
          </w:p>
        </w:tc>
      </w:tr>
      <w:tr w:rsidR="006B495F" w:rsidRPr="00417CD4" w14:paraId="024EAE1E" w14:textId="77777777" w:rsidTr="009701B8">
        <w:trPr>
          <w:trHeight w:val="272"/>
          <w:jc w:val="center"/>
        </w:trPr>
        <w:tc>
          <w:tcPr>
            <w:tcW w:w="1912" w:type="dxa"/>
            <w:tcBorders>
              <w:top w:val="single" w:sz="4" w:space="0" w:color="auto"/>
              <w:left w:val="single" w:sz="4" w:space="0" w:color="auto"/>
              <w:bottom w:val="single" w:sz="8" w:space="0" w:color="auto"/>
              <w:right w:val="single" w:sz="4" w:space="0" w:color="auto"/>
            </w:tcBorders>
            <w:noWrap/>
            <w:vAlign w:val="center"/>
          </w:tcPr>
          <w:p w14:paraId="7659AD07" w14:textId="7465D8D9"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All</w:t>
            </w:r>
          </w:p>
        </w:tc>
        <w:tc>
          <w:tcPr>
            <w:tcW w:w="1040" w:type="dxa"/>
            <w:tcBorders>
              <w:top w:val="single" w:sz="4" w:space="0" w:color="auto"/>
              <w:left w:val="nil"/>
              <w:bottom w:val="single" w:sz="8" w:space="0" w:color="auto"/>
              <w:right w:val="single" w:sz="4" w:space="0" w:color="auto"/>
            </w:tcBorders>
            <w:noWrap/>
            <w:vAlign w:val="center"/>
          </w:tcPr>
          <w:p w14:paraId="694FCC6B" w14:textId="023CFDF0"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25</w:t>
            </w:r>
          </w:p>
        </w:tc>
        <w:tc>
          <w:tcPr>
            <w:tcW w:w="1040" w:type="dxa"/>
            <w:tcBorders>
              <w:top w:val="single" w:sz="4" w:space="0" w:color="auto"/>
              <w:left w:val="nil"/>
              <w:bottom w:val="single" w:sz="8" w:space="0" w:color="auto"/>
              <w:right w:val="single" w:sz="8" w:space="0" w:color="auto"/>
            </w:tcBorders>
            <w:noWrap/>
            <w:vAlign w:val="center"/>
          </w:tcPr>
          <w:p w14:paraId="35620DD9" w14:textId="78E69276"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589,000</w:t>
            </w:r>
          </w:p>
        </w:tc>
        <w:tc>
          <w:tcPr>
            <w:tcW w:w="1040" w:type="dxa"/>
            <w:tcBorders>
              <w:top w:val="single" w:sz="4" w:space="0" w:color="auto"/>
              <w:left w:val="single" w:sz="8" w:space="0" w:color="auto"/>
              <w:bottom w:val="single" w:sz="8" w:space="0" w:color="auto"/>
              <w:right w:val="single" w:sz="4" w:space="0" w:color="auto"/>
            </w:tcBorders>
            <w:noWrap/>
            <w:vAlign w:val="center"/>
          </w:tcPr>
          <w:p w14:paraId="0DBA03AB" w14:textId="408DB480"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25</w:t>
            </w:r>
          </w:p>
        </w:tc>
        <w:tc>
          <w:tcPr>
            <w:tcW w:w="1040" w:type="dxa"/>
            <w:tcBorders>
              <w:top w:val="single" w:sz="4" w:space="0" w:color="auto"/>
              <w:left w:val="nil"/>
              <w:bottom w:val="single" w:sz="8" w:space="0" w:color="auto"/>
              <w:right w:val="single" w:sz="4" w:space="0" w:color="auto"/>
            </w:tcBorders>
            <w:noWrap/>
            <w:vAlign w:val="center"/>
          </w:tcPr>
          <w:p w14:paraId="342B75B0" w14:textId="1752782E" w:rsidR="006B495F" w:rsidRPr="00417CD4" w:rsidRDefault="006B495F" w:rsidP="009701B8">
            <w:pPr>
              <w:spacing w:after="0" w:line="240" w:lineRule="auto"/>
              <w:contextualSpacing/>
              <w:jc w:val="center"/>
              <w:rPr>
                <w:rFonts w:ascii="Arial Mäori" w:hAnsi="Arial Mäori"/>
                <w:color w:val="000000" w:themeColor="text1"/>
                <w:kern w:val="2"/>
                <w:sz w:val="14"/>
                <w:szCs w:val="14"/>
                <w14:ligatures w14:val="standardContextual"/>
              </w:rPr>
            </w:pPr>
            <w:r w:rsidRPr="00417CD4">
              <w:rPr>
                <w:rFonts w:ascii="Arial Mäori" w:hAnsi="Arial Mäori"/>
                <w:color w:val="000000" w:themeColor="text1"/>
                <w:sz w:val="14"/>
                <w:szCs w:val="14"/>
              </w:rPr>
              <w:t>606,000</w:t>
            </w:r>
          </w:p>
        </w:tc>
      </w:tr>
      <w:tr w:rsidR="006B495F" w:rsidRPr="00417CD4" w14:paraId="33DB14AC" w14:textId="77777777" w:rsidTr="009701B8">
        <w:trPr>
          <w:trHeight w:val="272"/>
          <w:jc w:val="center"/>
        </w:trPr>
        <w:tc>
          <w:tcPr>
            <w:tcW w:w="1912" w:type="dxa"/>
            <w:tcBorders>
              <w:top w:val="single" w:sz="4" w:space="0" w:color="auto"/>
              <w:left w:val="single" w:sz="4" w:space="0" w:color="auto"/>
              <w:bottom w:val="single" w:sz="8" w:space="0" w:color="auto"/>
              <w:right w:val="single" w:sz="4" w:space="0" w:color="auto"/>
            </w:tcBorders>
            <w:noWrap/>
            <w:vAlign w:val="center"/>
            <w:hideMark/>
          </w:tcPr>
          <w:p w14:paraId="6F2F6BEF" w14:textId="16E632E9"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Q1/Q2</w:t>
            </w:r>
          </w:p>
        </w:tc>
        <w:tc>
          <w:tcPr>
            <w:tcW w:w="1040" w:type="dxa"/>
            <w:tcBorders>
              <w:top w:val="single" w:sz="4" w:space="0" w:color="auto"/>
              <w:left w:val="nil"/>
              <w:bottom w:val="single" w:sz="8" w:space="0" w:color="auto"/>
              <w:right w:val="single" w:sz="4" w:space="0" w:color="auto"/>
            </w:tcBorders>
            <w:noWrap/>
            <w:vAlign w:val="center"/>
            <w:hideMark/>
          </w:tcPr>
          <w:p w14:paraId="094CA2D8" w14:textId="49DAAF0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37</w:t>
            </w:r>
          </w:p>
        </w:tc>
        <w:tc>
          <w:tcPr>
            <w:tcW w:w="1040" w:type="dxa"/>
            <w:tcBorders>
              <w:top w:val="single" w:sz="4" w:space="0" w:color="auto"/>
              <w:left w:val="nil"/>
              <w:bottom w:val="single" w:sz="8" w:space="0" w:color="auto"/>
              <w:right w:val="single" w:sz="8" w:space="0" w:color="auto"/>
            </w:tcBorders>
            <w:noWrap/>
            <w:vAlign w:val="center"/>
            <w:hideMark/>
          </w:tcPr>
          <w:p w14:paraId="5C0FE50D" w14:textId="7EE7E524"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sz w:val="14"/>
                <w:szCs w:val="14"/>
              </w:rPr>
              <w:t>241,000</w:t>
            </w:r>
          </w:p>
        </w:tc>
        <w:tc>
          <w:tcPr>
            <w:tcW w:w="1040" w:type="dxa"/>
            <w:tcBorders>
              <w:top w:val="single" w:sz="4" w:space="0" w:color="auto"/>
              <w:left w:val="single" w:sz="8" w:space="0" w:color="auto"/>
              <w:bottom w:val="single" w:sz="8" w:space="0" w:color="auto"/>
              <w:right w:val="single" w:sz="4" w:space="0" w:color="auto"/>
            </w:tcBorders>
            <w:noWrap/>
            <w:vAlign w:val="center"/>
            <w:hideMark/>
          </w:tcPr>
          <w:p w14:paraId="68D3007B" w14:textId="60DF2358"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37</w:t>
            </w:r>
          </w:p>
        </w:tc>
        <w:tc>
          <w:tcPr>
            <w:tcW w:w="1040" w:type="dxa"/>
            <w:tcBorders>
              <w:top w:val="single" w:sz="4" w:space="0" w:color="auto"/>
              <w:left w:val="nil"/>
              <w:bottom w:val="single" w:sz="8" w:space="0" w:color="auto"/>
              <w:right w:val="single" w:sz="4" w:space="0" w:color="auto"/>
            </w:tcBorders>
            <w:noWrap/>
            <w:vAlign w:val="center"/>
            <w:hideMark/>
          </w:tcPr>
          <w:p w14:paraId="01C669F2" w14:textId="3D2E1246"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sz w:val="14"/>
                <w:szCs w:val="14"/>
              </w:rPr>
              <w:t>244,000</w:t>
            </w:r>
          </w:p>
        </w:tc>
      </w:tr>
      <w:tr w:rsidR="006B495F" w:rsidRPr="00417CD4" w14:paraId="24135497" w14:textId="77777777" w:rsidTr="009701B8">
        <w:trPr>
          <w:trHeight w:val="272"/>
          <w:jc w:val="center"/>
        </w:trPr>
        <w:tc>
          <w:tcPr>
            <w:tcW w:w="1912" w:type="dxa"/>
            <w:tcBorders>
              <w:top w:val="nil"/>
              <w:left w:val="single" w:sz="4" w:space="0" w:color="auto"/>
              <w:bottom w:val="single" w:sz="4" w:space="0" w:color="auto"/>
              <w:right w:val="single" w:sz="4" w:space="0" w:color="auto"/>
            </w:tcBorders>
            <w:noWrap/>
            <w:vAlign w:val="center"/>
            <w:hideMark/>
          </w:tcPr>
          <w:p w14:paraId="76B4E752" w14:textId="77777777"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Q1, private rent (AS)</w:t>
            </w:r>
          </w:p>
        </w:tc>
        <w:tc>
          <w:tcPr>
            <w:tcW w:w="1040" w:type="dxa"/>
            <w:tcBorders>
              <w:top w:val="nil"/>
              <w:left w:val="nil"/>
              <w:bottom w:val="single" w:sz="4" w:space="0" w:color="auto"/>
              <w:right w:val="single" w:sz="4" w:space="0" w:color="auto"/>
            </w:tcBorders>
            <w:noWrap/>
            <w:vAlign w:val="center"/>
            <w:hideMark/>
          </w:tcPr>
          <w:p w14:paraId="151B27A8"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49</w:t>
            </w:r>
          </w:p>
        </w:tc>
        <w:tc>
          <w:tcPr>
            <w:tcW w:w="1040" w:type="dxa"/>
            <w:tcBorders>
              <w:top w:val="nil"/>
              <w:left w:val="nil"/>
              <w:bottom w:val="single" w:sz="4" w:space="0" w:color="auto"/>
              <w:right w:val="single" w:sz="8" w:space="0" w:color="auto"/>
            </w:tcBorders>
            <w:noWrap/>
            <w:vAlign w:val="center"/>
            <w:hideMark/>
          </w:tcPr>
          <w:p w14:paraId="4DCD1D0A"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kern w:val="2"/>
                <w:sz w:val="14"/>
                <w:szCs w:val="14"/>
                <w14:ligatures w14:val="standardContextual"/>
              </w:rPr>
              <w:t>40,000</w:t>
            </w:r>
          </w:p>
        </w:tc>
        <w:tc>
          <w:tcPr>
            <w:tcW w:w="1040" w:type="dxa"/>
            <w:tcBorders>
              <w:top w:val="nil"/>
              <w:left w:val="single" w:sz="8" w:space="0" w:color="auto"/>
              <w:bottom w:val="single" w:sz="4" w:space="0" w:color="auto"/>
              <w:right w:val="single" w:sz="4" w:space="0" w:color="auto"/>
            </w:tcBorders>
            <w:noWrap/>
            <w:vAlign w:val="center"/>
            <w:hideMark/>
          </w:tcPr>
          <w:p w14:paraId="50DFEDA3"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52</w:t>
            </w:r>
          </w:p>
        </w:tc>
        <w:tc>
          <w:tcPr>
            <w:tcW w:w="1040" w:type="dxa"/>
            <w:tcBorders>
              <w:top w:val="nil"/>
              <w:left w:val="nil"/>
              <w:bottom w:val="single" w:sz="4" w:space="0" w:color="auto"/>
              <w:right w:val="single" w:sz="4" w:space="0" w:color="auto"/>
            </w:tcBorders>
            <w:noWrap/>
            <w:vAlign w:val="center"/>
            <w:hideMark/>
          </w:tcPr>
          <w:p w14:paraId="39AC5A5C" w14:textId="645F6231"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kern w:val="2"/>
                <w:sz w:val="14"/>
                <w:szCs w:val="14"/>
                <w14:ligatures w14:val="standardContextual"/>
              </w:rPr>
              <w:t>40,000</w:t>
            </w:r>
          </w:p>
        </w:tc>
      </w:tr>
      <w:tr w:rsidR="006B495F" w:rsidRPr="00417CD4" w14:paraId="315A5429" w14:textId="77777777" w:rsidTr="009701B8">
        <w:trPr>
          <w:trHeight w:val="272"/>
          <w:jc w:val="center"/>
        </w:trPr>
        <w:tc>
          <w:tcPr>
            <w:tcW w:w="1912" w:type="dxa"/>
            <w:tcBorders>
              <w:top w:val="single" w:sz="4" w:space="0" w:color="auto"/>
              <w:left w:val="single" w:sz="4" w:space="0" w:color="auto"/>
              <w:bottom w:val="single" w:sz="4" w:space="0" w:color="auto"/>
              <w:right w:val="single" w:sz="4" w:space="0" w:color="auto"/>
            </w:tcBorders>
            <w:noWrap/>
            <w:vAlign w:val="center"/>
            <w:hideMark/>
          </w:tcPr>
          <w:p w14:paraId="14A0DE2E" w14:textId="77777777"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Q1/Q2, private rent (AS)</w:t>
            </w:r>
          </w:p>
        </w:tc>
        <w:tc>
          <w:tcPr>
            <w:tcW w:w="1040" w:type="dxa"/>
            <w:tcBorders>
              <w:top w:val="single" w:sz="4" w:space="0" w:color="auto"/>
              <w:left w:val="nil"/>
              <w:bottom w:val="single" w:sz="4" w:space="0" w:color="auto"/>
              <w:right w:val="single" w:sz="4" w:space="0" w:color="auto"/>
            </w:tcBorders>
            <w:noWrap/>
            <w:vAlign w:val="center"/>
            <w:hideMark/>
          </w:tcPr>
          <w:p w14:paraId="7A783C76"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42</w:t>
            </w:r>
          </w:p>
        </w:tc>
        <w:tc>
          <w:tcPr>
            <w:tcW w:w="1040" w:type="dxa"/>
            <w:tcBorders>
              <w:top w:val="single" w:sz="4" w:space="0" w:color="auto"/>
              <w:left w:val="nil"/>
              <w:bottom w:val="single" w:sz="4" w:space="0" w:color="auto"/>
              <w:right w:val="single" w:sz="8" w:space="0" w:color="auto"/>
            </w:tcBorders>
            <w:noWrap/>
            <w:vAlign w:val="center"/>
            <w:hideMark/>
          </w:tcPr>
          <w:p w14:paraId="71B46C15" w14:textId="5DD7627B"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70,000</w:t>
            </w:r>
          </w:p>
        </w:tc>
        <w:tc>
          <w:tcPr>
            <w:tcW w:w="1040" w:type="dxa"/>
            <w:tcBorders>
              <w:top w:val="single" w:sz="4" w:space="0" w:color="auto"/>
              <w:left w:val="single" w:sz="8" w:space="0" w:color="auto"/>
              <w:bottom w:val="single" w:sz="4" w:space="0" w:color="auto"/>
              <w:right w:val="single" w:sz="4" w:space="0" w:color="auto"/>
            </w:tcBorders>
            <w:noWrap/>
            <w:vAlign w:val="center"/>
            <w:hideMark/>
          </w:tcPr>
          <w:p w14:paraId="31A34D27"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44</w:t>
            </w:r>
          </w:p>
        </w:tc>
        <w:tc>
          <w:tcPr>
            <w:tcW w:w="1040" w:type="dxa"/>
            <w:tcBorders>
              <w:top w:val="single" w:sz="4" w:space="0" w:color="auto"/>
              <w:left w:val="nil"/>
              <w:bottom w:val="single" w:sz="4" w:space="0" w:color="auto"/>
              <w:right w:val="single" w:sz="4" w:space="0" w:color="auto"/>
            </w:tcBorders>
            <w:noWrap/>
            <w:vAlign w:val="center"/>
            <w:hideMark/>
          </w:tcPr>
          <w:p w14:paraId="60D39DD1" w14:textId="25FE06E8"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eastAsia="Times New Roman" w:hAnsi="Arial Mäori" w:cs="Times New Roman"/>
                <w:color w:val="000000" w:themeColor="text1"/>
                <w:sz w:val="14"/>
                <w:szCs w:val="14"/>
                <w:lang w:eastAsia="en-NZ"/>
              </w:rPr>
              <w:t>70,000</w:t>
            </w:r>
          </w:p>
        </w:tc>
      </w:tr>
      <w:tr w:rsidR="006B495F" w:rsidRPr="00417CD4" w14:paraId="554BF01A" w14:textId="77777777" w:rsidTr="009701B8">
        <w:trPr>
          <w:trHeight w:val="272"/>
          <w:jc w:val="center"/>
        </w:trPr>
        <w:tc>
          <w:tcPr>
            <w:tcW w:w="1912" w:type="dxa"/>
            <w:tcBorders>
              <w:top w:val="single" w:sz="4" w:space="0" w:color="auto"/>
              <w:left w:val="single" w:sz="4" w:space="0" w:color="auto"/>
              <w:bottom w:val="single" w:sz="4" w:space="0" w:color="auto"/>
              <w:right w:val="single" w:sz="4" w:space="0" w:color="auto"/>
            </w:tcBorders>
            <w:noWrap/>
            <w:vAlign w:val="center"/>
          </w:tcPr>
          <w:p w14:paraId="715B7EAF" w14:textId="77777777" w:rsidR="006B495F" w:rsidRPr="00417CD4" w:rsidRDefault="006B495F" w:rsidP="009701B8">
            <w:pPr>
              <w:spacing w:after="0" w:line="240" w:lineRule="auto"/>
              <w:contextualSpacing/>
              <w:rPr>
                <w:rFonts w:ascii="Arial Mäori" w:eastAsia="Times New Roman" w:hAnsi="Arial Mäori" w:cs="Times New Roman"/>
                <w:b/>
                <w:bCs/>
                <w:color w:val="000000" w:themeColor="text1"/>
                <w:sz w:val="14"/>
                <w:szCs w:val="14"/>
                <w:lang w:eastAsia="en-NZ"/>
              </w:rPr>
            </w:pPr>
            <w:r w:rsidRPr="00417CD4">
              <w:rPr>
                <w:rFonts w:ascii="Arial Mäori" w:eastAsia="Times New Roman" w:hAnsi="Arial Mäori" w:cs="Times New Roman"/>
                <w:b/>
                <w:bCs/>
                <w:color w:val="000000" w:themeColor="text1"/>
                <w:sz w:val="14"/>
                <w:szCs w:val="14"/>
                <w:lang w:eastAsia="en-NZ"/>
              </w:rPr>
              <w:t>All, private rent (AS)</w:t>
            </w:r>
          </w:p>
        </w:tc>
        <w:tc>
          <w:tcPr>
            <w:tcW w:w="1040" w:type="dxa"/>
            <w:tcBorders>
              <w:top w:val="single" w:sz="4" w:space="0" w:color="auto"/>
              <w:left w:val="single" w:sz="4" w:space="0" w:color="auto"/>
              <w:bottom w:val="single" w:sz="4" w:space="0" w:color="auto"/>
              <w:right w:val="single" w:sz="4" w:space="0" w:color="auto"/>
            </w:tcBorders>
            <w:noWrap/>
            <w:vAlign w:val="center"/>
          </w:tcPr>
          <w:p w14:paraId="5E17FEF3"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kern w:val="2"/>
                <w:sz w:val="14"/>
                <w:szCs w:val="14"/>
                <w14:ligatures w14:val="standardContextual"/>
              </w:rPr>
              <w:t>34</w:t>
            </w:r>
          </w:p>
        </w:tc>
        <w:tc>
          <w:tcPr>
            <w:tcW w:w="1040" w:type="dxa"/>
            <w:tcBorders>
              <w:top w:val="single" w:sz="4" w:space="0" w:color="auto"/>
              <w:left w:val="single" w:sz="4" w:space="0" w:color="auto"/>
              <w:bottom w:val="single" w:sz="4" w:space="0" w:color="auto"/>
              <w:right w:val="single" w:sz="8" w:space="0" w:color="auto"/>
            </w:tcBorders>
            <w:noWrap/>
            <w:vAlign w:val="center"/>
          </w:tcPr>
          <w:p w14:paraId="599CA863" w14:textId="4A90B565"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kern w:val="2"/>
                <w:sz w:val="14"/>
                <w:szCs w:val="14"/>
                <w14:ligatures w14:val="standardContextual"/>
              </w:rPr>
              <w:t>95,000</w:t>
            </w:r>
          </w:p>
        </w:tc>
        <w:tc>
          <w:tcPr>
            <w:tcW w:w="1040" w:type="dxa"/>
            <w:tcBorders>
              <w:top w:val="single" w:sz="4" w:space="0" w:color="auto"/>
              <w:left w:val="single" w:sz="8" w:space="0" w:color="auto"/>
              <w:bottom w:val="single" w:sz="4" w:space="0" w:color="auto"/>
              <w:right w:val="single" w:sz="4" w:space="0" w:color="auto"/>
            </w:tcBorders>
            <w:noWrap/>
            <w:vAlign w:val="center"/>
          </w:tcPr>
          <w:p w14:paraId="69F4BE52" w14:textId="7777777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kern w:val="2"/>
                <w:sz w:val="14"/>
                <w:szCs w:val="14"/>
                <w14:ligatures w14:val="standardContextual"/>
              </w:rPr>
              <w:t>34</w:t>
            </w:r>
          </w:p>
        </w:tc>
        <w:tc>
          <w:tcPr>
            <w:tcW w:w="1040" w:type="dxa"/>
            <w:tcBorders>
              <w:top w:val="single" w:sz="4" w:space="0" w:color="auto"/>
              <w:left w:val="single" w:sz="4" w:space="0" w:color="auto"/>
              <w:bottom w:val="single" w:sz="4" w:space="0" w:color="auto"/>
              <w:right w:val="single" w:sz="4" w:space="0" w:color="auto"/>
            </w:tcBorders>
            <w:noWrap/>
            <w:vAlign w:val="center"/>
          </w:tcPr>
          <w:p w14:paraId="6D364041" w14:textId="416827B7" w:rsidR="006B495F" w:rsidRPr="00417CD4" w:rsidRDefault="006B495F" w:rsidP="009701B8">
            <w:pPr>
              <w:spacing w:after="0" w:line="240" w:lineRule="auto"/>
              <w:contextualSpacing/>
              <w:jc w:val="center"/>
              <w:rPr>
                <w:rFonts w:ascii="Arial Mäori" w:eastAsia="Times New Roman" w:hAnsi="Arial Mäori" w:cs="Times New Roman"/>
                <w:color w:val="000000" w:themeColor="text1"/>
                <w:sz w:val="14"/>
                <w:szCs w:val="14"/>
                <w:lang w:eastAsia="en-NZ"/>
              </w:rPr>
            </w:pPr>
            <w:r w:rsidRPr="00417CD4">
              <w:rPr>
                <w:rFonts w:ascii="Arial Mäori" w:hAnsi="Arial Mäori"/>
                <w:color w:val="000000" w:themeColor="text1"/>
                <w:kern w:val="2"/>
                <w:sz w:val="14"/>
                <w:szCs w:val="14"/>
                <w14:ligatures w14:val="standardContextual"/>
              </w:rPr>
              <w:t>100,000</w:t>
            </w:r>
          </w:p>
        </w:tc>
      </w:tr>
    </w:tbl>
    <w:p w14:paraId="6A67149A" w14:textId="51A5F879" w:rsidR="006337A7" w:rsidRPr="00417CD4" w:rsidRDefault="00E87D76" w:rsidP="006337A7">
      <w:pPr>
        <w:spacing w:before="40" w:after="0" w:line="240" w:lineRule="auto"/>
        <w:ind w:left="1418"/>
        <w:rPr>
          <w:rFonts w:ascii="Arial Mäori" w:hAnsi="Arial Mäori"/>
          <w:color w:val="000000" w:themeColor="text1"/>
          <w:sz w:val="16"/>
          <w:szCs w:val="16"/>
        </w:rPr>
      </w:pPr>
      <w:r w:rsidRPr="00417CD4">
        <w:rPr>
          <w:rFonts w:ascii="Arial Mäori" w:hAnsi="Arial Mäori"/>
          <w:color w:val="000000" w:themeColor="text1"/>
          <w:sz w:val="16"/>
          <w:szCs w:val="16"/>
        </w:rPr>
        <w:t xml:space="preserve">Note for Table </w:t>
      </w:r>
      <w:r w:rsidR="009701B8">
        <w:rPr>
          <w:rFonts w:ascii="Arial Mäori" w:hAnsi="Arial Mäori"/>
          <w:color w:val="000000" w:themeColor="text1"/>
          <w:sz w:val="16"/>
          <w:szCs w:val="16"/>
        </w:rPr>
        <w:t>I</w:t>
      </w:r>
      <w:r w:rsidRPr="00417CD4">
        <w:rPr>
          <w:rFonts w:ascii="Arial Mäori" w:hAnsi="Arial Mäori"/>
          <w:color w:val="000000" w:themeColor="text1"/>
          <w:sz w:val="16"/>
          <w:szCs w:val="16"/>
        </w:rPr>
        <w:t>.2</w:t>
      </w:r>
    </w:p>
    <w:p w14:paraId="5D470443" w14:textId="329071B6" w:rsidR="00E87D76" w:rsidRDefault="00E87D76">
      <w:pPr>
        <w:pStyle w:val="ListParagraph"/>
        <w:numPr>
          <w:ilvl w:val="0"/>
          <w:numId w:val="95"/>
        </w:numPr>
        <w:spacing w:before="20" w:after="0" w:line="240" w:lineRule="auto"/>
        <w:ind w:left="1843" w:hanging="283"/>
        <w:rPr>
          <w:rFonts w:ascii="Arial Mäori" w:hAnsi="Arial Mäori"/>
          <w:color w:val="000000" w:themeColor="text1"/>
          <w:sz w:val="16"/>
          <w:szCs w:val="16"/>
        </w:rPr>
      </w:pPr>
      <w:r w:rsidRPr="00417CD4">
        <w:rPr>
          <w:rFonts w:ascii="Arial Mäori" w:hAnsi="Arial Mäori"/>
          <w:color w:val="000000" w:themeColor="text1"/>
          <w:sz w:val="16"/>
          <w:szCs w:val="16"/>
        </w:rPr>
        <w:t>Quintiles are on unequivalised disposable income for households with age 0-17s. Households with children where there is an adult aged 65+ are removed after the quintiles are assigned.</w:t>
      </w:r>
    </w:p>
    <w:p w14:paraId="6656DF5B" w14:textId="5CF6B968" w:rsidR="001B673E" w:rsidRDefault="001B673E" w:rsidP="001B673E">
      <w:pPr>
        <w:pStyle w:val="ListParagraph"/>
        <w:spacing w:after="0" w:line="240" w:lineRule="auto"/>
        <w:ind w:left="0"/>
        <w:contextualSpacing w:val="0"/>
        <w:rPr>
          <w:rFonts w:ascii="Arial" w:hAnsi="Arial"/>
          <w:b/>
          <w:bCs/>
          <w:color w:val="000000" w:themeColor="text1"/>
        </w:rPr>
      </w:pPr>
      <w:r>
        <w:rPr>
          <w:rFonts w:ascii="Arial" w:hAnsi="Arial"/>
          <w:b/>
          <w:bCs/>
          <w:color w:val="000000" w:themeColor="text1"/>
        </w:rPr>
        <w:lastRenderedPageBreak/>
        <w:t>Housing affordability using housing-outgoings-to-income ratios (OTIs)</w:t>
      </w:r>
    </w:p>
    <w:p w14:paraId="257301F4" w14:textId="77777777" w:rsidR="001B673E" w:rsidRDefault="001B673E" w:rsidP="00220A64">
      <w:pPr>
        <w:pStyle w:val="ListParagraph"/>
        <w:spacing w:after="0" w:line="240" w:lineRule="auto"/>
        <w:ind w:left="0"/>
        <w:contextualSpacing w:val="0"/>
        <w:rPr>
          <w:rFonts w:ascii="Arial" w:hAnsi="Arial"/>
          <w:b/>
          <w:bCs/>
          <w:color w:val="000000" w:themeColor="text1"/>
        </w:rPr>
      </w:pPr>
    </w:p>
    <w:p w14:paraId="3F7372B2" w14:textId="55908CB6" w:rsidR="00D72C4F" w:rsidRPr="00417CD4" w:rsidRDefault="002C3EA2" w:rsidP="00E3766F">
      <w:pPr>
        <w:pStyle w:val="ListParagraph"/>
        <w:spacing w:line="240" w:lineRule="auto"/>
        <w:ind w:left="0"/>
        <w:contextualSpacing w:val="0"/>
        <w:rPr>
          <w:rFonts w:ascii="Arial" w:hAnsi="Arial"/>
          <w:color w:val="000000" w:themeColor="text1"/>
        </w:rPr>
      </w:pPr>
      <w:r w:rsidRPr="00417CD4">
        <w:rPr>
          <w:rFonts w:ascii="Arial" w:hAnsi="Arial"/>
          <w:b/>
          <w:bCs/>
          <w:color w:val="000000" w:themeColor="text1"/>
        </w:rPr>
        <w:t xml:space="preserve">Figure </w:t>
      </w:r>
      <w:r w:rsidR="009701B8">
        <w:rPr>
          <w:rFonts w:ascii="Arial" w:hAnsi="Arial"/>
          <w:b/>
          <w:bCs/>
          <w:color w:val="000000" w:themeColor="text1"/>
        </w:rPr>
        <w:t>I</w:t>
      </w:r>
      <w:r w:rsidR="0017548C" w:rsidRPr="00417CD4">
        <w:rPr>
          <w:rFonts w:ascii="Arial" w:hAnsi="Arial"/>
          <w:b/>
          <w:bCs/>
          <w:color w:val="000000" w:themeColor="text1"/>
        </w:rPr>
        <w:t>.2</w:t>
      </w:r>
      <w:r w:rsidRPr="00417CD4">
        <w:rPr>
          <w:rFonts w:ascii="Arial" w:hAnsi="Arial"/>
          <w:color w:val="000000" w:themeColor="text1"/>
        </w:rPr>
        <w:t xml:space="preserve"> looks at housing costs relative to income </w:t>
      </w:r>
      <w:r w:rsidR="00046830" w:rsidRPr="00417CD4">
        <w:rPr>
          <w:rFonts w:ascii="Arial" w:hAnsi="Arial"/>
          <w:color w:val="000000" w:themeColor="text1"/>
        </w:rPr>
        <w:t xml:space="preserve">in </w:t>
      </w:r>
      <w:r w:rsidRPr="00417CD4">
        <w:rPr>
          <w:rFonts w:ascii="Arial" w:hAnsi="Arial"/>
          <w:color w:val="000000" w:themeColor="text1"/>
        </w:rPr>
        <w:t xml:space="preserve">a different way. It uses </w:t>
      </w:r>
      <w:r w:rsidR="00622A3B" w:rsidRPr="00417CD4">
        <w:rPr>
          <w:rFonts w:ascii="Arial" w:hAnsi="Arial"/>
          <w:color w:val="000000" w:themeColor="text1"/>
        </w:rPr>
        <w:t>OTIs (housing outgoings-to-income ratios) with thresholds set at 30%, 40% and 50%. It shows that for all households with children</w:t>
      </w:r>
      <w:r w:rsidR="00E3766F" w:rsidRPr="00417CD4">
        <w:rPr>
          <w:rFonts w:ascii="Arial" w:hAnsi="Arial"/>
          <w:color w:val="000000" w:themeColor="text1"/>
        </w:rPr>
        <w:t>, in the latest 202</w:t>
      </w:r>
      <w:r w:rsidR="002E5773" w:rsidRPr="00417CD4">
        <w:rPr>
          <w:rFonts w:ascii="Arial" w:hAnsi="Arial"/>
          <w:color w:val="000000" w:themeColor="text1"/>
        </w:rPr>
        <w:t>5</w:t>
      </w:r>
      <w:r w:rsidR="00E3766F" w:rsidRPr="00417CD4">
        <w:rPr>
          <w:rFonts w:ascii="Arial" w:hAnsi="Arial"/>
          <w:color w:val="000000" w:themeColor="text1"/>
        </w:rPr>
        <w:t xml:space="preserve"> survey, </w:t>
      </w:r>
      <w:r w:rsidR="00622A3B" w:rsidRPr="00417CD4">
        <w:rPr>
          <w:rFonts w:ascii="Arial" w:hAnsi="Arial"/>
          <w:color w:val="000000" w:themeColor="text1"/>
        </w:rPr>
        <w:t>around 1</w:t>
      </w:r>
      <w:r w:rsidR="00E3766F" w:rsidRPr="00417CD4">
        <w:rPr>
          <w:rFonts w:ascii="Arial" w:hAnsi="Arial"/>
          <w:color w:val="000000" w:themeColor="text1"/>
        </w:rPr>
        <w:t>3</w:t>
      </w:r>
      <w:r w:rsidR="00622A3B" w:rsidRPr="00417CD4">
        <w:rPr>
          <w:rFonts w:ascii="Arial" w:hAnsi="Arial"/>
          <w:color w:val="000000" w:themeColor="text1"/>
        </w:rPr>
        <w:t xml:space="preserve">% spend more than half their </w:t>
      </w:r>
      <w:r w:rsidR="008C553F" w:rsidRPr="00417CD4">
        <w:rPr>
          <w:rFonts w:ascii="Arial" w:hAnsi="Arial"/>
          <w:color w:val="000000" w:themeColor="text1"/>
        </w:rPr>
        <w:t xml:space="preserve">BHC </w:t>
      </w:r>
      <w:r w:rsidR="00622A3B" w:rsidRPr="00417CD4">
        <w:rPr>
          <w:rFonts w:ascii="Arial" w:hAnsi="Arial"/>
          <w:color w:val="000000" w:themeColor="text1"/>
        </w:rPr>
        <w:t xml:space="preserve">income on housing costs and </w:t>
      </w:r>
      <w:r w:rsidR="00006D83" w:rsidRPr="00417CD4">
        <w:rPr>
          <w:rFonts w:ascii="Arial" w:hAnsi="Arial"/>
          <w:color w:val="000000" w:themeColor="text1"/>
        </w:rPr>
        <w:t>24</w:t>
      </w:r>
      <w:r w:rsidR="00622A3B" w:rsidRPr="00417CD4">
        <w:rPr>
          <w:rFonts w:ascii="Arial" w:hAnsi="Arial"/>
          <w:color w:val="000000" w:themeColor="text1"/>
        </w:rPr>
        <w:t>% spend more than 40% of their income on housing</w:t>
      </w:r>
      <w:r w:rsidR="00C261E9" w:rsidRPr="00417CD4">
        <w:rPr>
          <w:rFonts w:ascii="Arial" w:hAnsi="Arial"/>
          <w:color w:val="000000" w:themeColor="text1"/>
        </w:rPr>
        <w:t>.</w:t>
      </w:r>
      <w:r w:rsidR="00622A3B" w:rsidRPr="00417CD4">
        <w:rPr>
          <w:rFonts w:ascii="Arial" w:hAnsi="Arial"/>
          <w:color w:val="000000" w:themeColor="text1"/>
        </w:rPr>
        <w:t xml:space="preserve"> At each threshold, there is an </w:t>
      </w:r>
      <w:r w:rsidR="00E3766F" w:rsidRPr="00417CD4">
        <w:rPr>
          <w:rFonts w:ascii="Arial" w:hAnsi="Arial"/>
          <w:color w:val="000000" w:themeColor="text1"/>
        </w:rPr>
        <w:t>increase from 2019 to 202</w:t>
      </w:r>
      <w:r w:rsidR="00006D83" w:rsidRPr="00417CD4">
        <w:rPr>
          <w:rFonts w:ascii="Arial" w:hAnsi="Arial"/>
          <w:color w:val="000000" w:themeColor="text1"/>
        </w:rPr>
        <w:t>5</w:t>
      </w:r>
      <w:r w:rsidR="00E3766F" w:rsidRPr="00417CD4">
        <w:rPr>
          <w:rFonts w:ascii="Arial" w:hAnsi="Arial"/>
          <w:color w:val="000000" w:themeColor="text1"/>
        </w:rPr>
        <w:t>.</w:t>
      </w:r>
    </w:p>
    <w:p w14:paraId="02F44D7F" w14:textId="2A0E9FEB" w:rsidR="00D72C4F" w:rsidRPr="00575A02" w:rsidRDefault="00D72C4F" w:rsidP="007C6202">
      <w:pPr>
        <w:spacing w:after="0" w:line="240" w:lineRule="auto"/>
        <w:jc w:val="center"/>
        <w:rPr>
          <w:rFonts w:ascii="Arial" w:hAnsi="Arial"/>
          <w:color w:val="FF0000"/>
          <w:sz w:val="18"/>
          <w:szCs w:val="18"/>
        </w:rPr>
      </w:pPr>
      <w:r w:rsidRPr="00417CD4">
        <w:rPr>
          <w:rFonts w:ascii="Arial" w:hAnsi="Arial"/>
          <w:b/>
          <w:bCs/>
          <w:color w:val="000000" w:themeColor="text1"/>
          <w:sz w:val="18"/>
          <w:szCs w:val="18"/>
        </w:rPr>
        <w:t xml:space="preserve">Figure </w:t>
      </w:r>
      <w:r w:rsidR="001B673E">
        <w:rPr>
          <w:rFonts w:ascii="Arial" w:hAnsi="Arial"/>
          <w:b/>
          <w:bCs/>
          <w:color w:val="000000" w:themeColor="text1"/>
          <w:sz w:val="18"/>
          <w:szCs w:val="18"/>
        </w:rPr>
        <w:t>I</w:t>
      </w:r>
      <w:r w:rsidR="007C6202" w:rsidRPr="00417CD4">
        <w:rPr>
          <w:rFonts w:ascii="Arial" w:hAnsi="Arial"/>
          <w:b/>
          <w:bCs/>
          <w:color w:val="000000" w:themeColor="text1"/>
          <w:sz w:val="18"/>
          <w:szCs w:val="18"/>
        </w:rPr>
        <w:t>.2</w:t>
      </w:r>
      <w:r w:rsidR="00B22317" w:rsidRPr="00417CD4">
        <w:rPr>
          <w:rFonts w:ascii="Arial" w:hAnsi="Arial"/>
          <w:b/>
          <w:bCs/>
          <w:color w:val="000000" w:themeColor="text1"/>
          <w:sz w:val="18"/>
          <w:szCs w:val="18"/>
        </w:rPr>
        <w:t xml:space="preserve"> </w:t>
      </w:r>
      <w:r w:rsidR="00074529" w:rsidRPr="00417CD4">
        <w:rPr>
          <w:rFonts w:ascii="Arial" w:hAnsi="Arial"/>
          <w:b/>
          <w:bCs/>
          <w:color w:val="000000" w:themeColor="text1"/>
          <w:sz w:val="18"/>
          <w:szCs w:val="18"/>
        </w:rPr>
        <w:t xml:space="preserve">= 23 in Slim 24 and I.1 in Purple 22 </w:t>
      </w:r>
    </w:p>
    <w:p w14:paraId="535E6830" w14:textId="0F69B0ED" w:rsidR="00D72C4F" w:rsidRPr="00417CD4" w:rsidRDefault="00D72C4F" w:rsidP="00D72C4F">
      <w:pPr>
        <w:spacing w:after="0" w:line="240" w:lineRule="auto"/>
        <w:jc w:val="center"/>
        <w:rPr>
          <w:rFonts w:ascii="Arial" w:hAnsi="Arial"/>
          <w:b/>
          <w:bCs/>
          <w:noProof/>
          <w:color w:val="000000" w:themeColor="text1"/>
          <w:sz w:val="18"/>
          <w:szCs w:val="18"/>
        </w:rPr>
      </w:pPr>
      <w:r w:rsidRPr="00417CD4">
        <w:rPr>
          <w:rFonts w:ascii="Arial" w:hAnsi="Arial"/>
          <w:b/>
          <w:bCs/>
          <w:noProof/>
          <w:color w:val="000000" w:themeColor="text1"/>
          <w:sz w:val="18"/>
          <w:szCs w:val="18"/>
        </w:rPr>
        <w:t xml:space="preserve">Spending on accommodation as a proportion of BHC income (%) </w:t>
      </w:r>
    </w:p>
    <w:p w14:paraId="714DB176" w14:textId="0FE93DA7" w:rsidR="00D72C4F" w:rsidRPr="00417CD4" w:rsidRDefault="00006D83" w:rsidP="00D72C4F">
      <w:pPr>
        <w:spacing w:after="0" w:line="240" w:lineRule="auto"/>
        <w:jc w:val="center"/>
        <w:rPr>
          <w:rFonts w:ascii="Arial" w:hAnsi="Arial"/>
          <w:color w:val="000000" w:themeColor="text1"/>
          <w:szCs w:val="20"/>
        </w:rPr>
      </w:pPr>
      <w:r w:rsidRPr="00417CD4">
        <w:rPr>
          <w:noProof/>
          <w:color w:val="000000" w:themeColor="text1"/>
        </w:rPr>
        <w:drawing>
          <wp:anchor distT="0" distB="0" distL="114300" distR="114300" simplePos="0" relativeHeight="253161472" behindDoc="0" locked="0" layoutInCell="1" allowOverlap="1" wp14:anchorId="7AF677CC" wp14:editId="01EEDD3A">
            <wp:simplePos x="0" y="0"/>
            <wp:positionH relativeFrom="column">
              <wp:posOffset>1003300</wp:posOffset>
            </wp:positionH>
            <wp:positionV relativeFrom="paragraph">
              <wp:posOffset>149225</wp:posOffset>
            </wp:positionV>
            <wp:extent cx="3839210" cy="2216499"/>
            <wp:effectExtent l="0" t="0" r="8890" b="0"/>
            <wp:wrapTopAndBottom/>
            <wp:docPr id="388718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18513"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3839210" cy="2216499"/>
                    </a:xfrm>
                    <a:prstGeom prst="rect">
                      <a:avLst/>
                    </a:prstGeom>
                  </pic:spPr>
                </pic:pic>
              </a:graphicData>
            </a:graphic>
            <wp14:sizeRelH relativeFrom="page">
              <wp14:pctWidth>0</wp14:pctWidth>
            </wp14:sizeRelH>
            <wp14:sizeRelV relativeFrom="page">
              <wp14:pctHeight>0</wp14:pctHeight>
            </wp14:sizeRelV>
          </wp:anchor>
        </w:drawing>
      </w:r>
      <w:r w:rsidR="00842DFA" w:rsidRPr="00417CD4">
        <w:rPr>
          <w:color w:val="000000" w:themeColor="text1"/>
        </w:rPr>
        <w:t xml:space="preserve"> </w:t>
      </w:r>
      <w:r w:rsidR="00D72C4F" w:rsidRPr="00417CD4">
        <w:rPr>
          <w:rFonts w:ascii="Arial" w:hAnsi="Arial"/>
          <w:b/>
          <w:bCs/>
          <w:noProof/>
          <w:color w:val="000000" w:themeColor="text1"/>
          <w:sz w:val="18"/>
          <w:szCs w:val="18"/>
        </w:rPr>
        <w:t>for all households with children, using OTIs, 1988 to 202</w:t>
      </w:r>
      <w:r w:rsidRPr="00417CD4">
        <w:rPr>
          <w:rFonts w:ascii="Arial" w:hAnsi="Arial"/>
          <w:b/>
          <w:bCs/>
          <w:noProof/>
          <w:color w:val="000000" w:themeColor="text1"/>
          <w:sz w:val="18"/>
          <w:szCs w:val="18"/>
        </w:rPr>
        <w:t>5</w:t>
      </w:r>
      <w:r w:rsidR="00D72C4F" w:rsidRPr="00417CD4">
        <w:rPr>
          <w:rFonts w:ascii="Arial" w:hAnsi="Arial"/>
          <w:b/>
          <w:bCs/>
          <w:noProof/>
          <w:color w:val="000000" w:themeColor="text1"/>
          <w:sz w:val="18"/>
          <w:szCs w:val="18"/>
        </w:rPr>
        <w:t xml:space="preserve"> </w:t>
      </w:r>
    </w:p>
    <w:p w14:paraId="4AE855C3" w14:textId="7DD156EA" w:rsidR="007C6202" w:rsidRPr="00417CD4" w:rsidRDefault="007C6202" w:rsidP="007C6202">
      <w:pPr>
        <w:spacing w:after="0" w:line="240" w:lineRule="auto"/>
        <w:ind w:left="1560" w:right="1513"/>
        <w:rPr>
          <w:rFonts w:ascii="Arial" w:hAnsi="Arial"/>
          <w:color w:val="000000" w:themeColor="text1"/>
          <w:sz w:val="16"/>
          <w:szCs w:val="16"/>
        </w:rPr>
      </w:pPr>
      <w:r w:rsidRPr="00417CD4">
        <w:rPr>
          <w:rFonts w:ascii="Arial" w:hAnsi="Arial"/>
          <w:color w:val="000000" w:themeColor="text1"/>
          <w:sz w:val="16"/>
          <w:szCs w:val="16"/>
        </w:rPr>
        <w:t xml:space="preserve">Note for chart. </w:t>
      </w:r>
    </w:p>
    <w:p w14:paraId="4E2F0643" w14:textId="280492AE" w:rsidR="007C6202" w:rsidRPr="00417CD4" w:rsidRDefault="007C6202" w:rsidP="00D21305">
      <w:pPr>
        <w:spacing w:after="0" w:line="240" w:lineRule="auto"/>
        <w:ind w:left="1701" w:right="1371"/>
        <w:contextualSpacing/>
        <w:rPr>
          <w:rFonts w:ascii="Arial" w:hAnsi="Arial"/>
          <w:color w:val="000000" w:themeColor="text1"/>
          <w:sz w:val="16"/>
          <w:szCs w:val="16"/>
        </w:rPr>
      </w:pPr>
      <w:r w:rsidRPr="00417CD4">
        <w:rPr>
          <w:rFonts w:ascii="Arial" w:hAnsi="Arial"/>
          <w:color w:val="000000" w:themeColor="text1"/>
          <w:sz w:val="16"/>
          <w:szCs w:val="16"/>
        </w:rPr>
        <w:t>Data points for 21 and 22 are omitted because of uncertainties about their reliability given COVID induced collection challenges and behavioural changes brought on by lockdowns, etc. The omitted points all lie below the interpolated trend lines.</w:t>
      </w:r>
    </w:p>
    <w:p w14:paraId="30A76323" w14:textId="77777777" w:rsidR="00842DFA" w:rsidRPr="00417CD4" w:rsidRDefault="00842DFA" w:rsidP="00582D16">
      <w:pPr>
        <w:pStyle w:val="ListParagraph"/>
        <w:spacing w:after="0" w:line="240" w:lineRule="auto"/>
        <w:ind w:left="0"/>
        <w:contextualSpacing w:val="0"/>
        <w:rPr>
          <w:rFonts w:ascii="Arial" w:hAnsi="Arial"/>
          <w:b/>
          <w:bCs/>
          <w:color w:val="000000" w:themeColor="text1"/>
        </w:rPr>
      </w:pPr>
    </w:p>
    <w:bookmarkEnd w:id="1"/>
    <w:bookmarkEnd w:id="21"/>
    <w:p w14:paraId="7D360F71" w14:textId="77777777" w:rsidR="00C43719" w:rsidRDefault="00C43719">
      <w:pPr>
        <w:spacing w:after="0" w:line="240" w:lineRule="auto"/>
        <w:rPr>
          <w:rFonts w:ascii="Arial" w:hAnsi="Arial"/>
          <w:b/>
          <w:color w:val="0000FF"/>
          <w:sz w:val="28"/>
        </w:rPr>
      </w:pPr>
    </w:p>
    <w:bookmarkEnd w:id="3"/>
    <w:p w14:paraId="1C9C54ED" w14:textId="61B49C8B" w:rsidR="001B673E" w:rsidRPr="001B673E" w:rsidRDefault="001B673E" w:rsidP="001B673E">
      <w:pPr>
        <w:spacing w:after="0" w:line="240" w:lineRule="auto"/>
        <w:rPr>
          <w:rFonts w:ascii="Arial" w:eastAsia="Times New Roman" w:hAnsi="Arial"/>
          <w:color w:val="000000"/>
          <w:szCs w:val="20"/>
        </w:rPr>
      </w:pPr>
      <w:r w:rsidRPr="001B673E">
        <w:rPr>
          <w:rFonts w:ascii="Arial" w:eastAsia="Times New Roman" w:hAnsi="Arial"/>
          <w:b/>
          <w:bCs/>
          <w:color w:val="000000"/>
          <w:szCs w:val="20"/>
        </w:rPr>
        <w:t xml:space="preserve">Figure </w:t>
      </w:r>
      <w:r w:rsidR="00220A64">
        <w:rPr>
          <w:rFonts w:ascii="Arial" w:eastAsia="Times New Roman" w:hAnsi="Arial"/>
          <w:b/>
          <w:bCs/>
          <w:color w:val="000000"/>
          <w:szCs w:val="20"/>
        </w:rPr>
        <w:t>I.3</w:t>
      </w:r>
      <w:r w:rsidRPr="001B673E">
        <w:rPr>
          <w:rFonts w:ascii="Arial" w:eastAsia="Times New Roman" w:hAnsi="Arial"/>
          <w:color w:val="000000"/>
          <w:szCs w:val="20"/>
        </w:rPr>
        <w:t xml:space="preserve"> repeats the analysis for low-income</w:t>
      </w:r>
      <w:r w:rsidR="00220A64">
        <w:rPr>
          <w:rFonts w:ascii="Arial" w:eastAsia="Times New Roman" w:hAnsi="Arial"/>
          <w:color w:val="000000"/>
          <w:szCs w:val="20"/>
        </w:rPr>
        <w:t xml:space="preserve"> (Q1+Q2)</w:t>
      </w:r>
      <w:r w:rsidRPr="001B673E">
        <w:rPr>
          <w:rFonts w:ascii="Arial" w:eastAsia="Times New Roman" w:hAnsi="Arial"/>
          <w:color w:val="000000"/>
          <w:szCs w:val="20"/>
        </w:rPr>
        <w:t xml:space="preserve"> households with children who own their own homes. The recent significant increase in housing stress is clear, with 21% spending more than 40% of their income on housing costs compared with 13-14% in the years from 2013 to 2022. </w:t>
      </w:r>
    </w:p>
    <w:p w14:paraId="3472C77D" w14:textId="77777777" w:rsidR="001B673E" w:rsidRPr="001B673E" w:rsidRDefault="001B673E" w:rsidP="001B673E">
      <w:pPr>
        <w:spacing w:after="0" w:line="240" w:lineRule="auto"/>
        <w:rPr>
          <w:rFonts w:ascii="Arial" w:eastAsia="Times New Roman" w:hAnsi="Arial"/>
          <w:b/>
          <w:bCs/>
          <w:color w:val="000000"/>
          <w:szCs w:val="20"/>
        </w:rPr>
      </w:pPr>
    </w:p>
    <w:p w14:paraId="325BD383" w14:textId="1BD4416B" w:rsidR="001B673E" w:rsidRPr="001B673E" w:rsidRDefault="001B673E" w:rsidP="001B673E">
      <w:pPr>
        <w:spacing w:after="0" w:line="240" w:lineRule="auto"/>
        <w:jc w:val="center"/>
        <w:rPr>
          <w:rFonts w:ascii="Arial" w:eastAsia="Times New Roman" w:hAnsi="Arial"/>
          <w:b/>
          <w:bCs/>
          <w:color w:val="000000"/>
          <w:sz w:val="18"/>
          <w:szCs w:val="18"/>
        </w:rPr>
      </w:pPr>
      <w:r w:rsidRPr="001B673E">
        <w:rPr>
          <w:rFonts w:ascii="Arial" w:eastAsia="Times New Roman" w:hAnsi="Arial"/>
          <w:b/>
          <w:bCs/>
          <w:color w:val="000000"/>
          <w:sz w:val="18"/>
          <w:szCs w:val="18"/>
        </w:rPr>
        <w:t xml:space="preserve">Figure </w:t>
      </w:r>
      <w:r w:rsidR="00220A64">
        <w:rPr>
          <w:rFonts w:ascii="Arial" w:eastAsia="Times New Roman" w:hAnsi="Arial"/>
          <w:b/>
          <w:bCs/>
          <w:color w:val="000000"/>
          <w:sz w:val="18"/>
          <w:szCs w:val="18"/>
        </w:rPr>
        <w:t>I.3</w:t>
      </w:r>
    </w:p>
    <w:p w14:paraId="07CE1EE9" w14:textId="77777777" w:rsidR="001B673E" w:rsidRPr="001B673E" w:rsidRDefault="001B673E" w:rsidP="001B673E">
      <w:pPr>
        <w:spacing w:after="0" w:line="240" w:lineRule="auto"/>
        <w:jc w:val="center"/>
        <w:rPr>
          <w:rFonts w:ascii="Arial" w:eastAsia="Times New Roman" w:hAnsi="Arial"/>
          <w:b/>
          <w:bCs/>
          <w:color w:val="000000"/>
          <w:sz w:val="28"/>
          <w:szCs w:val="28"/>
        </w:rPr>
      </w:pPr>
      <w:r w:rsidRPr="001B673E">
        <w:rPr>
          <w:noProof/>
        </w:rPr>
        <w:drawing>
          <wp:anchor distT="0" distB="0" distL="114300" distR="114300" simplePos="0" relativeHeight="253179904" behindDoc="0" locked="0" layoutInCell="1" allowOverlap="1" wp14:anchorId="0278543E" wp14:editId="2AA046D4">
            <wp:simplePos x="0" y="0"/>
            <wp:positionH relativeFrom="margin">
              <wp:align>center</wp:align>
            </wp:positionH>
            <wp:positionV relativeFrom="paragraph">
              <wp:posOffset>309245</wp:posOffset>
            </wp:positionV>
            <wp:extent cx="3930650" cy="2268855"/>
            <wp:effectExtent l="0" t="0" r="0" b="0"/>
            <wp:wrapTopAndBottom/>
            <wp:docPr id="333909996" name="Picture 1"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09996" name="Picture 1" descr="A graph of a number of different colored lines&#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930650" cy="2268855"/>
                    </a:xfrm>
                    <a:prstGeom prst="rect">
                      <a:avLst/>
                    </a:prstGeom>
                  </pic:spPr>
                </pic:pic>
              </a:graphicData>
            </a:graphic>
            <wp14:sizeRelH relativeFrom="page">
              <wp14:pctWidth>0</wp14:pctWidth>
            </wp14:sizeRelH>
            <wp14:sizeRelV relativeFrom="page">
              <wp14:pctHeight>0</wp14:pctHeight>
            </wp14:sizeRelV>
          </wp:anchor>
        </w:drawing>
      </w:r>
      <w:r w:rsidRPr="001B673E">
        <w:rPr>
          <w:color w:val="000000"/>
        </w:rPr>
        <w:t xml:space="preserve"> </w:t>
      </w:r>
      <w:r w:rsidRPr="001B673E">
        <w:rPr>
          <w:rFonts w:ascii="Arial" w:eastAsia="Times New Roman" w:hAnsi="Arial"/>
          <w:b/>
          <w:bCs/>
          <w:color w:val="000000"/>
          <w:sz w:val="18"/>
          <w:szCs w:val="18"/>
        </w:rPr>
        <w:t>Spending on accommodation as a proportion of BHC income (%) for low-income (Q1+Q2) households with children, privately owned, 2007 to 2025, using OTIs</w:t>
      </w:r>
    </w:p>
    <w:p w14:paraId="09848DB7" w14:textId="77777777" w:rsidR="001B673E" w:rsidRPr="001B673E" w:rsidRDefault="001B673E" w:rsidP="001B673E">
      <w:pPr>
        <w:spacing w:after="0" w:line="240" w:lineRule="auto"/>
        <w:rPr>
          <w:rFonts w:ascii="Arial" w:eastAsia="Times New Roman" w:hAnsi="Arial"/>
          <w:b/>
          <w:bCs/>
          <w:color w:val="000000"/>
          <w:sz w:val="28"/>
          <w:szCs w:val="28"/>
        </w:rPr>
      </w:pPr>
    </w:p>
    <w:p w14:paraId="3D3D5A61" w14:textId="77777777" w:rsidR="001B673E" w:rsidRPr="001B673E" w:rsidRDefault="001B673E" w:rsidP="001B673E">
      <w:pPr>
        <w:spacing w:after="0" w:line="240" w:lineRule="auto"/>
        <w:rPr>
          <w:rFonts w:ascii="Arial" w:eastAsia="Times New Roman" w:hAnsi="Arial"/>
          <w:b/>
          <w:bCs/>
          <w:color w:val="000000"/>
          <w:sz w:val="28"/>
          <w:szCs w:val="28"/>
        </w:rPr>
      </w:pPr>
    </w:p>
    <w:p w14:paraId="75C11E37" w14:textId="77777777" w:rsidR="001B673E" w:rsidRPr="001B673E" w:rsidRDefault="001B673E" w:rsidP="001B673E">
      <w:pPr>
        <w:spacing w:after="0" w:line="240" w:lineRule="auto"/>
        <w:rPr>
          <w:rFonts w:ascii="Arial" w:eastAsia="Times New Roman" w:hAnsi="Arial"/>
          <w:b/>
          <w:bCs/>
          <w:color w:val="000000"/>
          <w:sz w:val="28"/>
          <w:szCs w:val="28"/>
        </w:rPr>
      </w:pPr>
    </w:p>
    <w:p w14:paraId="0CB1222A" w14:textId="77777777" w:rsidR="001B673E" w:rsidRPr="001B673E" w:rsidRDefault="001B673E" w:rsidP="001B673E">
      <w:pPr>
        <w:spacing w:after="0" w:line="240" w:lineRule="auto"/>
        <w:rPr>
          <w:rFonts w:ascii="Arial" w:eastAsia="Times New Roman" w:hAnsi="Arial"/>
          <w:b/>
          <w:bCs/>
          <w:color w:val="000000"/>
          <w:sz w:val="28"/>
          <w:szCs w:val="28"/>
        </w:rPr>
      </w:pPr>
      <w:r w:rsidRPr="001B673E">
        <w:rPr>
          <w:rFonts w:ascii="Arial" w:eastAsia="Times New Roman" w:hAnsi="Arial"/>
          <w:b/>
          <w:bCs/>
          <w:color w:val="000000"/>
          <w:sz w:val="28"/>
          <w:szCs w:val="28"/>
        </w:rPr>
        <w:br w:type="page"/>
      </w:r>
    </w:p>
    <w:p w14:paraId="40E99C4E" w14:textId="325E14E7" w:rsidR="001B673E" w:rsidRPr="001B673E" w:rsidRDefault="001B673E" w:rsidP="001B673E">
      <w:pPr>
        <w:spacing w:after="0" w:line="240" w:lineRule="auto"/>
        <w:rPr>
          <w:rFonts w:ascii="Arial" w:eastAsia="Times New Roman" w:hAnsi="Arial"/>
          <w:color w:val="000000"/>
          <w:szCs w:val="20"/>
        </w:rPr>
      </w:pPr>
      <w:r w:rsidRPr="001B673E">
        <w:rPr>
          <w:rFonts w:ascii="Arial" w:eastAsia="Times New Roman" w:hAnsi="Arial"/>
          <w:b/>
          <w:bCs/>
          <w:color w:val="000000"/>
          <w:szCs w:val="20"/>
        </w:rPr>
        <w:lastRenderedPageBreak/>
        <w:t xml:space="preserve">Figure </w:t>
      </w:r>
      <w:r w:rsidR="00220A64">
        <w:rPr>
          <w:rFonts w:ascii="Arial" w:eastAsia="Times New Roman" w:hAnsi="Arial"/>
          <w:b/>
          <w:bCs/>
          <w:color w:val="000000"/>
          <w:szCs w:val="20"/>
        </w:rPr>
        <w:t>I.4</w:t>
      </w:r>
      <w:r w:rsidRPr="001B673E">
        <w:rPr>
          <w:rFonts w:ascii="Arial" w:eastAsia="Times New Roman" w:hAnsi="Arial"/>
          <w:color w:val="000000"/>
          <w:szCs w:val="20"/>
        </w:rPr>
        <w:t xml:space="preserve"> repeats the analysis </w:t>
      </w:r>
      <w:r w:rsidR="00220A64">
        <w:rPr>
          <w:rFonts w:ascii="Arial" w:eastAsia="Times New Roman" w:hAnsi="Arial"/>
          <w:color w:val="000000"/>
          <w:szCs w:val="20"/>
        </w:rPr>
        <w:t xml:space="preserve">in Figure I.3 </w:t>
      </w:r>
      <w:r w:rsidRPr="001B673E">
        <w:rPr>
          <w:rFonts w:ascii="Arial" w:eastAsia="Times New Roman" w:hAnsi="Arial"/>
          <w:color w:val="000000"/>
          <w:szCs w:val="20"/>
        </w:rPr>
        <w:t xml:space="preserve">for low-income households with children who are renting privately and receiving the Accommodation Supplement (AS). </w:t>
      </w:r>
    </w:p>
    <w:p w14:paraId="5D1E45E9" w14:textId="77777777" w:rsidR="001B673E" w:rsidRPr="001B673E" w:rsidRDefault="001B673E" w:rsidP="001B673E">
      <w:pPr>
        <w:spacing w:after="0" w:line="240" w:lineRule="auto"/>
        <w:rPr>
          <w:rFonts w:ascii="Arial" w:eastAsia="Times New Roman" w:hAnsi="Arial"/>
          <w:color w:val="000000"/>
          <w:szCs w:val="20"/>
        </w:rPr>
      </w:pPr>
    </w:p>
    <w:p w14:paraId="6D6CD2DC" w14:textId="77777777" w:rsidR="001B673E" w:rsidRPr="001B673E" w:rsidRDefault="001B673E" w:rsidP="001B673E">
      <w:pPr>
        <w:spacing w:after="0" w:line="240" w:lineRule="auto"/>
        <w:rPr>
          <w:rFonts w:ascii="Arial" w:eastAsia="Times New Roman" w:hAnsi="Arial"/>
          <w:color w:val="FF0000"/>
          <w:szCs w:val="20"/>
        </w:rPr>
      </w:pPr>
      <w:r w:rsidRPr="001B673E">
        <w:rPr>
          <w:rFonts w:ascii="Arial" w:eastAsia="Times New Roman" w:hAnsi="Arial"/>
          <w:color w:val="000000"/>
          <w:szCs w:val="20"/>
        </w:rPr>
        <w:t xml:space="preserve">This breakdown means that the sample sizes supporting the analysis behind each line are relatively small, so the main messages should be drawn from the general levels rather than from the ‘wobbles’. Almost 60% of this group spend more than 40% of their income on housing costs, and around 30% more than half their income. Lower-income households with such high relative accommodation costs have very low residual or after-housing-costs (AHC) incomes for applying to other household budget items. </w:t>
      </w:r>
    </w:p>
    <w:p w14:paraId="02E22C40" w14:textId="77777777" w:rsidR="001B673E" w:rsidRPr="001B673E" w:rsidRDefault="001B673E" w:rsidP="001B673E">
      <w:pPr>
        <w:spacing w:after="0" w:line="240" w:lineRule="auto"/>
        <w:rPr>
          <w:rFonts w:ascii="Arial" w:eastAsia="Times New Roman" w:hAnsi="Arial"/>
          <w:color w:val="000000"/>
          <w:szCs w:val="20"/>
        </w:rPr>
      </w:pPr>
    </w:p>
    <w:p w14:paraId="39C83D23" w14:textId="519E4E49" w:rsidR="001B673E" w:rsidRPr="001B673E" w:rsidRDefault="001B673E" w:rsidP="001B673E">
      <w:pPr>
        <w:spacing w:after="0" w:line="240" w:lineRule="auto"/>
        <w:jc w:val="center"/>
        <w:rPr>
          <w:rFonts w:ascii="Arial" w:eastAsia="Times New Roman" w:hAnsi="Arial"/>
          <w:b/>
          <w:bCs/>
          <w:color w:val="000000"/>
          <w:sz w:val="18"/>
          <w:szCs w:val="18"/>
        </w:rPr>
      </w:pPr>
      <w:r w:rsidRPr="001B673E">
        <w:rPr>
          <w:rFonts w:ascii="Arial" w:eastAsia="Times New Roman" w:hAnsi="Arial"/>
          <w:b/>
          <w:bCs/>
          <w:color w:val="000000"/>
          <w:sz w:val="18"/>
          <w:szCs w:val="18"/>
        </w:rPr>
        <w:t xml:space="preserve"> Figure </w:t>
      </w:r>
      <w:r w:rsidR="00220A64">
        <w:rPr>
          <w:rFonts w:ascii="Arial" w:eastAsia="Times New Roman" w:hAnsi="Arial"/>
          <w:b/>
          <w:bCs/>
          <w:color w:val="000000"/>
          <w:sz w:val="18"/>
          <w:szCs w:val="18"/>
        </w:rPr>
        <w:t>I.4</w:t>
      </w:r>
    </w:p>
    <w:p w14:paraId="51DE2FCC" w14:textId="77777777" w:rsidR="001B673E" w:rsidRPr="001B673E" w:rsidRDefault="001B673E" w:rsidP="001B673E">
      <w:pPr>
        <w:spacing w:after="0" w:line="240" w:lineRule="auto"/>
        <w:jc w:val="center"/>
        <w:rPr>
          <w:rFonts w:ascii="Arial" w:eastAsia="Times New Roman" w:hAnsi="Arial"/>
          <w:b/>
          <w:bCs/>
          <w:color w:val="000000"/>
          <w:sz w:val="18"/>
          <w:szCs w:val="18"/>
        </w:rPr>
      </w:pPr>
      <w:r w:rsidRPr="001B673E">
        <w:rPr>
          <w:noProof/>
          <w:color w:val="000000"/>
        </w:rPr>
        <w:drawing>
          <wp:anchor distT="0" distB="0" distL="114300" distR="114300" simplePos="0" relativeHeight="253177856" behindDoc="0" locked="0" layoutInCell="1" allowOverlap="1" wp14:anchorId="53DC8BE9" wp14:editId="4EF04B93">
            <wp:simplePos x="0" y="0"/>
            <wp:positionH relativeFrom="margin">
              <wp:posOffset>1248166</wp:posOffset>
            </wp:positionH>
            <wp:positionV relativeFrom="paragraph">
              <wp:posOffset>327758</wp:posOffset>
            </wp:positionV>
            <wp:extent cx="3538220" cy="2179955"/>
            <wp:effectExtent l="0" t="0" r="5080" b="0"/>
            <wp:wrapTopAndBottom/>
            <wp:docPr id="489219055"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55659" name="Picture 1" descr="A graph of different colored lines&#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538220" cy="2179955"/>
                    </a:xfrm>
                    <a:prstGeom prst="rect">
                      <a:avLst/>
                    </a:prstGeom>
                  </pic:spPr>
                </pic:pic>
              </a:graphicData>
            </a:graphic>
            <wp14:sizeRelH relativeFrom="page">
              <wp14:pctWidth>0</wp14:pctWidth>
            </wp14:sizeRelH>
            <wp14:sizeRelV relativeFrom="page">
              <wp14:pctHeight>0</wp14:pctHeight>
            </wp14:sizeRelV>
          </wp:anchor>
        </w:drawing>
      </w:r>
      <w:r w:rsidRPr="001B673E">
        <w:rPr>
          <w:color w:val="000000"/>
        </w:rPr>
        <w:t xml:space="preserve"> </w:t>
      </w:r>
      <w:r w:rsidRPr="001B673E">
        <w:rPr>
          <w:rFonts w:ascii="Arial" w:eastAsia="Times New Roman" w:hAnsi="Arial"/>
          <w:b/>
          <w:bCs/>
          <w:color w:val="000000"/>
          <w:sz w:val="18"/>
          <w:szCs w:val="18"/>
        </w:rPr>
        <w:t>Spending on accommodation as a proportion of BHC income (%) for low-income (Q1+Q2) households with children, renting privately and receiving the AS, 2007 to 2025, using OTIs</w:t>
      </w:r>
    </w:p>
    <w:p w14:paraId="4FFCA4B4" w14:textId="7960C9D5" w:rsidR="00A93314" w:rsidRDefault="00A93314">
      <w:pPr>
        <w:spacing w:after="0" w:line="240" w:lineRule="auto"/>
        <w:rPr>
          <w:rFonts w:ascii="Arial" w:hAnsi="Arial"/>
          <w:b/>
          <w:color w:val="0000FF"/>
          <w:sz w:val="28"/>
        </w:rPr>
      </w:pPr>
      <w:r>
        <w:rPr>
          <w:rFonts w:ascii="Arial" w:hAnsi="Arial"/>
          <w:b/>
          <w:color w:val="0000FF"/>
          <w:sz w:val="28"/>
        </w:rPr>
        <w:br w:type="page"/>
      </w:r>
    </w:p>
    <w:p w14:paraId="33AE38BD" w14:textId="7C034E2E" w:rsidR="00711FE4" w:rsidRPr="00711FE4" w:rsidRDefault="00711FE4" w:rsidP="00711FE4">
      <w:pPr>
        <w:spacing w:after="0" w:line="240" w:lineRule="auto"/>
        <w:rPr>
          <w:rFonts w:ascii="Arial" w:hAnsi="Arial"/>
          <w:color w:val="FF0000"/>
          <w:sz w:val="18"/>
          <w:szCs w:val="18"/>
          <w:shd w:val="clear" w:color="auto" w:fill="FFFFFF"/>
        </w:rPr>
      </w:pPr>
      <w:r w:rsidRPr="00711FE4">
        <w:rPr>
          <w:rFonts w:ascii="Arial" w:hAnsi="Arial"/>
          <w:b/>
          <w:sz w:val="24"/>
          <w:szCs w:val="20"/>
        </w:rPr>
        <w:lastRenderedPageBreak/>
        <w:t xml:space="preserve">References </w:t>
      </w:r>
      <w:r w:rsidRPr="00711FE4">
        <w:rPr>
          <w:rFonts w:ascii="Arial" w:hAnsi="Arial"/>
          <w:b/>
          <w:sz w:val="24"/>
          <w:szCs w:val="20"/>
        </w:rPr>
        <w:tab/>
      </w:r>
      <w:r w:rsidRPr="00711FE4">
        <w:rPr>
          <w:rFonts w:ascii="Arial" w:hAnsi="Arial"/>
          <w:b/>
          <w:sz w:val="24"/>
          <w:szCs w:val="20"/>
        </w:rPr>
        <w:tab/>
      </w:r>
    </w:p>
    <w:p w14:paraId="3DC37165" w14:textId="77777777" w:rsidR="00711FE4" w:rsidRPr="00711FE4" w:rsidRDefault="00711FE4" w:rsidP="00711FE4">
      <w:pPr>
        <w:widowControl w:val="0"/>
        <w:autoSpaceDE w:val="0"/>
        <w:autoSpaceDN w:val="0"/>
        <w:adjustRightInd w:val="0"/>
        <w:spacing w:line="240" w:lineRule="auto"/>
        <w:ind w:left="425" w:hanging="425"/>
        <w:rPr>
          <w:rFonts w:ascii="Arial" w:hAnsi="Arial"/>
          <w:color w:val="000000" w:themeColor="text1"/>
          <w:szCs w:val="20"/>
          <w:shd w:val="clear" w:color="auto" w:fill="FFFFFF"/>
        </w:rPr>
      </w:pPr>
    </w:p>
    <w:p w14:paraId="0DE1F527" w14:textId="77777777" w:rsidR="00711FE4" w:rsidRPr="00711FE4" w:rsidRDefault="00711FE4" w:rsidP="00711FE4">
      <w:pPr>
        <w:autoSpaceDE w:val="0"/>
        <w:autoSpaceDN w:val="0"/>
        <w:adjustRightInd w:val="0"/>
        <w:spacing w:after="180" w:line="240" w:lineRule="auto"/>
        <w:ind w:left="425" w:hanging="425"/>
        <w:rPr>
          <w:rFonts w:ascii="Arial" w:hAnsi="Arial"/>
          <w:color w:val="000000"/>
          <w:sz w:val="18"/>
          <w:szCs w:val="18"/>
          <w:shd w:val="clear" w:color="auto" w:fill="FFFFFF"/>
        </w:rPr>
      </w:pPr>
      <w:bookmarkStart w:id="24" w:name="_Hlk171616224"/>
      <w:r w:rsidRPr="00711FE4">
        <w:rPr>
          <w:rFonts w:ascii="Arial" w:hAnsi="Arial"/>
          <w:color w:val="000000"/>
          <w:sz w:val="18"/>
          <w:szCs w:val="18"/>
          <w:shd w:val="clear" w:color="auto" w:fill="FFFFFF"/>
        </w:rPr>
        <w:t>Alkire, S., Kanagaratnam, U. and Suppa, N. (2019). ‘The Global Multidimensional Poverty Index (MPI) 2019’, OPHI MPI Methodological Note No. 47, Oxford Poverty and Human Development Initiative (OPHI), University of Oxford.</w:t>
      </w:r>
    </w:p>
    <w:p w14:paraId="30869B42" w14:textId="77777777" w:rsidR="00711FE4" w:rsidRPr="00711FE4" w:rsidRDefault="00711FE4" w:rsidP="00711FE4">
      <w:pPr>
        <w:autoSpaceDE w:val="0"/>
        <w:autoSpaceDN w:val="0"/>
        <w:adjustRightInd w:val="0"/>
        <w:spacing w:after="180" w:line="240" w:lineRule="auto"/>
        <w:ind w:left="425" w:hanging="425"/>
        <w:rPr>
          <w:rFonts w:ascii="Arial" w:hAnsi="Arial"/>
          <w:color w:val="000000" w:themeColor="text1"/>
          <w:sz w:val="18"/>
          <w:szCs w:val="18"/>
          <w:lang w:eastAsia="en-NZ"/>
        </w:rPr>
      </w:pPr>
      <w:r w:rsidRPr="00711FE4">
        <w:rPr>
          <w:rFonts w:ascii="Arial" w:hAnsi="Arial"/>
          <w:color w:val="000000" w:themeColor="text1"/>
          <w:sz w:val="18"/>
          <w:szCs w:val="18"/>
          <w:lang w:eastAsia="en-NZ"/>
        </w:rPr>
        <w:t>Auckland City Mission (2014a), ‘Speaking for Ourselves: The Truth about what keeps people in poverty from those who live it.’ Summary of findings from the Family 100 project. Auckland City Mission.</w:t>
      </w:r>
      <w:r w:rsidRPr="00711FE4">
        <w:rPr>
          <w:rFonts w:ascii="Arial" w:hAnsi="Arial"/>
          <w:sz w:val="18"/>
          <w:szCs w:val="18"/>
        </w:rPr>
        <w:t xml:space="preserve"> </w:t>
      </w:r>
      <w:hyperlink r:id="rId78" w:history="1">
        <w:r w:rsidRPr="00711FE4">
          <w:rPr>
            <w:rFonts w:ascii="Arial" w:hAnsi="Arial"/>
            <w:color w:val="0000FF"/>
            <w:sz w:val="18"/>
            <w:szCs w:val="18"/>
            <w:u w:val="single"/>
          </w:rPr>
          <w:t>Auckland-City-Mission-Family100-Speaking-for-Ourselves.pdf (aucklandcitymission.org.nz)</w:t>
        </w:r>
      </w:hyperlink>
    </w:p>
    <w:p w14:paraId="36FEEE65" w14:textId="77777777" w:rsidR="00711FE4" w:rsidRPr="00711FE4" w:rsidRDefault="00711FE4" w:rsidP="00711FE4">
      <w:pPr>
        <w:autoSpaceDE w:val="0"/>
        <w:autoSpaceDN w:val="0"/>
        <w:adjustRightInd w:val="0"/>
        <w:spacing w:after="180" w:line="240" w:lineRule="auto"/>
        <w:ind w:left="425" w:hanging="425"/>
        <w:rPr>
          <w:color w:val="000000" w:themeColor="text1"/>
          <w:sz w:val="18"/>
          <w:szCs w:val="20"/>
          <w:lang w:eastAsia="en-NZ"/>
        </w:rPr>
      </w:pPr>
      <w:r w:rsidRPr="00711FE4">
        <w:rPr>
          <w:rFonts w:ascii="Arial" w:hAnsi="Arial"/>
          <w:color w:val="000000" w:themeColor="text1"/>
          <w:sz w:val="18"/>
          <w:szCs w:val="18"/>
          <w:lang w:eastAsia="en-NZ"/>
        </w:rPr>
        <w:t xml:space="preserve">Auckland City Mission (2014b), ‘Demonstrating the complexities of being poor. An empathy tool for the Family 100 project.’ Auckland City Mission. </w:t>
      </w:r>
      <w:hyperlink r:id="rId79" w:history="1">
        <w:r w:rsidRPr="00711FE4">
          <w:rPr>
            <w:rFonts w:ascii="Arial" w:hAnsi="Arial"/>
            <w:color w:val="0000FF"/>
            <w:sz w:val="18"/>
            <w:szCs w:val="18"/>
            <w:u w:val="single"/>
          </w:rPr>
          <w:t>Demonstrating-the-Complexities-of-Being-Poor-An-Empathy-Tool.pdf (aucklandcitymission.org.nz)</w:t>
        </w:r>
      </w:hyperlink>
    </w:p>
    <w:p w14:paraId="6D0C741A" w14:textId="77777777" w:rsidR="00711FE4" w:rsidRPr="00711FE4" w:rsidRDefault="00711FE4" w:rsidP="00711FE4">
      <w:pPr>
        <w:autoSpaceDE w:val="0"/>
        <w:autoSpaceDN w:val="0"/>
        <w:adjustRightInd w:val="0"/>
        <w:spacing w:after="180" w:line="240" w:lineRule="auto"/>
        <w:ind w:left="425" w:hanging="425"/>
        <w:rPr>
          <w:rFonts w:ascii="Arial" w:hAnsi="Arial"/>
          <w:sz w:val="18"/>
          <w:szCs w:val="20"/>
        </w:rPr>
      </w:pPr>
      <w:r w:rsidRPr="00711FE4">
        <w:rPr>
          <w:rFonts w:ascii="Arial" w:hAnsi="Arial"/>
          <w:sz w:val="18"/>
          <w:szCs w:val="20"/>
        </w:rPr>
        <w:t>Balestra, C. (2018), ‘Asset-based Poverty: Insights from the OECD Wealth Distribution Database’. Social Situation Monitor Research Seminar, Brussels March 2028.</w:t>
      </w:r>
    </w:p>
    <w:p w14:paraId="11CEFA5E" w14:textId="77777777" w:rsidR="00711FE4" w:rsidRPr="00711FE4" w:rsidRDefault="00711FE4" w:rsidP="00711FE4">
      <w:pPr>
        <w:autoSpaceDE w:val="0"/>
        <w:autoSpaceDN w:val="0"/>
        <w:adjustRightInd w:val="0"/>
        <w:spacing w:after="180" w:line="240" w:lineRule="auto"/>
        <w:ind w:left="425" w:hanging="425"/>
        <w:rPr>
          <w:rFonts w:ascii="Arial" w:hAnsi="Arial"/>
          <w:sz w:val="18"/>
          <w:szCs w:val="20"/>
        </w:rPr>
      </w:pPr>
      <w:r w:rsidRPr="00711FE4">
        <w:rPr>
          <w:rFonts w:ascii="Arial" w:hAnsi="Arial"/>
          <w:sz w:val="18"/>
          <w:szCs w:val="20"/>
        </w:rPr>
        <w:t xml:space="preserve">Baxter, J. (2023). ‘Employment patterns and trends for families with children’ (Research Report). Melbourne: Australian Institute of Family Studies. </w:t>
      </w:r>
      <w:hyperlink r:id="rId80" w:history="1">
        <w:r w:rsidRPr="00711FE4">
          <w:rPr>
            <w:rFonts w:ascii="Arial" w:hAnsi="Arial"/>
            <w:color w:val="0000FF"/>
            <w:sz w:val="18"/>
            <w:szCs w:val="20"/>
            <w:u w:val="single"/>
          </w:rPr>
          <w:t>https://aifs.gov.au/research/research-reports/employment-patterns-and-trends-families-children</w:t>
        </w:r>
      </w:hyperlink>
      <w:r w:rsidRPr="00711FE4">
        <w:rPr>
          <w:rFonts w:ascii="Arial" w:hAnsi="Arial"/>
          <w:sz w:val="18"/>
          <w:szCs w:val="20"/>
        </w:rPr>
        <w:t xml:space="preserve"> </w:t>
      </w:r>
    </w:p>
    <w:p w14:paraId="4C67916F" w14:textId="77777777" w:rsidR="00711FE4" w:rsidRPr="00711FE4" w:rsidRDefault="00711FE4" w:rsidP="00711FE4">
      <w:pPr>
        <w:autoSpaceDE w:val="0"/>
        <w:autoSpaceDN w:val="0"/>
        <w:adjustRightInd w:val="0"/>
        <w:spacing w:after="180" w:line="240" w:lineRule="auto"/>
        <w:ind w:left="425" w:hanging="425"/>
        <w:rPr>
          <w:rFonts w:ascii="Arial" w:hAnsi="Arial"/>
          <w:sz w:val="18"/>
          <w:szCs w:val="20"/>
        </w:rPr>
      </w:pPr>
      <w:r w:rsidRPr="00711FE4">
        <w:rPr>
          <w:rFonts w:ascii="Arial" w:hAnsi="Arial"/>
          <w:sz w:val="18"/>
          <w:szCs w:val="20"/>
        </w:rPr>
        <w:t>Brandolini, A. et al (2018). ‘Asset-Based Measurement of Poverty’, Institute for Research on Poverty Discussion Paper # 1372-10.</w:t>
      </w:r>
    </w:p>
    <w:p w14:paraId="3C432C63" w14:textId="77777777" w:rsidR="00711FE4" w:rsidRPr="00711FE4" w:rsidRDefault="00711FE4" w:rsidP="00711FE4">
      <w:pPr>
        <w:autoSpaceDE w:val="0"/>
        <w:autoSpaceDN w:val="0"/>
        <w:adjustRightInd w:val="0"/>
        <w:spacing w:after="180" w:line="240" w:lineRule="auto"/>
        <w:ind w:left="425" w:hanging="425"/>
        <w:rPr>
          <w:rFonts w:ascii="Arial" w:hAnsi="Arial"/>
          <w:sz w:val="18"/>
          <w:szCs w:val="20"/>
        </w:rPr>
      </w:pPr>
      <w:r w:rsidRPr="00711FE4">
        <w:rPr>
          <w:rFonts w:ascii="Arial" w:hAnsi="Arial"/>
          <w:sz w:val="18"/>
          <w:szCs w:val="20"/>
        </w:rPr>
        <w:t>Council of the European Communities (1975), Council Decision of 22 July 1975 concerning a programme of pilot schemes and studies to combat poverty, 75/458/EEC, OJ L 199, 30.7.1975, Brussels..</w:t>
      </w:r>
    </w:p>
    <w:p w14:paraId="780A9C5E" w14:textId="77777777" w:rsidR="00711FE4" w:rsidRDefault="00711FE4" w:rsidP="00711FE4">
      <w:pPr>
        <w:autoSpaceDE w:val="0"/>
        <w:autoSpaceDN w:val="0"/>
        <w:adjustRightInd w:val="0"/>
        <w:spacing w:after="180" w:line="240" w:lineRule="auto"/>
        <w:ind w:left="425" w:hanging="425"/>
      </w:pPr>
      <w:r w:rsidRPr="00711FE4">
        <w:rPr>
          <w:rFonts w:ascii="Arial" w:hAnsi="Arial"/>
          <w:sz w:val="18"/>
          <w:szCs w:val="20"/>
        </w:rPr>
        <w:t xml:space="preserve">Cribb, J., Henry, A., Karjalainen, H., Ray-Chaudhuri, S., Waters, T. and Wernham, T. (2024), ‘Living standards, poverty and inequality in the UK: 2024.’ IFS Report R329. </w:t>
      </w:r>
      <w:hyperlink r:id="rId81" w:history="1">
        <w:r w:rsidRPr="00711FE4">
          <w:rPr>
            <w:rFonts w:ascii="Arial" w:hAnsi="Arial"/>
            <w:color w:val="0000FF"/>
            <w:sz w:val="18"/>
            <w:szCs w:val="20"/>
            <w:u w:val="single"/>
          </w:rPr>
          <w:t>https://ifs.org.uk/sites/default/files/2024-07/Living-standards-poverty-and-inequality-in-the-UK-2024-IFS-Report-R329.pdf</w:t>
        </w:r>
      </w:hyperlink>
    </w:p>
    <w:p w14:paraId="30FF924E" w14:textId="0269A187" w:rsidR="00E73B38" w:rsidRDefault="00E73B38" w:rsidP="00711FE4">
      <w:pPr>
        <w:autoSpaceDE w:val="0"/>
        <w:autoSpaceDN w:val="0"/>
        <w:adjustRightInd w:val="0"/>
        <w:spacing w:after="180" w:line="240" w:lineRule="auto"/>
        <w:ind w:left="425" w:hanging="425"/>
        <w:rPr>
          <w:rFonts w:ascii="Arial" w:hAnsi="Arial"/>
          <w:color w:val="000000" w:themeColor="text1"/>
          <w:sz w:val="18"/>
          <w:szCs w:val="18"/>
          <w:lang w:eastAsia="en-NZ"/>
        </w:rPr>
      </w:pPr>
      <w:r w:rsidRPr="00E73B38">
        <w:rPr>
          <w:rFonts w:ascii="Arial" w:hAnsi="Arial"/>
          <w:color w:val="000000" w:themeColor="text1"/>
          <w:sz w:val="18"/>
          <w:szCs w:val="18"/>
          <w:lang w:eastAsia="en-NZ"/>
        </w:rPr>
        <w:t xml:space="preserve">Davidson, P., Naidoo, Y. </w:t>
      </w:r>
      <w:r w:rsidR="008E251B">
        <w:rPr>
          <w:rFonts w:ascii="Arial" w:hAnsi="Arial"/>
          <w:color w:val="000000" w:themeColor="text1"/>
          <w:sz w:val="18"/>
          <w:szCs w:val="18"/>
          <w:lang w:eastAsia="en-NZ"/>
        </w:rPr>
        <w:t>&amp;</w:t>
      </w:r>
      <w:r w:rsidRPr="00E73B38">
        <w:rPr>
          <w:rFonts w:ascii="Arial" w:hAnsi="Arial"/>
          <w:color w:val="000000" w:themeColor="text1"/>
          <w:sz w:val="18"/>
          <w:szCs w:val="18"/>
          <w:lang w:eastAsia="en-NZ"/>
        </w:rPr>
        <w:t xml:space="preserve"> Bradbury, B. (2025), </w:t>
      </w:r>
      <w:r w:rsidR="008E251B">
        <w:rPr>
          <w:rFonts w:ascii="Arial" w:hAnsi="Arial"/>
          <w:color w:val="000000" w:themeColor="text1"/>
          <w:sz w:val="18"/>
          <w:szCs w:val="18"/>
          <w:lang w:eastAsia="en-NZ"/>
        </w:rPr>
        <w:t>‘</w:t>
      </w:r>
      <w:r w:rsidRPr="00E73B38">
        <w:rPr>
          <w:rFonts w:ascii="Arial" w:hAnsi="Arial"/>
          <w:color w:val="000000" w:themeColor="text1"/>
          <w:sz w:val="18"/>
          <w:szCs w:val="18"/>
          <w:lang w:eastAsia="en-NZ"/>
        </w:rPr>
        <w:t>Measuring Poverty in Australia—The Role of Income</w:t>
      </w:r>
      <w:r w:rsidR="008E251B">
        <w:rPr>
          <w:rFonts w:ascii="Arial" w:hAnsi="Arial"/>
          <w:color w:val="000000" w:themeColor="text1"/>
          <w:sz w:val="18"/>
          <w:szCs w:val="18"/>
          <w:lang w:eastAsia="en-NZ"/>
        </w:rPr>
        <w:t>’</w:t>
      </w:r>
      <w:r w:rsidRPr="00E73B38">
        <w:rPr>
          <w:rFonts w:ascii="Arial" w:hAnsi="Arial"/>
          <w:color w:val="000000" w:themeColor="text1"/>
          <w:sz w:val="18"/>
          <w:szCs w:val="18"/>
          <w:lang w:eastAsia="en-NZ"/>
        </w:rPr>
        <w:t xml:space="preserve">. </w:t>
      </w:r>
      <w:r w:rsidRPr="00A713F5">
        <w:rPr>
          <w:rFonts w:ascii="Arial" w:hAnsi="Arial"/>
          <w:i/>
          <w:iCs/>
          <w:color w:val="000000" w:themeColor="text1"/>
          <w:sz w:val="18"/>
          <w:szCs w:val="18"/>
          <w:lang w:eastAsia="en-NZ"/>
        </w:rPr>
        <w:t>Australian Economic Review</w:t>
      </w:r>
      <w:r w:rsidRPr="00E73B38">
        <w:rPr>
          <w:rFonts w:ascii="Arial" w:hAnsi="Arial"/>
          <w:color w:val="000000" w:themeColor="text1"/>
          <w:sz w:val="18"/>
          <w:szCs w:val="18"/>
          <w:lang w:eastAsia="en-NZ"/>
        </w:rPr>
        <w:t>, 58: S45-S57. </w:t>
      </w:r>
      <w:hyperlink r:id="rId82" w:history="1">
        <w:r w:rsidRPr="00E73B38">
          <w:rPr>
            <w:rStyle w:val="Hyperlink"/>
            <w:rFonts w:ascii="Arial" w:hAnsi="Arial"/>
            <w:sz w:val="18"/>
            <w:szCs w:val="18"/>
            <w:lang w:eastAsia="en-NZ"/>
          </w:rPr>
          <w:t>https://doi.org/10.1111/1467-8462.70019</w:t>
        </w:r>
      </w:hyperlink>
    </w:p>
    <w:p w14:paraId="1274A9A4" w14:textId="77777777" w:rsidR="00E73B38" w:rsidRPr="00711FE4" w:rsidRDefault="00E73B38" w:rsidP="00E73B38">
      <w:pPr>
        <w:autoSpaceDE w:val="0"/>
        <w:autoSpaceDN w:val="0"/>
        <w:adjustRightInd w:val="0"/>
        <w:spacing w:after="180" w:line="240" w:lineRule="auto"/>
        <w:ind w:left="425" w:hanging="425"/>
        <w:rPr>
          <w:rFonts w:ascii="Arial" w:hAnsi="Arial"/>
          <w:color w:val="0B0C0C"/>
          <w:sz w:val="18"/>
          <w:szCs w:val="18"/>
          <w:shd w:val="clear" w:color="auto" w:fill="F3F2F1"/>
        </w:rPr>
      </w:pPr>
      <w:r w:rsidRPr="000F5536">
        <w:rPr>
          <w:rFonts w:ascii="Arial" w:hAnsi="Arial"/>
          <w:color w:val="0B0C0C"/>
          <w:sz w:val="18"/>
          <w:szCs w:val="18"/>
          <w:shd w:val="clear" w:color="auto" w:fill="FFFFFF" w:themeFill="background1"/>
        </w:rPr>
        <w:t>Department for Work &amp; Pensions (</w:t>
      </w:r>
      <w:r w:rsidRPr="000F5536">
        <w:rPr>
          <w:rFonts w:ascii="Arial" w:hAnsi="Arial"/>
          <w:sz w:val="18"/>
          <w:szCs w:val="18"/>
          <w:shd w:val="clear" w:color="auto" w:fill="FFFFFF" w:themeFill="background1"/>
        </w:rPr>
        <w:t>2023)</w:t>
      </w:r>
      <w:r w:rsidRPr="000F5536">
        <w:rPr>
          <w:rFonts w:ascii="Arial" w:hAnsi="Arial"/>
          <w:color w:val="0B0C0C"/>
          <w:sz w:val="18"/>
          <w:szCs w:val="18"/>
          <w:shd w:val="clear" w:color="auto" w:fill="FFFFFF" w:themeFill="background1"/>
        </w:rPr>
        <w:t>, GOV.UK website, statistical release, </w:t>
      </w:r>
      <w:hyperlink r:id="rId83" w:history="1">
        <w:r w:rsidRPr="00E73B38">
          <w:rPr>
            <w:rFonts w:ascii="Arial" w:hAnsi="Arial"/>
            <w:color w:val="0000FF"/>
            <w:sz w:val="18"/>
            <w:szCs w:val="18"/>
            <w:u w:val="single"/>
            <w:shd w:val="clear" w:color="auto" w:fill="FFFFFF" w:themeFill="background1"/>
          </w:rPr>
          <w:t>Income Dynamics: 2010 to 2021</w:t>
        </w:r>
      </w:hyperlink>
      <w:r w:rsidRPr="00E73B38">
        <w:rPr>
          <w:rFonts w:ascii="Arial" w:hAnsi="Arial"/>
          <w:color w:val="0000FF"/>
          <w:sz w:val="18"/>
          <w:szCs w:val="18"/>
          <w:shd w:val="clear" w:color="auto" w:fill="F3F2F1"/>
        </w:rPr>
        <w:t>.</w:t>
      </w:r>
    </w:p>
    <w:p w14:paraId="09B9EB31" w14:textId="31CE2A3A" w:rsidR="00EC2615" w:rsidRDefault="00EC2615" w:rsidP="00EC2615">
      <w:pPr>
        <w:widowControl w:val="0"/>
        <w:autoSpaceDE w:val="0"/>
        <w:autoSpaceDN w:val="0"/>
        <w:adjustRightInd w:val="0"/>
        <w:spacing w:after="180" w:line="240" w:lineRule="auto"/>
        <w:ind w:left="426" w:hanging="426"/>
        <w:rPr>
          <w:rFonts w:ascii="Arial" w:hAnsi="Arial"/>
          <w:sz w:val="18"/>
          <w:szCs w:val="20"/>
        </w:rPr>
      </w:pPr>
      <w:r w:rsidRPr="00EC2615">
        <w:rPr>
          <w:rFonts w:ascii="Arial" w:hAnsi="Arial"/>
          <w:sz w:val="18"/>
          <w:szCs w:val="20"/>
        </w:rPr>
        <w:t>Espasa</w:t>
      </w:r>
      <w:r w:rsidR="00A713F5">
        <w:rPr>
          <w:rFonts w:ascii="Arial" w:hAnsi="Arial"/>
          <w:sz w:val="18"/>
          <w:szCs w:val="20"/>
        </w:rPr>
        <w:t>-</w:t>
      </w:r>
      <w:r w:rsidRPr="00EC2615">
        <w:rPr>
          <w:rFonts w:ascii="Arial" w:hAnsi="Arial"/>
          <w:sz w:val="18"/>
          <w:szCs w:val="20"/>
        </w:rPr>
        <w:t xml:space="preserve">Reig, J. et al. (2025), </w:t>
      </w:r>
      <w:r w:rsidR="008E251B">
        <w:rPr>
          <w:rFonts w:ascii="Arial" w:hAnsi="Arial"/>
          <w:sz w:val="18"/>
          <w:szCs w:val="20"/>
        </w:rPr>
        <w:t>‘</w:t>
      </w:r>
      <w:r w:rsidRPr="00EC2615">
        <w:rPr>
          <w:rFonts w:ascii="Arial" w:hAnsi="Arial"/>
          <w:sz w:val="18"/>
          <w:szCs w:val="20"/>
        </w:rPr>
        <w:t>Household financial fragility and asset poverty in OECD regions: New indicators and an experimental imputation method</w:t>
      </w:r>
      <w:r w:rsidR="008E251B">
        <w:rPr>
          <w:rFonts w:ascii="Arial" w:hAnsi="Arial"/>
          <w:sz w:val="18"/>
          <w:szCs w:val="20"/>
        </w:rPr>
        <w:t>’</w:t>
      </w:r>
      <w:r w:rsidRPr="00EC2615">
        <w:rPr>
          <w:rFonts w:ascii="Arial" w:hAnsi="Arial"/>
          <w:sz w:val="18"/>
          <w:szCs w:val="20"/>
        </w:rPr>
        <w:t>, </w:t>
      </w:r>
      <w:r w:rsidRPr="00EC2615">
        <w:rPr>
          <w:rFonts w:ascii="Arial" w:hAnsi="Arial"/>
          <w:i/>
          <w:iCs/>
          <w:sz w:val="18"/>
          <w:szCs w:val="20"/>
        </w:rPr>
        <w:t>OECD Regional Development Papers</w:t>
      </w:r>
      <w:r w:rsidRPr="00EC2615">
        <w:rPr>
          <w:rFonts w:ascii="Arial" w:hAnsi="Arial"/>
          <w:sz w:val="18"/>
          <w:szCs w:val="20"/>
        </w:rPr>
        <w:t>, No. 160, OECD Publishing, Paris, </w:t>
      </w:r>
      <w:hyperlink r:id="rId84" w:history="1">
        <w:r w:rsidRPr="00EC2615">
          <w:rPr>
            <w:rStyle w:val="Hyperlink"/>
            <w:rFonts w:ascii="Arial" w:hAnsi="Arial"/>
            <w:sz w:val="18"/>
            <w:szCs w:val="20"/>
          </w:rPr>
          <w:t>https://doi.org/10.1787/ee9f2f16-en</w:t>
        </w:r>
      </w:hyperlink>
      <w:r w:rsidRPr="00EC2615">
        <w:rPr>
          <w:rFonts w:ascii="Arial" w:hAnsi="Arial"/>
          <w:sz w:val="18"/>
          <w:szCs w:val="20"/>
        </w:rPr>
        <w:t>.</w:t>
      </w:r>
    </w:p>
    <w:p w14:paraId="6F155223" w14:textId="02E441B8" w:rsidR="00711FE4" w:rsidRPr="00711FE4" w:rsidRDefault="00711FE4" w:rsidP="00EC2615">
      <w:pPr>
        <w:widowControl w:val="0"/>
        <w:autoSpaceDE w:val="0"/>
        <w:autoSpaceDN w:val="0"/>
        <w:adjustRightInd w:val="0"/>
        <w:spacing w:after="180" w:line="240" w:lineRule="auto"/>
        <w:ind w:left="426" w:hanging="426"/>
        <w:rPr>
          <w:rFonts w:ascii="Arial" w:hAnsi="Arial"/>
          <w:sz w:val="18"/>
          <w:szCs w:val="20"/>
        </w:rPr>
      </w:pPr>
      <w:r w:rsidRPr="00711FE4">
        <w:rPr>
          <w:rFonts w:ascii="Arial" w:hAnsi="Arial"/>
          <w:sz w:val="18"/>
          <w:szCs w:val="20"/>
        </w:rPr>
        <w:t xml:space="preserve">European Commission (2004), Joint Report on Social Inclusion, Luxembourg: Office for Official Publications of the European Communities. </w:t>
      </w:r>
    </w:p>
    <w:p w14:paraId="1FFCFCDB" w14:textId="77777777" w:rsidR="00711FE4" w:rsidRPr="00711FE4" w:rsidRDefault="00711FE4" w:rsidP="00711FE4">
      <w:pPr>
        <w:spacing w:after="180" w:line="240" w:lineRule="auto"/>
        <w:ind w:left="426" w:hanging="426"/>
        <w:rPr>
          <w:rFonts w:ascii="Arial" w:hAnsi="Arial"/>
          <w:color w:val="000000" w:themeColor="text1"/>
          <w:sz w:val="18"/>
          <w:szCs w:val="18"/>
        </w:rPr>
      </w:pPr>
      <w:r w:rsidRPr="00711FE4">
        <w:rPr>
          <w:rFonts w:ascii="Arial" w:hAnsi="Arial"/>
          <w:color w:val="000000" w:themeColor="text1"/>
          <w:sz w:val="18"/>
          <w:szCs w:val="18"/>
        </w:rPr>
        <w:t>Goedemé, T. &amp; Rottiers, S. (2010). ‘</w:t>
      </w:r>
      <w:r w:rsidRPr="00711FE4">
        <w:rPr>
          <w:rFonts w:ascii="Arial" w:hAnsi="Arial"/>
          <w:color w:val="000000" w:themeColor="text1"/>
          <w:sz w:val="18"/>
          <w:szCs w:val="18"/>
          <w:lang w:eastAsia="en-NZ"/>
        </w:rPr>
        <w:t>Poverty in the Enlarged European Union: A Discussion about Definitions and Reference Groups.’ Herman Deleeck Centre for Social Policy, University of Antwerp.</w:t>
      </w:r>
    </w:p>
    <w:p w14:paraId="477D2604" w14:textId="77777777" w:rsidR="00711FE4" w:rsidRPr="00711FE4" w:rsidRDefault="00711FE4" w:rsidP="00711FE4">
      <w:pPr>
        <w:spacing w:after="180" w:line="240" w:lineRule="auto"/>
        <w:ind w:left="426" w:hanging="426"/>
        <w:rPr>
          <w:rFonts w:ascii="Arial" w:hAnsi="Arial"/>
          <w:color w:val="000000" w:themeColor="text1"/>
          <w:sz w:val="18"/>
          <w:szCs w:val="18"/>
        </w:rPr>
      </w:pPr>
      <w:r w:rsidRPr="00711FE4">
        <w:rPr>
          <w:rFonts w:ascii="Arial" w:hAnsi="Arial"/>
          <w:color w:val="000000" w:themeColor="text1"/>
          <w:sz w:val="18"/>
          <w:szCs w:val="18"/>
        </w:rPr>
        <w:t>Goedemé, T. (2020). ‘The steep and winding road to comparable reference budgets in Europe’, in Deeming, C. (ed.), </w:t>
      </w:r>
      <w:r w:rsidRPr="00711FE4">
        <w:rPr>
          <w:rFonts w:ascii="Arial" w:hAnsi="Arial"/>
          <w:i/>
          <w:iCs/>
          <w:color w:val="000000" w:themeColor="text1"/>
          <w:sz w:val="18"/>
          <w:szCs w:val="18"/>
        </w:rPr>
        <w:t>Minimum Income Standards and Reference Budgets, </w:t>
      </w:r>
      <w:r w:rsidRPr="00711FE4">
        <w:rPr>
          <w:rFonts w:ascii="Arial" w:hAnsi="Arial"/>
          <w:color w:val="000000" w:themeColor="text1"/>
          <w:sz w:val="18"/>
          <w:szCs w:val="18"/>
        </w:rPr>
        <w:t>Bristol: The University Press, pp. 255-270.</w:t>
      </w:r>
    </w:p>
    <w:p w14:paraId="272833BB" w14:textId="77777777" w:rsidR="00711FE4" w:rsidRPr="00711FE4" w:rsidRDefault="00711FE4" w:rsidP="00711FE4">
      <w:pPr>
        <w:widowControl w:val="0"/>
        <w:autoSpaceDE w:val="0"/>
        <w:autoSpaceDN w:val="0"/>
        <w:adjustRightInd w:val="0"/>
        <w:spacing w:after="180" w:line="240" w:lineRule="auto"/>
        <w:ind w:left="720" w:hanging="720"/>
        <w:rPr>
          <w:rFonts w:ascii="Arial" w:hAnsi="Arial"/>
          <w:sz w:val="18"/>
          <w:szCs w:val="20"/>
        </w:rPr>
      </w:pPr>
      <w:r w:rsidRPr="00711FE4">
        <w:rPr>
          <w:rFonts w:ascii="Arial" w:hAnsi="Arial"/>
          <w:sz w:val="18"/>
          <w:szCs w:val="20"/>
        </w:rPr>
        <w:t xml:space="preserve">Graham, S. &amp; Garlick, T. (2022). ‘Incomes and Costs for Example Families in 2022.’ Wellington, New Zealand: Ministry of Social Development. Available at: </w:t>
      </w:r>
      <w:hyperlink r:id="rId85" w:history="1">
        <w:r w:rsidRPr="00711FE4">
          <w:rPr>
            <w:rFonts w:ascii="Arial" w:hAnsi="Arial"/>
            <w:color w:val="0000FF"/>
            <w:sz w:val="18"/>
            <w:szCs w:val="18"/>
            <w:u w:val="single"/>
          </w:rPr>
          <w:t>incomes-and-costs-for-example-families-in-2022.pdf (msd.govt.nz)</w:t>
        </w:r>
      </w:hyperlink>
    </w:p>
    <w:p w14:paraId="4C556353" w14:textId="77777777" w:rsidR="00711FE4" w:rsidRPr="00711FE4" w:rsidRDefault="00711FE4" w:rsidP="00711FE4">
      <w:pPr>
        <w:widowControl w:val="0"/>
        <w:autoSpaceDE w:val="0"/>
        <w:autoSpaceDN w:val="0"/>
        <w:adjustRightInd w:val="0"/>
        <w:spacing w:after="180" w:line="240" w:lineRule="auto"/>
        <w:ind w:left="720" w:hanging="720"/>
        <w:rPr>
          <w:rFonts w:ascii="Arial" w:hAnsi="Arial"/>
          <w:sz w:val="18"/>
          <w:szCs w:val="18"/>
        </w:rPr>
      </w:pPr>
      <w:r w:rsidRPr="00711FE4">
        <w:rPr>
          <w:rFonts w:ascii="Arial" w:hAnsi="Arial"/>
          <w:sz w:val="18"/>
          <w:szCs w:val="18"/>
        </w:rPr>
        <w:t xml:space="preserve">Grant, M., Prickett, K. C., Morton, S. M. B., Miller, S., Pillai, A., Paine, S-J. (2023). Now We Are 12: Material Hardship. Snapshot 2. Auckland: Growing Up in New Zealand. Available from: </w:t>
      </w:r>
      <w:hyperlink r:id="rId86" w:history="1">
        <w:r w:rsidRPr="00711FE4">
          <w:rPr>
            <w:rFonts w:ascii="Arial" w:hAnsi="Arial"/>
            <w:color w:val="0000FF"/>
            <w:sz w:val="18"/>
            <w:szCs w:val="18"/>
            <w:u w:val="single"/>
          </w:rPr>
          <w:t>www.growingup.co.nz</w:t>
        </w:r>
      </w:hyperlink>
    </w:p>
    <w:p w14:paraId="60D1B31A" w14:textId="651E4A90" w:rsidR="00141661" w:rsidRPr="00141661" w:rsidRDefault="00141661" w:rsidP="00B34896">
      <w:pPr>
        <w:spacing w:after="0" w:line="240" w:lineRule="auto"/>
        <w:rPr>
          <w:rFonts w:ascii="Arial" w:eastAsia="Times New Roman" w:hAnsi="Arial"/>
          <w:color w:val="000000" w:themeColor="text1"/>
          <w:sz w:val="18"/>
          <w:szCs w:val="18"/>
        </w:rPr>
      </w:pPr>
      <w:r w:rsidRPr="00141661">
        <w:rPr>
          <w:rFonts w:ascii="Arial" w:eastAsia="Times New Roman" w:hAnsi="Arial"/>
          <w:color w:val="000000" w:themeColor="text1"/>
          <w:sz w:val="18"/>
          <w:szCs w:val="18"/>
        </w:rPr>
        <w:t xml:space="preserve">Guio, A-C., Marlier,E.,  Vandenbroucke, F. &amp; Verbunt, P. </w:t>
      </w:r>
      <w:r w:rsidR="0033365E">
        <w:rPr>
          <w:rFonts w:ascii="Arial" w:eastAsia="Times New Roman" w:hAnsi="Arial"/>
          <w:color w:val="000000" w:themeColor="text1"/>
          <w:sz w:val="18"/>
          <w:szCs w:val="18"/>
        </w:rPr>
        <w:t>(</w:t>
      </w:r>
      <w:r w:rsidRPr="00141661">
        <w:rPr>
          <w:rFonts w:ascii="Arial" w:eastAsia="Times New Roman" w:hAnsi="Arial"/>
          <w:color w:val="000000" w:themeColor="text1"/>
          <w:sz w:val="18"/>
          <w:szCs w:val="18"/>
        </w:rPr>
        <w:t>2020). ‘Micro- and Macro-Drivers of Child Deprivation in 31 European Countries’. Eurostat Statistical Working Papers 2020 Edition, European Union, Luxembourg., Available at SSRN: </w:t>
      </w:r>
      <w:hyperlink r:id="rId87" w:tgtFrame="_blank" w:history="1">
        <w:r w:rsidRPr="00141661">
          <w:rPr>
            <w:rStyle w:val="Hyperlink"/>
            <w:rFonts w:ascii="Arial" w:eastAsia="Times New Roman" w:hAnsi="Arial"/>
            <w:sz w:val="18"/>
            <w:szCs w:val="18"/>
          </w:rPr>
          <w:t>https://ssrn.com/abstract=3531002</w:t>
        </w:r>
      </w:hyperlink>
    </w:p>
    <w:p w14:paraId="50172766" w14:textId="77777777" w:rsidR="00141661" w:rsidRDefault="00141661" w:rsidP="00B34896">
      <w:pPr>
        <w:spacing w:after="0" w:line="240" w:lineRule="auto"/>
        <w:rPr>
          <w:rFonts w:ascii="Arial" w:eastAsia="Times New Roman" w:hAnsi="Arial"/>
          <w:color w:val="000000" w:themeColor="text1"/>
          <w:sz w:val="18"/>
          <w:szCs w:val="18"/>
          <w:highlight w:val="yellow"/>
        </w:rPr>
      </w:pPr>
    </w:p>
    <w:p w14:paraId="02D0518E" w14:textId="35378169" w:rsidR="00711FE4" w:rsidRPr="00711FE4" w:rsidRDefault="00711FE4" w:rsidP="00711FE4">
      <w:pPr>
        <w:spacing w:after="180" w:line="240" w:lineRule="auto"/>
        <w:ind w:left="426" w:hanging="426"/>
        <w:rPr>
          <w:rFonts w:ascii="Arial" w:eastAsia="Times New Roman" w:hAnsi="Arial"/>
          <w:color w:val="000000" w:themeColor="text1"/>
          <w:sz w:val="18"/>
          <w:szCs w:val="18"/>
        </w:rPr>
      </w:pPr>
      <w:r w:rsidRPr="00711FE4">
        <w:rPr>
          <w:rFonts w:ascii="Arial" w:eastAsia="Times New Roman" w:hAnsi="Arial"/>
          <w:color w:val="000000" w:themeColor="text1"/>
          <w:sz w:val="18"/>
          <w:szCs w:val="18"/>
        </w:rPr>
        <w:t xml:space="preserve">Guio, A.-C., Gordon, D., Najera, H. &amp; Pomati, M. (2017). ‘Revising the EU material deprivation variables (analysis of the final 2014 EU-SILC data)’, </w:t>
      </w:r>
      <w:r w:rsidRPr="00711FE4">
        <w:rPr>
          <w:rFonts w:ascii="Arial" w:eastAsia="Times New Roman" w:hAnsi="Arial"/>
          <w:color w:val="000000" w:themeColor="text1"/>
          <w:sz w:val="18"/>
          <w:szCs w:val="18"/>
          <w:lang w:val="en-GB"/>
        </w:rPr>
        <w:t>Eurostat Methodologies and Working Papers, Luxembourg: Publications Office of the European Union.</w:t>
      </w:r>
    </w:p>
    <w:p w14:paraId="0CD5655E" w14:textId="0E9A61FB" w:rsidR="00711FE4" w:rsidRPr="00711FE4" w:rsidRDefault="00711FE4" w:rsidP="00711FE4">
      <w:pPr>
        <w:widowControl w:val="0"/>
        <w:autoSpaceDE w:val="0"/>
        <w:autoSpaceDN w:val="0"/>
        <w:adjustRightInd w:val="0"/>
        <w:spacing w:after="180" w:line="240" w:lineRule="auto"/>
        <w:ind w:left="720" w:hanging="720"/>
        <w:rPr>
          <w:rFonts w:ascii="Arial" w:hAnsi="Arial"/>
          <w:color w:val="000000" w:themeColor="text1"/>
          <w:sz w:val="18"/>
          <w:szCs w:val="18"/>
        </w:rPr>
      </w:pPr>
      <w:r w:rsidRPr="00711FE4">
        <w:rPr>
          <w:rFonts w:ascii="Arial" w:hAnsi="Arial"/>
          <w:color w:val="000000" w:themeColor="text1"/>
          <w:sz w:val="18"/>
          <w:szCs w:val="18"/>
        </w:rPr>
        <w:t xml:space="preserve">Krassoi Peach, E. and J. Cording (2018), Multiple disadvantage among sole parents in New Zealand. </w:t>
      </w:r>
      <w:hyperlink r:id="rId88" w:history="1">
        <w:r w:rsidRPr="00711FE4">
          <w:rPr>
            <w:rFonts w:ascii="Arial" w:hAnsi="Arial"/>
            <w:color w:val="0000FF"/>
            <w:sz w:val="18"/>
            <w:szCs w:val="18"/>
            <w:u w:val="single"/>
          </w:rPr>
          <w:t>www.thehub.swa.govt.nz/assets/Uploads/Multiple-disadvantagesole-parents-report-FINAL.pdf</w:t>
        </w:r>
      </w:hyperlink>
      <w:r w:rsidRPr="00711FE4">
        <w:rPr>
          <w:rFonts w:ascii="Arial" w:hAnsi="Arial"/>
          <w:color w:val="000000" w:themeColor="text1"/>
          <w:sz w:val="18"/>
          <w:szCs w:val="18"/>
        </w:rPr>
        <w:t xml:space="preserve">  </w:t>
      </w:r>
    </w:p>
    <w:p w14:paraId="719E8424" w14:textId="7605C724" w:rsidR="00711FE4" w:rsidRPr="00711FE4" w:rsidRDefault="00711FE4" w:rsidP="00AB1743">
      <w:pPr>
        <w:widowControl w:val="0"/>
        <w:autoSpaceDE w:val="0"/>
        <w:autoSpaceDN w:val="0"/>
        <w:adjustRightInd w:val="0"/>
        <w:spacing w:after="180" w:line="240" w:lineRule="auto"/>
        <w:ind w:left="720" w:hanging="720"/>
        <w:rPr>
          <w:rFonts w:ascii="Arial" w:hAnsi="Arial"/>
          <w:color w:val="000000" w:themeColor="text1"/>
          <w:sz w:val="18"/>
          <w:szCs w:val="18"/>
        </w:rPr>
      </w:pPr>
      <w:r w:rsidRPr="00604093">
        <w:rPr>
          <w:rFonts w:ascii="Arial" w:hAnsi="Arial"/>
          <w:color w:val="000000" w:themeColor="text1"/>
          <w:sz w:val="18"/>
          <w:szCs w:val="18"/>
        </w:rPr>
        <w:t>Kuypers</w:t>
      </w:r>
      <w:r w:rsidR="00C00352">
        <w:rPr>
          <w:rFonts w:ascii="Arial" w:hAnsi="Arial"/>
          <w:color w:val="000000" w:themeColor="text1"/>
          <w:sz w:val="18"/>
          <w:szCs w:val="18"/>
        </w:rPr>
        <w:t>, S.</w:t>
      </w:r>
      <w:r w:rsidRPr="00604093">
        <w:rPr>
          <w:rFonts w:ascii="Arial" w:hAnsi="Arial"/>
          <w:color w:val="000000" w:themeColor="text1"/>
          <w:sz w:val="18"/>
          <w:szCs w:val="18"/>
        </w:rPr>
        <w:t xml:space="preserve"> </w:t>
      </w:r>
      <w:r w:rsidR="00C00352">
        <w:rPr>
          <w:rFonts w:ascii="Arial" w:hAnsi="Arial"/>
          <w:color w:val="000000" w:themeColor="text1"/>
          <w:sz w:val="18"/>
          <w:szCs w:val="18"/>
        </w:rPr>
        <w:t>&amp;</w:t>
      </w:r>
      <w:r w:rsidRPr="00604093">
        <w:rPr>
          <w:rFonts w:ascii="Arial" w:hAnsi="Arial"/>
          <w:color w:val="000000" w:themeColor="text1"/>
          <w:sz w:val="18"/>
          <w:szCs w:val="18"/>
        </w:rPr>
        <w:t xml:space="preserve"> Marx</w:t>
      </w:r>
      <w:r w:rsidR="00C00352">
        <w:rPr>
          <w:rFonts w:ascii="Arial" w:hAnsi="Arial"/>
          <w:color w:val="000000" w:themeColor="text1"/>
          <w:sz w:val="18"/>
          <w:szCs w:val="18"/>
        </w:rPr>
        <w:t>, I.</w:t>
      </w:r>
      <w:r w:rsidRPr="00604093">
        <w:rPr>
          <w:rFonts w:ascii="Arial" w:hAnsi="Arial"/>
          <w:color w:val="000000" w:themeColor="text1"/>
          <w:sz w:val="18"/>
          <w:szCs w:val="18"/>
        </w:rPr>
        <w:t xml:space="preserve"> (2016)</w:t>
      </w:r>
      <w:r w:rsidR="00AB1743" w:rsidRPr="00604093">
        <w:rPr>
          <w:rFonts w:ascii="Arial" w:hAnsi="Arial"/>
          <w:color w:val="000000" w:themeColor="text1"/>
          <w:sz w:val="18"/>
          <w:szCs w:val="18"/>
        </w:rPr>
        <w:t>. ‘Poverty</w:t>
      </w:r>
      <w:r w:rsidR="00AB1743">
        <w:rPr>
          <w:rFonts w:ascii="Arial" w:hAnsi="Arial"/>
          <w:color w:val="000000" w:themeColor="text1"/>
          <w:sz w:val="18"/>
          <w:szCs w:val="18"/>
        </w:rPr>
        <w:t xml:space="preserve"> in the EU using augmented measures of financial resources: The role of assets and debt’. </w:t>
      </w:r>
      <w:r w:rsidR="00AB1743" w:rsidRPr="005B378E">
        <w:rPr>
          <w:rFonts w:ascii="Arial" w:hAnsi="Arial"/>
          <w:i/>
          <w:iCs/>
          <w:color w:val="000000" w:themeColor="text1"/>
          <w:sz w:val="18"/>
          <w:szCs w:val="18"/>
        </w:rPr>
        <w:t>Journal of European Social Policy 2021</w:t>
      </w:r>
      <w:r w:rsidR="00AB1743" w:rsidRPr="00AB1743">
        <w:rPr>
          <w:rFonts w:ascii="Arial" w:hAnsi="Arial"/>
          <w:color w:val="000000" w:themeColor="text1"/>
          <w:sz w:val="18"/>
          <w:szCs w:val="18"/>
        </w:rPr>
        <w:t>, Vol. 31(5) 496–516</w:t>
      </w:r>
    </w:p>
    <w:p w14:paraId="6940445D" w14:textId="7FBCD042" w:rsidR="00711FE4" w:rsidRPr="00711FE4" w:rsidRDefault="00711FE4" w:rsidP="00711FE4">
      <w:pPr>
        <w:widowControl w:val="0"/>
        <w:autoSpaceDE w:val="0"/>
        <w:autoSpaceDN w:val="0"/>
        <w:adjustRightInd w:val="0"/>
        <w:spacing w:after="180" w:line="240" w:lineRule="auto"/>
        <w:ind w:left="720" w:hanging="720"/>
        <w:rPr>
          <w:rFonts w:ascii="Arial" w:hAnsi="Arial"/>
          <w:color w:val="000000" w:themeColor="text1"/>
          <w:sz w:val="18"/>
          <w:szCs w:val="18"/>
        </w:rPr>
      </w:pPr>
      <w:r w:rsidRPr="00711FE4">
        <w:rPr>
          <w:rFonts w:ascii="Arial" w:hAnsi="Arial"/>
          <w:color w:val="000000" w:themeColor="text1"/>
          <w:sz w:val="18"/>
          <w:szCs w:val="18"/>
        </w:rPr>
        <w:lastRenderedPageBreak/>
        <w:t>Lister, R. (2004)</w:t>
      </w:r>
      <w:r w:rsidR="00604093">
        <w:rPr>
          <w:rFonts w:ascii="Arial" w:hAnsi="Arial"/>
          <w:color w:val="000000" w:themeColor="text1"/>
          <w:sz w:val="18"/>
          <w:szCs w:val="18"/>
        </w:rPr>
        <w:t>.</w:t>
      </w:r>
      <w:r w:rsidRPr="00711FE4">
        <w:rPr>
          <w:rFonts w:ascii="Arial" w:hAnsi="Arial"/>
          <w:color w:val="000000" w:themeColor="text1"/>
          <w:sz w:val="18"/>
          <w:szCs w:val="18"/>
        </w:rPr>
        <w:t xml:space="preserve"> </w:t>
      </w:r>
      <w:r w:rsidRPr="00711FE4">
        <w:rPr>
          <w:rFonts w:ascii="Arial" w:hAnsi="Arial"/>
          <w:i/>
          <w:iCs/>
          <w:color w:val="000000" w:themeColor="text1"/>
          <w:sz w:val="18"/>
          <w:szCs w:val="18"/>
        </w:rPr>
        <w:t>Poverty</w:t>
      </w:r>
      <w:r w:rsidRPr="00711FE4">
        <w:rPr>
          <w:rFonts w:ascii="Arial" w:hAnsi="Arial"/>
          <w:color w:val="000000" w:themeColor="text1"/>
          <w:sz w:val="18"/>
          <w:szCs w:val="18"/>
        </w:rPr>
        <w:t>, Cambridge: Polity Press.</w:t>
      </w:r>
    </w:p>
    <w:p w14:paraId="618B990C" w14:textId="393418A6" w:rsidR="00711FE4" w:rsidRPr="00711FE4" w:rsidRDefault="00711FE4" w:rsidP="00711FE4">
      <w:pPr>
        <w:spacing w:after="180" w:line="240" w:lineRule="auto"/>
        <w:ind w:left="709" w:hanging="709"/>
        <w:rPr>
          <w:rFonts w:ascii="Arial" w:eastAsia="Times New Roman" w:hAnsi="Arial"/>
          <w:color w:val="000000" w:themeColor="text1"/>
          <w:sz w:val="18"/>
          <w:szCs w:val="18"/>
          <w:lang w:val="en-GB"/>
        </w:rPr>
      </w:pPr>
      <w:r w:rsidRPr="00711FE4">
        <w:rPr>
          <w:rFonts w:ascii="Arial" w:eastAsia="Times New Roman" w:hAnsi="Arial"/>
          <w:color w:val="000000" w:themeColor="text1"/>
          <w:sz w:val="18"/>
          <w:szCs w:val="18"/>
          <w:lang w:val="en-GB"/>
        </w:rPr>
        <w:t>Ministry of Social Development (2023)</w:t>
      </w:r>
      <w:r w:rsidR="00604093">
        <w:rPr>
          <w:rFonts w:ascii="Arial" w:eastAsia="Times New Roman" w:hAnsi="Arial"/>
          <w:color w:val="000000" w:themeColor="text1"/>
          <w:sz w:val="18"/>
          <w:szCs w:val="18"/>
          <w:lang w:val="en-GB"/>
        </w:rPr>
        <w:t>.</w:t>
      </w:r>
      <w:r w:rsidRPr="00711FE4">
        <w:rPr>
          <w:rFonts w:ascii="Arial" w:eastAsia="Times New Roman" w:hAnsi="Arial"/>
          <w:color w:val="000000" w:themeColor="text1"/>
          <w:sz w:val="18"/>
          <w:szCs w:val="18"/>
          <w:lang w:val="en-GB"/>
        </w:rPr>
        <w:t xml:space="preserve"> ‘The Families Package: Final Report 2023’. Available at: </w:t>
      </w:r>
      <w:hyperlink r:id="rId89" w:history="1">
        <w:r w:rsidRPr="00711FE4">
          <w:rPr>
            <w:rFonts w:ascii="Arial" w:eastAsia="Times New Roman" w:hAnsi="Arial"/>
            <w:color w:val="0000FF"/>
            <w:sz w:val="18"/>
            <w:szCs w:val="18"/>
            <w:u w:val="single"/>
            <w:lang w:val="en-GB"/>
          </w:rPr>
          <w:t>https://www.msd.govt.nz/documents/about-msd-and-our-work/publications-resources/evaluation/families-package-reports/summaries-of-findings/families-package-final-report.pdf</w:t>
        </w:r>
      </w:hyperlink>
      <w:r w:rsidRPr="00711FE4">
        <w:rPr>
          <w:rFonts w:ascii="Arial" w:eastAsia="Times New Roman" w:hAnsi="Arial"/>
          <w:color w:val="000000" w:themeColor="text1"/>
          <w:sz w:val="18"/>
          <w:szCs w:val="18"/>
          <w:lang w:val="en-GB"/>
        </w:rPr>
        <w:t xml:space="preserve"> </w:t>
      </w:r>
    </w:p>
    <w:p w14:paraId="437B4577" w14:textId="77777777" w:rsidR="00711FE4" w:rsidRPr="00711FE4" w:rsidRDefault="00711FE4" w:rsidP="00711FE4">
      <w:pPr>
        <w:widowControl w:val="0"/>
        <w:autoSpaceDE w:val="0"/>
        <w:autoSpaceDN w:val="0"/>
        <w:adjustRightInd w:val="0"/>
        <w:spacing w:after="180" w:line="240" w:lineRule="auto"/>
        <w:ind w:left="720" w:hanging="720"/>
        <w:rPr>
          <w:sz w:val="18"/>
          <w:szCs w:val="20"/>
        </w:rPr>
      </w:pPr>
      <w:r w:rsidRPr="00711FE4">
        <w:rPr>
          <w:rFonts w:ascii="Arial" w:hAnsi="Arial"/>
          <w:sz w:val="18"/>
          <w:szCs w:val="20"/>
        </w:rPr>
        <w:t xml:space="preserve">Nájera, H. &amp; Gordon, D. (2023). ‘A Monte Carlo Study of Some Empirical Methods to Find the Optimal Poverty Line in Multidimensional Poverty Measurement’. </w:t>
      </w:r>
      <w:r w:rsidRPr="00711FE4">
        <w:rPr>
          <w:rFonts w:ascii="Arial" w:hAnsi="Arial"/>
          <w:i/>
          <w:iCs/>
          <w:sz w:val="18"/>
          <w:szCs w:val="20"/>
        </w:rPr>
        <w:t>Social Indicators Research 167</w:t>
      </w:r>
      <w:r w:rsidRPr="00711FE4">
        <w:rPr>
          <w:rFonts w:ascii="Arial" w:hAnsi="Arial"/>
          <w:sz w:val="18"/>
          <w:szCs w:val="20"/>
        </w:rPr>
        <w:t>:391-419.</w:t>
      </w:r>
    </w:p>
    <w:p w14:paraId="6B24B37B" w14:textId="77777777" w:rsidR="00711FE4" w:rsidRPr="00711FE4" w:rsidRDefault="00711FE4" w:rsidP="00711FE4">
      <w:pPr>
        <w:widowControl w:val="0"/>
        <w:autoSpaceDE w:val="0"/>
        <w:autoSpaceDN w:val="0"/>
        <w:adjustRightInd w:val="0"/>
        <w:spacing w:after="180" w:line="240" w:lineRule="auto"/>
        <w:ind w:left="720" w:hanging="720"/>
        <w:rPr>
          <w:rFonts w:ascii="Arial" w:eastAsia="Times New Roman" w:hAnsi="Arial"/>
          <w:color w:val="000000" w:themeColor="text1"/>
          <w:sz w:val="18"/>
          <w:szCs w:val="18"/>
          <w:lang w:val="en-GB"/>
        </w:rPr>
      </w:pPr>
      <w:r w:rsidRPr="00711FE4">
        <w:rPr>
          <w:rFonts w:ascii="Arial" w:eastAsia="Times New Roman" w:hAnsi="Arial"/>
          <w:color w:val="000000" w:themeColor="text1"/>
          <w:sz w:val="18"/>
          <w:szCs w:val="18"/>
          <w:lang w:val="en-GB"/>
        </w:rPr>
        <w:t xml:space="preserve">Nolan, B. &amp; Whelan, C. (1996). </w:t>
      </w:r>
      <w:r w:rsidRPr="00711FE4">
        <w:rPr>
          <w:rFonts w:ascii="Arial" w:eastAsia="Times New Roman" w:hAnsi="Arial"/>
          <w:i/>
          <w:iCs/>
          <w:color w:val="000000" w:themeColor="text1"/>
          <w:sz w:val="18"/>
          <w:szCs w:val="18"/>
          <w:lang w:val="en-GB"/>
        </w:rPr>
        <w:t>Resources, Deprivation and Poverty</w:t>
      </w:r>
      <w:r w:rsidRPr="00711FE4">
        <w:rPr>
          <w:rFonts w:ascii="Arial" w:eastAsia="Times New Roman" w:hAnsi="Arial"/>
          <w:color w:val="000000" w:themeColor="text1"/>
          <w:sz w:val="18"/>
          <w:szCs w:val="18"/>
          <w:lang w:val="en-GB"/>
        </w:rPr>
        <w:t>. Oxford: Clarendon Press.</w:t>
      </w:r>
    </w:p>
    <w:p w14:paraId="7A0659EF" w14:textId="77777777" w:rsidR="00711FE4" w:rsidRPr="00711FE4" w:rsidRDefault="00711FE4" w:rsidP="00711FE4">
      <w:pPr>
        <w:widowControl w:val="0"/>
        <w:autoSpaceDE w:val="0"/>
        <w:autoSpaceDN w:val="0"/>
        <w:adjustRightInd w:val="0"/>
        <w:spacing w:after="180" w:line="240" w:lineRule="auto"/>
        <w:ind w:left="720" w:hanging="720"/>
        <w:rPr>
          <w:rFonts w:ascii="Arial" w:eastAsia="Times New Roman" w:hAnsi="Arial"/>
          <w:color w:val="000000" w:themeColor="text1"/>
          <w:sz w:val="18"/>
          <w:szCs w:val="18"/>
          <w:lang w:val="en-GB"/>
        </w:rPr>
      </w:pPr>
      <w:r w:rsidRPr="00711FE4">
        <w:rPr>
          <w:rFonts w:ascii="Arial" w:eastAsia="Times New Roman" w:hAnsi="Arial"/>
          <w:color w:val="000000" w:themeColor="text1"/>
          <w:sz w:val="18"/>
          <w:szCs w:val="18"/>
          <w:lang w:val="en-GB"/>
        </w:rPr>
        <w:t xml:space="preserve">Nolan, B. &amp; Whelan, C. (2011). </w:t>
      </w:r>
      <w:r w:rsidRPr="00711FE4">
        <w:rPr>
          <w:rFonts w:ascii="Arial" w:eastAsia="Times New Roman" w:hAnsi="Arial"/>
          <w:i/>
          <w:iCs/>
          <w:color w:val="000000" w:themeColor="text1"/>
          <w:sz w:val="18"/>
          <w:szCs w:val="18"/>
          <w:lang w:val="en-GB"/>
        </w:rPr>
        <w:t>Poverty and Deprivation in Europe</w:t>
      </w:r>
      <w:r w:rsidRPr="00711FE4">
        <w:rPr>
          <w:rFonts w:ascii="Arial" w:eastAsia="Times New Roman" w:hAnsi="Arial"/>
          <w:color w:val="000000" w:themeColor="text1"/>
          <w:sz w:val="18"/>
          <w:szCs w:val="18"/>
          <w:lang w:val="en-GB"/>
        </w:rPr>
        <w:t>. Oxford: University Press.</w:t>
      </w:r>
    </w:p>
    <w:p w14:paraId="60B52786" w14:textId="77777777" w:rsidR="00711FE4" w:rsidRDefault="00711FE4" w:rsidP="00711FE4">
      <w:pPr>
        <w:autoSpaceDE w:val="0"/>
        <w:autoSpaceDN w:val="0"/>
        <w:adjustRightInd w:val="0"/>
        <w:spacing w:after="180" w:line="240" w:lineRule="auto"/>
        <w:ind w:left="709" w:hanging="709"/>
        <w:rPr>
          <w:rFonts w:ascii="Arial" w:hAnsi="Arial"/>
          <w:sz w:val="18"/>
          <w:szCs w:val="18"/>
          <w:lang w:eastAsia="en-NZ"/>
        </w:rPr>
      </w:pPr>
      <w:r w:rsidRPr="00711FE4">
        <w:rPr>
          <w:rFonts w:ascii="Arial" w:eastAsia="Times New Roman" w:hAnsi="Arial"/>
          <w:color w:val="000000" w:themeColor="text1"/>
          <w:sz w:val="18"/>
          <w:szCs w:val="18"/>
          <w:lang w:val="en-GB"/>
        </w:rPr>
        <w:t xml:space="preserve">Notten, G. &amp; Kaplan, J. (2022). ‘An Empirical Validation Method for Narrowing the Range of Poverty Thresholds’. </w:t>
      </w:r>
      <w:r w:rsidRPr="00711FE4">
        <w:rPr>
          <w:rFonts w:ascii="Arial" w:eastAsia="Times New Roman" w:hAnsi="Arial"/>
          <w:i/>
          <w:iCs/>
          <w:color w:val="000000" w:themeColor="text1"/>
          <w:sz w:val="18"/>
          <w:szCs w:val="18"/>
          <w:lang w:val="en-GB"/>
        </w:rPr>
        <w:t>Social Indicators Research 161</w:t>
      </w:r>
      <w:r w:rsidRPr="00711FE4">
        <w:rPr>
          <w:rFonts w:ascii="Arial" w:eastAsia="Times New Roman" w:hAnsi="Arial"/>
          <w:color w:val="000000" w:themeColor="text1"/>
          <w:sz w:val="18"/>
          <w:szCs w:val="18"/>
          <w:lang w:val="en-GB"/>
        </w:rPr>
        <w:t xml:space="preserve">: 251-271. </w:t>
      </w:r>
      <w:hyperlink r:id="rId90" w:history="1">
        <w:r w:rsidRPr="00711FE4">
          <w:rPr>
            <w:rFonts w:ascii="Arial" w:hAnsi="Arial"/>
            <w:color w:val="0000FF"/>
            <w:sz w:val="18"/>
            <w:szCs w:val="18"/>
            <w:u w:val="single"/>
            <w:lang w:eastAsia="en-NZ"/>
          </w:rPr>
          <w:t>https://doi.org/10.1007/s11205-021-02817-1</w:t>
        </w:r>
      </w:hyperlink>
      <w:r w:rsidRPr="00711FE4">
        <w:rPr>
          <w:rFonts w:ascii="Arial" w:hAnsi="Arial"/>
          <w:sz w:val="18"/>
          <w:szCs w:val="18"/>
          <w:lang w:eastAsia="en-NZ"/>
        </w:rPr>
        <w:t xml:space="preserve"> </w:t>
      </w:r>
    </w:p>
    <w:p w14:paraId="5E3A5976" w14:textId="0C89B967" w:rsidR="00864DAB" w:rsidRDefault="00864DAB" w:rsidP="00711FE4">
      <w:pPr>
        <w:autoSpaceDE w:val="0"/>
        <w:autoSpaceDN w:val="0"/>
        <w:adjustRightInd w:val="0"/>
        <w:spacing w:after="180" w:line="240" w:lineRule="auto"/>
        <w:ind w:left="709" w:hanging="709"/>
        <w:rPr>
          <w:rFonts w:ascii="Arial" w:hAnsi="Arial"/>
          <w:i/>
          <w:iCs/>
          <w:sz w:val="18"/>
          <w:szCs w:val="18"/>
          <w:lang w:eastAsia="en-NZ"/>
        </w:rPr>
      </w:pPr>
      <w:r>
        <w:rPr>
          <w:rFonts w:ascii="Arial" w:hAnsi="Arial"/>
          <w:sz w:val="18"/>
          <w:szCs w:val="18"/>
          <w:lang w:eastAsia="en-NZ"/>
        </w:rPr>
        <w:t>Notten</w:t>
      </w:r>
      <w:r w:rsidR="0050293D">
        <w:rPr>
          <w:rFonts w:ascii="Arial" w:hAnsi="Arial"/>
          <w:sz w:val="18"/>
          <w:szCs w:val="18"/>
          <w:lang w:eastAsia="en-NZ"/>
        </w:rPr>
        <w:t xml:space="preserve">, G et al (2024). </w:t>
      </w:r>
      <w:r w:rsidR="0050293D" w:rsidRPr="0050293D">
        <w:rPr>
          <w:rFonts w:ascii="Arial" w:hAnsi="Arial"/>
          <w:i/>
          <w:iCs/>
          <w:sz w:val="18"/>
          <w:szCs w:val="18"/>
          <w:lang w:eastAsia="en-NZ"/>
        </w:rPr>
        <w:t>Measuring Poverty with a Material Deprivation Index (MDI): An Updated Index for Canada</w:t>
      </w:r>
      <w:r w:rsidR="0050293D">
        <w:rPr>
          <w:rFonts w:ascii="Arial" w:hAnsi="Arial"/>
          <w:i/>
          <w:iCs/>
          <w:sz w:val="18"/>
          <w:szCs w:val="18"/>
          <w:lang w:eastAsia="en-NZ"/>
        </w:rPr>
        <w:t>.</w:t>
      </w:r>
    </w:p>
    <w:p w14:paraId="1ABD8B2D" w14:textId="561CED02" w:rsidR="0050293D" w:rsidRPr="00711FE4" w:rsidRDefault="0050293D" w:rsidP="00711FE4">
      <w:pPr>
        <w:autoSpaceDE w:val="0"/>
        <w:autoSpaceDN w:val="0"/>
        <w:adjustRightInd w:val="0"/>
        <w:spacing w:after="180" w:line="240" w:lineRule="auto"/>
        <w:ind w:left="709" w:hanging="709"/>
        <w:rPr>
          <w:rFonts w:ascii="Arial" w:hAnsi="Arial"/>
          <w:sz w:val="18"/>
          <w:szCs w:val="18"/>
          <w:lang w:eastAsia="en-NZ"/>
        </w:rPr>
      </w:pPr>
      <w:r w:rsidRPr="0050293D">
        <w:rPr>
          <w:rFonts w:ascii="Arial" w:hAnsi="Arial"/>
          <w:sz w:val="18"/>
          <w:szCs w:val="18"/>
          <w:lang w:eastAsia="en-NZ"/>
        </w:rPr>
        <w:t>Notten, G</w:t>
      </w:r>
      <w:r>
        <w:rPr>
          <w:rFonts w:ascii="Arial" w:hAnsi="Arial"/>
          <w:sz w:val="18"/>
          <w:szCs w:val="18"/>
          <w:lang w:eastAsia="en-NZ"/>
        </w:rPr>
        <w:t>.,</w:t>
      </w:r>
      <w:r w:rsidRPr="0050293D">
        <w:rPr>
          <w:rFonts w:ascii="Arial" w:hAnsi="Arial"/>
          <w:sz w:val="18"/>
          <w:szCs w:val="18"/>
          <w:lang w:eastAsia="en-NZ"/>
        </w:rPr>
        <w:t xml:space="preserve"> Seer,</w:t>
      </w:r>
      <w:r w:rsidR="001C25B3">
        <w:rPr>
          <w:rFonts w:ascii="Arial" w:hAnsi="Arial"/>
          <w:sz w:val="18"/>
          <w:szCs w:val="18"/>
          <w:lang w:eastAsia="en-NZ"/>
        </w:rPr>
        <w:t xml:space="preserve"> </w:t>
      </w:r>
      <w:r>
        <w:rPr>
          <w:rFonts w:ascii="Arial" w:hAnsi="Arial"/>
          <w:sz w:val="18"/>
          <w:szCs w:val="18"/>
          <w:lang w:eastAsia="en-NZ"/>
        </w:rPr>
        <w:t>S.,</w:t>
      </w:r>
      <w:r w:rsidRPr="0050293D">
        <w:rPr>
          <w:rFonts w:ascii="Arial" w:hAnsi="Arial"/>
          <w:sz w:val="18"/>
          <w:szCs w:val="18"/>
          <w:lang w:eastAsia="en-NZ"/>
        </w:rPr>
        <w:t xml:space="preserve"> Mendelson, </w:t>
      </w:r>
      <w:r>
        <w:rPr>
          <w:rFonts w:ascii="Arial" w:hAnsi="Arial"/>
          <w:sz w:val="18"/>
          <w:szCs w:val="18"/>
          <w:lang w:eastAsia="en-NZ"/>
        </w:rPr>
        <w:t>M.,</w:t>
      </w:r>
      <w:r w:rsidRPr="0050293D">
        <w:rPr>
          <w:rFonts w:ascii="Arial" w:hAnsi="Arial"/>
          <w:sz w:val="18"/>
          <w:szCs w:val="18"/>
          <w:lang w:eastAsia="en-NZ"/>
        </w:rPr>
        <w:t xml:space="preserve"> </w:t>
      </w:r>
      <w:r>
        <w:rPr>
          <w:rFonts w:ascii="Arial" w:hAnsi="Arial"/>
          <w:sz w:val="18"/>
          <w:szCs w:val="18"/>
          <w:lang w:eastAsia="en-NZ"/>
        </w:rPr>
        <w:t xml:space="preserve">Matern, </w:t>
      </w:r>
      <w:r w:rsidRPr="0050293D">
        <w:rPr>
          <w:rFonts w:ascii="Arial" w:hAnsi="Arial"/>
          <w:sz w:val="18"/>
          <w:szCs w:val="18"/>
          <w:lang w:eastAsia="en-NZ"/>
        </w:rPr>
        <w:t>R</w:t>
      </w:r>
      <w:r>
        <w:rPr>
          <w:rFonts w:ascii="Arial" w:hAnsi="Arial"/>
          <w:sz w:val="18"/>
          <w:szCs w:val="18"/>
          <w:lang w:eastAsia="en-NZ"/>
        </w:rPr>
        <w:t>.</w:t>
      </w:r>
      <w:r w:rsidRPr="0050293D">
        <w:rPr>
          <w:rFonts w:ascii="Arial" w:hAnsi="Arial"/>
          <w:sz w:val="18"/>
          <w:szCs w:val="18"/>
          <w:lang w:eastAsia="en-NZ"/>
        </w:rPr>
        <w:t xml:space="preserve"> &amp; Parkin, A. (2024). </w:t>
      </w:r>
      <w:r w:rsidRPr="0050293D">
        <w:rPr>
          <w:rFonts w:ascii="Arial" w:hAnsi="Arial"/>
          <w:i/>
          <w:iCs/>
          <w:sz w:val="18"/>
          <w:szCs w:val="18"/>
          <w:lang w:eastAsia="en-NZ"/>
        </w:rPr>
        <w:t>Measuring Poverty with a Material Deprivation Index (MDI): An Updated Index for Canada</w:t>
      </w:r>
      <w:r>
        <w:rPr>
          <w:rFonts w:ascii="Arial" w:hAnsi="Arial"/>
          <w:i/>
          <w:iCs/>
          <w:sz w:val="18"/>
          <w:szCs w:val="18"/>
          <w:lang w:eastAsia="en-NZ"/>
        </w:rPr>
        <w:t>.</w:t>
      </w:r>
      <w:r w:rsidRPr="0050293D">
        <w:rPr>
          <w:rFonts w:ascii="Arial" w:hAnsi="Arial"/>
          <w:sz w:val="18"/>
          <w:szCs w:val="18"/>
          <w:lang w:eastAsia="en-NZ"/>
        </w:rPr>
        <w:t xml:space="preserve"> </w:t>
      </w:r>
      <w:hyperlink r:id="rId91" w:history="1">
        <w:r w:rsidRPr="001C25B3">
          <w:rPr>
            <w:rStyle w:val="Hyperlink"/>
            <w:rFonts w:ascii="Arial" w:hAnsi="Arial"/>
            <w:sz w:val="18"/>
            <w:szCs w:val="18"/>
            <w:lang w:eastAsia="en-NZ"/>
          </w:rPr>
          <w:t>10.13140/RG.2.2.23590.95049</w:t>
        </w:r>
      </w:hyperlink>
      <w:r w:rsidR="001C25B3">
        <w:rPr>
          <w:rFonts w:ascii="Arial" w:hAnsi="Arial"/>
          <w:sz w:val="18"/>
          <w:szCs w:val="18"/>
          <w:lang w:eastAsia="en-NZ"/>
        </w:rPr>
        <w:t xml:space="preserve"> </w:t>
      </w:r>
      <w:r>
        <w:rPr>
          <w:rFonts w:ascii="Arial" w:hAnsi="Arial"/>
          <w:sz w:val="18"/>
          <w:szCs w:val="18"/>
          <w:lang w:eastAsia="en-NZ"/>
        </w:rPr>
        <w:t xml:space="preserve"> </w:t>
      </w:r>
    </w:p>
    <w:p w14:paraId="20BA29B5" w14:textId="77777777" w:rsidR="00711FE4" w:rsidRPr="00711FE4" w:rsidRDefault="00711FE4" w:rsidP="00711FE4">
      <w:pPr>
        <w:autoSpaceDE w:val="0"/>
        <w:autoSpaceDN w:val="0"/>
        <w:adjustRightInd w:val="0"/>
        <w:spacing w:after="180" w:line="240" w:lineRule="auto"/>
        <w:ind w:left="709" w:hanging="709"/>
        <w:rPr>
          <w:rFonts w:ascii="Arial" w:hAnsi="Arial"/>
          <w:sz w:val="18"/>
          <w:szCs w:val="18"/>
          <w:highlight w:val="yellow"/>
          <w:lang w:val="mi-NZ"/>
        </w:rPr>
      </w:pPr>
      <w:r w:rsidRPr="00711FE4">
        <w:rPr>
          <w:rFonts w:ascii="Arial" w:eastAsia="Times New Roman" w:hAnsi="Arial"/>
          <w:color w:val="000000" w:themeColor="text1"/>
          <w:sz w:val="18"/>
          <w:szCs w:val="18"/>
          <w:lang w:val="en-GB"/>
        </w:rPr>
        <w:t>OECD</w:t>
      </w:r>
      <w:r w:rsidRPr="00711FE4">
        <w:rPr>
          <w:rFonts w:ascii="Arial" w:hAnsi="Arial"/>
          <w:sz w:val="18"/>
          <w:szCs w:val="18"/>
        </w:rPr>
        <w:t xml:space="preserve"> (2024). </w:t>
      </w:r>
      <w:r w:rsidRPr="00711FE4">
        <w:rPr>
          <w:rFonts w:ascii="Arial" w:hAnsi="Arial"/>
          <w:i/>
          <w:iCs/>
          <w:sz w:val="18"/>
          <w:szCs w:val="18"/>
        </w:rPr>
        <w:t>OECD Economic Surveys: New Zealand 2024</w:t>
      </w:r>
      <w:r w:rsidRPr="00711FE4">
        <w:rPr>
          <w:rFonts w:ascii="Arial" w:hAnsi="Arial"/>
          <w:sz w:val="18"/>
          <w:szCs w:val="18"/>
        </w:rPr>
        <w:t xml:space="preserve">, OECD Publishing, Paris, </w:t>
      </w:r>
      <w:hyperlink r:id="rId92" w:history="1">
        <w:r w:rsidRPr="00711FE4">
          <w:rPr>
            <w:rFonts w:ascii="Arial" w:hAnsi="Arial"/>
            <w:color w:val="0000FF"/>
            <w:sz w:val="18"/>
            <w:szCs w:val="18"/>
            <w:u w:val="single"/>
          </w:rPr>
          <w:t>https://doi.org/10.1787/603809f2-en</w:t>
        </w:r>
      </w:hyperlink>
    </w:p>
    <w:p w14:paraId="20DEB90E" w14:textId="77777777" w:rsidR="00711FE4" w:rsidRPr="00711FE4" w:rsidRDefault="00711FE4" w:rsidP="00711FE4">
      <w:pPr>
        <w:widowControl w:val="0"/>
        <w:autoSpaceDE w:val="0"/>
        <w:autoSpaceDN w:val="0"/>
        <w:adjustRightInd w:val="0"/>
        <w:spacing w:after="180" w:line="240" w:lineRule="auto"/>
        <w:ind w:left="720" w:hanging="720"/>
        <w:rPr>
          <w:rFonts w:ascii="Arial" w:eastAsia="Times New Roman" w:hAnsi="Arial"/>
          <w:color w:val="000000" w:themeColor="text1"/>
          <w:sz w:val="18"/>
          <w:szCs w:val="18"/>
          <w:lang w:val="en-GB"/>
        </w:rPr>
      </w:pPr>
      <w:r w:rsidRPr="00711FE4">
        <w:rPr>
          <w:rFonts w:ascii="Arial" w:hAnsi="Arial"/>
          <w:sz w:val="18"/>
          <w:szCs w:val="20"/>
        </w:rPr>
        <w:t>Penne, T., Cussó Parcerisas, I., Mäkinen, L., Storms, B., Goedemé, T. (2016). ‘Can reference budgets be used as a poverty line?’ ImPRovE Working Paper N°16/05. Antwerp: Herman Deleeck Centre for Social Policy – University of Antwerp.</w:t>
      </w:r>
      <w:r w:rsidRPr="00711FE4">
        <w:rPr>
          <w:rFonts w:ascii="Arial" w:eastAsia="Times New Roman" w:hAnsi="Arial"/>
          <w:color w:val="000000" w:themeColor="text1"/>
          <w:sz w:val="18"/>
          <w:szCs w:val="18"/>
          <w:lang w:val="en-GB"/>
        </w:rPr>
        <w:t xml:space="preserve"> </w:t>
      </w:r>
    </w:p>
    <w:bookmarkEnd w:id="24"/>
    <w:p w14:paraId="1B6E1FAF" w14:textId="77777777" w:rsidR="00711FE4" w:rsidRPr="00711FE4" w:rsidRDefault="00711FE4" w:rsidP="00711FE4">
      <w:pPr>
        <w:widowControl w:val="0"/>
        <w:autoSpaceDE w:val="0"/>
        <w:autoSpaceDN w:val="0"/>
        <w:adjustRightInd w:val="0"/>
        <w:spacing w:after="0" w:line="240" w:lineRule="auto"/>
        <w:ind w:left="720" w:hanging="720"/>
        <w:rPr>
          <w:rFonts w:ascii="Arial" w:hAnsi="Arial"/>
          <w:color w:val="000000" w:themeColor="text1"/>
          <w:sz w:val="18"/>
          <w:szCs w:val="18"/>
          <w:highlight w:val="yellow"/>
        </w:rPr>
      </w:pPr>
      <w:r w:rsidRPr="00711FE4">
        <w:rPr>
          <w:rFonts w:ascii="Arial" w:hAnsi="Arial"/>
          <w:color w:val="000000" w:themeColor="text1"/>
          <w:sz w:val="18"/>
          <w:szCs w:val="18"/>
        </w:rPr>
        <w:t>Perry, B. (2019). ‘</w:t>
      </w:r>
      <w:r w:rsidRPr="00711FE4">
        <w:rPr>
          <w:rFonts w:ascii="Arial Mäori" w:hAnsi="Arial Mäori"/>
          <w:bCs/>
          <w:color w:val="000000"/>
          <w:sz w:val="18"/>
          <w:szCs w:val="18"/>
        </w:rPr>
        <w:t>Background paper on EU-13, DEP-17 and MWI-24</w:t>
      </w:r>
      <w:r w:rsidRPr="00711FE4">
        <w:rPr>
          <w:rFonts w:ascii="Arial" w:hAnsi="Arial"/>
          <w:color w:val="000000" w:themeColor="text1"/>
          <w:sz w:val="18"/>
          <w:szCs w:val="18"/>
        </w:rPr>
        <w:t xml:space="preserve"> </w:t>
      </w:r>
      <w:r w:rsidRPr="00711FE4">
        <w:rPr>
          <w:rFonts w:ascii="Arial Mäori" w:hAnsi="Arial Mäori"/>
          <w:bCs/>
          <w:color w:val="000000"/>
          <w:sz w:val="18"/>
          <w:szCs w:val="18"/>
        </w:rPr>
        <w:t>to assist with discussions with StatsNZ on the material hardship measures for the Child Poverty Reduction Act (CPRA)’, Working Paper 01/09, Ministry of Social Development, Wellington.</w:t>
      </w:r>
    </w:p>
    <w:p w14:paraId="6AC24EFE" w14:textId="77777777" w:rsidR="00711FE4" w:rsidRPr="00711FE4" w:rsidRDefault="00711FE4" w:rsidP="00711FE4">
      <w:pPr>
        <w:widowControl w:val="0"/>
        <w:autoSpaceDE w:val="0"/>
        <w:autoSpaceDN w:val="0"/>
        <w:adjustRightInd w:val="0"/>
        <w:spacing w:after="180" w:line="240" w:lineRule="auto"/>
        <w:ind w:left="720"/>
        <w:rPr>
          <w:rFonts w:ascii="Arial" w:hAnsi="Arial"/>
          <w:color w:val="0000FF"/>
          <w:sz w:val="18"/>
          <w:szCs w:val="18"/>
          <w:u w:val="single"/>
        </w:rPr>
      </w:pPr>
      <w:r w:rsidRPr="00711FE4">
        <w:rPr>
          <w:rFonts w:ascii="Arial" w:hAnsi="Arial"/>
          <w:color w:val="0000FF"/>
          <w:sz w:val="18"/>
          <w:szCs w:val="18"/>
          <w:u w:val="single"/>
        </w:rPr>
        <w:t>https://www.msd.govt.nz/about-msd-and-our-work/publications-resources/working-papers/index.html#WorkingPapers20191</w:t>
      </w:r>
    </w:p>
    <w:p w14:paraId="3B5D5EFC" w14:textId="77777777" w:rsidR="00711FE4" w:rsidRPr="00711FE4" w:rsidRDefault="00711FE4" w:rsidP="00711FE4">
      <w:pPr>
        <w:widowControl w:val="0"/>
        <w:autoSpaceDE w:val="0"/>
        <w:autoSpaceDN w:val="0"/>
        <w:adjustRightInd w:val="0"/>
        <w:spacing w:after="0" w:line="240" w:lineRule="auto"/>
        <w:ind w:left="720" w:hanging="720"/>
        <w:rPr>
          <w:rFonts w:ascii="Arial" w:hAnsi="Arial"/>
          <w:color w:val="000000" w:themeColor="text1"/>
          <w:sz w:val="18"/>
          <w:szCs w:val="18"/>
        </w:rPr>
      </w:pPr>
      <w:r w:rsidRPr="00711FE4">
        <w:rPr>
          <w:rFonts w:ascii="Arial" w:hAnsi="Arial"/>
          <w:color w:val="000000" w:themeColor="text1"/>
          <w:sz w:val="18"/>
          <w:szCs w:val="18"/>
        </w:rPr>
        <w:t xml:space="preserve">Perry, B. (2019). </w:t>
      </w:r>
      <w:r w:rsidRPr="00711FE4">
        <w:rPr>
          <w:rFonts w:ascii="Arial" w:hAnsi="Arial"/>
          <w:i/>
          <w:color w:val="000000" w:themeColor="text1"/>
          <w:sz w:val="18"/>
          <w:szCs w:val="18"/>
        </w:rPr>
        <w:t>Household Incomes in New Zealand: Trends in Indicators of Inequality and Hardship,</w:t>
      </w:r>
      <w:r w:rsidRPr="00711FE4">
        <w:rPr>
          <w:rFonts w:ascii="Arial" w:hAnsi="Arial"/>
          <w:color w:val="000000" w:themeColor="text1"/>
          <w:sz w:val="18"/>
          <w:szCs w:val="18"/>
        </w:rPr>
        <w:t xml:space="preserve"> 1982 to 2018. Wellington: Ministry of Social Development.</w:t>
      </w:r>
    </w:p>
    <w:p w14:paraId="0811B4EE" w14:textId="77777777" w:rsidR="00711FE4" w:rsidRPr="00711FE4" w:rsidRDefault="00711FE4" w:rsidP="00711FE4">
      <w:pPr>
        <w:widowControl w:val="0"/>
        <w:autoSpaceDE w:val="0"/>
        <w:autoSpaceDN w:val="0"/>
        <w:adjustRightInd w:val="0"/>
        <w:spacing w:after="180" w:line="240" w:lineRule="auto"/>
        <w:ind w:left="709" w:hanging="709"/>
        <w:rPr>
          <w:rFonts w:ascii="Arial" w:hAnsi="Arial"/>
          <w:color w:val="000000" w:themeColor="text1"/>
          <w:sz w:val="18"/>
          <w:szCs w:val="18"/>
        </w:rPr>
      </w:pPr>
      <w:hyperlink r:id="rId93" w:history="1">
        <w:r w:rsidRPr="00711FE4">
          <w:rPr>
            <w:rFonts w:ascii="Arial" w:hAnsi="Arial"/>
            <w:color w:val="0000FF"/>
            <w:sz w:val="18"/>
            <w:szCs w:val="18"/>
            <w:u w:val="single"/>
          </w:rPr>
          <w:t>https://www.msd.govt.nz/about-msd-and-our-work/publications-resources/monitoring/household-incomes/index.html</w:t>
        </w:r>
      </w:hyperlink>
      <w:r w:rsidRPr="00711FE4">
        <w:rPr>
          <w:rFonts w:ascii="Arial" w:hAnsi="Arial"/>
          <w:color w:val="000000" w:themeColor="text1"/>
          <w:sz w:val="18"/>
          <w:szCs w:val="18"/>
        </w:rPr>
        <w:t xml:space="preserve"> </w:t>
      </w:r>
    </w:p>
    <w:p w14:paraId="2A56B799" w14:textId="77777777" w:rsidR="00711FE4" w:rsidRPr="00711FE4" w:rsidRDefault="00711FE4" w:rsidP="00711FE4">
      <w:pPr>
        <w:shd w:val="clear" w:color="auto" w:fill="FFFFFF"/>
        <w:spacing w:after="0" w:line="240" w:lineRule="auto"/>
        <w:ind w:left="709" w:hanging="709"/>
        <w:outlineLvl w:val="1"/>
        <w:rPr>
          <w:rFonts w:ascii="Arial" w:hAnsi="Arial"/>
          <w:bCs/>
          <w:i/>
          <w:iCs/>
          <w:color w:val="000000" w:themeColor="text1"/>
          <w:sz w:val="18"/>
          <w:szCs w:val="18"/>
          <w:lang w:eastAsia="en-NZ"/>
        </w:rPr>
      </w:pPr>
      <w:r w:rsidRPr="00711FE4">
        <w:rPr>
          <w:rFonts w:ascii="Arial" w:hAnsi="Arial"/>
          <w:bCs/>
          <w:color w:val="000000" w:themeColor="text1"/>
          <w:sz w:val="18"/>
          <w:szCs w:val="18"/>
        </w:rPr>
        <w:t>Perry, B. (2021).</w:t>
      </w:r>
      <w:r w:rsidRPr="00711FE4">
        <w:rPr>
          <w:rFonts w:ascii="Arial" w:hAnsi="Arial"/>
          <w:bCs/>
          <w:i/>
          <w:iCs/>
          <w:color w:val="000000" w:themeColor="text1"/>
          <w:sz w:val="18"/>
          <w:szCs w:val="18"/>
        </w:rPr>
        <w:t xml:space="preserve"> International Comparisons of Housing Affordability for Renters and Owners. </w:t>
      </w:r>
      <w:r w:rsidRPr="00711FE4">
        <w:rPr>
          <w:rFonts w:ascii="Arial" w:hAnsi="Arial"/>
          <w:bCs/>
          <w:color w:val="000000" w:themeColor="text1"/>
          <w:sz w:val="18"/>
          <w:szCs w:val="18"/>
        </w:rPr>
        <w:t>Wellington: Ministry of Social Development.</w:t>
      </w:r>
    </w:p>
    <w:p w14:paraId="5BCE37B4" w14:textId="77777777" w:rsidR="00711FE4" w:rsidRPr="00711FE4" w:rsidRDefault="00711FE4" w:rsidP="00711FE4">
      <w:pPr>
        <w:widowControl w:val="0"/>
        <w:autoSpaceDE w:val="0"/>
        <w:autoSpaceDN w:val="0"/>
        <w:adjustRightInd w:val="0"/>
        <w:spacing w:after="180" w:line="240" w:lineRule="auto"/>
        <w:ind w:left="709" w:hanging="709"/>
        <w:rPr>
          <w:rFonts w:ascii="Arial" w:hAnsi="Arial"/>
          <w:color w:val="000000" w:themeColor="text1"/>
          <w:sz w:val="18"/>
          <w:szCs w:val="18"/>
        </w:rPr>
      </w:pPr>
      <w:hyperlink r:id="rId94" w:history="1">
        <w:r w:rsidRPr="00711FE4">
          <w:rPr>
            <w:rFonts w:ascii="Arial" w:hAnsi="Arial"/>
            <w:color w:val="0000FF"/>
            <w:sz w:val="18"/>
            <w:szCs w:val="18"/>
            <w:u w:val="single"/>
          </w:rPr>
          <w:t>https://www.msd.govt.nz/about-msd-and-our-work/publications-resources/monitoring/household-incomes/index.html</w:t>
        </w:r>
      </w:hyperlink>
      <w:r w:rsidRPr="00711FE4">
        <w:rPr>
          <w:rFonts w:ascii="Arial" w:hAnsi="Arial"/>
          <w:color w:val="000000" w:themeColor="text1"/>
          <w:sz w:val="18"/>
          <w:szCs w:val="18"/>
        </w:rPr>
        <w:t xml:space="preserve"> </w:t>
      </w:r>
    </w:p>
    <w:p w14:paraId="113BED67" w14:textId="77777777" w:rsidR="00711FE4" w:rsidRPr="00711FE4" w:rsidRDefault="00711FE4" w:rsidP="00711FE4">
      <w:pPr>
        <w:widowControl w:val="0"/>
        <w:autoSpaceDE w:val="0"/>
        <w:autoSpaceDN w:val="0"/>
        <w:adjustRightInd w:val="0"/>
        <w:spacing w:after="0" w:line="240" w:lineRule="auto"/>
        <w:ind w:left="709" w:hanging="709"/>
        <w:rPr>
          <w:rFonts w:ascii="Arial" w:hAnsi="Arial"/>
          <w:color w:val="000000" w:themeColor="text1"/>
          <w:sz w:val="18"/>
          <w:szCs w:val="18"/>
        </w:rPr>
      </w:pPr>
      <w:r w:rsidRPr="00711FE4">
        <w:rPr>
          <w:rFonts w:ascii="Arial" w:hAnsi="Arial"/>
          <w:color w:val="000000" w:themeColor="text1"/>
          <w:sz w:val="18"/>
          <w:szCs w:val="18"/>
        </w:rPr>
        <w:t xml:space="preserve">Perry, B. (2022). </w:t>
      </w:r>
      <w:r w:rsidRPr="00711FE4">
        <w:rPr>
          <w:rFonts w:ascii="Arial" w:hAnsi="Arial"/>
          <w:i/>
          <w:color w:val="000000" w:themeColor="text1"/>
          <w:sz w:val="18"/>
          <w:szCs w:val="18"/>
        </w:rPr>
        <w:t>Child Poverty in New Zealand.</w:t>
      </w:r>
      <w:r w:rsidRPr="00711FE4">
        <w:rPr>
          <w:rFonts w:ascii="Arial" w:hAnsi="Arial"/>
          <w:color w:val="000000" w:themeColor="text1"/>
          <w:sz w:val="18"/>
          <w:szCs w:val="18"/>
        </w:rPr>
        <w:t xml:space="preserve"> Wellington: Ministry of Social Development.</w:t>
      </w:r>
    </w:p>
    <w:p w14:paraId="430F494E" w14:textId="77777777" w:rsidR="00711FE4" w:rsidRDefault="00711FE4" w:rsidP="00711FE4">
      <w:pPr>
        <w:widowControl w:val="0"/>
        <w:autoSpaceDE w:val="0"/>
        <w:autoSpaceDN w:val="0"/>
        <w:adjustRightInd w:val="0"/>
        <w:spacing w:after="180" w:line="240" w:lineRule="auto"/>
        <w:ind w:left="709" w:hanging="709"/>
        <w:rPr>
          <w:rFonts w:ascii="Arial" w:hAnsi="Arial"/>
          <w:color w:val="000000" w:themeColor="text1"/>
          <w:sz w:val="18"/>
          <w:szCs w:val="18"/>
        </w:rPr>
      </w:pPr>
      <w:hyperlink r:id="rId95" w:history="1">
        <w:r w:rsidRPr="00711FE4">
          <w:rPr>
            <w:rFonts w:ascii="Arial" w:hAnsi="Arial"/>
            <w:color w:val="0000FF"/>
            <w:sz w:val="18"/>
            <w:szCs w:val="18"/>
            <w:u w:val="single"/>
          </w:rPr>
          <w:t>https://www.msd.govt.nz/about-msd-and-our-work/publications-resources/research/household-incomes-material-wellbeing-poverty-inequality-and-hardship.html</w:t>
        </w:r>
      </w:hyperlink>
      <w:r w:rsidRPr="00711FE4">
        <w:rPr>
          <w:rFonts w:ascii="Arial" w:hAnsi="Arial"/>
          <w:color w:val="000000" w:themeColor="text1"/>
          <w:sz w:val="18"/>
          <w:szCs w:val="18"/>
        </w:rPr>
        <w:t xml:space="preserve"> </w:t>
      </w:r>
    </w:p>
    <w:p w14:paraId="125CBF1D" w14:textId="0C5D2D8E" w:rsidR="00AB1743" w:rsidRPr="00711FE4" w:rsidRDefault="00AB1743" w:rsidP="00AB1743">
      <w:pPr>
        <w:widowControl w:val="0"/>
        <w:autoSpaceDE w:val="0"/>
        <w:autoSpaceDN w:val="0"/>
        <w:adjustRightInd w:val="0"/>
        <w:spacing w:after="0" w:line="240" w:lineRule="auto"/>
        <w:ind w:left="709" w:hanging="709"/>
        <w:rPr>
          <w:rFonts w:ascii="Arial" w:hAnsi="Arial"/>
          <w:color w:val="000000" w:themeColor="text1"/>
          <w:sz w:val="18"/>
          <w:szCs w:val="18"/>
        </w:rPr>
      </w:pPr>
      <w:r w:rsidRPr="00711FE4">
        <w:rPr>
          <w:rFonts w:ascii="Arial" w:hAnsi="Arial"/>
          <w:color w:val="000000" w:themeColor="text1"/>
          <w:sz w:val="18"/>
          <w:szCs w:val="18"/>
        </w:rPr>
        <w:t>Perry, B. (202</w:t>
      </w:r>
      <w:r>
        <w:rPr>
          <w:rFonts w:ascii="Arial" w:hAnsi="Arial"/>
          <w:color w:val="000000" w:themeColor="text1"/>
          <w:sz w:val="18"/>
          <w:szCs w:val="18"/>
        </w:rPr>
        <w:t>4</w:t>
      </w:r>
      <w:r w:rsidRPr="00711FE4">
        <w:rPr>
          <w:rFonts w:ascii="Arial" w:hAnsi="Arial"/>
          <w:color w:val="000000" w:themeColor="text1"/>
          <w:sz w:val="18"/>
          <w:szCs w:val="18"/>
        </w:rPr>
        <w:t xml:space="preserve">). </w:t>
      </w:r>
      <w:r w:rsidRPr="00711FE4">
        <w:rPr>
          <w:rFonts w:ascii="Arial" w:hAnsi="Arial"/>
          <w:i/>
          <w:color w:val="000000" w:themeColor="text1"/>
          <w:sz w:val="18"/>
          <w:szCs w:val="18"/>
        </w:rPr>
        <w:t>Child Poverty in New Zealand.</w:t>
      </w:r>
      <w:r w:rsidRPr="00711FE4">
        <w:rPr>
          <w:rFonts w:ascii="Arial" w:hAnsi="Arial"/>
          <w:color w:val="000000" w:themeColor="text1"/>
          <w:sz w:val="18"/>
          <w:szCs w:val="18"/>
        </w:rPr>
        <w:t xml:space="preserve"> Wellington: Ministry of Social Development.</w:t>
      </w:r>
    </w:p>
    <w:p w14:paraId="1B046328" w14:textId="0B1C7D40" w:rsidR="00AB1743" w:rsidRPr="00711FE4" w:rsidRDefault="00AB1743" w:rsidP="00AB1743">
      <w:pPr>
        <w:widowControl w:val="0"/>
        <w:autoSpaceDE w:val="0"/>
        <w:autoSpaceDN w:val="0"/>
        <w:adjustRightInd w:val="0"/>
        <w:spacing w:after="180" w:line="240" w:lineRule="auto"/>
        <w:ind w:left="709" w:hanging="709"/>
        <w:rPr>
          <w:rFonts w:ascii="Arial" w:hAnsi="Arial"/>
          <w:color w:val="000000" w:themeColor="text1"/>
          <w:sz w:val="18"/>
          <w:szCs w:val="18"/>
        </w:rPr>
      </w:pPr>
      <w:hyperlink r:id="rId96" w:history="1">
        <w:r w:rsidRPr="00711FE4">
          <w:rPr>
            <w:rFonts w:ascii="Arial" w:hAnsi="Arial"/>
            <w:color w:val="0000FF"/>
            <w:sz w:val="18"/>
            <w:szCs w:val="18"/>
            <w:u w:val="single"/>
          </w:rPr>
          <w:t>https://www.msd.govt.nz/about-msd-and-our-work/publications-resources/research/household-incomes-material-wellbeing-poverty-inequality-and-hardship.html</w:t>
        </w:r>
      </w:hyperlink>
    </w:p>
    <w:p w14:paraId="3C7C1AB7" w14:textId="77777777" w:rsidR="00711FE4" w:rsidRPr="00711FE4" w:rsidRDefault="00711FE4" w:rsidP="00711FE4">
      <w:pPr>
        <w:widowControl w:val="0"/>
        <w:autoSpaceDE w:val="0"/>
        <w:autoSpaceDN w:val="0"/>
        <w:adjustRightInd w:val="0"/>
        <w:spacing w:after="180" w:line="240" w:lineRule="auto"/>
        <w:ind w:left="709" w:hanging="709"/>
        <w:rPr>
          <w:rFonts w:ascii="Arial" w:hAnsi="Arial"/>
          <w:color w:val="000000" w:themeColor="text1"/>
          <w:sz w:val="18"/>
          <w:szCs w:val="18"/>
        </w:rPr>
      </w:pPr>
      <w:r w:rsidRPr="00711FE4">
        <w:rPr>
          <w:rFonts w:ascii="Arial" w:hAnsi="Arial"/>
          <w:color w:val="000000" w:themeColor="text1"/>
          <w:sz w:val="18"/>
          <w:szCs w:val="18"/>
        </w:rPr>
        <w:t xml:space="preserve">Piachaud, D. (1987), ‘Problems in the definition and measurement of poverty’, </w:t>
      </w:r>
      <w:r w:rsidRPr="00711FE4">
        <w:rPr>
          <w:rFonts w:ascii="Arial" w:hAnsi="Arial"/>
          <w:i/>
          <w:iCs/>
          <w:color w:val="000000" w:themeColor="text1"/>
          <w:sz w:val="18"/>
          <w:szCs w:val="18"/>
        </w:rPr>
        <w:t xml:space="preserve">Journal of Social Policy, 16 </w:t>
      </w:r>
      <w:r w:rsidRPr="00711FE4">
        <w:rPr>
          <w:rFonts w:ascii="Arial" w:hAnsi="Arial"/>
          <w:color w:val="000000" w:themeColor="text1"/>
          <w:sz w:val="18"/>
          <w:szCs w:val="18"/>
        </w:rPr>
        <w:t>(2), 147-164.</w:t>
      </w:r>
    </w:p>
    <w:p w14:paraId="0019AF1C" w14:textId="77777777" w:rsidR="00711FE4" w:rsidRPr="00711FE4" w:rsidRDefault="00711FE4" w:rsidP="00711FE4">
      <w:pPr>
        <w:widowControl w:val="0"/>
        <w:autoSpaceDE w:val="0"/>
        <w:autoSpaceDN w:val="0"/>
        <w:adjustRightInd w:val="0"/>
        <w:spacing w:after="180" w:line="240" w:lineRule="auto"/>
        <w:ind w:left="709" w:hanging="709"/>
        <w:rPr>
          <w:rFonts w:ascii="Arial" w:hAnsi="Arial"/>
          <w:sz w:val="18"/>
          <w:szCs w:val="18"/>
        </w:rPr>
      </w:pPr>
      <w:r w:rsidRPr="00711FE4">
        <w:rPr>
          <w:rFonts w:ascii="Arial" w:hAnsi="Arial"/>
          <w:sz w:val="18"/>
          <w:szCs w:val="18"/>
        </w:rPr>
        <w:t xml:space="preserve">Riggs, L. (2023), ‘Multidimensional Disadvantage and Wellbeing’, Working Paper 2023/01, </w:t>
      </w:r>
      <w:r w:rsidRPr="00711FE4">
        <w:rPr>
          <w:rFonts w:ascii="Arial" w:hAnsi="Arial"/>
          <w:color w:val="333333"/>
          <w:sz w:val="18"/>
          <w:szCs w:val="18"/>
          <w:shd w:val="clear" w:color="auto" w:fill="FFFFFF"/>
        </w:rPr>
        <w:t>New Zealand Productivity Commission.</w:t>
      </w:r>
    </w:p>
    <w:p w14:paraId="745F635D" w14:textId="77777777" w:rsidR="00711FE4" w:rsidRPr="00711FE4" w:rsidRDefault="00711FE4" w:rsidP="00711FE4">
      <w:pPr>
        <w:widowControl w:val="0"/>
        <w:autoSpaceDE w:val="0"/>
        <w:autoSpaceDN w:val="0"/>
        <w:adjustRightInd w:val="0"/>
        <w:spacing w:after="180" w:line="240" w:lineRule="auto"/>
        <w:ind w:left="709" w:hanging="709"/>
        <w:rPr>
          <w:rFonts w:ascii="Arial" w:eastAsia="Times New Roman" w:hAnsi="Arial"/>
          <w:color w:val="000000" w:themeColor="text1"/>
          <w:sz w:val="18"/>
          <w:szCs w:val="18"/>
          <w:lang w:val="en-GB"/>
        </w:rPr>
      </w:pPr>
      <w:r w:rsidRPr="00711FE4">
        <w:rPr>
          <w:rFonts w:ascii="Arial" w:hAnsi="Arial"/>
          <w:color w:val="000000" w:themeColor="text1"/>
          <w:sz w:val="18"/>
          <w:szCs w:val="18"/>
        </w:rPr>
        <w:t xml:space="preserve">Ringen, S. (1988). ‘Direct and indirect measures of poverty’, </w:t>
      </w:r>
      <w:r w:rsidRPr="00711FE4">
        <w:rPr>
          <w:rFonts w:ascii="Arial" w:hAnsi="Arial"/>
          <w:i/>
          <w:iCs/>
          <w:color w:val="000000" w:themeColor="text1"/>
          <w:sz w:val="18"/>
          <w:szCs w:val="18"/>
        </w:rPr>
        <w:t>Journal of Social Policy, 17(3)</w:t>
      </w:r>
      <w:r w:rsidRPr="00711FE4">
        <w:rPr>
          <w:rFonts w:ascii="Arial" w:hAnsi="Arial"/>
          <w:color w:val="000000" w:themeColor="text1"/>
          <w:sz w:val="18"/>
          <w:szCs w:val="18"/>
        </w:rPr>
        <w:t>: 351- 365</w:t>
      </w:r>
      <w:r w:rsidRPr="00711FE4">
        <w:rPr>
          <w:rFonts w:ascii="Arial" w:eastAsia="Times New Roman" w:hAnsi="Arial"/>
          <w:color w:val="000000" w:themeColor="text1"/>
          <w:sz w:val="18"/>
          <w:szCs w:val="18"/>
          <w:lang w:val="en-GB"/>
        </w:rPr>
        <w:t xml:space="preserve"> </w:t>
      </w:r>
    </w:p>
    <w:p w14:paraId="0A73EEB6" w14:textId="77777777" w:rsidR="00711FE4" w:rsidRPr="00711FE4" w:rsidRDefault="00711FE4" w:rsidP="00711FE4">
      <w:pPr>
        <w:widowControl w:val="0"/>
        <w:autoSpaceDE w:val="0"/>
        <w:autoSpaceDN w:val="0"/>
        <w:adjustRightInd w:val="0"/>
        <w:spacing w:after="180" w:line="240" w:lineRule="auto"/>
        <w:ind w:left="709" w:hanging="709"/>
        <w:rPr>
          <w:rFonts w:ascii="Arial" w:hAnsi="Arial"/>
          <w:sz w:val="18"/>
          <w:szCs w:val="18"/>
        </w:rPr>
      </w:pPr>
      <w:r w:rsidRPr="00711FE4">
        <w:rPr>
          <w:rFonts w:ascii="Arial" w:hAnsi="Arial"/>
          <w:sz w:val="18"/>
          <w:szCs w:val="18"/>
        </w:rPr>
        <w:t xml:space="preserve">Smith, C., Peach, E. K., &amp; Cording, J. (2019). ‘The impact of multiple disadvantage on subjective wellbeing: NZ families.’ Ministry of Social Development. </w:t>
      </w:r>
      <w:hyperlink r:id="rId97" w:history="1">
        <w:r w:rsidRPr="00711FE4">
          <w:rPr>
            <w:rFonts w:ascii="Arial" w:hAnsi="Arial"/>
            <w:color w:val="0000FF"/>
            <w:sz w:val="18"/>
            <w:szCs w:val="18"/>
            <w:u w:val="single"/>
          </w:rPr>
          <w:t>https://www.msd.govt.nz/documents/about-msd-and-our-work/publications-resources/research/impact-of-multiple-disadvantage/the-impact-of-multiple-disadvantage-on-subjective-wellbeing.pdf</w:t>
        </w:r>
      </w:hyperlink>
    </w:p>
    <w:p w14:paraId="1C996A0D" w14:textId="77777777" w:rsidR="00711FE4" w:rsidRPr="00711FE4" w:rsidRDefault="00711FE4" w:rsidP="00711FE4">
      <w:pPr>
        <w:widowControl w:val="0"/>
        <w:autoSpaceDE w:val="0"/>
        <w:autoSpaceDN w:val="0"/>
        <w:adjustRightInd w:val="0"/>
        <w:spacing w:after="0" w:line="240" w:lineRule="auto"/>
        <w:ind w:left="720" w:hanging="720"/>
        <w:rPr>
          <w:rFonts w:ascii="Arial" w:hAnsi="Arial"/>
          <w:sz w:val="18"/>
          <w:szCs w:val="20"/>
        </w:rPr>
      </w:pPr>
      <w:r w:rsidRPr="00711FE4">
        <w:rPr>
          <w:rFonts w:ascii="Arial" w:hAnsi="Arial"/>
          <w:sz w:val="18"/>
          <w:szCs w:val="18"/>
        </w:rPr>
        <w:t>Statistics New Zealand (2025).</w:t>
      </w:r>
      <w:r w:rsidRPr="00711FE4">
        <w:rPr>
          <w:rFonts w:ascii="Arial" w:hAnsi="Arial"/>
          <w:sz w:val="18"/>
          <w:szCs w:val="20"/>
        </w:rPr>
        <w:t xml:space="preserve"> ‘Child Poverty Statistics: Year ended June 2024’. Available at:</w:t>
      </w:r>
    </w:p>
    <w:p w14:paraId="44863576" w14:textId="77777777" w:rsidR="00711FE4" w:rsidRPr="00711FE4" w:rsidRDefault="00711FE4" w:rsidP="00711FE4">
      <w:pPr>
        <w:widowControl w:val="0"/>
        <w:autoSpaceDE w:val="0"/>
        <w:autoSpaceDN w:val="0"/>
        <w:adjustRightInd w:val="0"/>
        <w:spacing w:after="180" w:line="240" w:lineRule="auto"/>
        <w:ind w:left="720"/>
        <w:rPr>
          <w:sz w:val="18"/>
          <w:szCs w:val="20"/>
        </w:rPr>
      </w:pPr>
      <w:hyperlink r:id="rId98" w:history="1">
        <w:r w:rsidRPr="00711FE4">
          <w:rPr>
            <w:rFonts w:ascii="Arial" w:hAnsi="Arial"/>
            <w:color w:val="0000FF"/>
            <w:sz w:val="18"/>
            <w:szCs w:val="18"/>
            <w:u w:val="single"/>
          </w:rPr>
          <w:t>https://www.stats.govt.nz/information-releases/child-poverty-statistics-year-ended-june-2024/</w:t>
        </w:r>
      </w:hyperlink>
      <w:r w:rsidRPr="00711FE4">
        <w:rPr>
          <w:rFonts w:ascii="Arial" w:hAnsi="Arial"/>
          <w:sz w:val="18"/>
          <w:szCs w:val="18"/>
        </w:rPr>
        <w:t xml:space="preserve"> </w:t>
      </w:r>
    </w:p>
    <w:p w14:paraId="6BBDC74E" w14:textId="77777777" w:rsidR="00711FE4" w:rsidRPr="00711FE4" w:rsidRDefault="00711FE4" w:rsidP="00711FE4">
      <w:pPr>
        <w:widowControl w:val="0"/>
        <w:autoSpaceDE w:val="0"/>
        <w:autoSpaceDN w:val="0"/>
        <w:adjustRightInd w:val="0"/>
        <w:spacing w:after="180" w:line="240" w:lineRule="auto"/>
        <w:ind w:left="720" w:hanging="720"/>
        <w:rPr>
          <w:rFonts w:ascii="Arial" w:hAnsi="Arial"/>
          <w:sz w:val="18"/>
          <w:szCs w:val="18"/>
        </w:rPr>
      </w:pPr>
      <w:r w:rsidRPr="00711FE4">
        <w:rPr>
          <w:rFonts w:ascii="Arial" w:hAnsi="Arial"/>
          <w:sz w:val="18"/>
          <w:szCs w:val="18"/>
        </w:rPr>
        <w:t xml:space="preserve">Stephens, M. (2022), ‘Insights from New Zealand child poverty data’, Treasury Analytical Note 22/04, Wellington. </w:t>
      </w:r>
      <w:hyperlink r:id="rId99" w:history="1">
        <w:r w:rsidRPr="00711FE4">
          <w:rPr>
            <w:rFonts w:ascii="Arial" w:hAnsi="Arial"/>
            <w:color w:val="0000FF"/>
            <w:sz w:val="18"/>
            <w:szCs w:val="18"/>
            <w:u w:val="single"/>
          </w:rPr>
          <w:t>https://www.treasury.govt.nz/sites/default/files/2022-09/an22-04.pdf</w:t>
        </w:r>
      </w:hyperlink>
      <w:r w:rsidRPr="00711FE4">
        <w:rPr>
          <w:rFonts w:ascii="Arial" w:hAnsi="Arial"/>
          <w:sz w:val="18"/>
          <w:szCs w:val="18"/>
        </w:rPr>
        <w:t xml:space="preserve"> </w:t>
      </w:r>
    </w:p>
    <w:p w14:paraId="6A93FA90" w14:textId="77777777" w:rsidR="00711FE4" w:rsidRPr="00711FE4" w:rsidRDefault="00711FE4" w:rsidP="00711FE4">
      <w:pPr>
        <w:widowControl w:val="0"/>
        <w:autoSpaceDE w:val="0"/>
        <w:autoSpaceDN w:val="0"/>
        <w:adjustRightInd w:val="0"/>
        <w:spacing w:after="180" w:line="240" w:lineRule="auto"/>
        <w:ind w:left="720" w:hanging="720"/>
        <w:rPr>
          <w:rFonts w:ascii="Arial" w:hAnsi="Arial"/>
          <w:color w:val="000000" w:themeColor="text1"/>
          <w:sz w:val="18"/>
          <w:szCs w:val="18"/>
          <w:shd w:val="clear" w:color="auto" w:fill="FFFFFF"/>
        </w:rPr>
      </w:pPr>
      <w:r w:rsidRPr="00711FE4">
        <w:rPr>
          <w:rFonts w:ascii="Arial" w:hAnsi="Arial"/>
          <w:color w:val="000000" w:themeColor="text1"/>
          <w:sz w:val="18"/>
          <w:szCs w:val="18"/>
          <w:shd w:val="clear" w:color="auto" w:fill="FFFFFF"/>
        </w:rPr>
        <w:lastRenderedPageBreak/>
        <w:t xml:space="preserve">Stephens, R. &amp; Waldegrave C (2001), ‘The effectiveness of the transfer and tax system in reducing poverty in 1998’, </w:t>
      </w:r>
      <w:r w:rsidRPr="00711FE4">
        <w:rPr>
          <w:rFonts w:ascii="Arial" w:hAnsi="Arial"/>
          <w:i/>
          <w:iCs/>
          <w:color w:val="000000" w:themeColor="text1"/>
          <w:sz w:val="18"/>
          <w:szCs w:val="18"/>
          <w:shd w:val="clear" w:color="auto" w:fill="FFFFFF"/>
        </w:rPr>
        <w:t>Social Policy Journal of New Zealand</w:t>
      </w:r>
      <w:r w:rsidRPr="00711FE4">
        <w:rPr>
          <w:rFonts w:ascii="Arial" w:hAnsi="Arial"/>
          <w:color w:val="000000" w:themeColor="text1"/>
          <w:sz w:val="18"/>
          <w:szCs w:val="18"/>
          <w:shd w:val="clear" w:color="auto" w:fill="FFFFFF"/>
        </w:rPr>
        <w:t>, Issue 16.</w:t>
      </w:r>
    </w:p>
    <w:p w14:paraId="4A0050A3" w14:textId="77777777" w:rsidR="00711FE4" w:rsidRPr="00711FE4" w:rsidRDefault="00711FE4" w:rsidP="00711FE4">
      <w:pPr>
        <w:widowControl w:val="0"/>
        <w:autoSpaceDE w:val="0"/>
        <w:autoSpaceDN w:val="0"/>
        <w:adjustRightInd w:val="0"/>
        <w:spacing w:after="180" w:line="240" w:lineRule="auto"/>
        <w:ind w:left="720" w:hanging="720"/>
        <w:rPr>
          <w:rFonts w:ascii="Arial" w:hAnsi="Arial"/>
          <w:color w:val="000000"/>
          <w:sz w:val="18"/>
          <w:szCs w:val="18"/>
        </w:rPr>
      </w:pPr>
      <w:r w:rsidRPr="00711FE4">
        <w:rPr>
          <w:rFonts w:ascii="Arial" w:hAnsi="Arial"/>
          <w:color w:val="000000"/>
          <w:sz w:val="18"/>
          <w:szCs w:val="18"/>
        </w:rPr>
        <w:t xml:space="preserve">Superu (2017), </w:t>
      </w:r>
      <w:r w:rsidRPr="00711FE4">
        <w:rPr>
          <w:rFonts w:ascii="Arial" w:hAnsi="Arial"/>
          <w:i/>
          <w:iCs/>
          <w:color w:val="000000"/>
          <w:sz w:val="18"/>
          <w:szCs w:val="18"/>
        </w:rPr>
        <w:t>Patterns of multiple disadvantage across New Zealand families</w:t>
      </w:r>
      <w:r w:rsidRPr="00711FE4">
        <w:rPr>
          <w:rFonts w:ascii="Arial" w:hAnsi="Arial"/>
          <w:color w:val="000000"/>
          <w:sz w:val="18"/>
          <w:szCs w:val="18"/>
        </w:rPr>
        <w:t>, Social Policy Evaluation and Research Unit, Wellington.</w:t>
      </w:r>
    </w:p>
    <w:p w14:paraId="09224D64" w14:textId="77777777" w:rsidR="00711FE4" w:rsidRPr="00711FE4" w:rsidRDefault="00711FE4" w:rsidP="00711FE4">
      <w:pPr>
        <w:widowControl w:val="0"/>
        <w:autoSpaceDE w:val="0"/>
        <w:autoSpaceDN w:val="0"/>
        <w:adjustRightInd w:val="0"/>
        <w:spacing w:after="180" w:line="240" w:lineRule="auto"/>
        <w:ind w:left="720" w:hanging="720"/>
        <w:rPr>
          <w:rFonts w:ascii="Arial" w:eastAsia="Times New Roman" w:hAnsi="Arial"/>
          <w:color w:val="000000" w:themeColor="text1"/>
          <w:sz w:val="18"/>
          <w:szCs w:val="18"/>
          <w:lang w:val="en-GB"/>
        </w:rPr>
      </w:pPr>
      <w:r w:rsidRPr="00711FE4">
        <w:rPr>
          <w:rFonts w:ascii="Arial" w:eastAsia="Times New Roman" w:hAnsi="Arial"/>
          <w:color w:val="000000" w:themeColor="text1"/>
          <w:sz w:val="18"/>
          <w:szCs w:val="18"/>
          <w:lang w:val="en-GB"/>
        </w:rPr>
        <w:t xml:space="preserve">Tomlinson, M. &amp; Walker, R. (2009), </w:t>
      </w:r>
      <w:r w:rsidRPr="00711FE4">
        <w:rPr>
          <w:rFonts w:ascii="Arial" w:eastAsia="Times New Roman" w:hAnsi="Arial"/>
          <w:i/>
          <w:color w:val="000000" w:themeColor="text1"/>
          <w:sz w:val="18"/>
          <w:szCs w:val="18"/>
          <w:lang w:val="en-GB"/>
        </w:rPr>
        <w:t>‘Coping with Complexity: Child and Adult Poverty.’</w:t>
      </w:r>
      <w:r w:rsidRPr="00711FE4">
        <w:rPr>
          <w:rFonts w:ascii="Arial" w:eastAsia="Times New Roman" w:hAnsi="Arial"/>
          <w:color w:val="000000" w:themeColor="text1"/>
          <w:sz w:val="18"/>
          <w:szCs w:val="18"/>
          <w:lang w:val="en-GB"/>
        </w:rPr>
        <w:t xml:space="preserve"> London: Child Poverty Action Group.</w:t>
      </w:r>
    </w:p>
    <w:p w14:paraId="03FFB672" w14:textId="77777777" w:rsidR="00711FE4" w:rsidRPr="00711FE4" w:rsidRDefault="00711FE4" w:rsidP="00711FE4">
      <w:pPr>
        <w:widowControl w:val="0"/>
        <w:autoSpaceDE w:val="0"/>
        <w:autoSpaceDN w:val="0"/>
        <w:adjustRightInd w:val="0"/>
        <w:spacing w:after="180" w:line="240" w:lineRule="auto"/>
        <w:ind w:left="720" w:hanging="720"/>
        <w:rPr>
          <w:rFonts w:ascii="Arial" w:hAnsi="Arial"/>
          <w:color w:val="000000" w:themeColor="text1"/>
          <w:sz w:val="18"/>
          <w:szCs w:val="18"/>
          <w:lang w:eastAsia="en-NZ"/>
        </w:rPr>
      </w:pPr>
      <w:r w:rsidRPr="00711FE4">
        <w:rPr>
          <w:rFonts w:ascii="Arial" w:hAnsi="Arial"/>
          <w:color w:val="000000" w:themeColor="text1"/>
          <w:sz w:val="18"/>
          <w:szCs w:val="18"/>
          <w:lang w:eastAsia="en-NZ"/>
        </w:rPr>
        <w:t xml:space="preserve">Vera-Toscano, E &amp; Wilkins, R. (2022). ‘The Dynamics of Income Poverty in Australia: Evidence from the HILDA Survey, 2001 to 2019.’ Melbourne Institute: Applied Economic &amp; Social Research, The University of Melbourne. </w:t>
      </w:r>
    </w:p>
    <w:p w14:paraId="0406E0F9" w14:textId="77777777" w:rsidR="00711FE4" w:rsidRPr="00EA43C3" w:rsidRDefault="00711FE4" w:rsidP="00711FE4">
      <w:pPr>
        <w:widowControl w:val="0"/>
        <w:autoSpaceDE w:val="0"/>
        <w:autoSpaceDN w:val="0"/>
        <w:adjustRightInd w:val="0"/>
        <w:spacing w:after="180" w:line="240" w:lineRule="auto"/>
        <w:ind w:left="720" w:hanging="720"/>
        <w:rPr>
          <w:rFonts w:ascii="Arial" w:hAnsi="Arial"/>
          <w:color w:val="0D0D0D" w:themeColor="text1" w:themeTint="F2"/>
          <w:sz w:val="18"/>
          <w:szCs w:val="18"/>
          <w:shd w:val="clear" w:color="auto" w:fill="FFFFFF"/>
        </w:rPr>
      </w:pPr>
      <w:r w:rsidRPr="00EA43C3">
        <w:rPr>
          <w:rFonts w:ascii="Arial" w:hAnsi="Arial"/>
          <w:color w:val="0D0D0D" w:themeColor="text1" w:themeTint="F2"/>
          <w:sz w:val="18"/>
          <w:szCs w:val="18"/>
          <w:shd w:val="clear" w:color="auto" w:fill="FFFFFF"/>
        </w:rPr>
        <w:t>Whelan, C., Layte, R. &amp; Maître, B. (2004). ‘Understanding the mismatch between income poverty</w:t>
      </w:r>
      <w:r w:rsidRPr="00EA43C3">
        <w:rPr>
          <w:rFonts w:ascii="Arial" w:hAnsi="Arial"/>
          <w:color w:val="0D0D0D" w:themeColor="text1" w:themeTint="F2"/>
          <w:sz w:val="18"/>
          <w:szCs w:val="18"/>
          <w:lang w:eastAsia="en-NZ"/>
        </w:rPr>
        <w:t xml:space="preserve"> </w:t>
      </w:r>
      <w:r w:rsidRPr="00EA43C3">
        <w:rPr>
          <w:rFonts w:ascii="Arial" w:hAnsi="Arial"/>
          <w:color w:val="0D0D0D" w:themeColor="text1" w:themeTint="F2"/>
          <w:sz w:val="18"/>
          <w:szCs w:val="18"/>
          <w:shd w:val="clear" w:color="auto" w:fill="FFFFFF"/>
        </w:rPr>
        <w:t xml:space="preserve">and deprivation: a dynamic comparative analysis.’ </w:t>
      </w:r>
      <w:r w:rsidRPr="00EA43C3">
        <w:rPr>
          <w:rFonts w:ascii="Arial" w:hAnsi="Arial"/>
          <w:i/>
          <w:iCs/>
          <w:color w:val="0D0D0D" w:themeColor="text1" w:themeTint="F2"/>
          <w:sz w:val="18"/>
          <w:szCs w:val="18"/>
          <w:shd w:val="clear" w:color="auto" w:fill="FFFFFF"/>
        </w:rPr>
        <w:t>European Sociological Review, 20</w:t>
      </w:r>
      <w:r w:rsidRPr="00EA43C3">
        <w:rPr>
          <w:rFonts w:ascii="Arial" w:hAnsi="Arial"/>
          <w:color w:val="0D0D0D" w:themeColor="text1" w:themeTint="F2"/>
          <w:sz w:val="18"/>
          <w:szCs w:val="18"/>
          <w:shd w:val="clear" w:color="auto" w:fill="FFFFFF"/>
        </w:rPr>
        <w:t>(4), 287-302</w:t>
      </w:r>
    </w:p>
    <w:p w14:paraId="16F174B8" w14:textId="77777777" w:rsidR="00711FE4" w:rsidRPr="00711FE4" w:rsidRDefault="00711FE4" w:rsidP="00711FE4">
      <w:pPr>
        <w:widowControl w:val="0"/>
        <w:autoSpaceDE w:val="0"/>
        <w:autoSpaceDN w:val="0"/>
        <w:adjustRightInd w:val="0"/>
        <w:spacing w:after="0" w:line="240" w:lineRule="auto"/>
        <w:ind w:left="720" w:hanging="720"/>
        <w:rPr>
          <w:rFonts w:ascii="Arial" w:hAnsi="Arial"/>
          <w:color w:val="333333"/>
          <w:sz w:val="18"/>
          <w:szCs w:val="20"/>
          <w:shd w:val="clear" w:color="auto" w:fill="FFFFFF"/>
        </w:rPr>
      </w:pPr>
      <w:r w:rsidRPr="00711FE4">
        <w:rPr>
          <w:rFonts w:ascii="Arial" w:hAnsi="Arial"/>
          <w:color w:val="333333"/>
          <w:sz w:val="18"/>
          <w:szCs w:val="20"/>
          <w:shd w:val="clear" w:color="auto" w:fill="FFFFFF"/>
        </w:rPr>
        <w:t xml:space="preserve">Whelan, C., &amp; Maître, B. (2010). ‘Welfare Regime and Social Class Variation in Poverty and Economic Vulnerability in Europe: An Analysis of EU-SILC’. </w:t>
      </w:r>
      <w:r w:rsidRPr="00711FE4">
        <w:rPr>
          <w:rFonts w:ascii="Arial" w:hAnsi="Arial"/>
          <w:i/>
          <w:iCs/>
          <w:color w:val="333333"/>
          <w:sz w:val="18"/>
          <w:szCs w:val="20"/>
          <w:shd w:val="clear" w:color="auto" w:fill="FFFFFF"/>
        </w:rPr>
        <w:t>Journal of European Social Policy, 20(4),316-332.</w:t>
      </w:r>
      <w:r w:rsidRPr="00711FE4">
        <w:rPr>
          <w:rFonts w:ascii="Arial" w:hAnsi="Arial"/>
          <w:color w:val="333333"/>
          <w:sz w:val="18"/>
          <w:szCs w:val="20"/>
          <w:shd w:val="clear" w:color="auto" w:fill="FFFFFF"/>
        </w:rPr>
        <w:t xml:space="preserve"> </w:t>
      </w:r>
    </w:p>
    <w:p w14:paraId="48177C87" w14:textId="77777777" w:rsidR="00711FE4" w:rsidRPr="00711FE4" w:rsidRDefault="00711FE4" w:rsidP="00711FE4">
      <w:pPr>
        <w:widowControl w:val="0"/>
        <w:autoSpaceDE w:val="0"/>
        <w:autoSpaceDN w:val="0"/>
        <w:adjustRightInd w:val="0"/>
        <w:spacing w:after="180" w:line="240" w:lineRule="auto"/>
        <w:ind w:left="720"/>
        <w:rPr>
          <w:rFonts w:ascii="Arial" w:hAnsi="Arial"/>
          <w:color w:val="333333"/>
          <w:sz w:val="18"/>
          <w:szCs w:val="20"/>
          <w:shd w:val="clear" w:color="auto" w:fill="FFFFFF"/>
        </w:rPr>
      </w:pPr>
      <w:hyperlink r:id="rId100" w:history="1">
        <w:r w:rsidRPr="00711FE4">
          <w:rPr>
            <w:rFonts w:ascii="Arial" w:hAnsi="Arial"/>
            <w:color w:val="0000FF"/>
            <w:sz w:val="18"/>
            <w:szCs w:val="20"/>
            <w:u w:val="single"/>
            <w:shd w:val="clear" w:color="auto" w:fill="FFFFFF"/>
          </w:rPr>
          <w:t>http://dx.doi.org/10.1177/0958928710374378</w:t>
        </w:r>
      </w:hyperlink>
      <w:r w:rsidRPr="00711FE4">
        <w:rPr>
          <w:rFonts w:ascii="Arial" w:hAnsi="Arial"/>
          <w:color w:val="333333"/>
          <w:sz w:val="18"/>
          <w:szCs w:val="20"/>
          <w:shd w:val="clear" w:color="auto" w:fill="FFFFFF"/>
        </w:rPr>
        <w:t xml:space="preserve"> </w:t>
      </w:r>
    </w:p>
    <w:p w14:paraId="48111E09" w14:textId="48358AC2" w:rsidR="00711FE4" w:rsidRPr="009B131E" w:rsidRDefault="00711FE4" w:rsidP="00711FE4">
      <w:pPr>
        <w:widowControl w:val="0"/>
        <w:autoSpaceDE w:val="0"/>
        <w:autoSpaceDN w:val="0"/>
        <w:adjustRightInd w:val="0"/>
        <w:spacing w:after="180" w:line="240" w:lineRule="auto"/>
        <w:ind w:left="720" w:hanging="720"/>
        <w:rPr>
          <w:rFonts w:ascii="Arial" w:hAnsi="Arial"/>
          <w:i/>
          <w:iCs/>
          <w:color w:val="000000" w:themeColor="text1"/>
          <w:sz w:val="18"/>
          <w:szCs w:val="18"/>
          <w:shd w:val="clear" w:color="auto" w:fill="FFFFFF"/>
        </w:rPr>
      </w:pPr>
      <w:r w:rsidRPr="009B131E">
        <w:rPr>
          <w:rFonts w:ascii="Arial" w:hAnsi="Arial"/>
          <w:color w:val="000000" w:themeColor="text1"/>
          <w:sz w:val="18"/>
          <w:szCs w:val="18"/>
          <w:shd w:val="clear" w:color="auto" w:fill="FFFFFF"/>
        </w:rPr>
        <w:t>Whelan, C. &amp; Maître, B. (2012</w:t>
      </w:r>
      <w:r w:rsidR="00830C75" w:rsidRPr="009B131E">
        <w:rPr>
          <w:rFonts w:ascii="Arial" w:hAnsi="Arial"/>
          <w:color w:val="000000" w:themeColor="text1"/>
          <w:sz w:val="18"/>
          <w:szCs w:val="18"/>
          <w:shd w:val="clear" w:color="auto" w:fill="FFFFFF"/>
        </w:rPr>
        <w:t>a</w:t>
      </w:r>
      <w:r w:rsidRPr="009B131E">
        <w:rPr>
          <w:rFonts w:ascii="Arial" w:hAnsi="Arial"/>
          <w:color w:val="000000" w:themeColor="text1"/>
          <w:sz w:val="18"/>
          <w:szCs w:val="18"/>
          <w:shd w:val="clear" w:color="auto" w:fill="FFFFFF"/>
        </w:rPr>
        <w:t xml:space="preserve">). </w:t>
      </w:r>
      <w:r w:rsidRPr="009B131E">
        <w:rPr>
          <w:rFonts w:ascii="Arial" w:hAnsi="Arial"/>
          <w:i/>
          <w:iCs/>
          <w:color w:val="000000" w:themeColor="text1"/>
          <w:sz w:val="18"/>
          <w:szCs w:val="18"/>
          <w:shd w:val="clear" w:color="auto" w:fill="FFFFFF"/>
        </w:rPr>
        <w:t xml:space="preserve">Material deprivation, economic stress and reference groups in Europe: An analysis of EU-SILC 2009 </w:t>
      </w:r>
      <w:r w:rsidRPr="009B131E">
        <w:rPr>
          <w:rFonts w:ascii="Arial" w:hAnsi="Arial"/>
          <w:color w:val="000000" w:themeColor="text1"/>
          <w:sz w:val="18"/>
          <w:szCs w:val="18"/>
          <w:shd w:val="clear" w:color="auto" w:fill="FFFFFF"/>
        </w:rPr>
        <w:t>(AIAS Amsterdam, GINI Discussion Paper).</w:t>
      </w:r>
    </w:p>
    <w:p w14:paraId="53BA14B0" w14:textId="1322A0BA" w:rsidR="00711FE4" w:rsidRPr="009B131E" w:rsidRDefault="00711FE4" w:rsidP="00711FE4">
      <w:pPr>
        <w:widowControl w:val="0"/>
        <w:autoSpaceDE w:val="0"/>
        <w:autoSpaceDN w:val="0"/>
        <w:adjustRightInd w:val="0"/>
        <w:spacing w:after="180" w:line="240" w:lineRule="auto"/>
        <w:ind w:left="720" w:hanging="720"/>
        <w:rPr>
          <w:rFonts w:ascii="Arial" w:hAnsi="Arial"/>
          <w:color w:val="000000" w:themeColor="text1"/>
          <w:sz w:val="18"/>
          <w:szCs w:val="18"/>
          <w:shd w:val="clear" w:color="auto" w:fill="FFFFFF"/>
        </w:rPr>
      </w:pPr>
      <w:r w:rsidRPr="009B131E">
        <w:rPr>
          <w:rFonts w:ascii="Arial" w:hAnsi="Arial"/>
          <w:color w:val="000000" w:themeColor="text1"/>
          <w:sz w:val="18"/>
          <w:szCs w:val="18"/>
          <w:shd w:val="clear" w:color="auto" w:fill="FFFFFF"/>
        </w:rPr>
        <w:t>Whelan, C. &amp; Maître, B. (2012</w:t>
      </w:r>
      <w:r w:rsidR="00830C75" w:rsidRPr="009B131E">
        <w:rPr>
          <w:rFonts w:ascii="Arial" w:hAnsi="Arial"/>
          <w:color w:val="000000" w:themeColor="text1"/>
          <w:sz w:val="18"/>
          <w:szCs w:val="18"/>
          <w:shd w:val="clear" w:color="auto" w:fill="FFFFFF"/>
        </w:rPr>
        <w:t>b</w:t>
      </w:r>
      <w:r w:rsidRPr="009B131E">
        <w:rPr>
          <w:rFonts w:ascii="Arial" w:hAnsi="Arial"/>
          <w:color w:val="000000" w:themeColor="text1"/>
          <w:sz w:val="18"/>
          <w:szCs w:val="18"/>
          <w:shd w:val="clear" w:color="auto" w:fill="FFFFFF"/>
        </w:rPr>
        <w:t>). ‘Understanding material deprivation: A comparative European</w:t>
      </w:r>
      <w:r w:rsidRPr="009B131E">
        <w:rPr>
          <w:rFonts w:ascii="Arial" w:hAnsi="Arial"/>
          <w:color w:val="000000" w:themeColor="text1"/>
          <w:sz w:val="18"/>
          <w:szCs w:val="18"/>
          <w:lang w:eastAsia="en-NZ"/>
        </w:rPr>
        <w:t xml:space="preserve"> </w:t>
      </w:r>
      <w:r w:rsidRPr="009B131E">
        <w:rPr>
          <w:rFonts w:ascii="Arial" w:hAnsi="Arial"/>
          <w:color w:val="000000" w:themeColor="text1"/>
          <w:sz w:val="18"/>
          <w:szCs w:val="18"/>
          <w:shd w:val="clear" w:color="auto" w:fill="FFFFFF"/>
        </w:rPr>
        <w:t xml:space="preserve">analysis.’ </w:t>
      </w:r>
      <w:r w:rsidRPr="009B131E">
        <w:rPr>
          <w:rFonts w:ascii="Arial" w:hAnsi="Arial"/>
          <w:i/>
          <w:iCs/>
          <w:color w:val="000000" w:themeColor="text1"/>
          <w:sz w:val="18"/>
          <w:szCs w:val="18"/>
          <w:shd w:val="clear" w:color="auto" w:fill="FFFFFF"/>
        </w:rPr>
        <w:t>Research in Social Stratification and Mobility, 30</w:t>
      </w:r>
      <w:r w:rsidRPr="009B131E">
        <w:rPr>
          <w:rFonts w:ascii="Arial" w:hAnsi="Arial"/>
          <w:color w:val="000000" w:themeColor="text1"/>
          <w:sz w:val="18"/>
          <w:szCs w:val="18"/>
          <w:shd w:val="clear" w:color="auto" w:fill="FFFFFF"/>
        </w:rPr>
        <w:t>(4), 489-503.</w:t>
      </w:r>
      <w:r w:rsidR="00830C75" w:rsidRPr="009B131E">
        <w:rPr>
          <w:rFonts w:ascii="Arial" w:hAnsi="Arial"/>
          <w:color w:val="000000" w:themeColor="text1"/>
          <w:sz w:val="18"/>
          <w:szCs w:val="18"/>
          <w:shd w:val="clear" w:color="auto" w:fill="FFFFFF"/>
        </w:rPr>
        <w:t xml:space="preserve"> </w:t>
      </w:r>
      <w:hyperlink r:id="rId101" w:history="1">
        <w:r w:rsidR="00864DAB" w:rsidRPr="009B131E">
          <w:rPr>
            <w:rStyle w:val="Hyperlink"/>
            <w:rFonts w:ascii="Arial" w:hAnsi="Arial"/>
            <w:sz w:val="18"/>
            <w:szCs w:val="18"/>
            <w:shd w:val="clear" w:color="auto" w:fill="FFFFFF"/>
          </w:rPr>
          <w:t>https://www.sciencedirect.com/science/article/abs/pii/S0276562412000261?via%3Dihub</w:t>
        </w:r>
      </w:hyperlink>
    </w:p>
    <w:p w14:paraId="36AEE7B0" w14:textId="2F5D13F7" w:rsidR="00B312F0" w:rsidRPr="009B131E" w:rsidRDefault="00B312F0" w:rsidP="00711FE4">
      <w:pPr>
        <w:widowControl w:val="0"/>
        <w:autoSpaceDE w:val="0"/>
        <w:autoSpaceDN w:val="0"/>
        <w:adjustRightInd w:val="0"/>
        <w:spacing w:after="180" w:line="240" w:lineRule="auto"/>
        <w:ind w:left="720" w:hanging="720"/>
        <w:rPr>
          <w:rFonts w:ascii="Arial" w:hAnsi="Arial"/>
          <w:color w:val="000000" w:themeColor="text1"/>
          <w:sz w:val="18"/>
          <w:szCs w:val="18"/>
          <w:shd w:val="clear" w:color="auto" w:fill="FFFFFF"/>
        </w:rPr>
      </w:pPr>
      <w:r w:rsidRPr="009B131E">
        <w:rPr>
          <w:rFonts w:ascii="Arial" w:hAnsi="Arial"/>
          <w:color w:val="000000" w:themeColor="text1"/>
          <w:sz w:val="18"/>
          <w:szCs w:val="18"/>
          <w:shd w:val="clear" w:color="auto" w:fill="FFFFFF"/>
        </w:rPr>
        <w:t>Wilkins, R.,Vera-Toscano, E., Botha, F. &amp;. Dahmann, S. (2021). The Household, Income and Labour Dynamics in Australia Survey: Selected Findings from Waves 1 to 19. Melbourne Institute: Applied Economic &amp; Social Research, the University of Melbourne.</w:t>
      </w:r>
    </w:p>
    <w:p w14:paraId="1BEB1D30" w14:textId="262B1444" w:rsidR="00711FE4" w:rsidRPr="00276500" w:rsidRDefault="00711FE4" w:rsidP="00711FE4">
      <w:pPr>
        <w:widowControl w:val="0"/>
        <w:autoSpaceDE w:val="0"/>
        <w:autoSpaceDN w:val="0"/>
        <w:adjustRightInd w:val="0"/>
        <w:spacing w:after="180" w:line="240" w:lineRule="auto"/>
        <w:ind w:left="720" w:hanging="720"/>
        <w:rPr>
          <w:rFonts w:ascii="Arial" w:hAnsi="Arial"/>
          <w:color w:val="000000" w:themeColor="text1"/>
          <w:sz w:val="18"/>
          <w:szCs w:val="18"/>
          <w:lang w:eastAsia="en-NZ"/>
        </w:rPr>
      </w:pPr>
      <w:r w:rsidRPr="00276500">
        <w:rPr>
          <w:rFonts w:ascii="Arial" w:hAnsi="Arial"/>
          <w:sz w:val="18"/>
          <w:szCs w:val="18"/>
          <w:shd w:val="clear" w:color="auto" w:fill="FFFFFF"/>
        </w:rPr>
        <w:t xml:space="preserve">Wilson, M. &amp; McLeod, K. (2025). </w:t>
      </w:r>
      <w:r w:rsidRPr="00276500">
        <w:rPr>
          <w:rFonts w:ascii="Arial" w:hAnsi="Arial"/>
          <w:i/>
          <w:iCs/>
          <w:sz w:val="18"/>
          <w:szCs w:val="18"/>
          <w:shd w:val="clear" w:color="auto" w:fill="FFFFFF"/>
        </w:rPr>
        <w:t>Material hardship of children in households with a disabled person.</w:t>
      </w:r>
      <w:r w:rsidRPr="00276500">
        <w:rPr>
          <w:rFonts w:ascii="Arial" w:hAnsi="Arial"/>
          <w:sz w:val="18"/>
          <w:szCs w:val="18"/>
          <w:shd w:val="clear" w:color="auto" w:fill="FFFFFF"/>
        </w:rPr>
        <w:t xml:space="preserve"> Wellington: Ministry of Social Development.</w:t>
      </w:r>
      <w:r w:rsidR="006B1B17">
        <w:rPr>
          <w:rFonts w:ascii="Arial" w:hAnsi="Arial"/>
          <w:sz w:val="18"/>
          <w:szCs w:val="18"/>
          <w:shd w:val="clear" w:color="auto" w:fill="FFFFFF"/>
        </w:rPr>
        <w:t xml:space="preserve"> </w:t>
      </w:r>
      <w:hyperlink r:id="rId102" w:history="1">
        <w:r w:rsidR="006B1B17" w:rsidRPr="004D3673">
          <w:rPr>
            <w:rStyle w:val="Hyperlink"/>
            <w:rFonts w:ascii="Arial" w:hAnsi="Arial"/>
            <w:sz w:val="18"/>
            <w:szCs w:val="18"/>
            <w:shd w:val="clear" w:color="auto" w:fill="FFFFFF"/>
          </w:rPr>
          <w:t>https://www.msd.govt.nz/about-msd-and-our-work/publications-resources/research/findings/material-hardship-of-children-in-households-with-a-disabled-person.html</w:t>
        </w:r>
      </w:hyperlink>
      <w:r w:rsidR="006B1B17">
        <w:rPr>
          <w:rFonts w:ascii="Arial" w:hAnsi="Arial"/>
          <w:sz w:val="18"/>
          <w:szCs w:val="18"/>
          <w:shd w:val="clear" w:color="auto" w:fill="FFFFFF"/>
        </w:rPr>
        <w:t xml:space="preserve"> </w:t>
      </w:r>
    </w:p>
    <w:p w14:paraId="25CB6FCA" w14:textId="5AF18B8D" w:rsidR="00711FE4" w:rsidRPr="00276500" w:rsidRDefault="00711FE4" w:rsidP="00711FE4">
      <w:pPr>
        <w:spacing w:line="240" w:lineRule="auto"/>
        <w:ind w:left="720" w:hanging="720"/>
        <w:rPr>
          <w:rFonts w:ascii="Arial" w:hAnsi="Arial"/>
          <w:color w:val="000000" w:themeColor="text1"/>
          <w:sz w:val="18"/>
          <w:szCs w:val="18"/>
          <w:shd w:val="clear" w:color="auto" w:fill="FFFFFF"/>
        </w:rPr>
      </w:pPr>
      <w:r w:rsidRPr="00276500">
        <w:rPr>
          <w:rFonts w:ascii="Arial" w:hAnsi="Arial"/>
          <w:color w:val="000000" w:themeColor="text1"/>
          <w:sz w:val="18"/>
          <w:szCs w:val="18"/>
          <w:shd w:val="clear" w:color="auto" w:fill="FFFFFF"/>
        </w:rPr>
        <w:t>Wilson, M., McLeod, K. &amp; Godfrey, J. (2025). ‘Estimating the additional income needed to address higher deprivation levels of children in households with disabled people.’</w:t>
      </w:r>
      <w:r w:rsidRPr="00276500">
        <w:rPr>
          <w:rFonts w:ascii="Arial" w:hAnsi="Arial"/>
          <w:i/>
          <w:iCs/>
          <w:color w:val="000000" w:themeColor="text1"/>
          <w:sz w:val="18"/>
          <w:szCs w:val="18"/>
          <w:shd w:val="clear" w:color="auto" w:fill="FFFFFF"/>
        </w:rPr>
        <w:t xml:space="preserve"> Policy Quarterly 21 </w:t>
      </w:r>
      <w:r w:rsidRPr="00276500">
        <w:rPr>
          <w:rFonts w:ascii="Arial" w:hAnsi="Arial"/>
          <w:color w:val="000000" w:themeColor="text1"/>
          <w:sz w:val="18"/>
          <w:szCs w:val="18"/>
          <w:shd w:val="clear" w:color="auto" w:fill="FFFFFF"/>
        </w:rPr>
        <w:t>(2)</w:t>
      </w:r>
      <w:bookmarkStart w:id="25" w:name="_MailEndCompose"/>
      <w:bookmarkEnd w:id="25"/>
      <w:r w:rsidRPr="00276500">
        <w:rPr>
          <w:rFonts w:ascii="Arial" w:hAnsi="Arial"/>
          <w:color w:val="000000" w:themeColor="text1"/>
          <w:sz w:val="18"/>
          <w:szCs w:val="18"/>
          <w:shd w:val="clear" w:color="auto" w:fill="FFFFFF"/>
        </w:rPr>
        <w:t>, 57-67.</w:t>
      </w:r>
      <w:r w:rsidRPr="00276500">
        <w:rPr>
          <w:rFonts w:ascii="Arial" w:hAnsi="Arial"/>
          <w:i/>
          <w:iCs/>
          <w:color w:val="000000" w:themeColor="text1"/>
          <w:sz w:val="18"/>
          <w:szCs w:val="18"/>
          <w:shd w:val="clear" w:color="auto" w:fill="FFFFFF"/>
        </w:rPr>
        <w:t xml:space="preserve"> </w:t>
      </w:r>
      <w:r w:rsidR="006B1B17">
        <w:rPr>
          <w:rFonts w:ascii="Arial" w:hAnsi="Arial"/>
          <w:i/>
          <w:iCs/>
          <w:color w:val="000000" w:themeColor="text1"/>
          <w:sz w:val="18"/>
          <w:szCs w:val="18"/>
          <w:shd w:val="clear" w:color="auto" w:fill="FFFFFF"/>
        </w:rPr>
        <w:t xml:space="preserve"> </w:t>
      </w:r>
      <w:hyperlink r:id="rId103" w:history="1">
        <w:r w:rsidR="006B1B17" w:rsidRPr="00276500">
          <w:rPr>
            <w:rFonts w:ascii="Arial" w:hAnsi="Arial"/>
            <w:color w:val="000000" w:themeColor="text1"/>
            <w:sz w:val="18"/>
            <w:szCs w:val="18"/>
            <w:u w:val="single"/>
            <w:shd w:val="clear" w:color="auto" w:fill="FFFFFF"/>
          </w:rPr>
          <w:t>https://ojs.victoria.ac.nz/pq/issue/view/1018/109</w:t>
        </w:r>
      </w:hyperlink>
      <w:r w:rsidR="006B1B17">
        <w:rPr>
          <w:color w:val="000000" w:themeColor="text1"/>
        </w:rPr>
        <w:t xml:space="preserve"> </w:t>
      </w:r>
    </w:p>
    <w:p w14:paraId="088C5873" w14:textId="77777777" w:rsidR="00711FE4" w:rsidRPr="00711FE4" w:rsidRDefault="00711FE4" w:rsidP="00711FE4">
      <w:pPr>
        <w:spacing w:after="0" w:line="240" w:lineRule="auto"/>
        <w:rPr>
          <w:rFonts w:ascii="Arial" w:hAnsi="Arial"/>
          <w:b/>
          <w:color w:val="0000FF"/>
          <w:sz w:val="18"/>
          <w:szCs w:val="18"/>
        </w:rPr>
      </w:pPr>
    </w:p>
    <w:p w14:paraId="0B29F2DF" w14:textId="77777777" w:rsidR="00711FE4" w:rsidRPr="00711FE4" w:rsidRDefault="00711FE4" w:rsidP="00711FE4">
      <w:pPr>
        <w:spacing w:after="0" w:line="240" w:lineRule="auto"/>
        <w:rPr>
          <w:rFonts w:ascii="Arial" w:hAnsi="Arial"/>
          <w:b/>
          <w:color w:val="000000" w:themeColor="text1"/>
          <w:sz w:val="28"/>
          <w:szCs w:val="24"/>
        </w:rPr>
      </w:pPr>
      <w:r w:rsidRPr="00711FE4">
        <w:rPr>
          <w:rFonts w:ascii="Arial" w:hAnsi="Arial"/>
          <w:b/>
          <w:color w:val="000000" w:themeColor="text1"/>
          <w:sz w:val="28"/>
          <w:szCs w:val="24"/>
        </w:rPr>
        <w:br w:type="page"/>
      </w:r>
    </w:p>
    <w:p w14:paraId="1C9738F7" w14:textId="3FA68CD5" w:rsidR="00711FE4" w:rsidRPr="00711FE4" w:rsidRDefault="00711FE4" w:rsidP="00711FE4">
      <w:pPr>
        <w:tabs>
          <w:tab w:val="right" w:pos="9026"/>
        </w:tabs>
        <w:spacing w:after="0" w:line="240" w:lineRule="auto"/>
        <w:rPr>
          <w:rFonts w:ascii="Arial" w:hAnsi="Arial"/>
          <w:color w:val="000000" w:themeColor="text1"/>
          <w:szCs w:val="20"/>
        </w:rPr>
      </w:pPr>
      <w:r w:rsidRPr="00B55800">
        <w:rPr>
          <w:rFonts w:ascii="Arial" w:hAnsi="Arial"/>
          <w:b/>
          <w:bCs/>
          <w:color w:val="000000" w:themeColor="text1"/>
          <w:sz w:val="28"/>
          <w:szCs w:val="28"/>
        </w:rPr>
        <w:lastRenderedPageBreak/>
        <w:t xml:space="preserve">Appendices </w:t>
      </w:r>
      <w:r w:rsidRPr="00711FE4">
        <w:rPr>
          <w:rFonts w:ascii="Arial" w:hAnsi="Arial"/>
          <w:b/>
          <w:bCs/>
          <w:color w:val="000000" w:themeColor="text1"/>
          <w:sz w:val="22"/>
        </w:rPr>
        <w:tab/>
      </w:r>
    </w:p>
    <w:p w14:paraId="7071174C" w14:textId="77777777" w:rsidR="00711FE4" w:rsidRPr="00711FE4" w:rsidRDefault="00711FE4" w:rsidP="00711FE4">
      <w:pPr>
        <w:tabs>
          <w:tab w:val="right" w:pos="9026"/>
        </w:tabs>
        <w:spacing w:after="0" w:line="240" w:lineRule="auto"/>
        <w:rPr>
          <w:rFonts w:ascii="Arial" w:hAnsi="Arial"/>
          <w:b/>
          <w:bCs/>
          <w:color w:val="000000" w:themeColor="text1"/>
          <w:sz w:val="22"/>
        </w:rPr>
      </w:pPr>
    </w:p>
    <w:p w14:paraId="3D97A7F6" w14:textId="77777777" w:rsidR="00711FE4" w:rsidRPr="00711FE4" w:rsidRDefault="00711FE4">
      <w:pPr>
        <w:numPr>
          <w:ilvl w:val="0"/>
          <w:numId w:val="115"/>
        </w:numPr>
        <w:spacing w:after="0" w:line="240" w:lineRule="auto"/>
        <w:rPr>
          <w:rFonts w:ascii="Arial" w:hAnsi="Arial"/>
          <w:color w:val="000000" w:themeColor="text1"/>
          <w:sz w:val="18"/>
          <w:szCs w:val="18"/>
        </w:rPr>
      </w:pPr>
      <w:r w:rsidRPr="00711FE4">
        <w:rPr>
          <w:rFonts w:ascii="Arial" w:hAnsi="Arial"/>
          <w:color w:val="000000" w:themeColor="text1"/>
          <w:sz w:val="18"/>
          <w:szCs w:val="18"/>
        </w:rPr>
        <w:t>Further information on the Data Sources for the analysis in this report: Stats NZ’s Household Economic Survey (HES) and Household Living Survey (HILS) and some associated administrative data.</w:t>
      </w:r>
    </w:p>
    <w:p w14:paraId="7E134AD3"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 xml:space="preserve">CPRA official child poverty figures from Stats NZ, 2017-18 to 2024-25. </w:t>
      </w:r>
    </w:p>
    <w:p w14:paraId="452A8547"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Composition of material hardship indices used in this report (EU-13, DEP-17/MH-18 and the MWI-24 and MWI-26), plus the child-specific items for HES 2023-24.</w:t>
      </w:r>
    </w:p>
    <w:p w14:paraId="0B47BBC1" w14:textId="77777777" w:rsidR="00711FE4" w:rsidRPr="00711FE4" w:rsidRDefault="00711FE4">
      <w:pPr>
        <w:numPr>
          <w:ilvl w:val="0"/>
          <w:numId w:val="115"/>
        </w:numPr>
        <w:spacing w:before="120" w:after="0" w:line="240" w:lineRule="auto"/>
        <w:rPr>
          <w:rFonts w:ascii="Arial" w:hAnsi="Arial"/>
          <w:bCs/>
          <w:color w:val="000000" w:themeColor="text1"/>
          <w:sz w:val="18"/>
          <w:szCs w:val="18"/>
        </w:rPr>
      </w:pPr>
      <w:r w:rsidRPr="00711FE4">
        <w:rPr>
          <w:rFonts w:ascii="Arial" w:hAnsi="Arial"/>
          <w:bCs/>
          <w:color w:val="000000" w:themeColor="text1"/>
          <w:sz w:val="18"/>
          <w:szCs w:val="18"/>
        </w:rPr>
        <w:t>Trends showing the close similarity of material hardship assessments for children using three indices (DEP-17, EU-13 and MWI)</w:t>
      </w:r>
    </w:p>
    <w:p w14:paraId="59FA8F1D" w14:textId="77777777" w:rsidR="00711FE4" w:rsidRPr="00711FE4" w:rsidRDefault="00711FE4">
      <w:pPr>
        <w:numPr>
          <w:ilvl w:val="0"/>
          <w:numId w:val="115"/>
        </w:numPr>
        <w:spacing w:before="120" w:after="0" w:line="240" w:lineRule="auto"/>
        <w:rPr>
          <w:rFonts w:ascii="Arial" w:hAnsi="Arial"/>
          <w:i/>
          <w:iCs/>
          <w:color w:val="000000" w:themeColor="text1"/>
          <w:sz w:val="18"/>
          <w:szCs w:val="18"/>
        </w:rPr>
      </w:pPr>
      <w:r w:rsidRPr="00711FE4">
        <w:rPr>
          <w:rFonts w:ascii="Arial" w:hAnsi="Arial"/>
          <w:color w:val="000000" w:themeColor="text1"/>
          <w:sz w:val="18"/>
          <w:szCs w:val="18"/>
        </w:rPr>
        <w:t>Whole population version of Table D.5.</w:t>
      </w:r>
    </w:p>
    <w:p w14:paraId="7C51279E" w14:textId="77777777" w:rsidR="00711FE4" w:rsidRPr="00711FE4" w:rsidRDefault="00711FE4">
      <w:pPr>
        <w:numPr>
          <w:ilvl w:val="0"/>
          <w:numId w:val="115"/>
        </w:numPr>
        <w:spacing w:before="120" w:after="0" w:line="240" w:lineRule="auto"/>
        <w:rPr>
          <w:rFonts w:ascii="Arial" w:hAnsi="Arial"/>
          <w:i/>
          <w:iCs/>
          <w:color w:val="000000" w:themeColor="text1"/>
          <w:sz w:val="18"/>
          <w:szCs w:val="18"/>
        </w:rPr>
      </w:pPr>
      <w:r w:rsidRPr="00711FE4">
        <w:rPr>
          <w:rFonts w:ascii="Arial" w:hAnsi="Arial"/>
          <w:color w:val="000000" w:themeColor="text1"/>
          <w:sz w:val="18"/>
          <w:szCs w:val="18"/>
        </w:rPr>
        <w:t>Sensitivity of findings to choice of 80% rather than 50% as the threshold for ‘main source’ of household income.</w:t>
      </w:r>
    </w:p>
    <w:p w14:paraId="5069E1AB" w14:textId="77777777" w:rsidR="00711FE4" w:rsidRPr="00711FE4" w:rsidRDefault="00711FE4">
      <w:pPr>
        <w:numPr>
          <w:ilvl w:val="0"/>
          <w:numId w:val="115"/>
        </w:numPr>
        <w:spacing w:before="120" w:after="0" w:line="240" w:lineRule="auto"/>
        <w:rPr>
          <w:rFonts w:ascii="Arial" w:hAnsi="Arial"/>
          <w:i/>
          <w:iCs/>
          <w:color w:val="000000" w:themeColor="text1"/>
          <w:sz w:val="18"/>
          <w:szCs w:val="18"/>
        </w:rPr>
      </w:pPr>
      <w:r w:rsidRPr="00711FE4">
        <w:rPr>
          <w:rFonts w:ascii="Arial" w:hAnsi="Arial"/>
          <w:color w:val="000000" w:themeColor="text1"/>
          <w:sz w:val="18"/>
          <w:szCs w:val="18"/>
        </w:rPr>
        <w:t>Trend in CPI changes for quarter-on-same-quarter-12-months-before.</w:t>
      </w:r>
    </w:p>
    <w:p w14:paraId="09032DF9"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Equivalisation and ‘Where does your household fit in the income spectrum?’</w:t>
      </w:r>
    </w:p>
    <w:p w14:paraId="5A075C8F"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Low-income thresholds (poverty lines) by household type.</w:t>
      </w:r>
    </w:p>
    <w:p w14:paraId="6776AF24"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Decile boundaries and means ($2025) 1982 to 2025.</w:t>
      </w:r>
    </w:p>
    <w:p w14:paraId="4F29E612"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w:t>
      </w:r>
    </w:p>
    <w:p w14:paraId="156C3342" w14:textId="77777777" w:rsidR="00711FE4" w:rsidRPr="00711FE4" w:rsidRDefault="00711FE4">
      <w:pPr>
        <w:numPr>
          <w:ilvl w:val="0"/>
          <w:numId w:val="115"/>
        </w:numPr>
        <w:spacing w:before="120" w:after="0" w:line="240" w:lineRule="auto"/>
        <w:rPr>
          <w:rFonts w:ascii="Arial" w:hAnsi="Arial"/>
          <w:color w:val="000000" w:themeColor="text1"/>
          <w:sz w:val="18"/>
          <w:szCs w:val="18"/>
        </w:rPr>
      </w:pPr>
      <w:r w:rsidRPr="00711FE4">
        <w:rPr>
          <w:rFonts w:ascii="Arial" w:hAnsi="Arial"/>
          <w:color w:val="000000" w:themeColor="text1"/>
          <w:sz w:val="18"/>
          <w:szCs w:val="18"/>
        </w:rPr>
        <w:t>–</w:t>
      </w:r>
    </w:p>
    <w:p w14:paraId="72F721F9" w14:textId="77777777" w:rsidR="00711FE4" w:rsidRPr="00711FE4" w:rsidRDefault="00711FE4" w:rsidP="00711FE4">
      <w:pPr>
        <w:spacing w:before="120" w:after="0" w:line="240" w:lineRule="auto"/>
        <w:ind w:left="284"/>
        <w:rPr>
          <w:rFonts w:ascii="Arial" w:hAnsi="Arial"/>
          <w:color w:val="000000" w:themeColor="text1"/>
          <w:sz w:val="18"/>
          <w:szCs w:val="18"/>
        </w:rPr>
      </w:pPr>
      <w:r w:rsidRPr="00711FE4">
        <w:rPr>
          <w:rFonts w:ascii="Arial" w:hAnsi="Arial"/>
          <w:color w:val="000000" w:themeColor="text1"/>
          <w:sz w:val="18"/>
          <w:szCs w:val="18"/>
        </w:rPr>
        <w:t>20</w:t>
      </w:r>
      <w:r w:rsidRPr="00711FE4">
        <w:rPr>
          <w:rFonts w:ascii="Arial" w:hAnsi="Arial"/>
          <w:color w:val="000000" w:themeColor="text1"/>
          <w:sz w:val="18"/>
          <w:szCs w:val="18"/>
        </w:rPr>
        <w:tab/>
        <w:t>Full text of HES and HILS MWQs (material wellbeing questions):</w:t>
      </w:r>
    </w:p>
    <w:p w14:paraId="0DDF33BD" w14:textId="77777777" w:rsidR="00711FE4" w:rsidRPr="00711FE4" w:rsidRDefault="00711FE4" w:rsidP="00711FE4">
      <w:pPr>
        <w:spacing w:before="40" w:after="0" w:line="240" w:lineRule="auto"/>
        <w:ind w:left="851"/>
        <w:rPr>
          <w:rFonts w:ascii="Arial" w:hAnsi="Arial"/>
          <w:color w:val="000000" w:themeColor="text1"/>
          <w:sz w:val="16"/>
          <w:szCs w:val="16"/>
        </w:rPr>
      </w:pPr>
      <w:r w:rsidRPr="00711FE4">
        <w:rPr>
          <w:rFonts w:ascii="Arial" w:hAnsi="Arial"/>
          <w:color w:val="000000" w:themeColor="text1"/>
          <w:sz w:val="16"/>
          <w:szCs w:val="16"/>
        </w:rPr>
        <w:t>All</w:t>
      </w:r>
    </w:p>
    <w:p w14:paraId="46D08AE3" w14:textId="77777777" w:rsidR="00711FE4" w:rsidRPr="00711FE4" w:rsidRDefault="00711FE4" w:rsidP="00711FE4">
      <w:pPr>
        <w:spacing w:before="40" w:after="0" w:line="240" w:lineRule="auto"/>
        <w:ind w:left="851"/>
        <w:rPr>
          <w:rFonts w:ascii="Arial" w:hAnsi="Arial"/>
          <w:color w:val="000000" w:themeColor="text1"/>
          <w:sz w:val="16"/>
          <w:szCs w:val="16"/>
        </w:rPr>
      </w:pPr>
      <w:r w:rsidRPr="00711FE4">
        <w:rPr>
          <w:rFonts w:ascii="Arial" w:hAnsi="Arial"/>
          <w:color w:val="000000" w:themeColor="text1"/>
          <w:sz w:val="16"/>
          <w:szCs w:val="16"/>
        </w:rPr>
        <w:t>DEP-17 and MH-18</w:t>
      </w:r>
    </w:p>
    <w:p w14:paraId="496D0D44" w14:textId="77777777" w:rsidR="00711FE4" w:rsidRPr="00711FE4" w:rsidRDefault="00711FE4" w:rsidP="00711FE4">
      <w:pPr>
        <w:spacing w:before="40" w:after="0" w:line="240" w:lineRule="auto"/>
        <w:ind w:left="851"/>
        <w:rPr>
          <w:rFonts w:ascii="Arial" w:hAnsi="Arial"/>
          <w:color w:val="000000" w:themeColor="text1"/>
          <w:sz w:val="16"/>
          <w:szCs w:val="16"/>
        </w:rPr>
      </w:pPr>
      <w:r w:rsidRPr="00711FE4">
        <w:rPr>
          <w:rFonts w:ascii="Arial" w:hAnsi="Arial"/>
          <w:color w:val="000000" w:themeColor="text1"/>
          <w:sz w:val="16"/>
          <w:szCs w:val="16"/>
        </w:rPr>
        <w:t>MWI-24 and MWI-26</w:t>
      </w:r>
    </w:p>
    <w:p w14:paraId="77A2CBA2" w14:textId="77777777" w:rsidR="00711FE4" w:rsidRPr="00711FE4" w:rsidRDefault="00711FE4" w:rsidP="00711FE4">
      <w:pPr>
        <w:spacing w:before="40" w:after="0" w:line="240" w:lineRule="auto"/>
        <w:ind w:left="851"/>
        <w:rPr>
          <w:rFonts w:ascii="Arial" w:hAnsi="Arial"/>
          <w:color w:val="000000" w:themeColor="text1"/>
          <w:sz w:val="16"/>
          <w:szCs w:val="16"/>
        </w:rPr>
      </w:pPr>
      <w:r w:rsidRPr="00711FE4">
        <w:rPr>
          <w:rFonts w:ascii="Arial" w:hAnsi="Arial"/>
          <w:color w:val="000000" w:themeColor="text1"/>
          <w:sz w:val="16"/>
          <w:szCs w:val="16"/>
        </w:rPr>
        <w:t>Child-specific</w:t>
      </w:r>
    </w:p>
    <w:p w14:paraId="3B6AEF34" w14:textId="77777777" w:rsidR="00711FE4" w:rsidRPr="00711FE4" w:rsidRDefault="00711FE4" w:rsidP="00711FE4">
      <w:pPr>
        <w:spacing w:after="0" w:line="240" w:lineRule="auto"/>
        <w:rPr>
          <w:rFonts w:ascii="Arial" w:hAnsi="Arial"/>
          <w:b/>
          <w:color w:val="000000" w:themeColor="text1"/>
          <w:sz w:val="28"/>
          <w:szCs w:val="24"/>
        </w:rPr>
      </w:pPr>
      <w:r w:rsidRPr="00711FE4">
        <w:rPr>
          <w:rFonts w:ascii="Arial" w:hAnsi="Arial"/>
          <w:b/>
          <w:color w:val="000000" w:themeColor="text1"/>
          <w:sz w:val="28"/>
          <w:szCs w:val="24"/>
        </w:rPr>
        <w:br w:type="page"/>
      </w:r>
    </w:p>
    <w:p w14:paraId="1067605B" w14:textId="77777777" w:rsidR="00711FE4" w:rsidRPr="00711FE4" w:rsidRDefault="00711FE4" w:rsidP="00711FE4">
      <w:pPr>
        <w:spacing w:line="240" w:lineRule="auto"/>
        <w:rPr>
          <w:rFonts w:ascii="Arial" w:hAnsi="Arial"/>
          <w:b/>
          <w:color w:val="000000" w:themeColor="text1"/>
          <w:sz w:val="28"/>
          <w:szCs w:val="24"/>
        </w:rPr>
      </w:pPr>
      <w:r w:rsidRPr="00711FE4">
        <w:rPr>
          <w:rFonts w:ascii="Arial" w:hAnsi="Arial"/>
          <w:b/>
          <w:color w:val="000000" w:themeColor="text1"/>
          <w:sz w:val="28"/>
          <w:szCs w:val="24"/>
        </w:rPr>
        <w:lastRenderedPageBreak/>
        <w:t>Appendix 1</w:t>
      </w:r>
    </w:p>
    <w:p w14:paraId="68E83AF4" w14:textId="77777777" w:rsidR="00711FE4" w:rsidRPr="00711FE4" w:rsidRDefault="00711FE4" w:rsidP="00711FE4">
      <w:pPr>
        <w:spacing w:after="0" w:line="240" w:lineRule="auto"/>
        <w:rPr>
          <w:rFonts w:ascii="Arial" w:hAnsi="Arial"/>
          <w:b/>
          <w:bCs/>
          <w:color w:val="000000" w:themeColor="text1"/>
          <w:sz w:val="24"/>
          <w:szCs w:val="24"/>
        </w:rPr>
      </w:pPr>
      <w:r w:rsidRPr="00711FE4">
        <w:rPr>
          <w:rFonts w:ascii="Arial" w:hAnsi="Arial"/>
          <w:b/>
          <w:bCs/>
          <w:color w:val="000000" w:themeColor="text1"/>
          <w:sz w:val="24"/>
          <w:szCs w:val="24"/>
        </w:rPr>
        <w:t>Data sources: Stats NZ’s Household Economic Survey (HES) and associated administrative data for income information</w:t>
      </w:r>
    </w:p>
    <w:p w14:paraId="302A8FD0" w14:textId="77777777" w:rsidR="00711FE4" w:rsidRPr="00711FE4" w:rsidRDefault="00711FE4" w:rsidP="00711FE4">
      <w:pPr>
        <w:spacing w:after="0" w:line="240" w:lineRule="auto"/>
        <w:rPr>
          <w:rFonts w:ascii="Arial" w:hAnsi="Arial"/>
          <w:b/>
          <w:bCs/>
          <w:color w:val="000000" w:themeColor="text1"/>
          <w:sz w:val="24"/>
          <w:szCs w:val="24"/>
        </w:rPr>
      </w:pPr>
    </w:p>
    <w:p w14:paraId="6BDBEAFD" w14:textId="77777777" w:rsidR="00711FE4" w:rsidRPr="00711FE4" w:rsidRDefault="00711FE4" w:rsidP="00711FE4">
      <w:pPr>
        <w:spacing w:after="0" w:line="240" w:lineRule="auto"/>
        <w:rPr>
          <w:rFonts w:ascii="Arial" w:hAnsi="Arial"/>
          <w:color w:val="000000" w:themeColor="text1"/>
        </w:rPr>
      </w:pPr>
      <w:r w:rsidRPr="00711FE4">
        <w:rPr>
          <w:rFonts w:ascii="Arial" w:hAnsi="Arial"/>
          <w:color w:val="000000" w:themeColor="text1"/>
        </w:rPr>
        <w:t xml:space="preserve">This Appendix needs to be read together with </w:t>
      </w:r>
      <w:r w:rsidRPr="00711FE4">
        <w:rPr>
          <w:rFonts w:ascii="Arial" w:hAnsi="Arial"/>
          <w:b/>
          <w:bCs/>
          <w:color w:val="000000" w:themeColor="text1"/>
        </w:rPr>
        <w:t>Section B.</w:t>
      </w:r>
    </w:p>
    <w:p w14:paraId="6ED2D03D" w14:textId="77777777" w:rsidR="00711FE4" w:rsidRPr="00711FE4" w:rsidRDefault="00711FE4" w:rsidP="00711FE4">
      <w:pPr>
        <w:spacing w:after="0" w:line="240" w:lineRule="auto"/>
        <w:rPr>
          <w:rFonts w:ascii="Arial" w:hAnsi="Arial"/>
          <w:color w:val="000000" w:themeColor="text1"/>
        </w:rPr>
      </w:pPr>
    </w:p>
    <w:p w14:paraId="61B617E7" w14:textId="77777777" w:rsidR="0027437F" w:rsidRPr="00711FE4" w:rsidRDefault="0027437F" w:rsidP="0027437F">
      <w:pPr>
        <w:jc w:val="both"/>
        <w:rPr>
          <w:rFonts w:ascii="Arial" w:hAnsi="Arial"/>
          <w:b/>
          <w:color w:val="000000" w:themeColor="text1"/>
          <w:szCs w:val="20"/>
        </w:rPr>
      </w:pPr>
      <w:r w:rsidRPr="00711FE4">
        <w:rPr>
          <w:rFonts w:ascii="Arial" w:hAnsi="Arial"/>
          <w:b/>
          <w:color w:val="000000" w:themeColor="text1"/>
          <w:szCs w:val="20"/>
        </w:rPr>
        <w:t>The surveys gather information on the usually resident population living in private dwellings</w:t>
      </w:r>
    </w:p>
    <w:p w14:paraId="21BFD4DB" w14:textId="77777777" w:rsidR="0027437F" w:rsidRPr="00711FE4" w:rsidRDefault="0027437F" w:rsidP="0027437F">
      <w:pPr>
        <w:spacing w:after="0" w:line="240" w:lineRule="auto"/>
        <w:jc w:val="both"/>
        <w:rPr>
          <w:rFonts w:ascii="Arial" w:hAnsi="Arial"/>
          <w:color w:val="000000" w:themeColor="text1"/>
          <w:szCs w:val="20"/>
        </w:rPr>
      </w:pPr>
      <w:r w:rsidRPr="00711FE4">
        <w:rPr>
          <w:rFonts w:ascii="Arial" w:hAnsi="Arial"/>
          <w:color w:val="000000" w:themeColor="text1"/>
          <w:szCs w:val="20"/>
        </w:rPr>
        <w:t>The survey therefore includes those living in retirement villages, but not those in non-private dwellings such as rest homes, hotels, motels, boarding houses and hostels.</w:t>
      </w:r>
      <w:r w:rsidRPr="00711FE4">
        <w:rPr>
          <w:rFonts w:ascii="Arial" w:hAnsi="Arial"/>
          <w:color w:val="000000" w:themeColor="text1"/>
          <w:szCs w:val="20"/>
          <w:vertAlign w:val="superscript"/>
        </w:rPr>
        <w:footnoteReference w:id="90"/>
      </w:r>
      <w:r w:rsidRPr="00711FE4">
        <w:rPr>
          <w:rFonts w:ascii="Arial" w:hAnsi="Arial"/>
          <w:color w:val="000000" w:themeColor="text1"/>
          <w:szCs w:val="20"/>
        </w:rPr>
        <w:t xml:space="preserve"> Other sorts of surveys are needed to obtain a picture of what life is like for those in more transient accommodation or those ‘living rough’.</w:t>
      </w:r>
      <w:r w:rsidRPr="009C0FFE">
        <w:rPr>
          <w:rStyle w:val="FootnoteReference"/>
          <w:rFonts w:ascii="Arial" w:hAnsi="Arial"/>
          <w:color w:val="000000" w:themeColor="text1"/>
          <w:szCs w:val="20"/>
        </w:rPr>
        <w:footnoteReference w:id="91"/>
      </w:r>
    </w:p>
    <w:p w14:paraId="5755AA87" w14:textId="77777777" w:rsidR="0027437F" w:rsidRPr="00711FE4" w:rsidRDefault="0027437F" w:rsidP="0027437F">
      <w:pPr>
        <w:spacing w:after="0" w:line="240" w:lineRule="auto"/>
        <w:jc w:val="both"/>
        <w:rPr>
          <w:rFonts w:ascii="Arial" w:hAnsi="Arial"/>
          <w:color w:val="000000" w:themeColor="text1"/>
          <w:szCs w:val="20"/>
        </w:rPr>
      </w:pPr>
    </w:p>
    <w:p w14:paraId="0C7BD623" w14:textId="77777777" w:rsidR="0027437F" w:rsidRDefault="0027437F" w:rsidP="0027437F">
      <w:pPr>
        <w:spacing w:after="0" w:line="240" w:lineRule="auto"/>
        <w:jc w:val="both"/>
        <w:rPr>
          <w:rFonts w:ascii="Arial" w:hAnsi="Arial"/>
          <w:color w:val="000000" w:themeColor="text1"/>
          <w:szCs w:val="20"/>
        </w:rPr>
      </w:pPr>
      <w:r w:rsidRPr="00711FE4">
        <w:rPr>
          <w:rFonts w:ascii="Arial" w:hAnsi="Arial"/>
          <w:color w:val="000000" w:themeColor="text1"/>
          <w:szCs w:val="20"/>
        </w:rPr>
        <w:t>This does not mean that the survey does not reach households with very limited financial resources or those in more severe hardship. For example, in the 2018-19 HES: 724 of the households interviewed reported receiving help from a food bank or other community organisation more than once in the previous 12 months, 1698 households reported putting up with feeling cold ‘a lot’ in the previous 12 months because of needing to spend on other basics, and 25% came from the two most deprived NZDep13 deciles (ie the most deprived 20%).</w:t>
      </w:r>
      <w:r w:rsidRPr="00711FE4">
        <w:rPr>
          <w:rFonts w:ascii="Arial" w:hAnsi="Arial"/>
          <w:color w:val="000000" w:themeColor="text1"/>
          <w:szCs w:val="20"/>
          <w:vertAlign w:val="superscript"/>
        </w:rPr>
        <w:footnoteReference w:id="92"/>
      </w:r>
      <w:r w:rsidRPr="00711FE4">
        <w:rPr>
          <w:rFonts w:ascii="Arial" w:hAnsi="Arial"/>
          <w:color w:val="000000" w:themeColor="text1"/>
          <w:szCs w:val="20"/>
        </w:rPr>
        <w:t xml:space="preserve"> The achieved response rates for the most deprived NZDep13 deciles are similar to the overall response rate – for example, 75% for 2020-21 for deciles 8, 9 and 10.</w:t>
      </w:r>
    </w:p>
    <w:p w14:paraId="0A0FC63B" w14:textId="77777777" w:rsidR="00711FE4" w:rsidRPr="00711FE4" w:rsidRDefault="00711FE4" w:rsidP="00711FE4">
      <w:pPr>
        <w:spacing w:after="0" w:line="240" w:lineRule="auto"/>
        <w:rPr>
          <w:rFonts w:ascii="Arial" w:hAnsi="Arial"/>
          <w:b/>
          <w:bCs/>
          <w:color w:val="000000" w:themeColor="text1"/>
          <w:szCs w:val="20"/>
        </w:rPr>
      </w:pPr>
    </w:p>
    <w:p w14:paraId="1A3487E6" w14:textId="77777777" w:rsidR="00711FE4" w:rsidRPr="00711FE4" w:rsidRDefault="00711FE4" w:rsidP="00711FE4">
      <w:pPr>
        <w:tabs>
          <w:tab w:val="left" w:pos="426"/>
        </w:tabs>
        <w:spacing w:after="0" w:line="240" w:lineRule="auto"/>
        <w:jc w:val="both"/>
        <w:rPr>
          <w:rFonts w:ascii="Arial" w:hAnsi="Arial"/>
          <w:b/>
          <w:color w:val="000000" w:themeColor="text1"/>
          <w:szCs w:val="20"/>
        </w:rPr>
      </w:pPr>
      <w:bookmarkStart w:id="26" w:name="_Hlk175224839"/>
      <w:r w:rsidRPr="00711FE4">
        <w:rPr>
          <w:rFonts w:ascii="Arial" w:hAnsi="Arial"/>
          <w:b/>
          <w:color w:val="000000" w:themeColor="text1"/>
          <w:szCs w:val="20"/>
        </w:rPr>
        <w:t>Processing the collected data ready for analysis</w:t>
      </w:r>
    </w:p>
    <w:p w14:paraId="6C4E3A73" w14:textId="77777777" w:rsidR="00711FE4" w:rsidRPr="00711FE4" w:rsidRDefault="00711FE4" w:rsidP="00711FE4">
      <w:pPr>
        <w:tabs>
          <w:tab w:val="left" w:pos="426"/>
        </w:tabs>
        <w:spacing w:after="0" w:line="240" w:lineRule="auto"/>
        <w:jc w:val="both"/>
        <w:rPr>
          <w:rFonts w:ascii="Arial" w:hAnsi="Arial"/>
          <w:b/>
          <w:color w:val="000000" w:themeColor="text1"/>
          <w:szCs w:val="20"/>
        </w:rPr>
      </w:pPr>
    </w:p>
    <w:p w14:paraId="10253AF3" w14:textId="77777777" w:rsidR="00711FE4" w:rsidRPr="00711FE4" w:rsidRDefault="00711FE4" w:rsidP="00711FE4">
      <w:pPr>
        <w:tabs>
          <w:tab w:val="left" w:pos="426"/>
        </w:tabs>
        <w:spacing w:after="0" w:line="240" w:lineRule="auto"/>
        <w:jc w:val="both"/>
        <w:rPr>
          <w:rFonts w:ascii="Arial" w:hAnsi="Arial"/>
          <w:bCs/>
          <w:color w:val="000000" w:themeColor="text1"/>
          <w:szCs w:val="20"/>
        </w:rPr>
      </w:pPr>
      <w:r w:rsidRPr="00711FE4">
        <w:rPr>
          <w:rFonts w:ascii="Arial" w:hAnsi="Arial"/>
          <w:bCs/>
          <w:color w:val="000000" w:themeColor="text1"/>
          <w:szCs w:val="20"/>
        </w:rPr>
        <w:t>Once the interviews are completed and the collected data is stored, Stats NZ carries out a comprehensive process to prepare a final dataset that can be used for data analysis and the production of output tables and statistics. The processing stage includes:</w:t>
      </w:r>
    </w:p>
    <w:p w14:paraId="7F5348C7" w14:textId="77777777" w:rsidR="00711FE4" w:rsidRPr="00711FE4" w:rsidRDefault="00711FE4">
      <w:pPr>
        <w:numPr>
          <w:ilvl w:val="0"/>
          <w:numId w:val="104"/>
        </w:numPr>
        <w:tabs>
          <w:tab w:val="left" w:pos="426"/>
        </w:tabs>
        <w:spacing w:after="0" w:line="240" w:lineRule="auto"/>
        <w:contextualSpacing/>
        <w:jc w:val="both"/>
        <w:rPr>
          <w:rFonts w:ascii="Arial" w:hAnsi="Arial"/>
          <w:bCs/>
          <w:color w:val="000000" w:themeColor="text1"/>
          <w:szCs w:val="20"/>
        </w:rPr>
      </w:pPr>
      <w:r w:rsidRPr="00711FE4">
        <w:rPr>
          <w:rFonts w:ascii="Arial" w:hAnsi="Arial"/>
          <w:bCs/>
          <w:color w:val="000000" w:themeColor="text1"/>
          <w:szCs w:val="20"/>
        </w:rPr>
        <w:t>combining the survey data with admin-based income data from Inland Revenue and MSD</w:t>
      </w:r>
    </w:p>
    <w:p w14:paraId="391BE597" w14:textId="77777777" w:rsidR="00711FE4" w:rsidRPr="00711FE4" w:rsidRDefault="00711FE4">
      <w:pPr>
        <w:numPr>
          <w:ilvl w:val="0"/>
          <w:numId w:val="104"/>
        </w:numPr>
        <w:tabs>
          <w:tab w:val="left" w:pos="426"/>
        </w:tabs>
        <w:spacing w:after="0" w:line="240" w:lineRule="auto"/>
        <w:contextualSpacing/>
        <w:jc w:val="both"/>
        <w:rPr>
          <w:rFonts w:ascii="Arial" w:hAnsi="Arial"/>
          <w:bCs/>
          <w:color w:val="000000" w:themeColor="text1"/>
          <w:szCs w:val="20"/>
        </w:rPr>
      </w:pPr>
      <w:r w:rsidRPr="00711FE4">
        <w:rPr>
          <w:rFonts w:ascii="Arial" w:hAnsi="Arial"/>
          <w:bCs/>
          <w:color w:val="000000" w:themeColor="text1"/>
          <w:szCs w:val="20"/>
        </w:rPr>
        <w:t>checks on the internal consistency of responses from individuals and households</w:t>
      </w:r>
    </w:p>
    <w:p w14:paraId="7E43AFE3" w14:textId="77777777" w:rsidR="00711FE4" w:rsidRPr="00711FE4" w:rsidRDefault="00711FE4">
      <w:pPr>
        <w:numPr>
          <w:ilvl w:val="0"/>
          <w:numId w:val="104"/>
        </w:numPr>
        <w:tabs>
          <w:tab w:val="left" w:pos="426"/>
        </w:tabs>
        <w:spacing w:after="0" w:line="240" w:lineRule="auto"/>
        <w:contextualSpacing/>
        <w:jc w:val="both"/>
        <w:rPr>
          <w:rFonts w:ascii="Arial" w:hAnsi="Arial"/>
          <w:bCs/>
          <w:color w:val="000000" w:themeColor="text1"/>
          <w:szCs w:val="20"/>
        </w:rPr>
      </w:pPr>
      <w:r w:rsidRPr="00711FE4">
        <w:rPr>
          <w:rFonts w:ascii="Arial" w:hAnsi="Arial"/>
          <w:bCs/>
          <w:color w:val="000000" w:themeColor="text1"/>
          <w:szCs w:val="20"/>
        </w:rPr>
        <w:t>imputation for missing data.</w:t>
      </w:r>
    </w:p>
    <w:p w14:paraId="05BF9619" w14:textId="77777777" w:rsidR="00711FE4" w:rsidRPr="00711FE4" w:rsidRDefault="00711FE4" w:rsidP="00711FE4">
      <w:pPr>
        <w:tabs>
          <w:tab w:val="left" w:pos="426"/>
        </w:tabs>
        <w:spacing w:after="0" w:line="240" w:lineRule="auto"/>
        <w:jc w:val="both"/>
        <w:rPr>
          <w:rFonts w:ascii="Arial" w:hAnsi="Arial"/>
          <w:bCs/>
          <w:color w:val="000000" w:themeColor="text1"/>
          <w:szCs w:val="20"/>
        </w:rPr>
      </w:pPr>
    </w:p>
    <w:p w14:paraId="21EDEFA9" w14:textId="77777777" w:rsidR="00711FE4" w:rsidRPr="00711FE4" w:rsidRDefault="00711FE4" w:rsidP="00711FE4">
      <w:pPr>
        <w:tabs>
          <w:tab w:val="left" w:pos="426"/>
        </w:tabs>
        <w:spacing w:after="0" w:line="240" w:lineRule="auto"/>
        <w:jc w:val="both"/>
        <w:rPr>
          <w:rFonts w:ascii="Arial" w:hAnsi="Arial"/>
          <w:bCs/>
          <w:color w:val="000000" w:themeColor="text1"/>
          <w:szCs w:val="20"/>
        </w:rPr>
      </w:pPr>
      <w:r w:rsidRPr="00711FE4">
        <w:rPr>
          <w:rFonts w:ascii="Arial" w:hAnsi="Arial"/>
          <w:bCs/>
          <w:color w:val="000000" w:themeColor="text1"/>
          <w:szCs w:val="20"/>
        </w:rPr>
        <w:t xml:space="preserve">In addition, weights are developed to enable population estimates to be produced based on the sample. </w:t>
      </w:r>
      <w:r w:rsidRPr="00711FE4">
        <w:rPr>
          <w:rFonts w:ascii="Arial" w:hAnsi="Arial"/>
          <w:color w:val="0B0C0C"/>
          <w:szCs w:val="20"/>
          <w:shd w:val="clear" w:color="auto" w:fill="FFFFFF"/>
        </w:rPr>
        <w:t>A weight is attached to each unit in the sample that indicates the number of households and people it represents in the final population estimate. Weighting ensures that estimates reflect the sample design, adjust for non-response, and align with current population estimates. </w:t>
      </w:r>
    </w:p>
    <w:p w14:paraId="400FF12C" w14:textId="77777777" w:rsidR="00711FE4" w:rsidRPr="00711FE4" w:rsidRDefault="00711FE4" w:rsidP="00711FE4">
      <w:pPr>
        <w:tabs>
          <w:tab w:val="left" w:pos="426"/>
        </w:tabs>
        <w:spacing w:after="0" w:line="240" w:lineRule="auto"/>
        <w:jc w:val="both"/>
        <w:rPr>
          <w:rFonts w:ascii="Arial" w:hAnsi="Arial"/>
          <w:bCs/>
          <w:color w:val="000000" w:themeColor="text1"/>
          <w:szCs w:val="20"/>
        </w:rPr>
      </w:pPr>
    </w:p>
    <w:p w14:paraId="3EA40977" w14:textId="77777777" w:rsidR="00711FE4" w:rsidRPr="00711FE4" w:rsidRDefault="00711FE4" w:rsidP="00711FE4">
      <w:pPr>
        <w:tabs>
          <w:tab w:val="left" w:pos="426"/>
        </w:tabs>
        <w:spacing w:after="0" w:line="240" w:lineRule="auto"/>
        <w:jc w:val="both"/>
        <w:rPr>
          <w:rFonts w:ascii="Arial" w:hAnsi="Arial"/>
          <w:bCs/>
          <w:color w:val="000000" w:themeColor="text1"/>
          <w:szCs w:val="20"/>
        </w:rPr>
      </w:pPr>
      <w:r w:rsidRPr="00711FE4">
        <w:rPr>
          <w:rFonts w:ascii="Arial" w:hAnsi="Arial"/>
          <w:bCs/>
          <w:color w:val="000000" w:themeColor="text1"/>
          <w:szCs w:val="20"/>
        </w:rPr>
        <w:t>The reporting on child poverty and other similar statistics for the whole population that Stats NZ and MSD do is based on analysis of the final dataset, together with the weights.</w:t>
      </w:r>
      <w:r w:rsidRPr="00711FE4">
        <w:rPr>
          <w:rFonts w:ascii="Arial" w:hAnsi="Arial"/>
          <w:bCs/>
          <w:color w:val="000000" w:themeColor="text1"/>
          <w:szCs w:val="20"/>
          <w:vertAlign w:val="superscript"/>
        </w:rPr>
        <w:footnoteReference w:id="93"/>
      </w:r>
    </w:p>
    <w:bookmarkEnd w:id="26"/>
    <w:p w14:paraId="360BE3F6" w14:textId="77777777" w:rsidR="00711FE4" w:rsidRPr="00711FE4" w:rsidRDefault="00711FE4" w:rsidP="00711FE4">
      <w:pPr>
        <w:tabs>
          <w:tab w:val="left" w:pos="426"/>
        </w:tabs>
        <w:spacing w:after="0" w:line="240" w:lineRule="auto"/>
        <w:jc w:val="both"/>
        <w:rPr>
          <w:rFonts w:ascii="Arial" w:hAnsi="Arial"/>
          <w:b/>
          <w:color w:val="000000" w:themeColor="text1"/>
          <w:szCs w:val="20"/>
        </w:rPr>
      </w:pPr>
    </w:p>
    <w:p w14:paraId="01352405" w14:textId="77777777" w:rsidR="00711FE4" w:rsidRPr="00711FE4" w:rsidRDefault="00711FE4" w:rsidP="00711FE4">
      <w:pPr>
        <w:tabs>
          <w:tab w:val="left" w:pos="426"/>
        </w:tabs>
        <w:spacing w:after="0" w:line="240" w:lineRule="auto"/>
        <w:jc w:val="both"/>
        <w:rPr>
          <w:rFonts w:ascii="Arial" w:hAnsi="Arial"/>
          <w:b/>
          <w:color w:val="000000" w:themeColor="text1"/>
          <w:szCs w:val="20"/>
        </w:rPr>
      </w:pPr>
      <w:r w:rsidRPr="00711FE4">
        <w:rPr>
          <w:rFonts w:ascii="Arial" w:hAnsi="Arial"/>
          <w:b/>
          <w:color w:val="000000" w:themeColor="text1"/>
          <w:szCs w:val="20"/>
        </w:rPr>
        <w:t>Findings based on sample surveys have statistical uncertainties</w:t>
      </w:r>
    </w:p>
    <w:p w14:paraId="6EB38A83" w14:textId="77777777" w:rsidR="00711FE4" w:rsidRPr="00711FE4" w:rsidRDefault="00711FE4" w:rsidP="00711FE4">
      <w:pPr>
        <w:tabs>
          <w:tab w:val="left" w:pos="426"/>
        </w:tabs>
        <w:spacing w:after="0" w:line="240" w:lineRule="auto"/>
        <w:jc w:val="right"/>
        <w:rPr>
          <w:rFonts w:ascii="Arial" w:hAnsi="Arial"/>
          <w:color w:val="000000" w:themeColor="text1"/>
          <w:szCs w:val="20"/>
        </w:rPr>
      </w:pPr>
    </w:p>
    <w:p w14:paraId="78D5B45B" w14:textId="77777777" w:rsidR="00711FE4" w:rsidRPr="00711FE4" w:rsidRDefault="00711FE4" w:rsidP="00711FE4">
      <w:pPr>
        <w:spacing w:after="0" w:line="240" w:lineRule="auto"/>
        <w:rPr>
          <w:rFonts w:ascii="Arial" w:hAnsi="Arial"/>
          <w:color w:val="000000" w:themeColor="text1"/>
          <w:szCs w:val="20"/>
        </w:rPr>
      </w:pPr>
      <w:r w:rsidRPr="00711FE4">
        <w:rPr>
          <w:rFonts w:ascii="Arial" w:hAnsi="Arial"/>
          <w:color w:val="000000" w:themeColor="text1"/>
          <w:szCs w:val="20"/>
        </w:rPr>
        <w:t>Some of the uncertainties arise by chance as the information is from a sample rather than the whole population. This is often referred to as ‘</w:t>
      </w:r>
      <w:r w:rsidRPr="00711FE4">
        <w:rPr>
          <w:rFonts w:ascii="Arial" w:hAnsi="Arial"/>
          <w:color w:val="000000" w:themeColor="text1"/>
          <w:szCs w:val="20"/>
          <w:u w:val="single"/>
        </w:rPr>
        <w:t>sample error</w:t>
      </w:r>
      <w:r w:rsidRPr="00711FE4">
        <w:rPr>
          <w:rFonts w:ascii="Arial" w:hAnsi="Arial"/>
          <w:color w:val="000000" w:themeColor="text1"/>
          <w:szCs w:val="20"/>
        </w:rPr>
        <w:t xml:space="preserve">’ or ‘sampling error’. Sample/sampling error is not a mistake. It exists even if a survey is perfectly designed and implemented and a 100% response rate is achieved. It is an inevitable feature of using a sample rather than counting everyone in the population of interest. </w:t>
      </w:r>
    </w:p>
    <w:p w14:paraId="3974FAAC" w14:textId="77777777" w:rsidR="00711FE4" w:rsidRPr="00711FE4" w:rsidRDefault="00711FE4" w:rsidP="00711FE4">
      <w:pPr>
        <w:spacing w:after="0" w:line="240" w:lineRule="auto"/>
        <w:rPr>
          <w:rFonts w:ascii="Arial" w:hAnsi="Arial"/>
          <w:color w:val="000000" w:themeColor="text1"/>
          <w:szCs w:val="20"/>
        </w:rPr>
      </w:pPr>
    </w:p>
    <w:p w14:paraId="57C17CD0" w14:textId="77777777" w:rsidR="00711FE4" w:rsidRPr="00711FE4" w:rsidRDefault="00711FE4" w:rsidP="00711FE4">
      <w:pPr>
        <w:spacing w:after="0" w:line="240" w:lineRule="auto"/>
        <w:rPr>
          <w:rFonts w:ascii="Arial" w:hAnsi="Arial"/>
          <w:color w:val="000000" w:themeColor="text1"/>
        </w:rPr>
      </w:pPr>
      <w:r w:rsidRPr="00711FE4">
        <w:rPr>
          <w:rFonts w:ascii="Arial" w:hAnsi="Arial"/>
          <w:color w:val="000000" w:themeColor="text1"/>
          <w:szCs w:val="20"/>
        </w:rPr>
        <w:t xml:space="preserve">The larger HES samples that are available starting with 2018-19 reduce sample error considerably compared with the sample errors in the HES-TAWA series. The sample errors for the </w:t>
      </w:r>
      <w:r w:rsidRPr="00711FE4">
        <w:rPr>
          <w:rFonts w:ascii="Arial" w:hAnsi="Arial"/>
          <w:color w:val="000000" w:themeColor="text1"/>
        </w:rPr>
        <w:t>CPRA</w:t>
      </w:r>
      <w:r w:rsidRPr="00711FE4">
        <w:rPr>
          <w:rFonts w:ascii="Arial" w:hAnsi="Arial"/>
          <w:color w:val="000000" w:themeColor="text1"/>
          <w:szCs w:val="20"/>
        </w:rPr>
        <w:t xml:space="preserve"> child </w:t>
      </w:r>
      <w:r w:rsidRPr="00711FE4">
        <w:rPr>
          <w:rFonts w:ascii="Arial" w:hAnsi="Arial"/>
          <w:color w:val="000000" w:themeColor="text1"/>
          <w:szCs w:val="20"/>
        </w:rPr>
        <w:lastRenderedPageBreak/>
        <w:t xml:space="preserve">poverty rates are typically 1.0 to 1.2 percentage points (ppts) for HES 2018-19 (21,000 households), compared with 2 to 3 percentage points for the HES-TAWA series which have much smaller sample sizes (3000 to 5500 households). </w:t>
      </w:r>
      <w:r w:rsidRPr="00711FE4">
        <w:rPr>
          <w:rFonts w:ascii="Arial" w:hAnsi="Arial"/>
          <w:color w:val="000000" w:themeColor="text1"/>
        </w:rPr>
        <w:t>The sample sizes for 2019-20 and 2020-21 were smaller than planned due to the COVID lock-downs and related health protocols – each around 16,000 households This led to sample errors for the income-based CPRA child poverty rates increasing to around 1.3 to 1.5 ppts for these years. For the 2021-22 survey, for which the data collection challenges were considerable and the sample size smaller still, the sample errors were around 1.7 to 2.1 ppts. For the 2024-25 HILS the sample errors were around 1.2 to 1.4 ppts.</w:t>
      </w:r>
      <w:r w:rsidRPr="00711FE4">
        <w:rPr>
          <w:rFonts w:ascii="Arial" w:hAnsi="Arial"/>
          <w:color w:val="000000" w:themeColor="text1"/>
          <w:vertAlign w:val="superscript"/>
        </w:rPr>
        <w:footnoteReference w:id="94"/>
      </w:r>
    </w:p>
    <w:p w14:paraId="34DE19B8" w14:textId="77777777" w:rsidR="00711FE4" w:rsidRPr="00711FE4" w:rsidRDefault="00711FE4" w:rsidP="00711FE4">
      <w:pPr>
        <w:spacing w:after="0" w:line="240" w:lineRule="auto"/>
        <w:rPr>
          <w:rFonts w:ascii="Arial" w:hAnsi="Arial"/>
          <w:color w:val="000000" w:themeColor="text1"/>
        </w:rPr>
      </w:pPr>
    </w:p>
    <w:p w14:paraId="478D7FBC" w14:textId="77777777" w:rsidR="00711FE4" w:rsidRPr="00711FE4" w:rsidRDefault="00711FE4" w:rsidP="00711FE4">
      <w:pPr>
        <w:spacing w:after="0" w:line="240" w:lineRule="auto"/>
        <w:rPr>
          <w:rFonts w:ascii="Arial" w:hAnsi="Arial"/>
          <w:color w:val="FF0000"/>
        </w:rPr>
      </w:pPr>
      <w:r w:rsidRPr="00711FE4">
        <w:rPr>
          <w:rFonts w:ascii="Arial" w:hAnsi="Arial"/>
          <w:color w:val="000000" w:themeColor="text1"/>
        </w:rPr>
        <w:t xml:space="preserve">Knowing the sample error for a statistic in given years enables estimates of the sample error on the </w:t>
      </w:r>
      <w:r w:rsidRPr="00711FE4">
        <w:rPr>
          <w:rFonts w:ascii="Arial" w:hAnsi="Arial"/>
          <w:color w:val="000000" w:themeColor="text1"/>
          <w:u w:val="single"/>
        </w:rPr>
        <w:t>change</w:t>
      </w:r>
      <w:r w:rsidRPr="00711FE4">
        <w:rPr>
          <w:rFonts w:ascii="Arial" w:hAnsi="Arial"/>
          <w:color w:val="000000" w:themeColor="text1"/>
        </w:rPr>
        <w:t xml:space="preserve"> from one survey to another. If the size of the change is smaller than the calculated sample error on the change then the change is reported as ‘not statistically significant’. For example, for the AHC 40 child poverty measures the increase from 2021-22 to 2022-23 was 1.2 ppt but the sample error on the change was 2.2 ppt so we cannot be sure that the reported change is caused by ‘real world’ changes. For material hardship, both the increase and the sample error on the change were 2.0 ppt, which makes it a close call as to whether the reported change is ‘real’ or simply an artefact of the sampling process. </w:t>
      </w:r>
      <w:r w:rsidRPr="00711FE4">
        <w:rPr>
          <w:rFonts w:ascii="Arial" w:hAnsi="Arial"/>
          <w:color w:val="000000" w:themeColor="text1"/>
          <w:vertAlign w:val="superscript"/>
        </w:rPr>
        <w:footnoteReference w:id="95"/>
      </w:r>
    </w:p>
    <w:p w14:paraId="1A6A2B9C" w14:textId="77777777" w:rsidR="00711FE4" w:rsidRPr="00711FE4" w:rsidRDefault="00711FE4" w:rsidP="00711FE4">
      <w:pPr>
        <w:spacing w:after="0" w:line="240" w:lineRule="auto"/>
        <w:rPr>
          <w:rFonts w:ascii="Arial" w:hAnsi="Arial"/>
          <w:b/>
          <w:bCs/>
          <w:color w:val="000000" w:themeColor="text1"/>
        </w:rPr>
      </w:pPr>
    </w:p>
    <w:p w14:paraId="7617D11E" w14:textId="77777777" w:rsidR="00711FE4" w:rsidRPr="00711FE4" w:rsidRDefault="00711FE4" w:rsidP="00711FE4">
      <w:pPr>
        <w:spacing w:after="0" w:line="240" w:lineRule="auto"/>
        <w:rPr>
          <w:rFonts w:ascii="Arial" w:hAnsi="Arial"/>
          <w:color w:val="000000" w:themeColor="text1"/>
        </w:rPr>
      </w:pPr>
      <w:r w:rsidRPr="00711FE4">
        <w:rPr>
          <w:rFonts w:ascii="Arial" w:hAnsi="Arial"/>
          <w:color w:val="000000" w:themeColor="text1"/>
        </w:rPr>
        <w:t>Sample surveys can also have what are loosely referred to as ‘</w:t>
      </w:r>
      <w:r w:rsidRPr="00711FE4">
        <w:rPr>
          <w:rFonts w:ascii="Arial" w:hAnsi="Arial"/>
          <w:color w:val="000000" w:themeColor="text1"/>
          <w:u w:val="single"/>
        </w:rPr>
        <w:t>non-sample errors’</w:t>
      </w:r>
      <w:r w:rsidRPr="00711FE4">
        <w:rPr>
          <w:rFonts w:ascii="Arial" w:hAnsi="Arial"/>
          <w:color w:val="000000" w:themeColor="text1"/>
        </w:rPr>
        <w:t xml:space="preserve"> or ‘non-sampling errors’. This is a catchall term that includes any errors that are not sample errors – ie not the inevitable uncertainties associated with interviewing a sample rather than the whole population. Non-sample error can occur in any survey, whether the estimates are derived from a sample or a census. Sources of non-sample error include non-response, errors in respondents’ reporting or interviewers’ recording of answers, poor questionnaire design, individuals in surveyed households not able to be (properly) matched to the administrative data, and errors in data processing. </w:t>
      </w:r>
    </w:p>
    <w:p w14:paraId="0ABE56C0" w14:textId="77777777" w:rsidR="00711FE4" w:rsidRPr="00711FE4" w:rsidRDefault="00711FE4" w:rsidP="00711FE4">
      <w:pPr>
        <w:spacing w:after="0" w:line="240" w:lineRule="auto"/>
        <w:rPr>
          <w:rFonts w:ascii="Arial" w:hAnsi="Arial"/>
          <w:color w:val="000000" w:themeColor="text1"/>
        </w:rPr>
      </w:pPr>
    </w:p>
    <w:p w14:paraId="4312B820" w14:textId="77777777" w:rsidR="00711FE4" w:rsidRPr="00711FE4" w:rsidRDefault="00711FE4" w:rsidP="00711FE4">
      <w:pPr>
        <w:autoSpaceDE w:val="0"/>
        <w:autoSpaceDN w:val="0"/>
        <w:adjustRightInd w:val="0"/>
        <w:spacing w:after="0" w:line="240" w:lineRule="auto"/>
        <w:rPr>
          <w:rFonts w:ascii="Arial" w:hAnsi="Arial"/>
          <w:color w:val="000000" w:themeColor="text1"/>
          <w:szCs w:val="20"/>
          <w:u w:val="single"/>
        </w:rPr>
      </w:pPr>
      <w:r w:rsidRPr="00711FE4">
        <w:rPr>
          <w:rFonts w:ascii="Arial" w:hAnsi="Arial"/>
          <w:color w:val="000000" w:themeColor="text1"/>
          <w:szCs w:val="20"/>
        </w:rPr>
        <w:t xml:space="preserve">Sample bias through non-response is one of the most common sources of non-sampling error. </w:t>
      </w:r>
      <w:r w:rsidRPr="00711FE4">
        <w:rPr>
          <w:rFonts w:ascii="Arial" w:hAnsi="Arial"/>
          <w:color w:val="000000" w:themeColor="text1"/>
          <w:szCs w:val="20"/>
          <w:lang w:eastAsia="en-NZ"/>
        </w:rPr>
        <w:t>Non-response can affect the reliability of results and introduce bias if the people who do not respond systematically differ in some important characteristic from those who do respond. Careful design and application of weights can mitigate the impact of lower response rates from certain subgroups of the population (by adjusting the weights upwards). If the non-response for particular sub-groups is too great then the mitigation through weights will not eliminate the bias and its impact on population estimates.</w:t>
      </w:r>
      <w:r w:rsidRPr="00711FE4">
        <w:rPr>
          <w:rFonts w:ascii="Arial" w:hAnsi="Arial"/>
          <w:color w:val="000000" w:themeColor="text1"/>
          <w:szCs w:val="20"/>
          <w:vertAlign w:val="superscript"/>
          <w:lang w:eastAsia="en-NZ"/>
        </w:rPr>
        <w:footnoteReference w:id="96"/>
      </w:r>
    </w:p>
    <w:p w14:paraId="402E7C31" w14:textId="77777777" w:rsidR="00711FE4" w:rsidRPr="00711FE4" w:rsidRDefault="00711FE4" w:rsidP="00711FE4">
      <w:pPr>
        <w:spacing w:after="0" w:line="240" w:lineRule="auto"/>
        <w:rPr>
          <w:rFonts w:ascii="Arial" w:hAnsi="Arial"/>
          <w:b/>
          <w:bCs/>
          <w:color w:val="000000" w:themeColor="text1"/>
        </w:rPr>
      </w:pPr>
    </w:p>
    <w:p w14:paraId="525F321A" w14:textId="77777777" w:rsidR="00711FE4" w:rsidRPr="00711FE4" w:rsidRDefault="00711FE4" w:rsidP="00711FE4">
      <w:pPr>
        <w:spacing w:after="0" w:line="240" w:lineRule="auto"/>
        <w:rPr>
          <w:rFonts w:ascii="Arial" w:hAnsi="Arial"/>
          <w:b/>
          <w:bCs/>
          <w:color w:val="000000" w:themeColor="text1"/>
        </w:rPr>
      </w:pPr>
      <w:r w:rsidRPr="00711FE4">
        <w:rPr>
          <w:rFonts w:ascii="Arial" w:hAnsi="Arial"/>
          <w:b/>
          <w:bCs/>
          <w:color w:val="000000" w:themeColor="text1"/>
        </w:rPr>
        <w:t>Addressing issues raised by the presence of households reporting very low incomes</w:t>
      </w:r>
    </w:p>
    <w:p w14:paraId="2911E22B" w14:textId="77777777" w:rsidR="00711FE4" w:rsidRPr="00711FE4" w:rsidRDefault="00711FE4" w:rsidP="00711FE4">
      <w:pPr>
        <w:spacing w:after="0" w:line="240" w:lineRule="auto"/>
        <w:rPr>
          <w:rFonts w:ascii="Arial" w:hAnsi="Arial"/>
          <w:color w:val="000000" w:themeColor="text1"/>
        </w:rPr>
      </w:pPr>
    </w:p>
    <w:p w14:paraId="2E1E537B" w14:textId="77777777" w:rsidR="00711FE4" w:rsidRPr="00711FE4" w:rsidRDefault="00711FE4" w:rsidP="00711FE4">
      <w:pPr>
        <w:spacing w:after="0" w:line="240" w:lineRule="auto"/>
        <w:rPr>
          <w:rFonts w:ascii="Arial" w:hAnsi="Arial"/>
          <w:color w:val="000000" w:themeColor="text1"/>
          <w:szCs w:val="20"/>
          <w:lang w:eastAsia="en-NZ"/>
        </w:rPr>
      </w:pPr>
      <w:r w:rsidRPr="00711FE4">
        <w:rPr>
          <w:rFonts w:ascii="Arial" w:hAnsi="Arial"/>
          <w:color w:val="000000" w:themeColor="text1"/>
        </w:rPr>
        <w:t xml:space="preserve">The use of administrative data has in many ways further improved the income information available for HES analysis (for example, by removing measurement error when income from a respondent is misreported through recall issues or deliberately, and by avoiding the need to make assumptions about ‘take-up’ as is required for the modelled estimates of income in HES-TAWA). </w:t>
      </w:r>
      <w:r w:rsidRPr="00711FE4">
        <w:rPr>
          <w:rFonts w:ascii="Arial" w:hAnsi="Arial"/>
          <w:color w:val="000000" w:themeColor="text1"/>
          <w:szCs w:val="20"/>
          <w:lang w:eastAsia="en-NZ"/>
        </w:rPr>
        <w:t xml:space="preserve">However, the proportion of very-low-income (VLI) households has increased when compared with previously published income distribution information based on HES-TAWA. Some but not all of these are self-employed households … which is a well-known source of ‘noise’ at the lower end of income distributions. Some of the VLI issue arises because of difficulty in matching households and individuals in the survey to the administrative data. What else is causing the relatively high number of VLI households is not at present fully understood – there are likely to be multiple drivers. </w:t>
      </w:r>
    </w:p>
    <w:p w14:paraId="5C755093" w14:textId="77777777" w:rsidR="00711FE4" w:rsidRPr="00711FE4" w:rsidRDefault="00711FE4" w:rsidP="00711FE4">
      <w:pPr>
        <w:spacing w:after="0" w:line="240" w:lineRule="auto"/>
        <w:rPr>
          <w:rFonts w:ascii="Arial" w:hAnsi="Arial"/>
          <w:color w:val="000000" w:themeColor="text1"/>
          <w:szCs w:val="20"/>
          <w:lang w:eastAsia="en-NZ"/>
        </w:rPr>
      </w:pPr>
    </w:p>
    <w:p w14:paraId="1BA10EC4" w14:textId="77777777" w:rsidR="00711FE4" w:rsidRPr="00711FE4" w:rsidRDefault="00711FE4" w:rsidP="00711FE4">
      <w:pPr>
        <w:spacing w:after="0" w:line="240" w:lineRule="auto"/>
        <w:rPr>
          <w:rFonts w:ascii="Arial" w:hAnsi="Arial"/>
          <w:color w:val="000000" w:themeColor="text1"/>
          <w:szCs w:val="20"/>
          <w:lang w:eastAsia="en-NZ"/>
        </w:rPr>
      </w:pPr>
      <w:r w:rsidRPr="00711FE4">
        <w:rPr>
          <w:rFonts w:ascii="Arial" w:hAnsi="Arial"/>
          <w:bCs/>
          <w:color w:val="000000" w:themeColor="text1"/>
          <w:szCs w:val="20"/>
        </w:rPr>
        <w:t>In the 2025-26 HILS Stats NZ have included a question asking for an estimate of gross household income. This will assist with efforts to reduce the number of VLI households.</w:t>
      </w:r>
    </w:p>
    <w:p w14:paraId="0CC0363F" w14:textId="77777777" w:rsidR="00711FE4" w:rsidRPr="00711FE4" w:rsidRDefault="00711FE4" w:rsidP="00711FE4">
      <w:pPr>
        <w:spacing w:after="0" w:line="240" w:lineRule="auto"/>
        <w:rPr>
          <w:rFonts w:ascii="Arial" w:hAnsi="Arial"/>
          <w:b/>
          <w:bCs/>
          <w:color w:val="000000" w:themeColor="text1"/>
          <w:u w:val="single"/>
        </w:rPr>
      </w:pPr>
    </w:p>
    <w:p w14:paraId="44EDB57A" w14:textId="77777777" w:rsidR="00711FE4" w:rsidRPr="00711FE4" w:rsidRDefault="00711FE4" w:rsidP="00711FE4">
      <w:pPr>
        <w:spacing w:after="0" w:line="240" w:lineRule="auto"/>
        <w:rPr>
          <w:rFonts w:ascii="Arial" w:hAnsi="Arial"/>
          <w:bCs/>
          <w:color w:val="000000" w:themeColor="text1"/>
          <w:szCs w:val="20"/>
        </w:rPr>
      </w:pPr>
      <w:r w:rsidRPr="00711FE4">
        <w:rPr>
          <w:rFonts w:ascii="Arial" w:hAnsi="Arial"/>
          <w:bCs/>
          <w:color w:val="000000" w:themeColor="text1"/>
          <w:szCs w:val="20"/>
        </w:rPr>
        <w:t xml:space="preserve">While the VLI group makes up only a very small proportion of the whole population (typically around 2-4%), when the population of interest is a low-income group they can make up a non-trivial portion of this group in the new HES-Admin data series </w:t>
      </w:r>
      <w:r w:rsidRPr="00711FE4">
        <w:rPr>
          <w:rFonts w:ascii="Arial" w:hAnsi="Arial"/>
          <w:color w:val="000000" w:themeColor="text1"/>
        </w:rPr>
        <w:t>–</w:t>
      </w:r>
      <w:r w:rsidRPr="00711FE4">
        <w:rPr>
          <w:rFonts w:ascii="Arial" w:hAnsi="Arial"/>
          <w:bCs/>
          <w:color w:val="000000" w:themeColor="text1"/>
          <w:szCs w:val="20"/>
        </w:rPr>
        <w:t xml:space="preserve"> as high as 25% in some cases. Most of those in the VLI group also have low material hardship rates, much lower than those in the ‘ordinary’ low-income </w:t>
      </w:r>
      <w:r w:rsidRPr="00711FE4">
        <w:rPr>
          <w:rFonts w:ascii="Arial" w:hAnsi="Arial"/>
          <w:bCs/>
          <w:color w:val="000000" w:themeColor="text1"/>
          <w:szCs w:val="20"/>
        </w:rPr>
        <w:lastRenderedPageBreak/>
        <w:t>zone. This adds to the noise already in the lower end of the income distribution when income is being used as a proxy for material wellbeing. It also artificially reduces reported rates for the low-income-material hardship overlap measure. MSD has developed an interim treatment to mitigate the impact of the presence of the VLI households and applies this to selected statistics.</w:t>
      </w:r>
      <w:r w:rsidRPr="00711FE4">
        <w:rPr>
          <w:rFonts w:ascii="Arial" w:hAnsi="Arial"/>
          <w:color w:val="000000" w:themeColor="text1"/>
          <w:vertAlign w:val="superscript"/>
        </w:rPr>
        <w:footnoteReference w:id="97"/>
      </w:r>
      <w:r w:rsidRPr="00711FE4">
        <w:rPr>
          <w:rFonts w:ascii="Arial" w:hAnsi="Arial"/>
          <w:bCs/>
          <w:color w:val="000000" w:themeColor="text1"/>
          <w:szCs w:val="20"/>
        </w:rPr>
        <w:t xml:space="preserve"> </w:t>
      </w:r>
    </w:p>
    <w:p w14:paraId="6E57D1B3" w14:textId="77777777" w:rsidR="00711FE4" w:rsidRPr="00711FE4" w:rsidRDefault="00711FE4" w:rsidP="00711FE4">
      <w:pPr>
        <w:spacing w:after="0" w:line="240" w:lineRule="auto"/>
        <w:rPr>
          <w:rFonts w:ascii="Arial" w:hAnsi="Arial"/>
          <w:bCs/>
          <w:color w:val="000000" w:themeColor="text1"/>
          <w:szCs w:val="20"/>
        </w:rPr>
      </w:pPr>
    </w:p>
    <w:p w14:paraId="3A14ABB3" w14:textId="77777777" w:rsidR="00711FE4" w:rsidRPr="00711FE4" w:rsidRDefault="00711FE4" w:rsidP="00711FE4">
      <w:pPr>
        <w:spacing w:after="0" w:line="240" w:lineRule="auto"/>
        <w:rPr>
          <w:rFonts w:ascii="Arial" w:hAnsi="Arial"/>
          <w:color w:val="000000" w:themeColor="text1"/>
        </w:rPr>
      </w:pPr>
      <w:r w:rsidRPr="00711FE4">
        <w:rPr>
          <w:rFonts w:ascii="Arial" w:hAnsi="Arial"/>
          <w:bCs/>
          <w:color w:val="000000" w:themeColor="text1"/>
          <w:szCs w:val="20"/>
        </w:rPr>
        <w:t>For the headline low-income child poverty rates and numbers, this report uses the Stats NZ published numbers. For some other statistics (such as the overlap measure using both low-incomes and material hardship, and housing affordability trends) the MSD treatment is applied. No treatment is needed for reporting on material hardship rates.</w:t>
      </w:r>
    </w:p>
    <w:p w14:paraId="460BCC9E" w14:textId="77777777" w:rsidR="00711FE4" w:rsidRPr="00711FE4" w:rsidRDefault="00711FE4" w:rsidP="00711FE4">
      <w:pPr>
        <w:spacing w:after="0" w:line="240" w:lineRule="auto"/>
        <w:rPr>
          <w:rFonts w:ascii="Arial" w:hAnsi="Arial"/>
          <w:b/>
          <w:bCs/>
          <w:color w:val="000000" w:themeColor="text1"/>
          <w:szCs w:val="20"/>
        </w:rPr>
      </w:pPr>
    </w:p>
    <w:p w14:paraId="4DB59407" w14:textId="77777777" w:rsidR="00711FE4" w:rsidRPr="00711FE4" w:rsidRDefault="00711FE4" w:rsidP="00711FE4">
      <w:pPr>
        <w:spacing w:after="0" w:line="240" w:lineRule="auto"/>
        <w:rPr>
          <w:rFonts w:ascii="Arial" w:hAnsi="Arial"/>
          <w:color w:val="000000" w:themeColor="text1"/>
          <w:sz w:val="18"/>
          <w:szCs w:val="18"/>
        </w:rPr>
      </w:pPr>
      <w:r w:rsidRPr="00711FE4">
        <w:rPr>
          <w:rFonts w:ascii="Arial" w:hAnsi="Arial"/>
          <w:b/>
          <w:bCs/>
          <w:color w:val="000000" w:themeColor="text1"/>
          <w:szCs w:val="20"/>
        </w:rPr>
        <w:t xml:space="preserve">The latest (2024-25) numbers are provisional </w:t>
      </w:r>
    </w:p>
    <w:p w14:paraId="49FCA716" w14:textId="77777777" w:rsidR="00711FE4" w:rsidRPr="00711FE4" w:rsidRDefault="00711FE4" w:rsidP="00711FE4">
      <w:pPr>
        <w:spacing w:after="0" w:line="240" w:lineRule="auto"/>
        <w:rPr>
          <w:rFonts w:ascii="Arial" w:hAnsi="Arial"/>
          <w:color w:val="000000" w:themeColor="text1"/>
          <w:szCs w:val="20"/>
        </w:rPr>
      </w:pPr>
    </w:p>
    <w:p w14:paraId="7CA2C8F6" w14:textId="77777777" w:rsidR="00711FE4" w:rsidRPr="00711FE4" w:rsidRDefault="00711FE4" w:rsidP="00711FE4">
      <w:pPr>
        <w:spacing w:after="40" w:line="240" w:lineRule="auto"/>
        <w:rPr>
          <w:rFonts w:ascii="Arial" w:hAnsi="Arial"/>
          <w:color w:val="000000" w:themeColor="text1"/>
          <w:szCs w:val="20"/>
        </w:rPr>
      </w:pPr>
      <w:r w:rsidRPr="00711FE4">
        <w:rPr>
          <w:rFonts w:ascii="Arial" w:hAnsi="Arial"/>
          <w:color w:val="000000" w:themeColor="text1"/>
          <w:szCs w:val="20"/>
        </w:rPr>
        <w:t xml:space="preserve">The income-related figures reported from the latest available HILS data are provisional (as they were for HES). The provisional nature of the latest figures occurs mainly because the ‘final’ Working for Families data is available from Inland Revenue only after all (or almost all) tax returns are filed which for some tax-payers is several months after publication of the Stats NZ reports. Revisions are also made reflecting updated population estimates. </w:t>
      </w:r>
    </w:p>
    <w:p w14:paraId="0C047AA2" w14:textId="77777777" w:rsidR="00711FE4" w:rsidRPr="00711FE4" w:rsidRDefault="00711FE4">
      <w:pPr>
        <w:numPr>
          <w:ilvl w:val="0"/>
          <w:numId w:val="109"/>
        </w:numPr>
        <w:spacing w:after="40" w:line="240" w:lineRule="auto"/>
        <w:ind w:left="567"/>
        <w:rPr>
          <w:rFonts w:ascii="Arial" w:hAnsi="Arial"/>
          <w:color w:val="000000" w:themeColor="text1"/>
          <w:szCs w:val="20"/>
        </w:rPr>
      </w:pPr>
      <w:r w:rsidRPr="00711FE4">
        <w:rPr>
          <w:rFonts w:ascii="Arial" w:hAnsi="Arial"/>
          <w:color w:val="000000" w:themeColor="text1"/>
          <w:szCs w:val="20"/>
        </w:rPr>
        <w:t xml:space="preserve">For the 19-20 to 21-22 surveys the revised figures were around 0.5 to 1.0 ppt lower. </w:t>
      </w:r>
    </w:p>
    <w:p w14:paraId="22E156AB" w14:textId="77777777" w:rsidR="00711FE4" w:rsidRPr="00711FE4" w:rsidRDefault="00711FE4">
      <w:pPr>
        <w:numPr>
          <w:ilvl w:val="0"/>
          <w:numId w:val="109"/>
        </w:numPr>
        <w:spacing w:after="40" w:line="240" w:lineRule="auto"/>
        <w:ind w:left="567"/>
        <w:rPr>
          <w:rFonts w:ascii="Arial" w:hAnsi="Arial"/>
          <w:b/>
          <w:bCs/>
          <w:color w:val="000000" w:themeColor="text1"/>
          <w:szCs w:val="20"/>
        </w:rPr>
      </w:pPr>
      <w:r w:rsidRPr="00711FE4">
        <w:rPr>
          <w:rFonts w:ascii="Arial" w:hAnsi="Arial"/>
          <w:color w:val="000000" w:themeColor="text1"/>
          <w:szCs w:val="20"/>
        </w:rPr>
        <w:t>For 22-23 HES most revised figures showed a small increase of 0.1-0.2 ppt on the provisional figures, with the BHC50 relative measure an exception decreasing by 0.4 ppt.</w:t>
      </w:r>
      <w:r w:rsidRPr="00711FE4">
        <w:rPr>
          <w:rFonts w:ascii="Arial" w:hAnsi="Arial"/>
          <w:b/>
          <w:bCs/>
          <w:color w:val="000000" w:themeColor="text1"/>
          <w:szCs w:val="20"/>
        </w:rPr>
        <w:t xml:space="preserve"> </w:t>
      </w:r>
    </w:p>
    <w:p w14:paraId="39C6B257" w14:textId="77777777" w:rsidR="00711FE4" w:rsidRPr="00711FE4" w:rsidRDefault="00711FE4">
      <w:pPr>
        <w:numPr>
          <w:ilvl w:val="0"/>
          <w:numId w:val="109"/>
        </w:numPr>
        <w:spacing w:after="60" w:line="240" w:lineRule="auto"/>
        <w:ind w:left="567"/>
        <w:contextualSpacing/>
        <w:rPr>
          <w:rFonts w:ascii="Arial" w:hAnsi="Arial"/>
          <w:b/>
          <w:bCs/>
          <w:color w:val="000000" w:themeColor="text1"/>
          <w:szCs w:val="20"/>
        </w:rPr>
      </w:pPr>
      <w:r w:rsidRPr="00711FE4">
        <w:rPr>
          <w:rFonts w:ascii="Arial" w:hAnsi="Arial"/>
          <w:color w:val="000000" w:themeColor="text1"/>
          <w:szCs w:val="20"/>
        </w:rPr>
        <w:t xml:space="preserve">For 23-24 HES, again most revised figures were within 0.2 ppt of the provisional figures with changed figures usually showing an increase, except for the AHC50 fixed line measure which increased by 0.5 ppt. See </w:t>
      </w:r>
      <w:r w:rsidRPr="00711FE4">
        <w:rPr>
          <w:rFonts w:ascii="Arial" w:hAnsi="Arial"/>
          <w:b/>
          <w:bCs/>
          <w:color w:val="000000" w:themeColor="text1"/>
          <w:szCs w:val="20"/>
        </w:rPr>
        <w:t>Appendix 2</w:t>
      </w:r>
      <w:r w:rsidRPr="00711FE4">
        <w:rPr>
          <w:rFonts w:ascii="Arial" w:hAnsi="Arial"/>
          <w:color w:val="000000" w:themeColor="text1"/>
          <w:szCs w:val="20"/>
        </w:rPr>
        <w:t xml:space="preserve"> for more detail for 23-24.</w:t>
      </w:r>
      <w:r w:rsidRPr="00711FE4">
        <w:rPr>
          <w:rFonts w:ascii="Arial" w:hAnsi="Arial"/>
          <w:color w:val="000000" w:themeColor="text1"/>
          <w:szCs w:val="20"/>
          <w:vertAlign w:val="superscript"/>
        </w:rPr>
        <w:footnoteReference w:id="98"/>
      </w:r>
    </w:p>
    <w:p w14:paraId="16B493BE" w14:textId="77777777" w:rsidR="00711FE4" w:rsidRPr="00711FE4" w:rsidRDefault="00711FE4" w:rsidP="00711FE4">
      <w:pPr>
        <w:spacing w:after="0" w:line="240" w:lineRule="auto"/>
        <w:rPr>
          <w:rFonts w:ascii="Arial" w:hAnsi="Arial"/>
          <w:b/>
          <w:bCs/>
          <w:color w:val="000000" w:themeColor="text1"/>
          <w:szCs w:val="20"/>
        </w:rPr>
      </w:pPr>
    </w:p>
    <w:p w14:paraId="28949539" w14:textId="77777777" w:rsidR="00711FE4" w:rsidRPr="00711FE4" w:rsidRDefault="00711FE4" w:rsidP="00711FE4">
      <w:pPr>
        <w:spacing w:after="0" w:line="240" w:lineRule="auto"/>
        <w:rPr>
          <w:rFonts w:ascii="Arial" w:hAnsi="Arial"/>
          <w:b/>
          <w:bCs/>
          <w:color w:val="000000" w:themeColor="text1"/>
          <w:szCs w:val="20"/>
        </w:rPr>
      </w:pPr>
      <w:r w:rsidRPr="00711FE4">
        <w:rPr>
          <w:rFonts w:ascii="Arial" w:hAnsi="Arial"/>
          <w:b/>
          <w:bCs/>
          <w:color w:val="000000" w:themeColor="text1"/>
          <w:szCs w:val="20"/>
        </w:rPr>
        <w:t>Labelling of HES and HILS years</w:t>
      </w:r>
    </w:p>
    <w:p w14:paraId="672D8432" w14:textId="77777777" w:rsidR="00711FE4" w:rsidRPr="00711FE4" w:rsidRDefault="00711FE4" w:rsidP="00711FE4">
      <w:pPr>
        <w:spacing w:after="0" w:line="240" w:lineRule="auto"/>
        <w:contextualSpacing/>
        <w:rPr>
          <w:rFonts w:ascii="Arial" w:hAnsi="Arial"/>
          <w:color w:val="000000" w:themeColor="text1"/>
        </w:rPr>
      </w:pPr>
    </w:p>
    <w:p w14:paraId="58355FDC" w14:textId="77777777" w:rsidR="00711FE4" w:rsidRPr="00711FE4" w:rsidRDefault="00711FE4" w:rsidP="00711FE4">
      <w:pPr>
        <w:spacing w:after="0" w:line="240" w:lineRule="auto"/>
        <w:jc w:val="both"/>
        <w:rPr>
          <w:rFonts w:ascii="Arial" w:hAnsi="Arial"/>
          <w:color w:val="000000" w:themeColor="text1"/>
          <w:szCs w:val="20"/>
        </w:rPr>
      </w:pPr>
      <w:r w:rsidRPr="00711FE4">
        <w:rPr>
          <w:rFonts w:ascii="Arial" w:hAnsi="Arial"/>
          <w:color w:val="000000" w:themeColor="text1"/>
          <w:szCs w:val="20"/>
        </w:rPr>
        <w:t xml:space="preserve">When reporting findings from the HES and HILS, ‘2017’ is short-hand for ‘2016-17’, and so on. The ‘2017’ survey ran from July 2016 to June 2017. Some of the items refer to how households were faring in the 12 months prior to the interview. </w:t>
      </w:r>
    </w:p>
    <w:p w14:paraId="12AB51C4" w14:textId="77777777" w:rsidR="00711FE4" w:rsidRPr="00711FE4" w:rsidRDefault="00711FE4" w:rsidP="00711FE4">
      <w:pPr>
        <w:numPr>
          <w:ilvl w:val="0"/>
          <w:numId w:val="31"/>
        </w:numPr>
        <w:spacing w:before="120" w:after="0" w:line="240" w:lineRule="auto"/>
        <w:ind w:left="714" w:hanging="357"/>
        <w:jc w:val="both"/>
        <w:rPr>
          <w:rFonts w:ascii="Arial" w:hAnsi="Arial"/>
          <w:color w:val="000000" w:themeColor="text1"/>
          <w:szCs w:val="20"/>
        </w:rPr>
      </w:pPr>
      <w:r w:rsidRPr="00711FE4">
        <w:rPr>
          <w:rFonts w:ascii="Arial" w:hAnsi="Arial"/>
          <w:color w:val="000000" w:themeColor="text1"/>
          <w:szCs w:val="20"/>
        </w:rPr>
        <w:t xml:space="preserve">This means that the ‘2017’ material wellbeing scores / hardship rates reflect on average how households were faring towards the end of 2016. </w:t>
      </w:r>
    </w:p>
    <w:p w14:paraId="516C93AF" w14:textId="77777777" w:rsidR="00711FE4" w:rsidRPr="00711FE4" w:rsidRDefault="00711FE4" w:rsidP="00711FE4">
      <w:pPr>
        <w:numPr>
          <w:ilvl w:val="0"/>
          <w:numId w:val="31"/>
        </w:numPr>
        <w:spacing w:before="120" w:after="0" w:line="240" w:lineRule="auto"/>
        <w:ind w:left="714" w:hanging="357"/>
        <w:jc w:val="both"/>
        <w:rPr>
          <w:rFonts w:ascii="Arial" w:hAnsi="Arial"/>
          <w:color w:val="000000" w:themeColor="text1"/>
          <w:szCs w:val="20"/>
        </w:rPr>
      </w:pPr>
      <w:r w:rsidRPr="00711FE4">
        <w:rPr>
          <w:rFonts w:ascii="Arial" w:hAnsi="Arial"/>
          <w:color w:val="000000" w:themeColor="text1"/>
          <w:szCs w:val="20"/>
        </w:rPr>
        <w:t xml:space="preserve">The HES income information is about income in the twelve months prior to the interview. For those interviewed early in the survey (eg July 2016) the income information is for July 2015 to June 2016, for those interviewed in August 2016 the income information is for August 2015 to July 2016, and so on. This means that ‘2017’ income-based figures include information from July 2015 through to June 2017. </w:t>
      </w:r>
    </w:p>
    <w:p w14:paraId="4D6A855A" w14:textId="77777777" w:rsidR="00711FE4" w:rsidRPr="00711FE4" w:rsidRDefault="00711FE4" w:rsidP="00711FE4">
      <w:pPr>
        <w:numPr>
          <w:ilvl w:val="0"/>
          <w:numId w:val="31"/>
        </w:numPr>
        <w:spacing w:before="120" w:after="0" w:line="240" w:lineRule="auto"/>
        <w:ind w:left="714" w:hanging="357"/>
        <w:jc w:val="both"/>
        <w:rPr>
          <w:rFonts w:ascii="Arial" w:hAnsi="Arial"/>
          <w:color w:val="000000" w:themeColor="text1"/>
          <w:szCs w:val="20"/>
        </w:rPr>
      </w:pPr>
      <w:r w:rsidRPr="00711FE4">
        <w:rPr>
          <w:rFonts w:ascii="Arial" w:hAnsi="Arial"/>
          <w:color w:val="000000" w:themeColor="text1"/>
          <w:szCs w:val="20"/>
        </w:rPr>
        <w:t>Both the ‘2017’ and 2016-17’ formats are used in the report, depending on the context.</w:t>
      </w:r>
    </w:p>
    <w:p w14:paraId="0A8AB34D" w14:textId="77777777" w:rsidR="00711FE4" w:rsidRPr="00711FE4" w:rsidRDefault="00711FE4" w:rsidP="00711FE4">
      <w:pPr>
        <w:spacing w:after="0" w:line="240" w:lineRule="auto"/>
        <w:jc w:val="both"/>
        <w:rPr>
          <w:rFonts w:ascii="Arial" w:hAnsi="Arial"/>
          <w:color w:val="000000" w:themeColor="text1"/>
          <w:szCs w:val="20"/>
        </w:rPr>
      </w:pPr>
    </w:p>
    <w:p w14:paraId="060D5024" w14:textId="77777777" w:rsidR="00711FE4" w:rsidRPr="00711FE4" w:rsidRDefault="00711FE4" w:rsidP="00711FE4">
      <w:pPr>
        <w:spacing w:after="0" w:line="240" w:lineRule="auto"/>
        <w:jc w:val="both"/>
        <w:rPr>
          <w:rFonts w:ascii="Arial" w:hAnsi="Arial"/>
          <w:bCs/>
          <w:color w:val="000000" w:themeColor="text1"/>
          <w:szCs w:val="20"/>
        </w:rPr>
      </w:pPr>
      <w:r w:rsidRPr="00711FE4">
        <w:rPr>
          <w:rFonts w:ascii="Arial" w:hAnsi="Arial"/>
          <w:bCs/>
          <w:color w:val="000000" w:themeColor="text1"/>
          <w:szCs w:val="20"/>
        </w:rPr>
        <w:t xml:space="preserve">All this matters for the interpretation of trends in relation to assessing the impact of policy changes or major economic events and for assessing the performance of governments in the child poverty space. For example, the impact of a policy change which increased the Family Tax Credit in July 2030 would be only partially reflected in the 2030-31 survey results as only those households interviewed in June 2031 would have (close to) a full year’s impact of the change showing in their reported income. The impact of the change would be fully reflected in the 2031-32 survey, with the findings reported in late 2032 or early 2033.   </w:t>
      </w:r>
    </w:p>
    <w:p w14:paraId="47C82D46" w14:textId="77777777" w:rsidR="00711FE4" w:rsidRPr="00711FE4" w:rsidRDefault="00711FE4" w:rsidP="00711FE4">
      <w:pPr>
        <w:spacing w:after="0" w:line="240" w:lineRule="auto"/>
        <w:jc w:val="both"/>
        <w:rPr>
          <w:rFonts w:ascii="Arial" w:hAnsi="Arial"/>
          <w:bCs/>
          <w:color w:val="000000" w:themeColor="text1"/>
          <w:szCs w:val="20"/>
        </w:rPr>
      </w:pPr>
    </w:p>
    <w:p w14:paraId="657DB91C" w14:textId="77777777" w:rsidR="00711FE4" w:rsidRPr="00711FE4" w:rsidRDefault="00711FE4" w:rsidP="00711FE4">
      <w:pPr>
        <w:spacing w:after="0" w:line="240" w:lineRule="auto"/>
        <w:jc w:val="both"/>
        <w:rPr>
          <w:rFonts w:ascii="Arial" w:hAnsi="Arial"/>
          <w:bCs/>
          <w:color w:val="000000" w:themeColor="text1"/>
          <w:szCs w:val="20"/>
        </w:rPr>
      </w:pPr>
    </w:p>
    <w:p w14:paraId="2333497B" w14:textId="77777777" w:rsidR="00711FE4" w:rsidRPr="00711FE4" w:rsidRDefault="00711FE4" w:rsidP="00711FE4">
      <w:pPr>
        <w:spacing w:after="0" w:line="240" w:lineRule="auto"/>
        <w:rPr>
          <w:rFonts w:ascii="Arial" w:hAnsi="Arial"/>
          <w:color w:val="000000" w:themeColor="text1"/>
        </w:rPr>
      </w:pPr>
    </w:p>
    <w:p w14:paraId="0196B327" w14:textId="77777777" w:rsidR="00711FE4" w:rsidRPr="00711FE4" w:rsidRDefault="00711FE4" w:rsidP="00711FE4">
      <w:pPr>
        <w:spacing w:after="0" w:line="240" w:lineRule="auto"/>
        <w:rPr>
          <w:rFonts w:ascii="Arial" w:hAnsi="Arial"/>
          <w:b/>
          <w:bCs/>
          <w:color w:val="FF0000"/>
          <w:sz w:val="28"/>
          <w:szCs w:val="32"/>
        </w:rPr>
      </w:pPr>
      <w:r w:rsidRPr="00711FE4">
        <w:rPr>
          <w:rFonts w:ascii="Arial" w:hAnsi="Arial"/>
          <w:b/>
          <w:bCs/>
          <w:color w:val="FF0000"/>
          <w:sz w:val="28"/>
          <w:szCs w:val="32"/>
        </w:rPr>
        <w:br w:type="page"/>
      </w:r>
    </w:p>
    <w:p w14:paraId="0D638CE1" w14:textId="77777777" w:rsidR="00711FE4" w:rsidRPr="00711FE4" w:rsidRDefault="00711FE4" w:rsidP="00711FE4">
      <w:pPr>
        <w:spacing w:line="240" w:lineRule="auto"/>
        <w:rPr>
          <w:rFonts w:ascii="Arial" w:hAnsi="Arial"/>
          <w:b/>
          <w:color w:val="000000" w:themeColor="text1"/>
          <w:sz w:val="28"/>
          <w:szCs w:val="24"/>
        </w:rPr>
      </w:pPr>
      <w:r w:rsidRPr="00711FE4">
        <w:rPr>
          <w:rFonts w:ascii="Arial" w:hAnsi="Arial"/>
          <w:b/>
          <w:color w:val="000000" w:themeColor="text1"/>
          <w:sz w:val="28"/>
          <w:szCs w:val="24"/>
        </w:rPr>
        <w:lastRenderedPageBreak/>
        <w:t>Appendix 2:</w:t>
      </w:r>
    </w:p>
    <w:p w14:paraId="3F203F93" w14:textId="77777777" w:rsidR="00711FE4" w:rsidRPr="00711FE4" w:rsidRDefault="00711FE4" w:rsidP="00711FE4">
      <w:pPr>
        <w:spacing w:line="240" w:lineRule="auto"/>
        <w:rPr>
          <w:rFonts w:ascii="Arial" w:hAnsi="Arial"/>
          <w:b/>
          <w:bCs/>
          <w:color w:val="000000" w:themeColor="text1"/>
          <w:sz w:val="18"/>
          <w:szCs w:val="20"/>
        </w:rPr>
      </w:pPr>
      <w:r w:rsidRPr="00711FE4">
        <w:rPr>
          <w:rFonts w:ascii="Arial" w:hAnsi="Arial"/>
          <w:b/>
          <w:color w:val="000000" w:themeColor="text1"/>
          <w:sz w:val="24"/>
        </w:rPr>
        <w:t>CPRA official child poverty figures from Stats NZ</w:t>
      </w:r>
    </w:p>
    <w:p w14:paraId="5333B358" w14:textId="77777777" w:rsidR="00711FE4" w:rsidRPr="00711FE4" w:rsidRDefault="00711FE4" w:rsidP="00711FE4">
      <w:pPr>
        <w:spacing w:after="0" w:line="240" w:lineRule="auto"/>
        <w:jc w:val="center"/>
        <w:rPr>
          <w:rFonts w:ascii="Arial" w:hAnsi="Arial"/>
          <w:b/>
          <w:bCs/>
          <w:color w:val="FF0000"/>
          <w:sz w:val="18"/>
          <w:szCs w:val="20"/>
        </w:rPr>
      </w:pPr>
      <w:bookmarkStart w:id="27" w:name="_Hlk173922438"/>
      <w:r w:rsidRPr="00711FE4">
        <w:rPr>
          <w:rFonts w:ascii="Arial" w:hAnsi="Arial"/>
          <w:b/>
          <w:bCs/>
          <w:color w:val="000000" w:themeColor="text1"/>
          <w:sz w:val="18"/>
          <w:szCs w:val="20"/>
        </w:rPr>
        <w:t>Table 2.1</w:t>
      </w:r>
    </w:p>
    <w:p w14:paraId="01741D53" w14:textId="77777777" w:rsidR="00711FE4" w:rsidRPr="00711FE4" w:rsidRDefault="00711FE4" w:rsidP="00711FE4">
      <w:pPr>
        <w:spacing w:after="0" w:line="240" w:lineRule="auto"/>
        <w:jc w:val="center"/>
        <w:rPr>
          <w:rFonts w:ascii="Arial" w:hAnsi="Arial"/>
          <w:b/>
          <w:bCs/>
          <w:color w:val="000000" w:themeColor="text1"/>
          <w:sz w:val="18"/>
          <w:szCs w:val="20"/>
        </w:rPr>
      </w:pPr>
      <w:r w:rsidRPr="00711FE4">
        <w:rPr>
          <w:rFonts w:ascii="Arial" w:hAnsi="Arial"/>
          <w:b/>
          <w:bCs/>
          <w:color w:val="000000" w:themeColor="text1"/>
          <w:sz w:val="18"/>
          <w:szCs w:val="20"/>
        </w:rPr>
        <w:t>Rates (%) and numbers for the nine available CPRA child poverty measures:</w:t>
      </w:r>
    </w:p>
    <w:p w14:paraId="5E95B146" w14:textId="77777777" w:rsidR="00711FE4" w:rsidRPr="00711FE4" w:rsidRDefault="00711FE4" w:rsidP="00711FE4">
      <w:pPr>
        <w:jc w:val="center"/>
        <w:rPr>
          <w:rFonts w:ascii="Arial" w:hAnsi="Arial"/>
          <w:b/>
          <w:bCs/>
          <w:color w:val="000000" w:themeColor="text1"/>
          <w:sz w:val="18"/>
          <w:szCs w:val="20"/>
        </w:rPr>
      </w:pPr>
      <w:r w:rsidRPr="00711FE4">
        <w:rPr>
          <w:rFonts w:ascii="Arial" w:hAnsi="Arial"/>
          <w:b/>
          <w:bCs/>
          <w:color w:val="000000" w:themeColor="text1"/>
          <w:sz w:val="18"/>
          <w:szCs w:val="20"/>
        </w:rPr>
        <w:t>Stats NZ figures for 2017-18 to 2024-25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42" w:type="dxa"/>
        </w:tblCellMar>
        <w:tblLook w:val="04A0" w:firstRow="1" w:lastRow="0" w:firstColumn="1" w:lastColumn="0" w:noHBand="0" w:noVBand="1"/>
      </w:tblPr>
      <w:tblGrid>
        <w:gridCol w:w="421"/>
        <w:gridCol w:w="2409"/>
        <w:gridCol w:w="567"/>
        <w:gridCol w:w="567"/>
        <w:gridCol w:w="567"/>
        <w:gridCol w:w="567"/>
        <w:gridCol w:w="567"/>
        <w:gridCol w:w="567"/>
        <w:gridCol w:w="567"/>
        <w:gridCol w:w="567"/>
        <w:gridCol w:w="851"/>
      </w:tblGrid>
      <w:tr w:rsidR="00711FE4" w:rsidRPr="00711FE4" w14:paraId="10812548" w14:textId="77777777" w:rsidTr="00366F04">
        <w:trPr>
          <w:jc w:val="center"/>
        </w:trPr>
        <w:tc>
          <w:tcPr>
            <w:tcW w:w="421" w:type="dxa"/>
            <w:vMerge w:val="restart"/>
          </w:tcPr>
          <w:p w14:paraId="2FBEA625" w14:textId="77777777" w:rsidR="00711FE4" w:rsidRPr="00711FE4" w:rsidRDefault="00711FE4" w:rsidP="00711FE4">
            <w:pPr>
              <w:spacing w:before="40" w:after="40"/>
              <w:rPr>
                <w:rFonts w:ascii="Arial" w:hAnsi="Arial"/>
                <w:b/>
                <w:bCs/>
                <w:color w:val="000000" w:themeColor="text1"/>
                <w:sz w:val="14"/>
                <w:szCs w:val="14"/>
              </w:rPr>
            </w:pPr>
          </w:p>
        </w:tc>
        <w:tc>
          <w:tcPr>
            <w:tcW w:w="2409" w:type="dxa"/>
            <w:vMerge w:val="restart"/>
            <w:vAlign w:val="center"/>
          </w:tcPr>
          <w:p w14:paraId="3FF8A4F8" w14:textId="77777777" w:rsidR="00711FE4" w:rsidRPr="00711FE4" w:rsidRDefault="00711FE4" w:rsidP="00711FE4">
            <w:pPr>
              <w:spacing w:before="120"/>
              <w:rPr>
                <w:rFonts w:ascii="Arial" w:hAnsi="Arial"/>
                <w:b/>
                <w:bCs/>
                <w:color w:val="000000" w:themeColor="text1"/>
                <w:sz w:val="14"/>
                <w:szCs w:val="14"/>
              </w:rPr>
            </w:pPr>
            <w:r w:rsidRPr="00711FE4">
              <w:rPr>
                <w:rFonts w:ascii="Arial" w:hAnsi="Arial"/>
                <w:b/>
                <w:bCs/>
                <w:color w:val="000000" w:themeColor="text1"/>
                <w:sz w:val="14"/>
                <w:szCs w:val="14"/>
              </w:rPr>
              <w:t>Measure</w:t>
            </w:r>
          </w:p>
        </w:tc>
        <w:tc>
          <w:tcPr>
            <w:tcW w:w="4536" w:type="dxa"/>
            <w:gridSpan w:val="8"/>
          </w:tcPr>
          <w:p w14:paraId="40DD9B88" w14:textId="77777777" w:rsidR="00711FE4" w:rsidRPr="00711FE4" w:rsidRDefault="00711FE4" w:rsidP="00711FE4">
            <w:pPr>
              <w:spacing w:before="40" w:after="40"/>
              <w:jc w:val="center"/>
              <w:rPr>
                <w:rFonts w:ascii="Arial" w:hAnsi="Arial"/>
                <w:b/>
                <w:bCs/>
                <w:color w:val="000000" w:themeColor="text1"/>
                <w:sz w:val="14"/>
                <w:szCs w:val="14"/>
              </w:rPr>
            </w:pPr>
            <w:r w:rsidRPr="00711FE4">
              <w:rPr>
                <w:rFonts w:ascii="Arial" w:hAnsi="Arial"/>
                <w:b/>
                <w:bCs/>
                <w:color w:val="000000" w:themeColor="text1"/>
                <w:sz w:val="14"/>
                <w:szCs w:val="14"/>
              </w:rPr>
              <w:t>% poor</w:t>
            </w:r>
          </w:p>
        </w:tc>
        <w:tc>
          <w:tcPr>
            <w:tcW w:w="851" w:type="dxa"/>
          </w:tcPr>
          <w:p w14:paraId="10A4774B" w14:textId="77777777" w:rsidR="00711FE4" w:rsidRPr="00711FE4" w:rsidRDefault="00711FE4" w:rsidP="00711FE4">
            <w:pPr>
              <w:spacing w:before="40" w:after="40"/>
              <w:jc w:val="center"/>
              <w:rPr>
                <w:rFonts w:ascii="Arial" w:hAnsi="Arial"/>
                <w:b/>
                <w:bCs/>
                <w:color w:val="000000" w:themeColor="text1"/>
                <w:sz w:val="14"/>
                <w:szCs w:val="14"/>
              </w:rPr>
            </w:pPr>
            <w:r w:rsidRPr="00711FE4">
              <w:rPr>
                <w:rFonts w:ascii="Arial" w:hAnsi="Arial"/>
                <w:b/>
                <w:bCs/>
                <w:color w:val="000000" w:themeColor="text1"/>
                <w:sz w:val="14"/>
                <w:szCs w:val="14"/>
              </w:rPr>
              <w:t># poor</w:t>
            </w:r>
          </w:p>
        </w:tc>
      </w:tr>
      <w:tr w:rsidR="00711FE4" w:rsidRPr="00711FE4" w14:paraId="061B1008" w14:textId="77777777" w:rsidTr="00366F04">
        <w:trPr>
          <w:jc w:val="center"/>
        </w:trPr>
        <w:tc>
          <w:tcPr>
            <w:tcW w:w="421" w:type="dxa"/>
            <w:vMerge/>
          </w:tcPr>
          <w:p w14:paraId="457FF500" w14:textId="77777777" w:rsidR="00711FE4" w:rsidRPr="00711FE4" w:rsidRDefault="00711FE4" w:rsidP="00711FE4">
            <w:pPr>
              <w:spacing w:before="40" w:after="40"/>
              <w:rPr>
                <w:rFonts w:ascii="Arial" w:hAnsi="Arial"/>
                <w:b/>
                <w:bCs/>
                <w:color w:val="000000" w:themeColor="text1"/>
                <w:sz w:val="14"/>
                <w:szCs w:val="14"/>
              </w:rPr>
            </w:pPr>
          </w:p>
        </w:tc>
        <w:tc>
          <w:tcPr>
            <w:tcW w:w="2409" w:type="dxa"/>
            <w:vMerge/>
            <w:vAlign w:val="center"/>
          </w:tcPr>
          <w:p w14:paraId="58E6E388" w14:textId="77777777" w:rsidR="00711FE4" w:rsidRPr="00711FE4" w:rsidRDefault="00711FE4" w:rsidP="00711FE4">
            <w:pPr>
              <w:spacing w:before="120"/>
              <w:rPr>
                <w:rFonts w:ascii="Arial" w:hAnsi="Arial"/>
                <w:b/>
                <w:bCs/>
                <w:color w:val="000000" w:themeColor="text1"/>
                <w:sz w:val="14"/>
                <w:szCs w:val="14"/>
              </w:rPr>
            </w:pPr>
          </w:p>
        </w:tc>
        <w:tc>
          <w:tcPr>
            <w:tcW w:w="3969" w:type="dxa"/>
            <w:gridSpan w:val="7"/>
          </w:tcPr>
          <w:p w14:paraId="2CB3ACC7" w14:textId="77777777" w:rsidR="00711FE4" w:rsidRPr="00711FE4" w:rsidRDefault="00711FE4" w:rsidP="00711FE4">
            <w:pPr>
              <w:spacing w:before="40" w:after="40"/>
              <w:jc w:val="center"/>
              <w:rPr>
                <w:rFonts w:ascii="Arial" w:hAnsi="Arial"/>
                <w:b/>
                <w:bCs/>
                <w:color w:val="000000" w:themeColor="text1"/>
                <w:sz w:val="14"/>
                <w:szCs w:val="14"/>
              </w:rPr>
            </w:pPr>
            <w:r w:rsidRPr="00711FE4">
              <w:rPr>
                <w:rFonts w:ascii="Arial" w:hAnsi="Arial"/>
                <w:b/>
                <w:bCs/>
                <w:color w:val="000000" w:themeColor="text1"/>
                <w:sz w:val="14"/>
                <w:szCs w:val="14"/>
              </w:rPr>
              <w:t>HES</w:t>
            </w:r>
          </w:p>
        </w:tc>
        <w:tc>
          <w:tcPr>
            <w:tcW w:w="567" w:type="dxa"/>
            <w:noWrap/>
            <w:tcMar>
              <w:left w:w="57" w:type="dxa"/>
              <w:right w:w="57" w:type="dxa"/>
            </w:tcMar>
          </w:tcPr>
          <w:p w14:paraId="03F81601" w14:textId="77777777" w:rsidR="00711FE4" w:rsidRPr="00711FE4" w:rsidRDefault="00711FE4" w:rsidP="00711FE4">
            <w:pPr>
              <w:spacing w:before="40" w:after="40"/>
              <w:jc w:val="center"/>
              <w:rPr>
                <w:rFonts w:ascii="Arial" w:hAnsi="Arial"/>
                <w:b/>
                <w:bCs/>
                <w:color w:val="000000" w:themeColor="text1"/>
                <w:sz w:val="14"/>
                <w:szCs w:val="14"/>
              </w:rPr>
            </w:pPr>
            <w:r w:rsidRPr="00711FE4">
              <w:rPr>
                <w:rFonts w:ascii="Arial" w:hAnsi="Arial"/>
                <w:b/>
                <w:bCs/>
                <w:color w:val="000000" w:themeColor="text1"/>
                <w:sz w:val="14"/>
                <w:szCs w:val="14"/>
              </w:rPr>
              <w:t>HILS</w:t>
            </w:r>
          </w:p>
        </w:tc>
        <w:tc>
          <w:tcPr>
            <w:tcW w:w="851" w:type="dxa"/>
            <w:noWrap/>
            <w:tcMar>
              <w:left w:w="57" w:type="dxa"/>
              <w:right w:w="57" w:type="dxa"/>
            </w:tcMar>
          </w:tcPr>
          <w:p w14:paraId="5F70D152" w14:textId="77777777" w:rsidR="00711FE4" w:rsidRPr="00711FE4" w:rsidRDefault="00711FE4" w:rsidP="00711FE4">
            <w:pPr>
              <w:spacing w:before="40" w:after="40"/>
              <w:jc w:val="center"/>
              <w:rPr>
                <w:rFonts w:ascii="Arial" w:hAnsi="Arial"/>
                <w:b/>
                <w:bCs/>
                <w:color w:val="000000" w:themeColor="text1"/>
                <w:sz w:val="14"/>
                <w:szCs w:val="14"/>
              </w:rPr>
            </w:pPr>
            <w:r w:rsidRPr="00711FE4">
              <w:rPr>
                <w:rFonts w:ascii="Arial" w:hAnsi="Arial"/>
                <w:b/>
                <w:bCs/>
                <w:color w:val="000000" w:themeColor="text1"/>
                <w:sz w:val="14"/>
                <w:szCs w:val="14"/>
              </w:rPr>
              <w:t>HILS</w:t>
            </w:r>
          </w:p>
        </w:tc>
      </w:tr>
      <w:tr w:rsidR="00711FE4" w:rsidRPr="00711FE4" w14:paraId="4BB2B6F8" w14:textId="77777777" w:rsidTr="00366F04">
        <w:trPr>
          <w:jc w:val="center"/>
        </w:trPr>
        <w:tc>
          <w:tcPr>
            <w:tcW w:w="421" w:type="dxa"/>
            <w:vMerge/>
          </w:tcPr>
          <w:p w14:paraId="5742C332" w14:textId="77777777" w:rsidR="00711FE4" w:rsidRPr="00711FE4" w:rsidRDefault="00711FE4" w:rsidP="00711FE4">
            <w:pPr>
              <w:spacing w:before="30" w:after="30"/>
              <w:rPr>
                <w:rFonts w:ascii="Arial" w:hAnsi="Arial"/>
                <w:color w:val="000000" w:themeColor="text1"/>
                <w:sz w:val="14"/>
                <w:szCs w:val="14"/>
              </w:rPr>
            </w:pPr>
          </w:p>
        </w:tc>
        <w:tc>
          <w:tcPr>
            <w:tcW w:w="2409" w:type="dxa"/>
            <w:vMerge/>
          </w:tcPr>
          <w:p w14:paraId="37472929" w14:textId="77777777" w:rsidR="00711FE4" w:rsidRPr="00711FE4" w:rsidRDefault="00711FE4" w:rsidP="00711FE4">
            <w:pPr>
              <w:spacing w:before="30" w:after="30"/>
              <w:rPr>
                <w:rFonts w:ascii="Arial" w:hAnsi="Arial"/>
                <w:color w:val="000000" w:themeColor="text1"/>
                <w:sz w:val="14"/>
                <w:szCs w:val="14"/>
              </w:rPr>
            </w:pPr>
          </w:p>
        </w:tc>
        <w:tc>
          <w:tcPr>
            <w:tcW w:w="567" w:type="dxa"/>
            <w:noWrap/>
            <w:tcMar>
              <w:top w:w="28" w:type="dxa"/>
              <w:left w:w="28" w:type="dxa"/>
              <w:bottom w:w="28" w:type="dxa"/>
              <w:right w:w="28" w:type="dxa"/>
            </w:tcMar>
            <w:vAlign w:val="center"/>
          </w:tcPr>
          <w:p w14:paraId="4002D51F"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17-18</w:t>
            </w:r>
          </w:p>
        </w:tc>
        <w:tc>
          <w:tcPr>
            <w:tcW w:w="567" w:type="dxa"/>
            <w:noWrap/>
            <w:tcMar>
              <w:top w:w="28" w:type="dxa"/>
              <w:left w:w="28" w:type="dxa"/>
              <w:bottom w:w="28" w:type="dxa"/>
              <w:right w:w="28" w:type="dxa"/>
            </w:tcMar>
            <w:vAlign w:val="center"/>
          </w:tcPr>
          <w:p w14:paraId="47B6EE30"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18-19</w:t>
            </w:r>
          </w:p>
        </w:tc>
        <w:tc>
          <w:tcPr>
            <w:tcW w:w="567" w:type="dxa"/>
            <w:noWrap/>
            <w:tcMar>
              <w:top w:w="28" w:type="dxa"/>
              <w:left w:w="28" w:type="dxa"/>
              <w:bottom w:w="28" w:type="dxa"/>
              <w:right w:w="28" w:type="dxa"/>
            </w:tcMar>
            <w:vAlign w:val="center"/>
          </w:tcPr>
          <w:p w14:paraId="4FDC7ECE"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19-20</w:t>
            </w:r>
          </w:p>
        </w:tc>
        <w:tc>
          <w:tcPr>
            <w:tcW w:w="567" w:type="dxa"/>
            <w:noWrap/>
            <w:tcMar>
              <w:left w:w="28" w:type="dxa"/>
              <w:right w:w="28" w:type="dxa"/>
            </w:tcMar>
            <w:vAlign w:val="center"/>
          </w:tcPr>
          <w:p w14:paraId="58F976BB" w14:textId="77777777" w:rsidR="00711FE4" w:rsidRPr="00711FE4" w:rsidRDefault="00711FE4" w:rsidP="00711FE4">
            <w:pPr>
              <w:spacing w:before="30" w:after="30"/>
              <w:ind w:left="-114" w:right="-142"/>
              <w:jc w:val="center"/>
              <w:rPr>
                <w:rFonts w:ascii="Arial" w:hAnsi="Arial"/>
                <w:b/>
                <w:bCs/>
                <w:color w:val="000000" w:themeColor="text1"/>
                <w:sz w:val="14"/>
                <w:szCs w:val="14"/>
              </w:rPr>
            </w:pPr>
            <w:r w:rsidRPr="00711FE4">
              <w:rPr>
                <w:rFonts w:ascii="Arial" w:hAnsi="Arial"/>
                <w:b/>
                <w:bCs/>
                <w:color w:val="000000" w:themeColor="text1"/>
                <w:sz w:val="14"/>
                <w:szCs w:val="14"/>
              </w:rPr>
              <w:t>20-21</w:t>
            </w:r>
          </w:p>
        </w:tc>
        <w:tc>
          <w:tcPr>
            <w:tcW w:w="567" w:type="dxa"/>
            <w:noWrap/>
            <w:tcMar>
              <w:left w:w="28" w:type="dxa"/>
              <w:right w:w="28" w:type="dxa"/>
            </w:tcMar>
            <w:vAlign w:val="center"/>
          </w:tcPr>
          <w:p w14:paraId="754CD23A" w14:textId="77777777" w:rsidR="00711FE4" w:rsidRPr="00711FE4" w:rsidRDefault="00711FE4" w:rsidP="00711FE4">
            <w:pPr>
              <w:spacing w:before="30" w:after="30"/>
              <w:ind w:left="-108" w:right="-147"/>
              <w:jc w:val="center"/>
              <w:rPr>
                <w:rFonts w:ascii="Arial" w:hAnsi="Arial"/>
                <w:b/>
                <w:bCs/>
                <w:color w:val="000000" w:themeColor="text1"/>
                <w:sz w:val="14"/>
                <w:szCs w:val="14"/>
              </w:rPr>
            </w:pPr>
            <w:r w:rsidRPr="00711FE4">
              <w:rPr>
                <w:rFonts w:ascii="Arial" w:hAnsi="Arial"/>
                <w:b/>
                <w:bCs/>
                <w:color w:val="000000" w:themeColor="text1"/>
                <w:sz w:val="14"/>
                <w:szCs w:val="14"/>
              </w:rPr>
              <w:t>21-22</w:t>
            </w:r>
          </w:p>
        </w:tc>
        <w:tc>
          <w:tcPr>
            <w:tcW w:w="567" w:type="dxa"/>
            <w:noWrap/>
            <w:tcMar>
              <w:top w:w="28" w:type="dxa"/>
              <w:left w:w="28" w:type="dxa"/>
              <w:bottom w:w="28" w:type="dxa"/>
              <w:right w:w="28" w:type="dxa"/>
            </w:tcMar>
            <w:vAlign w:val="center"/>
          </w:tcPr>
          <w:p w14:paraId="1F29E34C"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22-23</w:t>
            </w:r>
          </w:p>
        </w:tc>
        <w:tc>
          <w:tcPr>
            <w:tcW w:w="567" w:type="dxa"/>
            <w:noWrap/>
            <w:tcMar>
              <w:left w:w="28" w:type="dxa"/>
              <w:right w:w="28" w:type="dxa"/>
            </w:tcMar>
            <w:vAlign w:val="center"/>
          </w:tcPr>
          <w:p w14:paraId="2501A790"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23-24</w:t>
            </w:r>
          </w:p>
        </w:tc>
        <w:tc>
          <w:tcPr>
            <w:tcW w:w="567" w:type="dxa"/>
            <w:noWrap/>
            <w:tcMar>
              <w:left w:w="28" w:type="dxa"/>
              <w:right w:w="28" w:type="dxa"/>
            </w:tcMar>
          </w:tcPr>
          <w:p w14:paraId="4B8607B1" w14:textId="77777777" w:rsidR="00711FE4" w:rsidRPr="00711FE4" w:rsidRDefault="00711FE4" w:rsidP="00711FE4">
            <w:pPr>
              <w:spacing w:before="30" w:after="30"/>
              <w:jc w:val="center"/>
              <w:rPr>
                <w:rFonts w:ascii="Arial" w:hAnsi="Arial"/>
                <w:b/>
                <w:bCs/>
                <w:i/>
                <w:iCs/>
                <w:color w:val="000000" w:themeColor="text1"/>
                <w:sz w:val="14"/>
                <w:szCs w:val="14"/>
              </w:rPr>
            </w:pPr>
            <w:r w:rsidRPr="00711FE4">
              <w:rPr>
                <w:rFonts w:ascii="Arial" w:hAnsi="Arial"/>
                <w:b/>
                <w:bCs/>
                <w:i/>
                <w:iCs/>
                <w:color w:val="000000" w:themeColor="text1"/>
                <w:sz w:val="14"/>
                <w:szCs w:val="14"/>
              </w:rPr>
              <w:t>24-25</w:t>
            </w:r>
          </w:p>
        </w:tc>
        <w:tc>
          <w:tcPr>
            <w:tcW w:w="851" w:type="dxa"/>
            <w:noWrap/>
            <w:tcMar>
              <w:left w:w="28" w:type="dxa"/>
              <w:right w:w="28" w:type="dxa"/>
            </w:tcMar>
            <w:vAlign w:val="center"/>
          </w:tcPr>
          <w:p w14:paraId="6FE1FCF8" w14:textId="77777777" w:rsidR="00711FE4" w:rsidRPr="00711FE4" w:rsidRDefault="00711FE4" w:rsidP="00711FE4">
            <w:pPr>
              <w:spacing w:before="30" w:after="30"/>
              <w:jc w:val="center"/>
              <w:rPr>
                <w:rFonts w:ascii="Arial" w:hAnsi="Arial"/>
                <w:b/>
                <w:bCs/>
                <w:i/>
                <w:iCs/>
                <w:color w:val="000000" w:themeColor="text1"/>
                <w:sz w:val="14"/>
                <w:szCs w:val="14"/>
              </w:rPr>
            </w:pPr>
            <w:r w:rsidRPr="00711FE4">
              <w:rPr>
                <w:rFonts w:ascii="Arial" w:hAnsi="Arial"/>
                <w:b/>
                <w:bCs/>
                <w:i/>
                <w:iCs/>
                <w:color w:val="000000" w:themeColor="text1"/>
                <w:sz w:val="14"/>
                <w:szCs w:val="14"/>
              </w:rPr>
              <w:t>24-25</w:t>
            </w:r>
          </w:p>
        </w:tc>
      </w:tr>
      <w:tr w:rsidR="00711FE4" w:rsidRPr="00711FE4" w14:paraId="12BCAA3D" w14:textId="77777777" w:rsidTr="00366F04">
        <w:trPr>
          <w:jc w:val="center"/>
        </w:trPr>
        <w:tc>
          <w:tcPr>
            <w:tcW w:w="421" w:type="dxa"/>
            <w:shd w:val="clear" w:color="auto" w:fill="E2EFD9" w:themeFill="accent6" w:themeFillTint="33"/>
            <w:vAlign w:val="center"/>
          </w:tcPr>
          <w:p w14:paraId="2222321F"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14E98391"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BHC 50% relative</w:t>
            </w:r>
          </w:p>
        </w:tc>
        <w:tc>
          <w:tcPr>
            <w:tcW w:w="567" w:type="dxa"/>
            <w:shd w:val="clear" w:color="auto" w:fill="E2EFD9" w:themeFill="accent6" w:themeFillTint="33"/>
            <w:tcMar>
              <w:top w:w="28" w:type="dxa"/>
              <w:left w:w="28" w:type="dxa"/>
              <w:bottom w:w="28" w:type="dxa"/>
              <w:right w:w="28" w:type="dxa"/>
            </w:tcMar>
            <w:vAlign w:val="center"/>
          </w:tcPr>
          <w:p w14:paraId="5D68FCE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16.5</w:t>
            </w:r>
          </w:p>
        </w:tc>
        <w:tc>
          <w:tcPr>
            <w:tcW w:w="567" w:type="dxa"/>
            <w:shd w:val="clear" w:color="auto" w:fill="E2EFD9" w:themeFill="accent6" w:themeFillTint="33"/>
            <w:tcMar>
              <w:top w:w="28" w:type="dxa"/>
              <w:left w:w="28" w:type="dxa"/>
              <w:bottom w:w="28" w:type="dxa"/>
              <w:right w:w="28" w:type="dxa"/>
            </w:tcMar>
            <w:vAlign w:val="center"/>
          </w:tcPr>
          <w:p w14:paraId="1FBB4911"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13.6</w:t>
            </w:r>
          </w:p>
        </w:tc>
        <w:tc>
          <w:tcPr>
            <w:tcW w:w="567" w:type="dxa"/>
            <w:shd w:val="clear" w:color="auto" w:fill="E2EFD9" w:themeFill="accent6" w:themeFillTint="33"/>
            <w:tcMar>
              <w:top w:w="28" w:type="dxa"/>
              <w:left w:w="28" w:type="dxa"/>
              <w:bottom w:w="28" w:type="dxa"/>
              <w:right w:w="28" w:type="dxa"/>
            </w:tcMar>
            <w:vAlign w:val="center"/>
          </w:tcPr>
          <w:p w14:paraId="6EEEE385"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13.3</w:t>
            </w:r>
          </w:p>
        </w:tc>
        <w:tc>
          <w:tcPr>
            <w:tcW w:w="567" w:type="dxa"/>
            <w:shd w:val="clear" w:color="auto" w:fill="E2EFD9" w:themeFill="accent6" w:themeFillTint="33"/>
            <w:vAlign w:val="center"/>
          </w:tcPr>
          <w:p w14:paraId="5D9B570E"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12.9</w:t>
            </w:r>
          </w:p>
        </w:tc>
        <w:tc>
          <w:tcPr>
            <w:tcW w:w="567" w:type="dxa"/>
            <w:shd w:val="clear" w:color="auto" w:fill="E2EFD9" w:themeFill="accent6" w:themeFillTint="33"/>
            <w:vAlign w:val="center"/>
          </w:tcPr>
          <w:p w14:paraId="2B67AA19"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11.7</w:t>
            </w:r>
          </w:p>
        </w:tc>
        <w:tc>
          <w:tcPr>
            <w:tcW w:w="567" w:type="dxa"/>
            <w:shd w:val="clear" w:color="auto" w:fill="E2EFD9" w:themeFill="accent6" w:themeFillTint="33"/>
            <w:tcMar>
              <w:top w:w="28" w:type="dxa"/>
              <w:left w:w="28" w:type="dxa"/>
              <w:bottom w:w="28" w:type="dxa"/>
              <w:right w:w="28" w:type="dxa"/>
            </w:tcMar>
            <w:vAlign w:val="center"/>
          </w:tcPr>
          <w:p w14:paraId="42F55E25"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12.1</w:t>
            </w:r>
          </w:p>
        </w:tc>
        <w:tc>
          <w:tcPr>
            <w:tcW w:w="567" w:type="dxa"/>
            <w:shd w:val="clear" w:color="auto" w:fill="E2EFD9" w:themeFill="accent6" w:themeFillTint="33"/>
            <w:vAlign w:val="center"/>
          </w:tcPr>
          <w:p w14:paraId="5A297BD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12.7</w:t>
            </w:r>
          </w:p>
        </w:tc>
        <w:tc>
          <w:tcPr>
            <w:tcW w:w="567" w:type="dxa"/>
            <w:shd w:val="clear" w:color="auto" w:fill="E2EFD9" w:themeFill="accent6" w:themeFillTint="33"/>
            <w:noWrap/>
            <w:tcMar>
              <w:left w:w="57" w:type="dxa"/>
              <w:right w:w="57" w:type="dxa"/>
            </w:tcMar>
            <w:vAlign w:val="center"/>
          </w:tcPr>
          <w:p w14:paraId="0480F579"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12.6</w:t>
            </w:r>
          </w:p>
        </w:tc>
        <w:tc>
          <w:tcPr>
            <w:tcW w:w="851" w:type="dxa"/>
            <w:shd w:val="clear" w:color="auto" w:fill="E2EFD9" w:themeFill="accent6" w:themeFillTint="33"/>
            <w:noWrap/>
            <w:tcMar>
              <w:left w:w="57" w:type="dxa"/>
              <w:right w:w="57" w:type="dxa"/>
            </w:tcMar>
            <w:vAlign w:val="center"/>
          </w:tcPr>
          <w:p w14:paraId="6255DAED"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148,700</w:t>
            </w:r>
          </w:p>
        </w:tc>
      </w:tr>
      <w:tr w:rsidR="00711FE4" w:rsidRPr="00711FE4" w14:paraId="3EB6F053" w14:textId="77777777" w:rsidTr="00366F04">
        <w:trPr>
          <w:jc w:val="center"/>
        </w:trPr>
        <w:tc>
          <w:tcPr>
            <w:tcW w:w="421" w:type="dxa"/>
            <w:shd w:val="clear" w:color="auto" w:fill="E2EFD9" w:themeFill="accent6" w:themeFillTint="33"/>
            <w:vAlign w:val="center"/>
          </w:tcPr>
          <w:p w14:paraId="6ADBAE77"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08C0EFF0"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50% anchored line (17/18 ref)</w:t>
            </w:r>
          </w:p>
        </w:tc>
        <w:tc>
          <w:tcPr>
            <w:tcW w:w="567" w:type="dxa"/>
            <w:shd w:val="clear" w:color="auto" w:fill="E2EFD9" w:themeFill="accent6" w:themeFillTint="33"/>
            <w:tcMar>
              <w:top w:w="28" w:type="dxa"/>
              <w:left w:w="28" w:type="dxa"/>
              <w:bottom w:w="28" w:type="dxa"/>
              <w:right w:w="28" w:type="dxa"/>
            </w:tcMar>
            <w:vAlign w:val="center"/>
          </w:tcPr>
          <w:p w14:paraId="6CC18275"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22.8</w:t>
            </w:r>
          </w:p>
        </w:tc>
        <w:tc>
          <w:tcPr>
            <w:tcW w:w="567" w:type="dxa"/>
            <w:shd w:val="clear" w:color="auto" w:fill="E2EFD9" w:themeFill="accent6" w:themeFillTint="33"/>
            <w:tcMar>
              <w:top w:w="28" w:type="dxa"/>
              <w:left w:w="28" w:type="dxa"/>
              <w:bottom w:w="28" w:type="dxa"/>
              <w:right w:w="28" w:type="dxa"/>
            </w:tcMar>
            <w:vAlign w:val="center"/>
          </w:tcPr>
          <w:p w14:paraId="56B6AC27"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18.7</w:t>
            </w:r>
          </w:p>
        </w:tc>
        <w:tc>
          <w:tcPr>
            <w:tcW w:w="567" w:type="dxa"/>
            <w:shd w:val="clear" w:color="auto" w:fill="E2EFD9" w:themeFill="accent6" w:themeFillTint="33"/>
            <w:tcMar>
              <w:top w:w="28" w:type="dxa"/>
              <w:left w:w="28" w:type="dxa"/>
              <w:bottom w:w="28" w:type="dxa"/>
              <w:right w:w="28" w:type="dxa"/>
            </w:tcMar>
            <w:vAlign w:val="center"/>
          </w:tcPr>
          <w:p w14:paraId="38F73281"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17.9</w:t>
            </w:r>
          </w:p>
        </w:tc>
        <w:tc>
          <w:tcPr>
            <w:tcW w:w="567" w:type="dxa"/>
            <w:shd w:val="clear" w:color="auto" w:fill="E2EFD9" w:themeFill="accent6" w:themeFillTint="33"/>
            <w:vAlign w:val="center"/>
          </w:tcPr>
          <w:p w14:paraId="7E594CA3"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15.0</w:t>
            </w:r>
          </w:p>
        </w:tc>
        <w:tc>
          <w:tcPr>
            <w:tcW w:w="567" w:type="dxa"/>
            <w:shd w:val="clear" w:color="auto" w:fill="E2EFD9" w:themeFill="accent6" w:themeFillTint="33"/>
            <w:vAlign w:val="center"/>
          </w:tcPr>
          <w:p w14:paraId="42DDF7E2"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14.6</w:t>
            </w:r>
          </w:p>
        </w:tc>
        <w:tc>
          <w:tcPr>
            <w:tcW w:w="567" w:type="dxa"/>
            <w:shd w:val="clear" w:color="auto" w:fill="E2EFD9" w:themeFill="accent6" w:themeFillTint="33"/>
            <w:tcMar>
              <w:top w:w="28" w:type="dxa"/>
              <w:left w:w="28" w:type="dxa"/>
              <w:bottom w:w="28" w:type="dxa"/>
              <w:right w:w="28" w:type="dxa"/>
            </w:tcMar>
            <w:vAlign w:val="center"/>
          </w:tcPr>
          <w:p w14:paraId="587B7DE1"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17.8</w:t>
            </w:r>
          </w:p>
        </w:tc>
        <w:tc>
          <w:tcPr>
            <w:tcW w:w="567" w:type="dxa"/>
            <w:shd w:val="clear" w:color="auto" w:fill="E2EFD9" w:themeFill="accent6" w:themeFillTint="33"/>
            <w:vAlign w:val="center"/>
          </w:tcPr>
          <w:p w14:paraId="14990658"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18.2</w:t>
            </w:r>
          </w:p>
        </w:tc>
        <w:tc>
          <w:tcPr>
            <w:tcW w:w="567" w:type="dxa"/>
            <w:shd w:val="clear" w:color="auto" w:fill="E2EFD9" w:themeFill="accent6" w:themeFillTint="33"/>
            <w:noWrap/>
            <w:tcMar>
              <w:left w:w="57" w:type="dxa"/>
              <w:right w:w="57" w:type="dxa"/>
            </w:tcMar>
            <w:vAlign w:val="center"/>
          </w:tcPr>
          <w:p w14:paraId="4D951D22"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17.8</w:t>
            </w:r>
          </w:p>
        </w:tc>
        <w:tc>
          <w:tcPr>
            <w:tcW w:w="851" w:type="dxa"/>
            <w:shd w:val="clear" w:color="auto" w:fill="E2EFD9" w:themeFill="accent6" w:themeFillTint="33"/>
            <w:noWrap/>
            <w:tcMar>
              <w:left w:w="57" w:type="dxa"/>
              <w:right w:w="57" w:type="dxa"/>
            </w:tcMar>
            <w:vAlign w:val="center"/>
          </w:tcPr>
          <w:p w14:paraId="6C8B7FE9"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210,600</w:t>
            </w:r>
          </w:p>
        </w:tc>
      </w:tr>
      <w:tr w:rsidR="00711FE4" w:rsidRPr="00711FE4" w14:paraId="4F5D82B4" w14:textId="77777777" w:rsidTr="00366F04">
        <w:trPr>
          <w:jc w:val="center"/>
        </w:trPr>
        <w:tc>
          <w:tcPr>
            <w:tcW w:w="421" w:type="dxa"/>
            <w:shd w:val="clear" w:color="auto" w:fill="E2EFD9" w:themeFill="accent6" w:themeFillTint="33"/>
            <w:vAlign w:val="center"/>
          </w:tcPr>
          <w:p w14:paraId="0B2E8289"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12528835"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 xml:space="preserve">Material hardship </w:t>
            </w:r>
          </w:p>
        </w:tc>
        <w:tc>
          <w:tcPr>
            <w:tcW w:w="567" w:type="dxa"/>
            <w:shd w:val="clear" w:color="auto" w:fill="E2EFD9" w:themeFill="accent6" w:themeFillTint="33"/>
            <w:tcMar>
              <w:top w:w="28" w:type="dxa"/>
              <w:left w:w="28" w:type="dxa"/>
              <w:bottom w:w="28" w:type="dxa"/>
              <w:right w:w="28" w:type="dxa"/>
            </w:tcMar>
            <w:vAlign w:val="center"/>
          </w:tcPr>
          <w:p w14:paraId="034002D8"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13.3</w:t>
            </w:r>
          </w:p>
        </w:tc>
        <w:tc>
          <w:tcPr>
            <w:tcW w:w="567" w:type="dxa"/>
            <w:shd w:val="clear" w:color="auto" w:fill="E2EFD9" w:themeFill="accent6" w:themeFillTint="33"/>
            <w:tcMar>
              <w:top w:w="28" w:type="dxa"/>
              <w:left w:w="28" w:type="dxa"/>
              <w:bottom w:w="28" w:type="dxa"/>
              <w:right w:w="28" w:type="dxa"/>
            </w:tcMar>
            <w:vAlign w:val="center"/>
          </w:tcPr>
          <w:p w14:paraId="49B9C4AD"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13.3</w:t>
            </w:r>
          </w:p>
        </w:tc>
        <w:tc>
          <w:tcPr>
            <w:tcW w:w="567" w:type="dxa"/>
            <w:shd w:val="clear" w:color="auto" w:fill="E2EFD9" w:themeFill="accent6" w:themeFillTint="33"/>
            <w:tcMar>
              <w:top w:w="28" w:type="dxa"/>
              <w:left w:w="28" w:type="dxa"/>
              <w:bottom w:w="28" w:type="dxa"/>
              <w:right w:w="28" w:type="dxa"/>
            </w:tcMar>
            <w:vAlign w:val="center"/>
          </w:tcPr>
          <w:p w14:paraId="76BB0121"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11.6</w:t>
            </w:r>
          </w:p>
        </w:tc>
        <w:tc>
          <w:tcPr>
            <w:tcW w:w="567" w:type="dxa"/>
            <w:shd w:val="clear" w:color="auto" w:fill="E2EFD9" w:themeFill="accent6" w:themeFillTint="33"/>
            <w:vAlign w:val="center"/>
          </w:tcPr>
          <w:p w14:paraId="7F274F7D"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11.0</w:t>
            </w:r>
          </w:p>
        </w:tc>
        <w:tc>
          <w:tcPr>
            <w:tcW w:w="567" w:type="dxa"/>
            <w:shd w:val="clear" w:color="auto" w:fill="E2EFD9" w:themeFill="accent6" w:themeFillTint="33"/>
            <w:vAlign w:val="center"/>
          </w:tcPr>
          <w:p w14:paraId="22215C08"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10.6</w:t>
            </w:r>
          </w:p>
        </w:tc>
        <w:tc>
          <w:tcPr>
            <w:tcW w:w="567" w:type="dxa"/>
            <w:shd w:val="clear" w:color="auto" w:fill="E2EFD9" w:themeFill="accent6" w:themeFillTint="33"/>
            <w:tcMar>
              <w:top w:w="28" w:type="dxa"/>
              <w:left w:w="28" w:type="dxa"/>
              <w:bottom w:w="28" w:type="dxa"/>
              <w:right w:w="28" w:type="dxa"/>
            </w:tcMar>
            <w:vAlign w:val="center"/>
          </w:tcPr>
          <w:p w14:paraId="74D46EDA"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12.6</w:t>
            </w:r>
          </w:p>
        </w:tc>
        <w:tc>
          <w:tcPr>
            <w:tcW w:w="567" w:type="dxa"/>
            <w:shd w:val="clear" w:color="auto" w:fill="E2EFD9" w:themeFill="accent6" w:themeFillTint="33"/>
            <w:vAlign w:val="center"/>
          </w:tcPr>
          <w:p w14:paraId="14AD9A22"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13.5</w:t>
            </w:r>
          </w:p>
        </w:tc>
        <w:tc>
          <w:tcPr>
            <w:tcW w:w="567" w:type="dxa"/>
            <w:shd w:val="clear" w:color="auto" w:fill="E2EFD9" w:themeFill="accent6" w:themeFillTint="33"/>
            <w:noWrap/>
            <w:tcMar>
              <w:left w:w="57" w:type="dxa"/>
              <w:right w:w="57" w:type="dxa"/>
            </w:tcMar>
            <w:vAlign w:val="center"/>
          </w:tcPr>
          <w:p w14:paraId="62FEC46B"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14.3</w:t>
            </w:r>
          </w:p>
        </w:tc>
        <w:tc>
          <w:tcPr>
            <w:tcW w:w="851" w:type="dxa"/>
            <w:shd w:val="clear" w:color="auto" w:fill="E2EFD9" w:themeFill="accent6" w:themeFillTint="33"/>
            <w:noWrap/>
            <w:tcMar>
              <w:left w:w="57" w:type="dxa"/>
              <w:right w:w="57" w:type="dxa"/>
            </w:tcMar>
            <w:vAlign w:val="center"/>
          </w:tcPr>
          <w:p w14:paraId="62C2344E"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169,300</w:t>
            </w:r>
          </w:p>
        </w:tc>
      </w:tr>
      <w:tr w:rsidR="00711FE4" w:rsidRPr="00711FE4" w14:paraId="2F35DF8B" w14:textId="77777777" w:rsidTr="00366F04">
        <w:trPr>
          <w:jc w:val="center"/>
        </w:trPr>
        <w:tc>
          <w:tcPr>
            <w:tcW w:w="421" w:type="dxa"/>
            <w:shd w:val="clear" w:color="auto" w:fill="E2EFD9" w:themeFill="accent6" w:themeFillTint="33"/>
            <w:vAlign w:val="center"/>
          </w:tcPr>
          <w:p w14:paraId="516C2295"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P</w:t>
            </w:r>
          </w:p>
        </w:tc>
        <w:tc>
          <w:tcPr>
            <w:tcW w:w="2409" w:type="dxa"/>
            <w:shd w:val="clear" w:color="auto" w:fill="E2EFD9" w:themeFill="accent6" w:themeFillTint="33"/>
            <w:noWrap/>
            <w:tcMar>
              <w:right w:w="57" w:type="dxa"/>
            </w:tcMar>
            <w:vAlign w:val="center"/>
          </w:tcPr>
          <w:p w14:paraId="3C779D40"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Persistent poverty</w:t>
            </w:r>
          </w:p>
        </w:tc>
        <w:tc>
          <w:tcPr>
            <w:tcW w:w="5387" w:type="dxa"/>
            <w:gridSpan w:val="9"/>
            <w:shd w:val="clear" w:color="auto" w:fill="E2EFD9" w:themeFill="accent6" w:themeFillTint="33"/>
            <w:tcMar>
              <w:top w:w="28" w:type="dxa"/>
              <w:left w:w="28" w:type="dxa"/>
              <w:bottom w:w="28" w:type="dxa"/>
              <w:right w:w="28" w:type="dxa"/>
            </w:tcMar>
            <w:vAlign w:val="center"/>
          </w:tcPr>
          <w:p w14:paraId="53D86209"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Not required until after the 2025-26 financial year (likely to be published in Feb 2027)</w:t>
            </w:r>
          </w:p>
        </w:tc>
      </w:tr>
      <w:tr w:rsidR="00711FE4" w:rsidRPr="00711FE4" w14:paraId="37CC3852" w14:textId="77777777" w:rsidTr="00366F04">
        <w:trPr>
          <w:jc w:val="center"/>
        </w:trPr>
        <w:tc>
          <w:tcPr>
            <w:tcW w:w="421" w:type="dxa"/>
            <w:vAlign w:val="center"/>
          </w:tcPr>
          <w:p w14:paraId="40CD9D0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2B0E04F7"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BHC 60% relative</w:t>
            </w:r>
          </w:p>
        </w:tc>
        <w:tc>
          <w:tcPr>
            <w:tcW w:w="567" w:type="dxa"/>
            <w:tcMar>
              <w:top w:w="28" w:type="dxa"/>
              <w:left w:w="28" w:type="dxa"/>
              <w:bottom w:w="28" w:type="dxa"/>
              <w:right w:w="28" w:type="dxa"/>
            </w:tcMar>
            <w:vAlign w:val="center"/>
          </w:tcPr>
          <w:p w14:paraId="53E12F07"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25.3</w:t>
            </w:r>
          </w:p>
        </w:tc>
        <w:tc>
          <w:tcPr>
            <w:tcW w:w="567" w:type="dxa"/>
            <w:tcMar>
              <w:top w:w="28" w:type="dxa"/>
              <w:left w:w="28" w:type="dxa"/>
              <w:bottom w:w="28" w:type="dxa"/>
              <w:right w:w="28" w:type="dxa"/>
            </w:tcMar>
            <w:vAlign w:val="center"/>
          </w:tcPr>
          <w:p w14:paraId="00D5FB5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22.1</w:t>
            </w:r>
          </w:p>
        </w:tc>
        <w:tc>
          <w:tcPr>
            <w:tcW w:w="567" w:type="dxa"/>
            <w:tcMar>
              <w:top w:w="28" w:type="dxa"/>
              <w:left w:w="28" w:type="dxa"/>
              <w:bottom w:w="28" w:type="dxa"/>
              <w:right w:w="28" w:type="dxa"/>
            </w:tcMar>
            <w:vAlign w:val="center"/>
          </w:tcPr>
          <w:p w14:paraId="2C17B2EA"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21.7</w:t>
            </w:r>
          </w:p>
        </w:tc>
        <w:tc>
          <w:tcPr>
            <w:tcW w:w="567" w:type="dxa"/>
            <w:vAlign w:val="center"/>
          </w:tcPr>
          <w:p w14:paraId="243775FB"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20.5</w:t>
            </w:r>
          </w:p>
        </w:tc>
        <w:tc>
          <w:tcPr>
            <w:tcW w:w="567" w:type="dxa"/>
            <w:vAlign w:val="center"/>
          </w:tcPr>
          <w:p w14:paraId="7EB5DB49"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20.2</w:t>
            </w:r>
          </w:p>
        </w:tc>
        <w:tc>
          <w:tcPr>
            <w:tcW w:w="567" w:type="dxa"/>
            <w:tcMar>
              <w:top w:w="28" w:type="dxa"/>
              <w:left w:w="28" w:type="dxa"/>
              <w:bottom w:w="28" w:type="dxa"/>
              <w:right w:w="28" w:type="dxa"/>
            </w:tcMar>
            <w:vAlign w:val="center"/>
          </w:tcPr>
          <w:p w14:paraId="21AA7173"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21.7</w:t>
            </w:r>
          </w:p>
        </w:tc>
        <w:tc>
          <w:tcPr>
            <w:tcW w:w="567" w:type="dxa"/>
            <w:vAlign w:val="center"/>
          </w:tcPr>
          <w:p w14:paraId="22CF16A1"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21.5</w:t>
            </w:r>
          </w:p>
        </w:tc>
        <w:tc>
          <w:tcPr>
            <w:tcW w:w="567" w:type="dxa"/>
            <w:noWrap/>
            <w:tcMar>
              <w:left w:w="57" w:type="dxa"/>
              <w:right w:w="57" w:type="dxa"/>
            </w:tcMar>
            <w:vAlign w:val="center"/>
          </w:tcPr>
          <w:p w14:paraId="7DA3EDC2"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21.7</w:t>
            </w:r>
          </w:p>
        </w:tc>
        <w:tc>
          <w:tcPr>
            <w:tcW w:w="851" w:type="dxa"/>
            <w:noWrap/>
            <w:tcMar>
              <w:left w:w="57" w:type="dxa"/>
              <w:right w:w="57" w:type="dxa"/>
            </w:tcMar>
            <w:vAlign w:val="center"/>
          </w:tcPr>
          <w:p w14:paraId="14E5326D"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256,400</w:t>
            </w:r>
          </w:p>
        </w:tc>
      </w:tr>
      <w:tr w:rsidR="00711FE4" w:rsidRPr="00711FE4" w14:paraId="6D5AD4B7" w14:textId="77777777" w:rsidTr="00366F04">
        <w:trPr>
          <w:jc w:val="center"/>
        </w:trPr>
        <w:tc>
          <w:tcPr>
            <w:tcW w:w="421" w:type="dxa"/>
            <w:vAlign w:val="center"/>
          </w:tcPr>
          <w:p w14:paraId="3099688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084BA224"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60% relative</w:t>
            </w:r>
          </w:p>
        </w:tc>
        <w:tc>
          <w:tcPr>
            <w:tcW w:w="567" w:type="dxa"/>
            <w:tcMar>
              <w:top w:w="28" w:type="dxa"/>
              <w:left w:w="28" w:type="dxa"/>
              <w:bottom w:w="28" w:type="dxa"/>
              <w:right w:w="28" w:type="dxa"/>
            </w:tcMar>
            <w:vAlign w:val="center"/>
          </w:tcPr>
          <w:p w14:paraId="5898012A"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30.6</w:t>
            </w:r>
          </w:p>
        </w:tc>
        <w:tc>
          <w:tcPr>
            <w:tcW w:w="567" w:type="dxa"/>
            <w:tcMar>
              <w:top w:w="28" w:type="dxa"/>
              <w:left w:w="28" w:type="dxa"/>
              <w:bottom w:w="28" w:type="dxa"/>
              <w:right w:w="28" w:type="dxa"/>
            </w:tcMar>
            <w:vAlign w:val="center"/>
          </w:tcPr>
          <w:p w14:paraId="5A718A0A"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27.8</w:t>
            </w:r>
          </w:p>
        </w:tc>
        <w:tc>
          <w:tcPr>
            <w:tcW w:w="567" w:type="dxa"/>
            <w:tcMar>
              <w:top w:w="28" w:type="dxa"/>
              <w:left w:w="28" w:type="dxa"/>
              <w:bottom w:w="28" w:type="dxa"/>
              <w:right w:w="28" w:type="dxa"/>
            </w:tcMar>
            <w:vAlign w:val="center"/>
          </w:tcPr>
          <w:p w14:paraId="50C97D0B"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27.6</w:t>
            </w:r>
          </w:p>
        </w:tc>
        <w:tc>
          <w:tcPr>
            <w:tcW w:w="567" w:type="dxa"/>
            <w:vAlign w:val="center"/>
          </w:tcPr>
          <w:p w14:paraId="5CCEFFE9"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27.4</w:t>
            </w:r>
          </w:p>
        </w:tc>
        <w:tc>
          <w:tcPr>
            <w:tcW w:w="567" w:type="dxa"/>
            <w:vAlign w:val="center"/>
          </w:tcPr>
          <w:p w14:paraId="0C3C8396"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27.8</w:t>
            </w:r>
          </w:p>
        </w:tc>
        <w:tc>
          <w:tcPr>
            <w:tcW w:w="567" w:type="dxa"/>
            <w:tcMar>
              <w:top w:w="28" w:type="dxa"/>
              <w:left w:w="28" w:type="dxa"/>
              <w:bottom w:w="28" w:type="dxa"/>
              <w:right w:w="28" w:type="dxa"/>
            </w:tcMar>
            <w:vAlign w:val="center"/>
          </w:tcPr>
          <w:p w14:paraId="0890C13A"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29.3</w:t>
            </w:r>
          </w:p>
        </w:tc>
        <w:tc>
          <w:tcPr>
            <w:tcW w:w="567" w:type="dxa"/>
            <w:vAlign w:val="center"/>
          </w:tcPr>
          <w:p w14:paraId="3451763C"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30.1</w:t>
            </w:r>
          </w:p>
        </w:tc>
        <w:tc>
          <w:tcPr>
            <w:tcW w:w="567" w:type="dxa"/>
            <w:noWrap/>
            <w:tcMar>
              <w:left w:w="57" w:type="dxa"/>
              <w:right w:w="57" w:type="dxa"/>
            </w:tcMar>
            <w:vAlign w:val="center"/>
          </w:tcPr>
          <w:p w14:paraId="34319D0F"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29.9</w:t>
            </w:r>
          </w:p>
        </w:tc>
        <w:tc>
          <w:tcPr>
            <w:tcW w:w="851" w:type="dxa"/>
            <w:noWrap/>
            <w:tcMar>
              <w:left w:w="57" w:type="dxa"/>
              <w:right w:w="57" w:type="dxa"/>
            </w:tcMar>
            <w:vAlign w:val="center"/>
          </w:tcPr>
          <w:p w14:paraId="6E632A4E"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354,200</w:t>
            </w:r>
          </w:p>
        </w:tc>
      </w:tr>
      <w:tr w:rsidR="00711FE4" w:rsidRPr="00711FE4" w14:paraId="286D0ECC" w14:textId="77777777" w:rsidTr="00366F04">
        <w:trPr>
          <w:jc w:val="center"/>
        </w:trPr>
        <w:tc>
          <w:tcPr>
            <w:tcW w:w="421" w:type="dxa"/>
            <w:vAlign w:val="center"/>
          </w:tcPr>
          <w:p w14:paraId="509F5D5A"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0CCD1CB1"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50% relative</w:t>
            </w:r>
          </w:p>
        </w:tc>
        <w:tc>
          <w:tcPr>
            <w:tcW w:w="567" w:type="dxa"/>
            <w:tcMar>
              <w:top w:w="28" w:type="dxa"/>
              <w:left w:w="28" w:type="dxa"/>
              <w:bottom w:w="28" w:type="dxa"/>
              <w:right w:w="28" w:type="dxa"/>
            </w:tcMar>
            <w:vAlign w:val="center"/>
          </w:tcPr>
          <w:p w14:paraId="33D2615B"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22.8</w:t>
            </w:r>
          </w:p>
        </w:tc>
        <w:tc>
          <w:tcPr>
            <w:tcW w:w="567" w:type="dxa"/>
            <w:tcMar>
              <w:top w:w="28" w:type="dxa"/>
              <w:left w:w="28" w:type="dxa"/>
              <w:bottom w:w="28" w:type="dxa"/>
              <w:right w:w="28" w:type="dxa"/>
            </w:tcMar>
            <w:vAlign w:val="center"/>
          </w:tcPr>
          <w:p w14:paraId="28EDBC99"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20.1</w:t>
            </w:r>
          </w:p>
        </w:tc>
        <w:tc>
          <w:tcPr>
            <w:tcW w:w="567" w:type="dxa"/>
            <w:tcMar>
              <w:top w:w="28" w:type="dxa"/>
              <w:left w:w="28" w:type="dxa"/>
              <w:bottom w:w="28" w:type="dxa"/>
              <w:right w:w="28" w:type="dxa"/>
            </w:tcMar>
            <w:vAlign w:val="center"/>
          </w:tcPr>
          <w:p w14:paraId="4368F992"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19.5</w:t>
            </w:r>
          </w:p>
        </w:tc>
        <w:tc>
          <w:tcPr>
            <w:tcW w:w="567" w:type="dxa"/>
            <w:vAlign w:val="center"/>
          </w:tcPr>
          <w:p w14:paraId="2D3B3486"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19.6</w:t>
            </w:r>
          </w:p>
        </w:tc>
        <w:tc>
          <w:tcPr>
            <w:tcW w:w="567" w:type="dxa"/>
            <w:vAlign w:val="center"/>
          </w:tcPr>
          <w:p w14:paraId="535AD464"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18.8</w:t>
            </w:r>
          </w:p>
        </w:tc>
        <w:tc>
          <w:tcPr>
            <w:tcW w:w="567" w:type="dxa"/>
            <w:tcMar>
              <w:top w:w="28" w:type="dxa"/>
              <w:left w:w="28" w:type="dxa"/>
              <w:bottom w:w="28" w:type="dxa"/>
              <w:right w:w="28" w:type="dxa"/>
            </w:tcMar>
            <w:vAlign w:val="center"/>
          </w:tcPr>
          <w:p w14:paraId="5E92E6C1"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20.5</w:t>
            </w:r>
          </w:p>
        </w:tc>
        <w:tc>
          <w:tcPr>
            <w:tcW w:w="567" w:type="dxa"/>
            <w:vAlign w:val="center"/>
          </w:tcPr>
          <w:p w14:paraId="44AB5F91"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21.1</w:t>
            </w:r>
          </w:p>
        </w:tc>
        <w:tc>
          <w:tcPr>
            <w:tcW w:w="567" w:type="dxa"/>
            <w:noWrap/>
            <w:tcMar>
              <w:left w:w="57" w:type="dxa"/>
              <w:right w:w="57" w:type="dxa"/>
            </w:tcMar>
            <w:vAlign w:val="center"/>
          </w:tcPr>
          <w:p w14:paraId="7D7E1543"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21.5</w:t>
            </w:r>
          </w:p>
        </w:tc>
        <w:tc>
          <w:tcPr>
            <w:tcW w:w="851" w:type="dxa"/>
            <w:noWrap/>
            <w:tcMar>
              <w:left w:w="57" w:type="dxa"/>
              <w:right w:w="57" w:type="dxa"/>
            </w:tcMar>
            <w:vAlign w:val="center"/>
          </w:tcPr>
          <w:p w14:paraId="6902B881" w14:textId="77777777" w:rsidR="00711FE4" w:rsidRPr="00711FE4" w:rsidRDefault="00711FE4" w:rsidP="00711FE4">
            <w:pPr>
              <w:spacing w:before="30" w:after="30"/>
              <w:jc w:val="center"/>
              <w:rPr>
                <w:rFonts w:ascii="Arial" w:hAnsi="Arial"/>
                <w:i/>
                <w:iCs/>
                <w:color w:val="000000"/>
                <w:sz w:val="14"/>
                <w:szCs w:val="14"/>
              </w:rPr>
            </w:pPr>
            <w:r w:rsidRPr="00711FE4">
              <w:rPr>
                <w:rFonts w:ascii="Arial" w:hAnsi="Arial"/>
                <w:i/>
                <w:iCs/>
                <w:color w:val="000000"/>
                <w:sz w:val="14"/>
                <w:szCs w:val="14"/>
              </w:rPr>
              <w:t>254,500</w:t>
            </w:r>
          </w:p>
        </w:tc>
      </w:tr>
      <w:tr w:rsidR="00711FE4" w:rsidRPr="00711FE4" w14:paraId="06DC1F2F" w14:textId="77777777" w:rsidTr="00366F04">
        <w:trPr>
          <w:jc w:val="center"/>
        </w:trPr>
        <w:tc>
          <w:tcPr>
            <w:tcW w:w="421" w:type="dxa"/>
            <w:vAlign w:val="center"/>
          </w:tcPr>
          <w:p w14:paraId="7ADD6B1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1B626065"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40% relative</w:t>
            </w:r>
          </w:p>
        </w:tc>
        <w:tc>
          <w:tcPr>
            <w:tcW w:w="567" w:type="dxa"/>
            <w:tcMar>
              <w:top w:w="28" w:type="dxa"/>
              <w:left w:w="28" w:type="dxa"/>
              <w:bottom w:w="28" w:type="dxa"/>
              <w:right w:w="28" w:type="dxa"/>
            </w:tcMar>
            <w:vAlign w:val="center"/>
          </w:tcPr>
          <w:p w14:paraId="2818D317"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15.7</w:t>
            </w:r>
          </w:p>
        </w:tc>
        <w:tc>
          <w:tcPr>
            <w:tcW w:w="567" w:type="dxa"/>
            <w:tcMar>
              <w:top w:w="28" w:type="dxa"/>
              <w:left w:w="28" w:type="dxa"/>
              <w:bottom w:w="28" w:type="dxa"/>
              <w:right w:w="28" w:type="dxa"/>
            </w:tcMar>
            <w:vAlign w:val="center"/>
          </w:tcPr>
          <w:p w14:paraId="5B66EF5F"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13.9</w:t>
            </w:r>
          </w:p>
        </w:tc>
        <w:tc>
          <w:tcPr>
            <w:tcW w:w="567" w:type="dxa"/>
            <w:tcMar>
              <w:top w:w="28" w:type="dxa"/>
              <w:left w:w="28" w:type="dxa"/>
              <w:bottom w:w="28" w:type="dxa"/>
              <w:right w:w="28" w:type="dxa"/>
            </w:tcMar>
            <w:vAlign w:val="center"/>
          </w:tcPr>
          <w:p w14:paraId="16F9FD6F"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13.1</w:t>
            </w:r>
          </w:p>
        </w:tc>
        <w:tc>
          <w:tcPr>
            <w:tcW w:w="567" w:type="dxa"/>
            <w:vAlign w:val="center"/>
          </w:tcPr>
          <w:p w14:paraId="0F7C50B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12.2</w:t>
            </w:r>
          </w:p>
        </w:tc>
        <w:tc>
          <w:tcPr>
            <w:tcW w:w="567" w:type="dxa"/>
            <w:vAlign w:val="center"/>
          </w:tcPr>
          <w:p w14:paraId="2F31113D"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11.9</w:t>
            </w:r>
          </w:p>
        </w:tc>
        <w:tc>
          <w:tcPr>
            <w:tcW w:w="567" w:type="dxa"/>
            <w:tcMar>
              <w:top w:w="28" w:type="dxa"/>
              <w:left w:w="28" w:type="dxa"/>
              <w:bottom w:w="28" w:type="dxa"/>
              <w:right w:w="28" w:type="dxa"/>
            </w:tcMar>
            <w:vAlign w:val="center"/>
          </w:tcPr>
          <w:p w14:paraId="086F10B4"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13.0</w:t>
            </w:r>
          </w:p>
        </w:tc>
        <w:tc>
          <w:tcPr>
            <w:tcW w:w="567" w:type="dxa"/>
            <w:vAlign w:val="center"/>
          </w:tcPr>
          <w:p w14:paraId="27E07E11"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13.8</w:t>
            </w:r>
          </w:p>
        </w:tc>
        <w:tc>
          <w:tcPr>
            <w:tcW w:w="567" w:type="dxa"/>
            <w:noWrap/>
            <w:tcMar>
              <w:left w:w="57" w:type="dxa"/>
              <w:right w:w="57" w:type="dxa"/>
            </w:tcMar>
            <w:vAlign w:val="center"/>
          </w:tcPr>
          <w:p w14:paraId="6A512040"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13.4</w:t>
            </w:r>
          </w:p>
        </w:tc>
        <w:tc>
          <w:tcPr>
            <w:tcW w:w="851" w:type="dxa"/>
            <w:noWrap/>
            <w:tcMar>
              <w:left w:w="57" w:type="dxa"/>
              <w:right w:w="57" w:type="dxa"/>
            </w:tcMar>
            <w:vAlign w:val="center"/>
          </w:tcPr>
          <w:p w14:paraId="454F1B6E"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158,100</w:t>
            </w:r>
          </w:p>
        </w:tc>
      </w:tr>
      <w:tr w:rsidR="00711FE4" w:rsidRPr="00711FE4" w14:paraId="285CCC46" w14:textId="77777777" w:rsidTr="00366F04">
        <w:trPr>
          <w:jc w:val="center"/>
        </w:trPr>
        <w:tc>
          <w:tcPr>
            <w:tcW w:w="421" w:type="dxa"/>
            <w:vAlign w:val="center"/>
          </w:tcPr>
          <w:p w14:paraId="45A507D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672AC507"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Severe material hardship</w:t>
            </w:r>
          </w:p>
        </w:tc>
        <w:tc>
          <w:tcPr>
            <w:tcW w:w="567" w:type="dxa"/>
            <w:tcMar>
              <w:top w:w="28" w:type="dxa"/>
              <w:left w:w="28" w:type="dxa"/>
              <w:bottom w:w="28" w:type="dxa"/>
              <w:right w:w="28" w:type="dxa"/>
            </w:tcMar>
            <w:vAlign w:val="center"/>
          </w:tcPr>
          <w:p w14:paraId="6ED59C65"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5.8</w:t>
            </w:r>
          </w:p>
        </w:tc>
        <w:tc>
          <w:tcPr>
            <w:tcW w:w="567" w:type="dxa"/>
            <w:tcMar>
              <w:top w:w="28" w:type="dxa"/>
              <w:left w:w="28" w:type="dxa"/>
              <w:bottom w:w="28" w:type="dxa"/>
              <w:right w:w="28" w:type="dxa"/>
            </w:tcMar>
            <w:vAlign w:val="center"/>
          </w:tcPr>
          <w:p w14:paraId="13DDBC64"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5.8</w:t>
            </w:r>
          </w:p>
        </w:tc>
        <w:tc>
          <w:tcPr>
            <w:tcW w:w="567" w:type="dxa"/>
            <w:tcMar>
              <w:top w:w="28" w:type="dxa"/>
              <w:left w:w="28" w:type="dxa"/>
              <w:bottom w:w="28" w:type="dxa"/>
              <w:right w:w="28" w:type="dxa"/>
            </w:tcMar>
            <w:vAlign w:val="center"/>
          </w:tcPr>
          <w:p w14:paraId="3C90F8CF"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4.6</w:t>
            </w:r>
          </w:p>
        </w:tc>
        <w:tc>
          <w:tcPr>
            <w:tcW w:w="567" w:type="dxa"/>
            <w:vAlign w:val="center"/>
          </w:tcPr>
          <w:p w14:paraId="20A5E4AF"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4.9</w:t>
            </w:r>
          </w:p>
        </w:tc>
        <w:tc>
          <w:tcPr>
            <w:tcW w:w="567" w:type="dxa"/>
            <w:vAlign w:val="center"/>
          </w:tcPr>
          <w:p w14:paraId="1742CBFE"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4.0</w:t>
            </w:r>
          </w:p>
        </w:tc>
        <w:tc>
          <w:tcPr>
            <w:tcW w:w="567" w:type="dxa"/>
            <w:tcMar>
              <w:top w:w="28" w:type="dxa"/>
              <w:left w:w="28" w:type="dxa"/>
              <w:bottom w:w="28" w:type="dxa"/>
              <w:right w:w="28" w:type="dxa"/>
            </w:tcMar>
            <w:vAlign w:val="center"/>
          </w:tcPr>
          <w:p w14:paraId="78988E83"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5.6</w:t>
            </w:r>
          </w:p>
        </w:tc>
        <w:tc>
          <w:tcPr>
            <w:tcW w:w="567" w:type="dxa"/>
            <w:vAlign w:val="center"/>
          </w:tcPr>
          <w:p w14:paraId="0FA01D1F"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5.5</w:t>
            </w:r>
          </w:p>
        </w:tc>
        <w:tc>
          <w:tcPr>
            <w:tcW w:w="567" w:type="dxa"/>
            <w:noWrap/>
            <w:tcMar>
              <w:left w:w="57" w:type="dxa"/>
              <w:right w:w="57" w:type="dxa"/>
            </w:tcMar>
            <w:vAlign w:val="center"/>
          </w:tcPr>
          <w:p w14:paraId="0C89E689"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6.0</w:t>
            </w:r>
          </w:p>
        </w:tc>
        <w:tc>
          <w:tcPr>
            <w:tcW w:w="851" w:type="dxa"/>
            <w:noWrap/>
            <w:tcMar>
              <w:left w:w="57" w:type="dxa"/>
              <w:right w:w="57" w:type="dxa"/>
            </w:tcMar>
            <w:vAlign w:val="center"/>
          </w:tcPr>
          <w:p w14:paraId="215DD90F"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71,000</w:t>
            </w:r>
          </w:p>
        </w:tc>
      </w:tr>
      <w:tr w:rsidR="00711FE4" w:rsidRPr="00711FE4" w14:paraId="1D945262" w14:textId="77777777" w:rsidTr="00366F04">
        <w:trPr>
          <w:jc w:val="center"/>
        </w:trPr>
        <w:tc>
          <w:tcPr>
            <w:tcW w:w="421" w:type="dxa"/>
            <w:vAlign w:val="center"/>
          </w:tcPr>
          <w:p w14:paraId="0B15594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4D0E7C9D"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Both material hardship and low-income (less than 60% AHC)</w:t>
            </w:r>
          </w:p>
        </w:tc>
        <w:tc>
          <w:tcPr>
            <w:tcW w:w="567" w:type="dxa"/>
            <w:tcMar>
              <w:top w:w="28" w:type="dxa"/>
              <w:left w:w="28" w:type="dxa"/>
              <w:bottom w:w="28" w:type="dxa"/>
              <w:right w:w="28" w:type="dxa"/>
            </w:tcMar>
            <w:vAlign w:val="center"/>
          </w:tcPr>
          <w:p w14:paraId="3FCF76FD"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8.8</w:t>
            </w:r>
          </w:p>
        </w:tc>
        <w:tc>
          <w:tcPr>
            <w:tcW w:w="567" w:type="dxa"/>
            <w:tcMar>
              <w:top w:w="28" w:type="dxa"/>
              <w:left w:w="28" w:type="dxa"/>
              <w:bottom w:w="28" w:type="dxa"/>
              <w:right w:w="28" w:type="dxa"/>
            </w:tcMar>
            <w:vAlign w:val="center"/>
          </w:tcPr>
          <w:p w14:paraId="1514AD97"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7.8</w:t>
            </w:r>
          </w:p>
        </w:tc>
        <w:tc>
          <w:tcPr>
            <w:tcW w:w="567" w:type="dxa"/>
            <w:tcMar>
              <w:top w:w="28" w:type="dxa"/>
              <w:left w:w="28" w:type="dxa"/>
              <w:bottom w:w="28" w:type="dxa"/>
              <w:right w:w="28" w:type="dxa"/>
            </w:tcMar>
            <w:vAlign w:val="center"/>
          </w:tcPr>
          <w:p w14:paraId="55543FFD"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6.9</w:t>
            </w:r>
          </w:p>
        </w:tc>
        <w:tc>
          <w:tcPr>
            <w:tcW w:w="567" w:type="dxa"/>
            <w:vAlign w:val="center"/>
          </w:tcPr>
          <w:p w14:paraId="1C27A75A"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6.5</w:t>
            </w:r>
          </w:p>
        </w:tc>
        <w:tc>
          <w:tcPr>
            <w:tcW w:w="567" w:type="dxa"/>
            <w:vAlign w:val="center"/>
          </w:tcPr>
          <w:p w14:paraId="384BE463"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5.8</w:t>
            </w:r>
          </w:p>
        </w:tc>
        <w:tc>
          <w:tcPr>
            <w:tcW w:w="567" w:type="dxa"/>
            <w:tcMar>
              <w:top w:w="28" w:type="dxa"/>
              <w:left w:w="28" w:type="dxa"/>
              <w:bottom w:w="28" w:type="dxa"/>
              <w:right w:w="28" w:type="dxa"/>
            </w:tcMar>
            <w:vAlign w:val="center"/>
          </w:tcPr>
          <w:p w14:paraId="528588C0"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6.8</w:t>
            </w:r>
          </w:p>
        </w:tc>
        <w:tc>
          <w:tcPr>
            <w:tcW w:w="567" w:type="dxa"/>
            <w:vAlign w:val="center"/>
          </w:tcPr>
          <w:p w14:paraId="67DBFEF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7.8</w:t>
            </w:r>
          </w:p>
        </w:tc>
        <w:tc>
          <w:tcPr>
            <w:tcW w:w="567" w:type="dxa"/>
            <w:noWrap/>
            <w:tcMar>
              <w:left w:w="57" w:type="dxa"/>
              <w:right w:w="57" w:type="dxa"/>
            </w:tcMar>
            <w:vAlign w:val="center"/>
          </w:tcPr>
          <w:p w14:paraId="7DD16C65"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8.6</w:t>
            </w:r>
          </w:p>
        </w:tc>
        <w:tc>
          <w:tcPr>
            <w:tcW w:w="851" w:type="dxa"/>
            <w:noWrap/>
            <w:tcMar>
              <w:left w:w="57" w:type="dxa"/>
              <w:right w:w="57" w:type="dxa"/>
            </w:tcMar>
            <w:vAlign w:val="center"/>
          </w:tcPr>
          <w:p w14:paraId="66386C01" w14:textId="77777777" w:rsidR="00711FE4" w:rsidRPr="00711FE4" w:rsidRDefault="00711FE4" w:rsidP="00711FE4">
            <w:pPr>
              <w:spacing w:before="30" w:after="30"/>
              <w:jc w:val="center"/>
              <w:rPr>
                <w:rFonts w:ascii="Arial" w:hAnsi="Arial"/>
                <w:i/>
                <w:iCs/>
                <w:color w:val="000000" w:themeColor="text1"/>
                <w:sz w:val="14"/>
                <w:szCs w:val="14"/>
              </w:rPr>
            </w:pPr>
            <w:r w:rsidRPr="00711FE4">
              <w:rPr>
                <w:rFonts w:ascii="Arial" w:hAnsi="Arial"/>
                <w:i/>
                <w:iCs/>
                <w:color w:val="000000"/>
                <w:sz w:val="14"/>
                <w:szCs w:val="14"/>
              </w:rPr>
              <w:t>101,600</w:t>
            </w:r>
          </w:p>
        </w:tc>
      </w:tr>
    </w:tbl>
    <w:p w14:paraId="5E294248" w14:textId="77777777" w:rsidR="00711FE4" w:rsidRPr="00711FE4" w:rsidRDefault="00711FE4" w:rsidP="00711FE4">
      <w:pPr>
        <w:spacing w:before="60" w:after="60"/>
        <w:ind w:left="709" w:right="805" w:hanging="426"/>
        <w:rPr>
          <w:rFonts w:ascii="Arial" w:hAnsi="Arial"/>
          <w:color w:val="000000" w:themeColor="text1"/>
          <w:sz w:val="16"/>
          <w:szCs w:val="18"/>
        </w:rPr>
      </w:pPr>
      <w:r w:rsidRPr="00711FE4">
        <w:rPr>
          <w:rFonts w:ascii="Arial" w:hAnsi="Arial"/>
          <w:color w:val="000000" w:themeColor="text1"/>
          <w:sz w:val="16"/>
          <w:szCs w:val="18"/>
        </w:rPr>
        <w:t xml:space="preserve">Source: </w:t>
      </w:r>
      <w:hyperlink r:id="rId104" w:history="1">
        <w:r w:rsidRPr="00711FE4">
          <w:rPr>
            <w:rFonts w:ascii="Arial" w:hAnsi="Arial"/>
            <w:color w:val="0000FF"/>
            <w:sz w:val="16"/>
            <w:szCs w:val="18"/>
            <w:u w:val="single"/>
          </w:rPr>
          <w:t>Child poverty statistics: Year ended June 2025 – summary table</w:t>
        </w:r>
      </w:hyperlink>
    </w:p>
    <w:p w14:paraId="6FE0A556" w14:textId="77777777" w:rsidR="00711FE4" w:rsidRPr="00711FE4" w:rsidRDefault="00711FE4" w:rsidP="00711FE4">
      <w:pPr>
        <w:spacing w:before="60" w:after="60"/>
        <w:ind w:left="709" w:right="805" w:hanging="426"/>
        <w:rPr>
          <w:rFonts w:ascii="Arial" w:hAnsi="Arial"/>
          <w:color w:val="000000" w:themeColor="text1"/>
          <w:sz w:val="16"/>
          <w:szCs w:val="18"/>
        </w:rPr>
      </w:pPr>
      <w:r w:rsidRPr="00711FE4">
        <w:rPr>
          <w:rFonts w:ascii="Arial" w:hAnsi="Arial"/>
          <w:color w:val="000000" w:themeColor="text1"/>
          <w:sz w:val="16"/>
          <w:szCs w:val="18"/>
        </w:rPr>
        <w:t xml:space="preserve">Notes for Table: </w:t>
      </w:r>
      <w:r w:rsidRPr="00711FE4">
        <w:rPr>
          <w:rFonts w:ascii="Arial" w:hAnsi="Arial"/>
          <w:color w:val="000000" w:themeColor="text1"/>
          <w:sz w:val="16"/>
          <w:szCs w:val="18"/>
        </w:rPr>
        <w:tab/>
      </w:r>
    </w:p>
    <w:p w14:paraId="1833C4A3" w14:textId="77777777" w:rsidR="00711FE4" w:rsidRPr="00711FE4" w:rsidRDefault="00711FE4">
      <w:pPr>
        <w:numPr>
          <w:ilvl w:val="0"/>
          <w:numId w:val="96"/>
        </w:numPr>
        <w:spacing w:after="0" w:line="240" w:lineRule="auto"/>
        <w:ind w:left="709" w:right="238" w:hanging="284"/>
        <w:rPr>
          <w:rFonts w:ascii="Arial" w:hAnsi="Arial"/>
          <w:color w:val="000000" w:themeColor="text1"/>
          <w:sz w:val="16"/>
          <w:szCs w:val="18"/>
        </w:rPr>
      </w:pPr>
      <w:r w:rsidRPr="00711FE4">
        <w:rPr>
          <w:rFonts w:ascii="Arial" w:hAnsi="Arial"/>
          <w:color w:val="000000" w:themeColor="text1"/>
          <w:sz w:val="16"/>
          <w:szCs w:val="18"/>
        </w:rPr>
        <w:t xml:space="preserve">P = primary measure (required by the CPRA to have targets).  </w:t>
      </w:r>
    </w:p>
    <w:p w14:paraId="150B6660" w14:textId="77777777" w:rsidR="00711FE4" w:rsidRPr="00711FE4" w:rsidRDefault="00711FE4" w:rsidP="00711FE4">
      <w:pPr>
        <w:spacing w:after="60" w:line="240" w:lineRule="auto"/>
        <w:ind w:left="709" w:right="238"/>
        <w:rPr>
          <w:rFonts w:ascii="Arial" w:hAnsi="Arial"/>
          <w:color w:val="000000" w:themeColor="text1"/>
          <w:sz w:val="16"/>
          <w:szCs w:val="18"/>
        </w:rPr>
      </w:pPr>
      <w:r w:rsidRPr="00711FE4">
        <w:rPr>
          <w:rFonts w:ascii="Arial" w:hAnsi="Arial"/>
          <w:color w:val="000000" w:themeColor="text1"/>
          <w:sz w:val="16"/>
          <w:szCs w:val="18"/>
        </w:rPr>
        <w:t>S = supplementary measure (no targets required, but can have if desired).</w:t>
      </w:r>
    </w:p>
    <w:p w14:paraId="71633D73" w14:textId="77777777" w:rsidR="00711FE4" w:rsidRPr="00711FE4" w:rsidRDefault="00711FE4">
      <w:pPr>
        <w:numPr>
          <w:ilvl w:val="0"/>
          <w:numId w:val="96"/>
        </w:numPr>
        <w:spacing w:after="60" w:line="240" w:lineRule="auto"/>
        <w:ind w:left="709" w:right="238" w:hanging="284"/>
        <w:rPr>
          <w:rFonts w:ascii="Arial" w:hAnsi="Arial"/>
          <w:color w:val="000000" w:themeColor="text1"/>
          <w:sz w:val="16"/>
          <w:szCs w:val="18"/>
        </w:rPr>
      </w:pPr>
      <w:r w:rsidRPr="00711FE4">
        <w:rPr>
          <w:rFonts w:ascii="Arial" w:hAnsi="Arial"/>
          <w:color w:val="000000" w:themeColor="text1"/>
          <w:sz w:val="16"/>
          <w:szCs w:val="18"/>
        </w:rPr>
        <w:t>BHC is short for ‘household income before deducting housing costs’ and AHC means ‘household income after deducting housing costs’.</w:t>
      </w:r>
    </w:p>
    <w:p w14:paraId="0739570C" w14:textId="77777777" w:rsidR="00711FE4" w:rsidRPr="00711FE4" w:rsidRDefault="00711FE4">
      <w:pPr>
        <w:numPr>
          <w:ilvl w:val="0"/>
          <w:numId w:val="96"/>
        </w:numPr>
        <w:spacing w:after="60" w:line="240" w:lineRule="auto"/>
        <w:ind w:left="709" w:right="237" w:hanging="284"/>
        <w:rPr>
          <w:rFonts w:ascii="Arial" w:hAnsi="Arial"/>
          <w:color w:val="000000" w:themeColor="text1"/>
          <w:sz w:val="16"/>
          <w:szCs w:val="18"/>
        </w:rPr>
      </w:pPr>
      <w:r w:rsidRPr="00711FE4">
        <w:rPr>
          <w:rFonts w:ascii="Arial" w:hAnsi="Arial"/>
          <w:color w:val="000000" w:themeColor="text1"/>
          <w:sz w:val="16"/>
          <w:szCs w:val="18"/>
        </w:rPr>
        <w:t>‘AHC 40% relative’ is short for ‘40% of the median AHC income’, and so on.</w:t>
      </w:r>
    </w:p>
    <w:p w14:paraId="3DCD1AFC" w14:textId="77777777" w:rsidR="00711FE4" w:rsidRPr="00711FE4" w:rsidRDefault="00711FE4">
      <w:pPr>
        <w:numPr>
          <w:ilvl w:val="0"/>
          <w:numId w:val="96"/>
        </w:numPr>
        <w:spacing w:after="60" w:line="240" w:lineRule="auto"/>
        <w:ind w:left="709" w:right="238" w:hanging="284"/>
        <w:rPr>
          <w:rFonts w:ascii="Arial" w:hAnsi="Arial"/>
          <w:color w:val="000000" w:themeColor="text1"/>
          <w:sz w:val="16"/>
          <w:szCs w:val="18"/>
        </w:rPr>
      </w:pPr>
      <w:r w:rsidRPr="00711FE4">
        <w:rPr>
          <w:rFonts w:ascii="Arial" w:hAnsi="Arial"/>
          <w:color w:val="000000" w:themeColor="text1"/>
          <w:sz w:val="16"/>
          <w:szCs w:val="18"/>
        </w:rPr>
        <w:t>Material hardship and severe material hardship for the HES years are measured using the DEP-17 index with thresholds of 6+ and 9+ respectively. For HILS 24-25 the MH-18 index is used with thresholds of 7+ and 10+.</w:t>
      </w:r>
    </w:p>
    <w:p w14:paraId="00911529" w14:textId="77777777" w:rsidR="00711FE4" w:rsidRPr="00711FE4" w:rsidRDefault="00711FE4">
      <w:pPr>
        <w:numPr>
          <w:ilvl w:val="0"/>
          <w:numId w:val="96"/>
        </w:numPr>
        <w:spacing w:after="60" w:line="240" w:lineRule="auto"/>
        <w:ind w:left="709" w:right="237" w:hanging="284"/>
        <w:rPr>
          <w:rFonts w:ascii="Arial" w:hAnsi="Arial"/>
          <w:color w:val="000000" w:themeColor="text1"/>
          <w:sz w:val="16"/>
          <w:szCs w:val="18"/>
        </w:rPr>
      </w:pPr>
      <w:r w:rsidRPr="00711FE4">
        <w:rPr>
          <w:rFonts w:ascii="Arial" w:hAnsi="Arial"/>
          <w:color w:val="000000" w:themeColor="text1"/>
          <w:sz w:val="16"/>
          <w:szCs w:val="18"/>
        </w:rPr>
        <w:t xml:space="preserve">The 2024-25 figures are italicised as they are provisional. The figures for the latest survey are always provisional for the February publications as final IRD returns are still to come for some who receive WFF tax credits. In addition, by the time of the next publication there will have been a population rebase. The provisional and revised figures for 2023-24 are shown in </w:t>
      </w:r>
      <w:r w:rsidRPr="00711FE4">
        <w:rPr>
          <w:rFonts w:ascii="Arial" w:hAnsi="Arial"/>
          <w:b/>
          <w:bCs/>
          <w:color w:val="000000" w:themeColor="text1"/>
          <w:sz w:val="16"/>
          <w:szCs w:val="18"/>
        </w:rPr>
        <w:t>Table 2.2</w:t>
      </w:r>
      <w:r w:rsidRPr="00711FE4">
        <w:rPr>
          <w:rFonts w:ascii="Arial" w:hAnsi="Arial"/>
          <w:color w:val="000000" w:themeColor="text1"/>
          <w:sz w:val="16"/>
          <w:szCs w:val="18"/>
        </w:rPr>
        <w:t xml:space="preserve">. </w:t>
      </w:r>
    </w:p>
    <w:p w14:paraId="58E570AD" w14:textId="77777777" w:rsidR="00711FE4" w:rsidRPr="00711FE4" w:rsidRDefault="00711FE4" w:rsidP="00711FE4">
      <w:pPr>
        <w:spacing w:after="0" w:line="240" w:lineRule="auto"/>
        <w:ind w:left="709" w:right="238"/>
        <w:rPr>
          <w:rFonts w:ascii="Arial" w:hAnsi="Arial"/>
          <w:color w:val="000000" w:themeColor="text1"/>
          <w:sz w:val="16"/>
          <w:szCs w:val="18"/>
        </w:rPr>
      </w:pPr>
      <w:r w:rsidRPr="00711FE4">
        <w:rPr>
          <w:rFonts w:ascii="Arial" w:hAnsi="Arial"/>
          <w:color w:val="000000" w:themeColor="text1"/>
          <w:sz w:val="16"/>
          <w:szCs w:val="18"/>
        </w:rPr>
        <w:t>See the Child Poverty Technical Appendix for more information:</w:t>
      </w:r>
    </w:p>
    <w:p w14:paraId="7520922F" w14:textId="77777777" w:rsidR="00711FE4" w:rsidRPr="00711FE4" w:rsidRDefault="00711FE4" w:rsidP="00711FE4">
      <w:pPr>
        <w:spacing w:after="60" w:line="240" w:lineRule="auto"/>
        <w:ind w:left="709" w:right="237"/>
        <w:rPr>
          <w:rFonts w:ascii="Arial" w:hAnsi="Arial"/>
          <w:color w:val="000000" w:themeColor="text1"/>
          <w:sz w:val="16"/>
          <w:szCs w:val="18"/>
        </w:rPr>
      </w:pPr>
      <w:hyperlink r:id="rId105" w:history="1">
        <w:r w:rsidRPr="00711FE4">
          <w:rPr>
            <w:rFonts w:ascii="Arial" w:hAnsi="Arial"/>
            <w:color w:val="0000FF"/>
            <w:sz w:val="16"/>
            <w:szCs w:val="18"/>
            <w:u w:val="single"/>
          </w:rPr>
          <w:t>https://www.stats.govt.nz/methods/child-poverty-statistics-year-ended-june-2025-technical-appendix/</w:t>
        </w:r>
      </w:hyperlink>
      <w:r w:rsidRPr="00711FE4">
        <w:rPr>
          <w:rFonts w:ascii="Arial" w:hAnsi="Arial"/>
          <w:color w:val="000000" w:themeColor="text1"/>
          <w:sz w:val="16"/>
          <w:szCs w:val="18"/>
        </w:rPr>
        <w:t xml:space="preserve"> </w:t>
      </w:r>
    </w:p>
    <w:p w14:paraId="7D950B9B" w14:textId="77777777" w:rsidR="00711FE4" w:rsidRPr="00711FE4" w:rsidRDefault="00711FE4" w:rsidP="00711FE4">
      <w:pPr>
        <w:spacing w:after="60"/>
        <w:ind w:right="237"/>
        <w:rPr>
          <w:rFonts w:ascii="Arial" w:hAnsi="Arial"/>
          <w:color w:val="000000" w:themeColor="text1"/>
          <w:sz w:val="16"/>
          <w:szCs w:val="18"/>
        </w:rPr>
      </w:pPr>
    </w:p>
    <w:p w14:paraId="59EB474C" w14:textId="77777777" w:rsidR="00711FE4" w:rsidRPr="00711FE4" w:rsidRDefault="00711FE4" w:rsidP="00711FE4">
      <w:pPr>
        <w:spacing w:after="0" w:line="240" w:lineRule="auto"/>
        <w:jc w:val="center"/>
        <w:rPr>
          <w:rFonts w:ascii="Arial" w:hAnsi="Arial"/>
          <w:b/>
          <w:bCs/>
          <w:color w:val="000000" w:themeColor="text1"/>
          <w:sz w:val="18"/>
          <w:szCs w:val="20"/>
        </w:rPr>
      </w:pPr>
      <w:r w:rsidRPr="00711FE4">
        <w:rPr>
          <w:rFonts w:ascii="Arial" w:hAnsi="Arial"/>
          <w:b/>
          <w:bCs/>
          <w:color w:val="000000" w:themeColor="text1"/>
          <w:sz w:val="18"/>
          <w:szCs w:val="20"/>
        </w:rPr>
        <w:t>Table 2.2</w:t>
      </w:r>
    </w:p>
    <w:p w14:paraId="321B108B" w14:textId="77777777" w:rsidR="00711FE4" w:rsidRPr="00711FE4" w:rsidRDefault="00711FE4" w:rsidP="00711FE4">
      <w:pPr>
        <w:spacing w:line="240" w:lineRule="auto"/>
        <w:jc w:val="center"/>
        <w:rPr>
          <w:rFonts w:ascii="Arial" w:hAnsi="Arial"/>
          <w:b/>
          <w:bCs/>
          <w:color w:val="000000" w:themeColor="text1"/>
          <w:sz w:val="18"/>
          <w:szCs w:val="20"/>
        </w:rPr>
      </w:pPr>
      <w:r w:rsidRPr="00711FE4">
        <w:rPr>
          <w:rFonts w:ascii="Arial" w:hAnsi="Arial"/>
          <w:b/>
          <w:bCs/>
          <w:color w:val="000000" w:themeColor="text1"/>
          <w:sz w:val="18"/>
          <w:szCs w:val="20"/>
        </w:rPr>
        <w:t>Provisional and final rates (%) for the nine available CPRA child poverty measures for 2023-24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42" w:type="dxa"/>
        </w:tblCellMar>
        <w:tblLook w:val="04A0" w:firstRow="1" w:lastRow="0" w:firstColumn="1" w:lastColumn="0" w:noHBand="0" w:noVBand="1"/>
      </w:tblPr>
      <w:tblGrid>
        <w:gridCol w:w="421"/>
        <w:gridCol w:w="2409"/>
        <w:gridCol w:w="851"/>
        <w:gridCol w:w="850"/>
      </w:tblGrid>
      <w:tr w:rsidR="00711FE4" w:rsidRPr="00711FE4" w14:paraId="44875570" w14:textId="77777777" w:rsidTr="00366F04">
        <w:trPr>
          <w:jc w:val="center"/>
        </w:trPr>
        <w:tc>
          <w:tcPr>
            <w:tcW w:w="421" w:type="dxa"/>
            <w:shd w:val="clear" w:color="auto" w:fill="D9D9D9" w:themeFill="background1" w:themeFillShade="D9"/>
            <w:vAlign w:val="center"/>
          </w:tcPr>
          <w:p w14:paraId="5356677B" w14:textId="77777777" w:rsidR="00711FE4" w:rsidRPr="00711FE4" w:rsidRDefault="00711FE4" w:rsidP="00711FE4">
            <w:pPr>
              <w:spacing w:before="30" w:after="30"/>
              <w:jc w:val="center"/>
              <w:rPr>
                <w:rFonts w:ascii="Arial" w:hAnsi="Arial"/>
                <w:b/>
                <w:bCs/>
                <w:color w:val="000000" w:themeColor="text1"/>
                <w:sz w:val="14"/>
                <w:szCs w:val="14"/>
              </w:rPr>
            </w:pPr>
          </w:p>
        </w:tc>
        <w:tc>
          <w:tcPr>
            <w:tcW w:w="2409" w:type="dxa"/>
            <w:shd w:val="clear" w:color="auto" w:fill="D9D9D9" w:themeFill="background1" w:themeFillShade="D9"/>
            <w:noWrap/>
            <w:tcMar>
              <w:right w:w="57" w:type="dxa"/>
            </w:tcMar>
            <w:vAlign w:val="center"/>
          </w:tcPr>
          <w:p w14:paraId="34CCC25C" w14:textId="77777777" w:rsidR="00711FE4" w:rsidRPr="00711FE4" w:rsidRDefault="00711FE4" w:rsidP="00711FE4">
            <w:pPr>
              <w:spacing w:before="30" w:after="30"/>
              <w:rPr>
                <w:rFonts w:ascii="Arial" w:hAnsi="Arial"/>
                <w:color w:val="000000" w:themeColor="text1"/>
                <w:sz w:val="14"/>
                <w:szCs w:val="14"/>
              </w:rPr>
            </w:pPr>
          </w:p>
        </w:tc>
        <w:tc>
          <w:tcPr>
            <w:tcW w:w="1701" w:type="dxa"/>
            <w:gridSpan w:val="2"/>
            <w:shd w:val="clear" w:color="auto" w:fill="D9D9D9" w:themeFill="background1" w:themeFillShade="D9"/>
            <w:tcMar>
              <w:top w:w="28" w:type="dxa"/>
              <w:left w:w="28" w:type="dxa"/>
              <w:bottom w:w="28" w:type="dxa"/>
              <w:right w:w="28" w:type="dxa"/>
            </w:tcMar>
            <w:vAlign w:val="center"/>
          </w:tcPr>
          <w:p w14:paraId="2E4913BF"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 ‘poor’</w:t>
            </w:r>
          </w:p>
        </w:tc>
      </w:tr>
      <w:tr w:rsidR="00711FE4" w:rsidRPr="00711FE4" w14:paraId="55B077AB" w14:textId="77777777" w:rsidTr="00366F04">
        <w:trPr>
          <w:jc w:val="center"/>
        </w:trPr>
        <w:tc>
          <w:tcPr>
            <w:tcW w:w="421" w:type="dxa"/>
            <w:shd w:val="clear" w:color="auto" w:fill="D9D9D9" w:themeFill="background1" w:themeFillShade="D9"/>
            <w:vAlign w:val="center"/>
          </w:tcPr>
          <w:p w14:paraId="16E5755E" w14:textId="77777777" w:rsidR="00711FE4" w:rsidRPr="00711FE4" w:rsidRDefault="00711FE4" w:rsidP="00711FE4">
            <w:pPr>
              <w:spacing w:before="30" w:after="30"/>
              <w:jc w:val="center"/>
              <w:rPr>
                <w:rFonts w:ascii="Arial" w:hAnsi="Arial"/>
                <w:b/>
                <w:bCs/>
                <w:color w:val="000000" w:themeColor="text1"/>
                <w:sz w:val="14"/>
                <w:szCs w:val="14"/>
              </w:rPr>
            </w:pPr>
          </w:p>
        </w:tc>
        <w:tc>
          <w:tcPr>
            <w:tcW w:w="2409" w:type="dxa"/>
            <w:shd w:val="clear" w:color="auto" w:fill="D9D9D9" w:themeFill="background1" w:themeFillShade="D9"/>
            <w:noWrap/>
            <w:tcMar>
              <w:right w:w="57" w:type="dxa"/>
            </w:tcMar>
            <w:vAlign w:val="center"/>
          </w:tcPr>
          <w:p w14:paraId="7BD45C27" w14:textId="77777777" w:rsidR="00711FE4" w:rsidRPr="00711FE4" w:rsidRDefault="00711FE4" w:rsidP="00711FE4">
            <w:pPr>
              <w:spacing w:before="30" w:after="30"/>
              <w:rPr>
                <w:rFonts w:ascii="Arial" w:hAnsi="Arial"/>
                <w:b/>
                <w:bCs/>
                <w:color w:val="000000" w:themeColor="text1"/>
                <w:sz w:val="14"/>
                <w:szCs w:val="14"/>
              </w:rPr>
            </w:pPr>
            <w:r w:rsidRPr="00711FE4">
              <w:rPr>
                <w:rFonts w:ascii="Arial" w:hAnsi="Arial"/>
                <w:b/>
                <w:bCs/>
                <w:color w:val="000000" w:themeColor="text1"/>
                <w:sz w:val="14"/>
                <w:szCs w:val="14"/>
              </w:rPr>
              <w:t>Measure</w:t>
            </w:r>
          </w:p>
        </w:tc>
        <w:tc>
          <w:tcPr>
            <w:tcW w:w="851" w:type="dxa"/>
            <w:shd w:val="clear" w:color="auto" w:fill="D9D9D9" w:themeFill="background1" w:themeFillShade="D9"/>
            <w:tcMar>
              <w:top w:w="28" w:type="dxa"/>
              <w:left w:w="28" w:type="dxa"/>
              <w:bottom w:w="28" w:type="dxa"/>
              <w:right w:w="28" w:type="dxa"/>
            </w:tcMar>
            <w:vAlign w:val="center"/>
          </w:tcPr>
          <w:p w14:paraId="1CE04F89"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23-24 provisional</w:t>
            </w:r>
          </w:p>
        </w:tc>
        <w:tc>
          <w:tcPr>
            <w:tcW w:w="850" w:type="dxa"/>
            <w:shd w:val="clear" w:color="auto" w:fill="D9D9D9" w:themeFill="background1" w:themeFillShade="D9"/>
            <w:tcMar>
              <w:top w:w="28" w:type="dxa"/>
              <w:left w:w="28" w:type="dxa"/>
              <w:bottom w:w="28" w:type="dxa"/>
              <w:right w:w="28" w:type="dxa"/>
            </w:tcMar>
            <w:vAlign w:val="center"/>
          </w:tcPr>
          <w:p w14:paraId="64580EEA" w14:textId="77777777" w:rsidR="00711FE4" w:rsidRPr="00711FE4" w:rsidRDefault="00711FE4" w:rsidP="00711FE4">
            <w:pPr>
              <w:spacing w:before="30" w:after="0" w:line="240" w:lineRule="auto"/>
              <w:jc w:val="center"/>
              <w:rPr>
                <w:rFonts w:ascii="Arial" w:hAnsi="Arial"/>
                <w:b/>
                <w:bCs/>
                <w:color w:val="000000" w:themeColor="text1"/>
                <w:sz w:val="14"/>
                <w:szCs w:val="14"/>
              </w:rPr>
            </w:pPr>
            <w:r w:rsidRPr="00711FE4">
              <w:rPr>
                <w:rFonts w:ascii="Arial" w:hAnsi="Arial"/>
                <w:b/>
                <w:bCs/>
                <w:color w:val="000000" w:themeColor="text1"/>
                <w:sz w:val="14"/>
                <w:szCs w:val="14"/>
              </w:rPr>
              <w:t>23-24</w:t>
            </w:r>
          </w:p>
          <w:p w14:paraId="2141002D"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 xml:space="preserve"> final</w:t>
            </w:r>
          </w:p>
        </w:tc>
      </w:tr>
      <w:tr w:rsidR="00711FE4" w:rsidRPr="00711FE4" w14:paraId="332515F0" w14:textId="77777777" w:rsidTr="00366F04">
        <w:trPr>
          <w:jc w:val="center"/>
        </w:trPr>
        <w:tc>
          <w:tcPr>
            <w:tcW w:w="421" w:type="dxa"/>
            <w:shd w:val="clear" w:color="auto" w:fill="D9D9D9" w:themeFill="background1" w:themeFillShade="D9"/>
            <w:vAlign w:val="center"/>
          </w:tcPr>
          <w:p w14:paraId="6DEBB33C" w14:textId="77777777" w:rsidR="00711FE4" w:rsidRPr="00711FE4" w:rsidRDefault="00711FE4" w:rsidP="00711FE4">
            <w:pPr>
              <w:spacing w:before="30" w:after="30"/>
              <w:jc w:val="center"/>
              <w:rPr>
                <w:rFonts w:ascii="Arial" w:hAnsi="Arial"/>
                <w:b/>
                <w:bCs/>
                <w:color w:val="000000" w:themeColor="text1"/>
                <w:sz w:val="14"/>
                <w:szCs w:val="14"/>
              </w:rPr>
            </w:pPr>
            <w:r w:rsidRPr="00711FE4">
              <w:rPr>
                <w:rFonts w:ascii="Arial" w:hAnsi="Arial"/>
                <w:b/>
                <w:bCs/>
                <w:color w:val="000000" w:themeColor="text1"/>
                <w:sz w:val="14"/>
                <w:szCs w:val="14"/>
              </w:rPr>
              <w:t>P</w:t>
            </w:r>
          </w:p>
        </w:tc>
        <w:tc>
          <w:tcPr>
            <w:tcW w:w="2409" w:type="dxa"/>
            <w:shd w:val="clear" w:color="auto" w:fill="D9D9D9" w:themeFill="background1" w:themeFillShade="D9"/>
            <w:noWrap/>
            <w:tcMar>
              <w:right w:w="57" w:type="dxa"/>
            </w:tcMar>
            <w:vAlign w:val="center"/>
          </w:tcPr>
          <w:p w14:paraId="0647F604"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BHC 50% relative</w:t>
            </w:r>
          </w:p>
        </w:tc>
        <w:tc>
          <w:tcPr>
            <w:tcW w:w="851" w:type="dxa"/>
            <w:shd w:val="clear" w:color="auto" w:fill="D9D9D9" w:themeFill="background1" w:themeFillShade="D9"/>
            <w:tcMar>
              <w:top w:w="28" w:type="dxa"/>
              <w:left w:w="28" w:type="dxa"/>
              <w:bottom w:w="28" w:type="dxa"/>
              <w:right w:w="28" w:type="dxa"/>
            </w:tcMar>
            <w:vAlign w:val="center"/>
          </w:tcPr>
          <w:p w14:paraId="11B5BC9D"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12.7</w:t>
            </w:r>
          </w:p>
        </w:tc>
        <w:tc>
          <w:tcPr>
            <w:tcW w:w="850" w:type="dxa"/>
            <w:shd w:val="clear" w:color="auto" w:fill="D9D9D9" w:themeFill="background1" w:themeFillShade="D9"/>
            <w:tcMar>
              <w:top w:w="28" w:type="dxa"/>
              <w:left w:w="28" w:type="dxa"/>
              <w:bottom w:w="28" w:type="dxa"/>
              <w:right w:w="28" w:type="dxa"/>
            </w:tcMar>
            <w:vAlign w:val="center"/>
          </w:tcPr>
          <w:p w14:paraId="04119F9E"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12.7</w:t>
            </w:r>
          </w:p>
        </w:tc>
      </w:tr>
      <w:tr w:rsidR="00711FE4" w:rsidRPr="00711FE4" w14:paraId="250FCE86" w14:textId="77777777" w:rsidTr="00366F04">
        <w:trPr>
          <w:jc w:val="center"/>
        </w:trPr>
        <w:tc>
          <w:tcPr>
            <w:tcW w:w="421" w:type="dxa"/>
            <w:vAlign w:val="center"/>
          </w:tcPr>
          <w:p w14:paraId="30C7721A"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b/>
                <w:bCs/>
                <w:color w:val="000000" w:themeColor="text1"/>
                <w:sz w:val="14"/>
                <w:szCs w:val="14"/>
              </w:rPr>
              <w:t>P</w:t>
            </w:r>
          </w:p>
        </w:tc>
        <w:tc>
          <w:tcPr>
            <w:tcW w:w="2409" w:type="dxa"/>
            <w:noWrap/>
            <w:tcMar>
              <w:right w:w="57" w:type="dxa"/>
            </w:tcMar>
            <w:vAlign w:val="center"/>
          </w:tcPr>
          <w:p w14:paraId="6E712815"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50% anchored line (17/18 ref)</w:t>
            </w:r>
          </w:p>
        </w:tc>
        <w:tc>
          <w:tcPr>
            <w:tcW w:w="851" w:type="dxa"/>
            <w:tcMar>
              <w:top w:w="28" w:type="dxa"/>
              <w:left w:w="28" w:type="dxa"/>
              <w:bottom w:w="28" w:type="dxa"/>
              <w:right w:w="28" w:type="dxa"/>
            </w:tcMar>
            <w:vAlign w:val="center"/>
          </w:tcPr>
          <w:p w14:paraId="061BA944"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17.7</w:t>
            </w:r>
          </w:p>
        </w:tc>
        <w:tc>
          <w:tcPr>
            <w:tcW w:w="850" w:type="dxa"/>
            <w:tcMar>
              <w:top w:w="28" w:type="dxa"/>
              <w:left w:w="28" w:type="dxa"/>
              <w:bottom w:w="28" w:type="dxa"/>
              <w:right w:w="28" w:type="dxa"/>
            </w:tcMar>
            <w:vAlign w:val="center"/>
          </w:tcPr>
          <w:p w14:paraId="6E393E1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18.2</w:t>
            </w:r>
          </w:p>
        </w:tc>
      </w:tr>
      <w:tr w:rsidR="00711FE4" w:rsidRPr="00711FE4" w14:paraId="0D09259F" w14:textId="77777777" w:rsidTr="00366F04">
        <w:trPr>
          <w:jc w:val="center"/>
        </w:trPr>
        <w:tc>
          <w:tcPr>
            <w:tcW w:w="421" w:type="dxa"/>
            <w:vAlign w:val="center"/>
          </w:tcPr>
          <w:p w14:paraId="6A72C052"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b/>
                <w:bCs/>
                <w:color w:val="000000" w:themeColor="text1"/>
                <w:sz w:val="14"/>
                <w:szCs w:val="14"/>
              </w:rPr>
              <w:t>P</w:t>
            </w:r>
          </w:p>
        </w:tc>
        <w:tc>
          <w:tcPr>
            <w:tcW w:w="2409" w:type="dxa"/>
            <w:noWrap/>
            <w:tcMar>
              <w:right w:w="57" w:type="dxa"/>
            </w:tcMar>
            <w:vAlign w:val="center"/>
          </w:tcPr>
          <w:p w14:paraId="4F48FB3B"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 xml:space="preserve">Material hardship </w:t>
            </w:r>
          </w:p>
        </w:tc>
        <w:tc>
          <w:tcPr>
            <w:tcW w:w="851" w:type="dxa"/>
            <w:tcMar>
              <w:top w:w="28" w:type="dxa"/>
              <w:left w:w="28" w:type="dxa"/>
              <w:bottom w:w="28" w:type="dxa"/>
              <w:right w:w="28" w:type="dxa"/>
            </w:tcMar>
            <w:vAlign w:val="center"/>
          </w:tcPr>
          <w:p w14:paraId="3DDAE06C"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13.4</w:t>
            </w:r>
          </w:p>
        </w:tc>
        <w:tc>
          <w:tcPr>
            <w:tcW w:w="850" w:type="dxa"/>
            <w:tcMar>
              <w:top w:w="28" w:type="dxa"/>
              <w:left w:w="28" w:type="dxa"/>
              <w:bottom w:w="28" w:type="dxa"/>
              <w:right w:w="28" w:type="dxa"/>
            </w:tcMar>
            <w:vAlign w:val="center"/>
          </w:tcPr>
          <w:p w14:paraId="10E06ED9"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13.5</w:t>
            </w:r>
          </w:p>
        </w:tc>
      </w:tr>
      <w:tr w:rsidR="00711FE4" w:rsidRPr="00711FE4" w14:paraId="673986FE" w14:textId="77777777" w:rsidTr="00366F04">
        <w:trPr>
          <w:jc w:val="center"/>
        </w:trPr>
        <w:tc>
          <w:tcPr>
            <w:tcW w:w="421" w:type="dxa"/>
            <w:vAlign w:val="center"/>
          </w:tcPr>
          <w:p w14:paraId="32F4ED60"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79434095"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BHC 60% relative</w:t>
            </w:r>
          </w:p>
        </w:tc>
        <w:tc>
          <w:tcPr>
            <w:tcW w:w="851" w:type="dxa"/>
            <w:tcMar>
              <w:top w:w="28" w:type="dxa"/>
              <w:left w:w="28" w:type="dxa"/>
              <w:bottom w:w="28" w:type="dxa"/>
              <w:right w:w="28" w:type="dxa"/>
            </w:tcMar>
            <w:vAlign w:val="center"/>
          </w:tcPr>
          <w:p w14:paraId="241183A0"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21.6</w:t>
            </w:r>
          </w:p>
        </w:tc>
        <w:tc>
          <w:tcPr>
            <w:tcW w:w="850" w:type="dxa"/>
            <w:tcMar>
              <w:top w:w="28" w:type="dxa"/>
              <w:left w:w="28" w:type="dxa"/>
              <w:bottom w:w="28" w:type="dxa"/>
              <w:right w:w="28" w:type="dxa"/>
            </w:tcMar>
            <w:vAlign w:val="center"/>
          </w:tcPr>
          <w:p w14:paraId="4EF34F64"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21.5</w:t>
            </w:r>
          </w:p>
        </w:tc>
      </w:tr>
      <w:tr w:rsidR="00711FE4" w:rsidRPr="00711FE4" w14:paraId="20FFF188" w14:textId="77777777" w:rsidTr="00366F04">
        <w:trPr>
          <w:jc w:val="center"/>
        </w:trPr>
        <w:tc>
          <w:tcPr>
            <w:tcW w:w="421" w:type="dxa"/>
            <w:vAlign w:val="center"/>
          </w:tcPr>
          <w:p w14:paraId="24FCAC0C"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0C60FFCF"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60% relative</w:t>
            </w:r>
          </w:p>
        </w:tc>
        <w:tc>
          <w:tcPr>
            <w:tcW w:w="851" w:type="dxa"/>
            <w:tcMar>
              <w:top w:w="28" w:type="dxa"/>
              <w:left w:w="28" w:type="dxa"/>
              <w:bottom w:w="28" w:type="dxa"/>
              <w:right w:w="28" w:type="dxa"/>
            </w:tcMar>
            <w:vAlign w:val="center"/>
          </w:tcPr>
          <w:p w14:paraId="00426B90" w14:textId="77777777" w:rsidR="00711FE4" w:rsidRPr="00711FE4" w:rsidRDefault="00711FE4" w:rsidP="00711FE4">
            <w:pPr>
              <w:spacing w:before="30" w:after="30"/>
              <w:jc w:val="center"/>
              <w:rPr>
                <w:rFonts w:ascii="Arial" w:hAnsi="Arial"/>
                <w:color w:val="000000"/>
                <w:sz w:val="14"/>
                <w:szCs w:val="14"/>
              </w:rPr>
            </w:pPr>
            <w:r w:rsidRPr="00711FE4">
              <w:rPr>
                <w:rFonts w:ascii="Arial" w:hAnsi="Arial"/>
                <w:color w:val="000000"/>
                <w:sz w:val="14"/>
                <w:szCs w:val="14"/>
              </w:rPr>
              <w:t>29.9</w:t>
            </w:r>
          </w:p>
        </w:tc>
        <w:tc>
          <w:tcPr>
            <w:tcW w:w="850" w:type="dxa"/>
            <w:tcMar>
              <w:top w:w="28" w:type="dxa"/>
              <w:left w:w="28" w:type="dxa"/>
              <w:bottom w:w="28" w:type="dxa"/>
              <w:right w:w="28" w:type="dxa"/>
            </w:tcMar>
            <w:vAlign w:val="center"/>
          </w:tcPr>
          <w:p w14:paraId="0F25321B"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30.1</w:t>
            </w:r>
          </w:p>
        </w:tc>
      </w:tr>
      <w:tr w:rsidR="00711FE4" w:rsidRPr="00711FE4" w14:paraId="65F3AE59" w14:textId="77777777" w:rsidTr="00366F04">
        <w:trPr>
          <w:jc w:val="center"/>
        </w:trPr>
        <w:tc>
          <w:tcPr>
            <w:tcW w:w="421" w:type="dxa"/>
            <w:vAlign w:val="center"/>
          </w:tcPr>
          <w:p w14:paraId="15E1A75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0CDD4B63"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50% relative</w:t>
            </w:r>
          </w:p>
        </w:tc>
        <w:tc>
          <w:tcPr>
            <w:tcW w:w="851" w:type="dxa"/>
            <w:tcMar>
              <w:top w:w="28" w:type="dxa"/>
              <w:left w:w="28" w:type="dxa"/>
              <w:bottom w:w="28" w:type="dxa"/>
              <w:right w:w="28" w:type="dxa"/>
            </w:tcMar>
            <w:vAlign w:val="center"/>
          </w:tcPr>
          <w:p w14:paraId="20A1D0D6"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21.1</w:t>
            </w:r>
          </w:p>
        </w:tc>
        <w:tc>
          <w:tcPr>
            <w:tcW w:w="850" w:type="dxa"/>
            <w:tcMar>
              <w:top w:w="28" w:type="dxa"/>
              <w:left w:w="28" w:type="dxa"/>
              <w:bottom w:w="28" w:type="dxa"/>
              <w:right w:w="28" w:type="dxa"/>
            </w:tcMar>
            <w:vAlign w:val="center"/>
          </w:tcPr>
          <w:p w14:paraId="7AD55A3C"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21.1</w:t>
            </w:r>
          </w:p>
        </w:tc>
      </w:tr>
      <w:tr w:rsidR="00711FE4" w:rsidRPr="00711FE4" w14:paraId="230CFC95" w14:textId="77777777" w:rsidTr="00366F04">
        <w:trPr>
          <w:jc w:val="center"/>
        </w:trPr>
        <w:tc>
          <w:tcPr>
            <w:tcW w:w="421" w:type="dxa"/>
            <w:vAlign w:val="center"/>
          </w:tcPr>
          <w:p w14:paraId="50748497"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210F8327"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AHC 40% relative</w:t>
            </w:r>
          </w:p>
        </w:tc>
        <w:tc>
          <w:tcPr>
            <w:tcW w:w="851" w:type="dxa"/>
            <w:tcMar>
              <w:top w:w="28" w:type="dxa"/>
              <w:left w:w="28" w:type="dxa"/>
              <w:bottom w:w="28" w:type="dxa"/>
              <w:right w:w="28" w:type="dxa"/>
            </w:tcMar>
            <w:vAlign w:val="center"/>
          </w:tcPr>
          <w:p w14:paraId="6B273107"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13.6</w:t>
            </w:r>
          </w:p>
        </w:tc>
        <w:tc>
          <w:tcPr>
            <w:tcW w:w="850" w:type="dxa"/>
            <w:tcMar>
              <w:top w:w="28" w:type="dxa"/>
              <w:left w:w="28" w:type="dxa"/>
              <w:bottom w:w="28" w:type="dxa"/>
              <w:right w:w="28" w:type="dxa"/>
            </w:tcMar>
            <w:vAlign w:val="center"/>
          </w:tcPr>
          <w:p w14:paraId="5990CCC8"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13.8</w:t>
            </w:r>
          </w:p>
        </w:tc>
      </w:tr>
      <w:tr w:rsidR="00711FE4" w:rsidRPr="00711FE4" w14:paraId="53E526FD" w14:textId="77777777" w:rsidTr="00366F04">
        <w:trPr>
          <w:jc w:val="center"/>
        </w:trPr>
        <w:tc>
          <w:tcPr>
            <w:tcW w:w="421" w:type="dxa"/>
            <w:vAlign w:val="center"/>
          </w:tcPr>
          <w:p w14:paraId="4442B77F"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4E865508"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Severe material hardship</w:t>
            </w:r>
          </w:p>
        </w:tc>
        <w:tc>
          <w:tcPr>
            <w:tcW w:w="851" w:type="dxa"/>
            <w:tcMar>
              <w:top w:w="28" w:type="dxa"/>
              <w:left w:w="28" w:type="dxa"/>
              <w:bottom w:w="28" w:type="dxa"/>
              <w:right w:w="28" w:type="dxa"/>
            </w:tcMar>
            <w:vAlign w:val="center"/>
          </w:tcPr>
          <w:p w14:paraId="12790234"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5.4</w:t>
            </w:r>
          </w:p>
        </w:tc>
        <w:tc>
          <w:tcPr>
            <w:tcW w:w="850" w:type="dxa"/>
            <w:tcMar>
              <w:top w:w="28" w:type="dxa"/>
              <w:left w:w="28" w:type="dxa"/>
              <w:bottom w:w="28" w:type="dxa"/>
              <w:right w:w="28" w:type="dxa"/>
            </w:tcMar>
            <w:vAlign w:val="center"/>
          </w:tcPr>
          <w:p w14:paraId="475646C1"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5.5</w:t>
            </w:r>
          </w:p>
        </w:tc>
      </w:tr>
      <w:tr w:rsidR="00711FE4" w:rsidRPr="00711FE4" w14:paraId="3173E6F4" w14:textId="77777777" w:rsidTr="00366F04">
        <w:trPr>
          <w:jc w:val="center"/>
        </w:trPr>
        <w:tc>
          <w:tcPr>
            <w:tcW w:w="421" w:type="dxa"/>
            <w:vAlign w:val="center"/>
          </w:tcPr>
          <w:p w14:paraId="19159FB0"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S</w:t>
            </w:r>
          </w:p>
        </w:tc>
        <w:tc>
          <w:tcPr>
            <w:tcW w:w="2409" w:type="dxa"/>
            <w:noWrap/>
            <w:tcMar>
              <w:right w:w="57" w:type="dxa"/>
            </w:tcMar>
            <w:vAlign w:val="center"/>
          </w:tcPr>
          <w:p w14:paraId="6D9BEC5D" w14:textId="77777777" w:rsidR="00711FE4" w:rsidRPr="00711FE4" w:rsidRDefault="00711FE4" w:rsidP="00711FE4">
            <w:pPr>
              <w:spacing w:before="30" w:after="30"/>
              <w:rPr>
                <w:rFonts w:ascii="Arial" w:hAnsi="Arial"/>
                <w:color w:val="000000" w:themeColor="text1"/>
                <w:sz w:val="14"/>
                <w:szCs w:val="14"/>
              </w:rPr>
            </w:pPr>
            <w:r w:rsidRPr="00711FE4">
              <w:rPr>
                <w:rFonts w:ascii="Arial" w:hAnsi="Arial"/>
                <w:color w:val="000000" w:themeColor="text1"/>
                <w:sz w:val="14"/>
                <w:szCs w:val="14"/>
              </w:rPr>
              <w:t>Both material hardship and low-income (less than 60% AHC)</w:t>
            </w:r>
          </w:p>
        </w:tc>
        <w:tc>
          <w:tcPr>
            <w:tcW w:w="851" w:type="dxa"/>
            <w:tcMar>
              <w:top w:w="28" w:type="dxa"/>
              <w:left w:w="28" w:type="dxa"/>
              <w:bottom w:w="28" w:type="dxa"/>
              <w:right w:w="28" w:type="dxa"/>
            </w:tcMar>
            <w:vAlign w:val="center"/>
          </w:tcPr>
          <w:p w14:paraId="11C7AC4A"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sz w:val="14"/>
                <w:szCs w:val="14"/>
              </w:rPr>
              <w:t>7.7</w:t>
            </w:r>
          </w:p>
        </w:tc>
        <w:tc>
          <w:tcPr>
            <w:tcW w:w="850" w:type="dxa"/>
            <w:tcMar>
              <w:top w:w="28" w:type="dxa"/>
              <w:left w:w="28" w:type="dxa"/>
              <w:bottom w:w="28" w:type="dxa"/>
              <w:right w:w="28" w:type="dxa"/>
            </w:tcMar>
            <w:vAlign w:val="center"/>
          </w:tcPr>
          <w:p w14:paraId="34295A24" w14:textId="77777777" w:rsidR="00711FE4" w:rsidRPr="00711FE4" w:rsidRDefault="00711FE4" w:rsidP="00711FE4">
            <w:pPr>
              <w:spacing w:before="30" w:after="30"/>
              <w:jc w:val="center"/>
              <w:rPr>
                <w:rFonts w:ascii="Arial" w:hAnsi="Arial"/>
                <w:color w:val="000000" w:themeColor="text1"/>
                <w:sz w:val="14"/>
                <w:szCs w:val="14"/>
              </w:rPr>
            </w:pPr>
            <w:r w:rsidRPr="00711FE4">
              <w:rPr>
                <w:rFonts w:ascii="Arial" w:hAnsi="Arial"/>
                <w:color w:val="000000" w:themeColor="text1"/>
                <w:sz w:val="14"/>
                <w:szCs w:val="14"/>
              </w:rPr>
              <w:t>7.8</w:t>
            </w:r>
          </w:p>
        </w:tc>
      </w:tr>
    </w:tbl>
    <w:p w14:paraId="466FEA3E" w14:textId="77777777" w:rsidR="00711FE4" w:rsidRPr="00711FE4" w:rsidRDefault="00711FE4" w:rsidP="00711FE4">
      <w:pPr>
        <w:spacing w:after="0" w:line="240" w:lineRule="auto"/>
        <w:jc w:val="center"/>
        <w:rPr>
          <w:rFonts w:ascii="Arial" w:hAnsi="Arial"/>
          <w:b/>
          <w:bCs/>
          <w:color w:val="000000" w:themeColor="text1"/>
          <w:sz w:val="18"/>
          <w:szCs w:val="20"/>
        </w:rPr>
      </w:pPr>
    </w:p>
    <w:p w14:paraId="4E7A30ED" w14:textId="77777777" w:rsidR="00711FE4" w:rsidRPr="00711FE4" w:rsidRDefault="00711FE4" w:rsidP="00711FE4">
      <w:pPr>
        <w:spacing w:after="0" w:line="240" w:lineRule="auto"/>
        <w:jc w:val="center"/>
        <w:rPr>
          <w:rFonts w:ascii="Arial" w:hAnsi="Arial"/>
          <w:b/>
          <w:bCs/>
          <w:color w:val="000000" w:themeColor="text1"/>
          <w:sz w:val="18"/>
          <w:szCs w:val="20"/>
        </w:rPr>
      </w:pPr>
      <w:r w:rsidRPr="00711FE4">
        <w:rPr>
          <w:rFonts w:ascii="Arial" w:hAnsi="Arial"/>
          <w:b/>
          <w:bCs/>
          <w:color w:val="000000" w:themeColor="text1"/>
          <w:sz w:val="18"/>
          <w:szCs w:val="20"/>
        </w:rPr>
        <w:t>Figure 2.3</w:t>
      </w:r>
    </w:p>
    <w:p w14:paraId="40B3DD39" w14:textId="77777777" w:rsidR="00711FE4" w:rsidRPr="00711FE4" w:rsidRDefault="00711FE4" w:rsidP="00711FE4">
      <w:pPr>
        <w:spacing w:after="0" w:line="240" w:lineRule="auto"/>
        <w:jc w:val="center"/>
        <w:rPr>
          <w:rFonts w:ascii="Arial" w:hAnsi="Arial"/>
          <w:b/>
          <w:bCs/>
          <w:color w:val="000000" w:themeColor="text1"/>
          <w:sz w:val="18"/>
          <w:szCs w:val="20"/>
        </w:rPr>
      </w:pPr>
      <w:r w:rsidRPr="00711FE4">
        <w:rPr>
          <w:rFonts w:ascii="Arial" w:hAnsi="Arial"/>
          <w:b/>
          <w:bCs/>
          <w:color w:val="000000" w:themeColor="text1"/>
          <w:sz w:val="18"/>
          <w:szCs w:val="20"/>
        </w:rPr>
        <w:t>% of children in households in Material Hardship (DEP-17, 6+ / MH-18, 7+):</w:t>
      </w:r>
    </w:p>
    <w:p w14:paraId="4F3AA77A" w14:textId="77777777" w:rsidR="00711FE4" w:rsidRPr="00711FE4" w:rsidRDefault="00711FE4" w:rsidP="00711FE4">
      <w:pPr>
        <w:jc w:val="center"/>
        <w:rPr>
          <w:rFonts w:ascii="Arial" w:hAnsi="Arial"/>
          <w:b/>
          <w:bCs/>
          <w:color w:val="000000" w:themeColor="text1"/>
          <w:sz w:val="18"/>
          <w:szCs w:val="20"/>
        </w:rPr>
      </w:pPr>
      <w:r w:rsidRPr="00711FE4">
        <w:rPr>
          <w:noProof/>
          <w:color w:val="000000" w:themeColor="text1"/>
        </w:rPr>
        <w:drawing>
          <wp:anchor distT="0" distB="0" distL="114300" distR="114300" simplePos="0" relativeHeight="253182976" behindDoc="0" locked="0" layoutInCell="1" allowOverlap="1" wp14:anchorId="061220D8" wp14:editId="0082B672">
            <wp:simplePos x="0" y="0"/>
            <wp:positionH relativeFrom="margin">
              <wp:align>center</wp:align>
            </wp:positionH>
            <wp:positionV relativeFrom="paragraph">
              <wp:posOffset>213995</wp:posOffset>
            </wp:positionV>
            <wp:extent cx="3978910" cy="2597150"/>
            <wp:effectExtent l="0" t="0" r="2540" b="0"/>
            <wp:wrapTopAndBottom/>
            <wp:docPr id="680288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88943"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978910" cy="2597150"/>
                    </a:xfrm>
                    <a:prstGeom prst="rect">
                      <a:avLst/>
                    </a:prstGeom>
                  </pic:spPr>
                </pic:pic>
              </a:graphicData>
            </a:graphic>
            <wp14:sizeRelH relativeFrom="page">
              <wp14:pctWidth>0</wp14:pctWidth>
            </wp14:sizeRelH>
            <wp14:sizeRelV relativeFrom="page">
              <wp14:pctHeight>0</wp14:pctHeight>
            </wp14:sizeRelV>
          </wp:anchor>
        </w:drawing>
      </w:r>
      <w:r w:rsidRPr="00711FE4">
        <w:rPr>
          <w:rFonts w:ascii="Arial" w:hAnsi="Arial"/>
          <w:b/>
          <w:bCs/>
          <w:color w:val="000000" w:themeColor="text1"/>
          <w:sz w:val="18"/>
          <w:szCs w:val="20"/>
        </w:rPr>
        <w:t>Stats NZ figures for 2012-13 to 2024-25, with error bars</w:t>
      </w:r>
      <w:bookmarkEnd w:id="27"/>
    </w:p>
    <w:p w14:paraId="1837D002" w14:textId="77777777" w:rsidR="00711FE4" w:rsidRPr="00711FE4" w:rsidRDefault="00711FE4" w:rsidP="00711FE4">
      <w:pPr>
        <w:spacing w:after="0" w:line="240" w:lineRule="auto"/>
        <w:ind w:left="1854" w:firstLine="22"/>
        <w:rPr>
          <w:rFonts w:ascii="Arial" w:hAnsi="Arial"/>
          <w:color w:val="000000" w:themeColor="text1"/>
          <w:sz w:val="16"/>
          <w:szCs w:val="16"/>
        </w:rPr>
      </w:pPr>
      <w:r w:rsidRPr="00711FE4">
        <w:rPr>
          <w:rFonts w:ascii="Arial" w:hAnsi="Arial"/>
          <w:color w:val="000000" w:themeColor="text1"/>
          <w:sz w:val="16"/>
          <w:szCs w:val="16"/>
        </w:rPr>
        <w:t>Source: Stats NZ, Table 3.01:</w:t>
      </w:r>
    </w:p>
    <w:p w14:paraId="3033AAA7" w14:textId="77777777" w:rsidR="00711FE4" w:rsidRPr="00711FE4" w:rsidRDefault="00711FE4" w:rsidP="00711FE4">
      <w:pPr>
        <w:spacing w:after="0" w:line="240" w:lineRule="auto"/>
        <w:ind w:left="1276" w:firstLine="600"/>
        <w:rPr>
          <w:rFonts w:ascii="Arial" w:hAnsi="Arial"/>
          <w:color w:val="000000" w:themeColor="text1"/>
          <w:sz w:val="16"/>
          <w:szCs w:val="16"/>
        </w:rPr>
      </w:pPr>
      <w:r w:rsidRPr="00711FE4">
        <w:rPr>
          <w:rFonts w:ascii="Arial" w:hAnsi="Arial"/>
          <w:color w:val="000000" w:themeColor="text1"/>
          <w:sz w:val="16"/>
          <w:szCs w:val="16"/>
        </w:rPr>
        <w:t xml:space="preserve"> </w:t>
      </w:r>
      <w:hyperlink r:id="rId107" w:history="1">
        <w:r w:rsidRPr="00711FE4">
          <w:rPr>
            <w:rFonts w:ascii="Arial" w:hAnsi="Arial"/>
            <w:color w:val="0000FF"/>
            <w:sz w:val="16"/>
            <w:szCs w:val="16"/>
            <w:u w:val="single"/>
          </w:rPr>
          <w:t>https://www.stats.govt.nz/information-releases/child-poverty-statistics-year-ended-june-2025/</w:t>
        </w:r>
      </w:hyperlink>
      <w:r w:rsidRPr="00711FE4">
        <w:rPr>
          <w:rFonts w:ascii="Arial" w:hAnsi="Arial"/>
          <w:color w:val="000000" w:themeColor="text1"/>
          <w:sz w:val="16"/>
          <w:szCs w:val="16"/>
        </w:rPr>
        <w:t xml:space="preserve"> </w:t>
      </w:r>
    </w:p>
    <w:p w14:paraId="49269EE9" w14:textId="77777777" w:rsidR="00711FE4" w:rsidRPr="00711FE4" w:rsidRDefault="00711FE4" w:rsidP="00711FE4">
      <w:pPr>
        <w:spacing w:after="0" w:line="240" w:lineRule="auto"/>
        <w:rPr>
          <w:rFonts w:ascii="Arial" w:hAnsi="Arial"/>
          <w:b/>
          <w:color w:val="000000" w:themeColor="text1"/>
          <w:sz w:val="28"/>
          <w:szCs w:val="24"/>
        </w:rPr>
      </w:pPr>
    </w:p>
    <w:p w14:paraId="69AB2D1B" w14:textId="77777777" w:rsidR="00711FE4" w:rsidRPr="00711FE4" w:rsidRDefault="00711FE4" w:rsidP="00711FE4">
      <w:pPr>
        <w:spacing w:after="0" w:line="240" w:lineRule="auto"/>
        <w:rPr>
          <w:rFonts w:ascii="Arial" w:hAnsi="Arial"/>
          <w:b/>
          <w:color w:val="000000" w:themeColor="text1"/>
          <w:sz w:val="28"/>
          <w:szCs w:val="24"/>
        </w:rPr>
      </w:pPr>
      <w:r w:rsidRPr="00711FE4">
        <w:rPr>
          <w:rFonts w:ascii="Arial" w:hAnsi="Arial"/>
          <w:b/>
          <w:color w:val="000000" w:themeColor="text1"/>
          <w:sz w:val="28"/>
          <w:szCs w:val="24"/>
        </w:rPr>
        <w:br w:type="page"/>
      </w:r>
    </w:p>
    <w:p w14:paraId="66EE4431" w14:textId="77777777" w:rsidR="00711FE4" w:rsidRPr="00711FE4" w:rsidRDefault="00711FE4" w:rsidP="00711FE4">
      <w:pPr>
        <w:spacing w:line="240" w:lineRule="auto"/>
        <w:rPr>
          <w:rFonts w:ascii="Arial" w:hAnsi="Arial"/>
          <w:b/>
          <w:color w:val="FF0000"/>
          <w:sz w:val="22"/>
          <w:szCs w:val="20"/>
        </w:rPr>
      </w:pPr>
      <w:r w:rsidRPr="00711FE4">
        <w:rPr>
          <w:rFonts w:ascii="Arial" w:hAnsi="Arial"/>
          <w:b/>
          <w:color w:val="000000"/>
          <w:sz w:val="28"/>
          <w:szCs w:val="24"/>
        </w:rPr>
        <w:lastRenderedPageBreak/>
        <w:t xml:space="preserve">Appendix 3 </w:t>
      </w:r>
    </w:p>
    <w:p w14:paraId="5DBAEE68" w14:textId="77777777" w:rsidR="00711FE4" w:rsidRPr="00711FE4" w:rsidRDefault="00711FE4" w:rsidP="00711FE4">
      <w:pPr>
        <w:spacing w:after="0" w:line="240" w:lineRule="auto"/>
        <w:rPr>
          <w:rFonts w:ascii="Arial" w:hAnsi="Arial"/>
          <w:b/>
          <w:color w:val="000000"/>
          <w:sz w:val="24"/>
        </w:rPr>
      </w:pPr>
      <w:r w:rsidRPr="00711FE4">
        <w:rPr>
          <w:rFonts w:ascii="Arial" w:hAnsi="Arial"/>
          <w:b/>
          <w:color w:val="000000"/>
          <w:sz w:val="24"/>
        </w:rPr>
        <w:t>Composition of indices (DEP-17, MH-18, EU-13, MWI-24 and MWI-26) and list of child specific items</w:t>
      </w:r>
    </w:p>
    <w:p w14:paraId="6758E71E" w14:textId="77777777" w:rsidR="00711FE4" w:rsidRPr="00711FE4" w:rsidRDefault="00711FE4" w:rsidP="00711FE4">
      <w:pPr>
        <w:spacing w:after="0" w:line="240" w:lineRule="auto"/>
        <w:rPr>
          <w:rFonts w:ascii="Arial" w:hAnsi="Arial"/>
          <w:b/>
          <w:color w:val="000000"/>
          <w:sz w:val="24"/>
        </w:rPr>
      </w:pPr>
    </w:p>
    <w:p w14:paraId="58A753D9" w14:textId="77777777" w:rsidR="00711FE4" w:rsidRPr="00711FE4" w:rsidRDefault="00711FE4" w:rsidP="00711FE4">
      <w:pPr>
        <w:spacing w:after="0" w:line="240" w:lineRule="auto"/>
        <w:rPr>
          <w:rFonts w:ascii="Arial" w:hAnsi="Arial"/>
          <w:bCs/>
          <w:color w:val="000000"/>
          <w:szCs w:val="18"/>
        </w:rPr>
      </w:pPr>
      <w:r w:rsidRPr="00711FE4">
        <w:rPr>
          <w:rFonts w:ascii="Arial" w:hAnsi="Arial"/>
          <w:bCs/>
          <w:color w:val="000000"/>
          <w:szCs w:val="18"/>
        </w:rPr>
        <w:t xml:space="preserve">See </w:t>
      </w:r>
      <w:r w:rsidRPr="00711FE4">
        <w:rPr>
          <w:rFonts w:ascii="Arial" w:hAnsi="Arial"/>
          <w:b/>
          <w:color w:val="000000"/>
          <w:szCs w:val="18"/>
        </w:rPr>
        <w:t>Appendix 20</w:t>
      </w:r>
      <w:r w:rsidRPr="00711FE4">
        <w:rPr>
          <w:rFonts w:ascii="Arial" w:hAnsi="Arial"/>
          <w:bCs/>
          <w:color w:val="000000"/>
          <w:szCs w:val="18"/>
        </w:rPr>
        <w:t xml:space="preserve"> for the full text for each item.</w:t>
      </w:r>
    </w:p>
    <w:p w14:paraId="26487F87" w14:textId="77777777" w:rsidR="00711FE4" w:rsidRPr="00711FE4" w:rsidRDefault="00711FE4" w:rsidP="00711FE4">
      <w:pPr>
        <w:spacing w:after="0" w:line="240" w:lineRule="auto"/>
        <w:rPr>
          <w:rFonts w:ascii="Arial" w:hAnsi="Arial"/>
          <w:b/>
          <w:color w:val="000000"/>
        </w:rPr>
      </w:pPr>
    </w:p>
    <w:p w14:paraId="465133C3" w14:textId="77777777" w:rsidR="00711FE4" w:rsidRPr="00711FE4" w:rsidRDefault="00711FE4" w:rsidP="00711FE4">
      <w:pPr>
        <w:spacing w:after="0" w:line="240" w:lineRule="auto"/>
        <w:jc w:val="center"/>
        <w:rPr>
          <w:rFonts w:ascii="Arial" w:hAnsi="Arial"/>
          <w:b/>
          <w:color w:val="000000"/>
          <w:sz w:val="18"/>
          <w:szCs w:val="18"/>
        </w:rPr>
      </w:pPr>
      <w:r w:rsidRPr="00711FE4">
        <w:rPr>
          <w:rFonts w:ascii="Arial" w:hAnsi="Arial"/>
          <w:b/>
          <w:color w:val="000000"/>
          <w:sz w:val="18"/>
          <w:szCs w:val="18"/>
        </w:rPr>
        <w:t>Table 3.1</w:t>
      </w:r>
    </w:p>
    <w:p w14:paraId="343B91E3" w14:textId="77777777" w:rsidR="00711FE4" w:rsidRPr="00711FE4" w:rsidRDefault="00711FE4" w:rsidP="00711FE4">
      <w:pPr>
        <w:jc w:val="center"/>
        <w:rPr>
          <w:rFonts w:ascii="Arial" w:hAnsi="Arial"/>
          <w:b/>
          <w:color w:val="000000"/>
          <w:sz w:val="18"/>
          <w:szCs w:val="18"/>
        </w:rPr>
      </w:pPr>
      <w:r w:rsidRPr="00711FE4">
        <w:rPr>
          <w:rFonts w:ascii="Arial" w:hAnsi="Arial"/>
          <w:b/>
          <w:color w:val="000000"/>
          <w:sz w:val="18"/>
          <w:szCs w:val="18"/>
        </w:rPr>
        <w:t>Composition of DEP-17 and MH-18</w:t>
      </w:r>
    </w:p>
    <w:tbl>
      <w:tblPr>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7"/>
        <w:gridCol w:w="3869"/>
        <w:gridCol w:w="3822"/>
      </w:tblGrid>
      <w:tr w:rsidR="00711FE4" w:rsidRPr="00711FE4" w14:paraId="66D096FC" w14:textId="77777777" w:rsidTr="00366F04">
        <w:trPr>
          <w:jc w:val="center"/>
        </w:trPr>
        <w:tc>
          <w:tcPr>
            <w:tcW w:w="4106" w:type="dxa"/>
            <w:gridSpan w:val="2"/>
            <w:tcMar>
              <w:left w:w="57" w:type="dxa"/>
              <w:right w:w="113" w:type="dxa"/>
            </w:tcMar>
            <w:vAlign w:val="center"/>
          </w:tcPr>
          <w:p w14:paraId="6C588755" w14:textId="77777777" w:rsidR="00711FE4" w:rsidRPr="00711FE4" w:rsidRDefault="00711FE4" w:rsidP="00711FE4">
            <w:pPr>
              <w:spacing w:before="40" w:after="40" w:line="240" w:lineRule="auto"/>
              <w:jc w:val="center"/>
              <w:rPr>
                <w:rFonts w:ascii="Arial" w:hAnsi="Arial"/>
                <w:b/>
                <w:color w:val="000000"/>
                <w:sz w:val="14"/>
                <w:szCs w:val="14"/>
              </w:rPr>
            </w:pPr>
            <w:r w:rsidRPr="00711FE4">
              <w:rPr>
                <w:rFonts w:ascii="Arial" w:hAnsi="Arial"/>
                <w:b/>
                <w:color w:val="000000"/>
                <w:sz w:val="14"/>
                <w:szCs w:val="14"/>
              </w:rPr>
              <w:t>DEP-17</w:t>
            </w:r>
          </w:p>
        </w:tc>
        <w:tc>
          <w:tcPr>
            <w:tcW w:w="3822" w:type="dxa"/>
          </w:tcPr>
          <w:p w14:paraId="1B4CA7DD" w14:textId="77777777" w:rsidR="00711FE4" w:rsidRPr="00711FE4" w:rsidRDefault="00711FE4" w:rsidP="00711FE4">
            <w:pPr>
              <w:spacing w:before="40" w:after="40" w:line="240" w:lineRule="auto"/>
              <w:jc w:val="center"/>
              <w:rPr>
                <w:rFonts w:ascii="Arial" w:hAnsi="Arial"/>
                <w:b/>
                <w:color w:val="000000"/>
                <w:sz w:val="14"/>
                <w:szCs w:val="14"/>
              </w:rPr>
            </w:pPr>
            <w:r w:rsidRPr="00711FE4">
              <w:rPr>
                <w:rFonts w:ascii="Arial" w:hAnsi="Arial"/>
                <w:b/>
                <w:color w:val="000000"/>
                <w:sz w:val="14"/>
                <w:szCs w:val="14"/>
              </w:rPr>
              <w:t>MH-18</w:t>
            </w:r>
          </w:p>
        </w:tc>
      </w:tr>
      <w:tr w:rsidR="00711FE4" w:rsidRPr="00711FE4" w14:paraId="24643EB7" w14:textId="77777777" w:rsidTr="00366F04">
        <w:trPr>
          <w:jc w:val="center"/>
        </w:trPr>
        <w:tc>
          <w:tcPr>
            <w:tcW w:w="7928" w:type="dxa"/>
            <w:gridSpan w:val="3"/>
            <w:tcMar>
              <w:left w:w="57" w:type="dxa"/>
              <w:right w:w="113" w:type="dxa"/>
            </w:tcMar>
            <w:vAlign w:val="center"/>
          </w:tcPr>
          <w:p w14:paraId="6B3D293F" w14:textId="77777777" w:rsidR="00711FE4" w:rsidRPr="00711FE4" w:rsidRDefault="00711FE4" w:rsidP="00711FE4">
            <w:pPr>
              <w:spacing w:before="40" w:after="40" w:line="240" w:lineRule="auto"/>
              <w:jc w:val="both"/>
              <w:rPr>
                <w:rFonts w:ascii="Arial" w:hAnsi="Arial"/>
                <w:b/>
                <w:color w:val="000000"/>
                <w:sz w:val="14"/>
                <w:szCs w:val="14"/>
              </w:rPr>
            </w:pPr>
            <w:r w:rsidRPr="00711FE4">
              <w:rPr>
                <w:rFonts w:ascii="Arial" w:hAnsi="Arial"/>
                <w:b/>
                <w:color w:val="000000"/>
                <w:sz w:val="14"/>
                <w:szCs w:val="14"/>
              </w:rPr>
              <w:t xml:space="preserve"> Enforced lack of essentials </w:t>
            </w:r>
            <w:r w:rsidRPr="00711FE4">
              <w:rPr>
                <w:rFonts w:ascii="Arial" w:hAnsi="Arial"/>
                <w:color w:val="000000"/>
                <w:sz w:val="14"/>
                <w:szCs w:val="14"/>
              </w:rPr>
              <w:t>(for respondent or household as a whole)</w:t>
            </w:r>
          </w:p>
        </w:tc>
      </w:tr>
      <w:tr w:rsidR="00711FE4" w:rsidRPr="00711FE4" w14:paraId="1A87AD8E" w14:textId="77777777" w:rsidTr="00366F04">
        <w:trPr>
          <w:jc w:val="center"/>
        </w:trPr>
        <w:tc>
          <w:tcPr>
            <w:tcW w:w="237" w:type="dxa"/>
            <w:tcBorders>
              <w:right w:val="nil"/>
            </w:tcBorders>
            <w:vAlign w:val="center"/>
          </w:tcPr>
          <w:p w14:paraId="34C6AA74"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4485F1EB" w14:textId="77777777" w:rsidR="00711FE4" w:rsidRPr="00711FE4" w:rsidRDefault="00711FE4" w:rsidP="00711FE4">
            <w:pPr>
              <w:spacing w:before="40" w:after="40" w:line="240" w:lineRule="auto"/>
              <w:jc w:val="both"/>
              <w:rPr>
                <w:rFonts w:ascii="Arial" w:hAnsi="Arial"/>
                <w:color w:val="000000"/>
                <w:sz w:val="14"/>
                <w:szCs w:val="14"/>
              </w:rPr>
            </w:pPr>
            <w:r w:rsidRPr="00711FE4">
              <w:rPr>
                <w:rFonts w:ascii="Arial" w:hAnsi="Arial"/>
                <w:color w:val="000000"/>
                <w:sz w:val="14"/>
                <w:szCs w:val="14"/>
              </w:rPr>
              <w:t>meal with meat, fish or chicken (or vegetarian equivalent) at least each 2nd day</w:t>
            </w:r>
          </w:p>
        </w:tc>
        <w:tc>
          <w:tcPr>
            <w:tcW w:w="3822" w:type="dxa"/>
            <w:tcBorders>
              <w:left w:val="nil"/>
            </w:tcBorders>
            <w:vAlign w:val="center"/>
          </w:tcPr>
          <w:p w14:paraId="619E8CAD" w14:textId="77777777" w:rsidR="00711FE4" w:rsidRPr="00711FE4" w:rsidRDefault="00711FE4" w:rsidP="00711FE4">
            <w:pPr>
              <w:spacing w:before="40" w:after="40" w:line="240" w:lineRule="auto"/>
              <w:ind w:left="113" w:right="113"/>
              <w:jc w:val="both"/>
              <w:rPr>
                <w:rFonts w:ascii="Arial" w:hAnsi="Arial"/>
                <w:color w:val="000000"/>
                <w:sz w:val="14"/>
                <w:szCs w:val="14"/>
              </w:rPr>
            </w:pPr>
            <w:r w:rsidRPr="00711FE4">
              <w:rPr>
                <w:rFonts w:ascii="Arial" w:hAnsi="Arial"/>
                <w:color w:val="000000"/>
                <w:sz w:val="14"/>
                <w:szCs w:val="14"/>
              </w:rPr>
              <w:t>meal wit</w:t>
            </w:r>
            <w:r w:rsidRPr="00711FE4">
              <w:rPr>
                <w:rFonts w:ascii="Arial" w:hAnsi="Arial"/>
                <w:sz w:val="14"/>
                <w:szCs w:val="14"/>
              </w:rPr>
              <w:t xml:space="preserve">h </w:t>
            </w:r>
            <w:r w:rsidRPr="00711FE4">
              <w:rPr>
                <w:rFonts w:ascii="Arial" w:eastAsia="Times New Roman" w:hAnsi="Arial"/>
                <w:sz w:val="14"/>
                <w:szCs w:val="14"/>
                <w:lang w:eastAsia="en-NZ"/>
              </w:rPr>
              <w:t xml:space="preserve">meat, seafood, eggs, or plant-based protein </w:t>
            </w:r>
            <w:r w:rsidRPr="00711FE4">
              <w:rPr>
                <w:rFonts w:ascii="Arial" w:hAnsi="Arial"/>
                <w:color w:val="000000"/>
                <w:sz w:val="14"/>
                <w:szCs w:val="14"/>
              </w:rPr>
              <w:t>at least each 2nd day</w:t>
            </w:r>
          </w:p>
        </w:tc>
      </w:tr>
      <w:tr w:rsidR="00711FE4" w:rsidRPr="00711FE4" w14:paraId="4A9EECE4" w14:textId="77777777" w:rsidTr="00366F04">
        <w:trPr>
          <w:jc w:val="center"/>
        </w:trPr>
        <w:tc>
          <w:tcPr>
            <w:tcW w:w="237" w:type="dxa"/>
            <w:tcBorders>
              <w:right w:val="nil"/>
            </w:tcBorders>
            <w:vAlign w:val="center"/>
          </w:tcPr>
          <w:p w14:paraId="6219D8DB"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14A13336" w14:textId="77777777" w:rsidR="00711FE4" w:rsidRPr="00711FE4" w:rsidRDefault="00711FE4" w:rsidP="00711FE4">
            <w:pPr>
              <w:spacing w:before="40" w:after="40" w:line="240" w:lineRule="auto"/>
              <w:jc w:val="both"/>
              <w:rPr>
                <w:rFonts w:ascii="Arial" w:hAnsi="Arial"/>
                <w:color w:val="000000"/>
                <w:sz w:val="14"/>
                <w:szCs w:val="14"/>
              </w:rPr>
            </w:pPr>
            <w:r w:rsidRPr="00711FE4">
              <w:rPr>
                <w:rFonts w:ascii="Arial" w:hAnsi="Arial"/>
                <w:color w:val="000000"/>
                <w:sz w:val="14"/>
                <w:szCs w:val="14"/>
              </w:rPr>
              <w:t>two pairs of shoes in good condition and suitable for everyday use</w:t>
            </w:r>
          </w:p>
        </w:tc>
        <w:tc>
          <w:tcPr>
            <w:tcW w:w="3822" w:type="dxa"/>
            <w:tcBorders>
              <w:left w:val="nil"/>
            </w:tcBorders>
            <w:vAlign w:val="center"/>
          </w:tcPr>
          <w:p w14:paraId="07365671" w14:textId="77777777" w:rsidR="00711FE4" w:rsidRPr="00711FE4" w:rsidRDefault="00711FE4" w:rsidP="00711FE4">
            <w:pPr>
              <w:spacing w:before="40" w:after="40" w:line="240" w:lineRule="auto"/>
              <w:ind w:left="113" w:right="113"/>
              <w:jc w:val="both"/>
              <w:rPr>
                <w:rFonts w:ascii="Arial" w:hAnsi="Arial"/>
                <w:color w:val="000000"/>
                <w:sz w:val="14"/>
                <w:szCs w:val="14"/>
              </w:rPr>
            </w:pPr>
            <w:r w:rsidRPr="00711FE4">
              <w:rPr>
                <w:rFonts w:ascii="Arial" w:hAnsi="Arial"/>
                <w:color w:val="000000"/>
                <w:sz w:val="14"/>
                <w:szCs w:val="14"/>
              </w:rPr>
              <w:t>two pairs of shoes in good condition and suitable for everyday use</w:t>
            </w:r>
          </w:p>
        </w:tc>
      </w:tr>
      <w:tr w:rsidR="00711FE4" w:rsidRPr="00711FE4" w14:paraId="3A6ABDDF" w14:textId="77777777" w:rsidTr="00366F04">
        <w:trPr>
          <w:jc w:val="center"/>
        </w:trPr>
        <w:tc>
          <w:tcPr>
            <w:tcW w:w="237" w:type="dxa"/>
            <w:tcBorders>
              <w:right w:val="nil"/>
            </w:tcBorders>
            <w:vAlign w:val="center"/>
          </w:tcPr>
          <w:p w14:paraId="4DF2B760"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7371C1D4"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suitable clothes for important or special occasions</w:t>
            </w:r>
          </w:p>
        </w:tc>
        <w:tc>
          <w:tcPr>
            <w:tcW w:w="3822" w:type="dxa"/>
            <w:tcBorders>
              <w:left w:val="nil"/>
            </w:tcBorders>
            <w:vAlign w:val="center"/>
          </w:tcPr>
          <w:p w14:paraId="6E25C7B1"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suitable clothes for important or special occasions</w:t>
            </w:r>
          </w:p>
        </w:tc>
      </w:tr>
      <w:tr w:rsidR="00711FE4" w:rsidRPr="00711FE4" w14:paraId="0F24258B" w14:textId="77777777" w:rsidTr="00366F04">
        <w:trPr>
          <w:jc w:val="center"/>
        </w:trPr>
        <w:tc>
          <w:tcPr>
            <w:tcW w:w="237" w:type="dxa"/>
            <w:tcBorders>
              <w:right w:val="nil"/>
            </w:tcBorders>
            <w:vAlign w:val="center"/>
          </w:tcPr>
          <w:p w14:paraId="2C02F57F"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0890C8AE"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presents for family and friends on special occasions</w:t>
            </w:r>
          </w:p>
        </w:tc>
        <w:tc>
          <w:tcPr>
            <w:tcW w:w="3822" w:type="dxa"/>
            <w:tcBorders>
              <w:left w:val="nil"/>
            </w:tcBorders>
            <w:vAlign w:val="center"/>
          </w:tcPr>
          <w:p w14:paraId="356F6FE3"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presents for family and friends on special occasions</w:t>
            </w:r>
          </w:p>
        </w:tc>
      </w:tr>
      <w:tr w:rsidR="00711FE4" w:rsidRPr="00711FE4" w14:paraId="1CD2DC73" w14:textId="77777777" w:rsidTr="00366F04">
        <w:trPr>
          <w:jc w:val="center"/>
        </w:trPr>
        <w:tc>
          <w:tcPr>
            <w:tcW w:w="237" w:type="dxa"/>
            <w:tcBorders>
              <w:right w:val="nil"/>
            </w:tcBorders>
            <w:vAlign w:val="center"/>
          </w:tcPr>
          <w:p w14:paraId="78C1034F"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1FA8E849"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home contents insurance</w:t>
            </w:r>
          </w:p>
        </w:tc>
        <w:tc>
          <w:tcPr>
            <w:tcW w:w="3822" w:type="dxa"/>
            <w:tcBorders>
              <w:left w:val="nil"/>
            </w:tcBorders>
            <w:vAlign w:val="center"/>
          </w:tcPr>
          <w:p w14:paraId="2DE3F24A"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home contents insurance</w:t>
            </w:r>
          </w:p>
        </w:tc>
      </w:tr>
      <w:tr w:rsidR="00711FE4" w:rsidRPr="00711FE4" w14:paraId="228CA839" w14:textId="77777777" w:rsidTr="00366F04">
        <w:trPr>
          <w:jc w:val="center"/>
        </w:trPr>
        <w:tc>
          <w:tcPr>
            <w:tcW w:w="237" w:type="dxa"/>
            <w:tcBorders>
              <w:right w:val="nil"/>
            </w:tcBorders>
            <w:vAlign w:val="center"/>
          </w:tcPr>
          <w:p w14:paraId="605FD9E7"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5837609D" w14:textId="77777777" w:rsidR="00711FE4" w:rsidRPr="00711FE4" w:rsidRDefault="00711FE4" w:rsidP="00711FE4">
            <w:pPr>
              <w:spacing w:before="40" w:after="40" w:line="240" w:lineRule="auto"/>
              <w:rPr>
                <w:rFonts w:ascii="Arial" w:hAnsi="Arial"/>
                <w:color w:val="000000"/>
                <w:sz w:val="14"/>
                <w:szCs w:val="14"/>
              </w:rPr>
            </w:pPr>
          </w:p>
        </w:tc>
        <w:tc>
          <w:tcPr>
            <w:tcW w:w="3822" w:type="dxa"/>
            <w:tcBorders>
              <w:left w:val="nil"/>
            </w:tcBorders>
          </w:tcPr>
          <w:p w14:paraId="5F823DE0"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a good bed to sleep in</w:t>
            </w:r>
          </w:p>
        </w:tc>
      </w:tr>
      <w:tr w:rsidR="00711FE4" w:rsidRPr="00711FE4" w14:paraId="18DC1033" w14:textId="77777777" w:rsidTr="00366F04">
        <w:trPr>
          <w:jc w:val="center"/>
        </w:trPr>
        <w:tc>
          <w:tcPr>
            <w:tcW w:w="237" w:type="dxa"/>
            <w:tcBorders>
              <w:right w:val="nil"/>
            </w:tcBorders>
            <w:vAlign w:val="center"/>
          </w:tcPr>
          <w:p w14:paraId="091E5120"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tcBorders>
            <w:tcMar>
              <w:left w:w="57" w:type="dxa"/>
              <w:right w:w="113" w:type="dxa"/>
            </w:tcMar>
            <w:vAlign w:val="center"/>
          </w:tcPr>
          <w:p w14:paraId="6B1AF7DD" w14:textId="77777777" w:rsidR="00711FE4" w:rsidRPr="00711FE4" w:rsidRDefault="00711FE4" w:rsidP="00711FE4">
            <w:pPr>
              <w:spacing w:before="40" w:after="40" w:line="240" w:lineRule="auto"/>
              <w:rPr>
                <w:rFonts w:ascii="Arial" w:hAnsi="Arial"/>
                <w:color w:val="000000"/>
                <w:sz w:val="14"/>
                <w:szCs w:val="14"/>
              </w:rPr>
            </w:pPr>
          </w:p>
        </w:tc>
        <w:tc>
          <w:tcPr>
            <w:tcW w:w="3822" w:type="dxa"/>
            <w:tcBorders>
              <w:left w:val="nil"/>
            </w:tcBorders>
          </w:tcPr>
          <w:p w14:paraId="04A3BED1"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access to both a computer and internet connection at home</w:t>
            </w:r>
          </w:p>
        </w:tc>
      </w:tr>
      <w:tr w:rsidR="00711FE4" w:rsidRPr="00711FE4" w14:paraId="657804BF" w14:textId="77777777" w:rsidTr="00366F04">
        <w:trPr>
          <w:jc w:val="center"/>
        </w:trPr>
        <w:tc>
          <w:tcPr>
            <w:tcW w:w="7928" w:type="dxa"/>
            <w:gridSpan w:val="3"/>
            <w:tcBorders>
              <w:bottom w:val="single" w:sz="4" w:space="0" w:color="auto"/>
            </w:tcBorders>
            <w:tcMar>
              <w:left w:w="57" w:type="dxa"/>
              <w:right w:w="113" w:type="dxa"/>
            </w:tcMar>
            <w:vAlign w:val="center"/>
          </w:tcPr>
          <w:p w14:paraId="4D6637D0" w14:textId="77777777" w:rsidR="00711FE4" w:rsidRPr="00711FE4" w:rsidRDefault="00711FE4" w:rsidP="00711FE4">
            <w:pPr>
              <w:spacing w:before="40" w:after="40" w:line="240" w:lineRule="auto"/>
              <w:ind w:left="289" w:hanging="289"/>
              <w:jc w:val="both"/>
              <w:rPr>
                <w:rFonts w:ascii="Arial" w:hAnsi="Arial"/>
                <w:b/>
                <w:color w:val="000000"/>
                <w:sz w:val="14"/>
                <w:szCs w:val="14"/>
              </w:rPr>
            </w:pPr>
            <w:r w:rsidRPr="00711FE4">
              <w:rPr>
                <w:rFonts w:ascii="Arial" w:hAnsi="Arial"/>
                <w:b/>
                <w:color w:val="000000"/>
                <w:sz w:val="14"/>
                <w:szCs w:val="14"/>
              </w:rPr>
              <w:t xml:space="preserve"> Economised, cut back or delayed purchases ‘a lot’ </w:t>
            </w:r>
            <w:r w:rsidRPr="00711FE4">
              <w:rPr>
                <w:rFonts w:ascii="Arial" w:hAnsi="Arial"/>
                <w:color w:val="000000"/>
                <w:sz w:val="14"/>
                <w:szCs w:val="14"/>
              </w:rPr>
              <w:t>because money was needed for other essentials (not just to be thrifty or to save for a trip or other non-essential)</w:t>
            </w:r>
          </w:p>
        </w:tc>
      </w:tr>
      <w:tr w:rsidR="00711FE4" w:rsidRPr="00711FE4" w14:paraId="2846DF31" w14:textId="77777777" w:rsidTr="00366F04">
        <w:trPr>
          <w:jc w:val="center"/>
        </w:trPr>
        <w:tc>
          <w:tcPr>
            <w:tcW w:w="237" w:type="dxa"/>
            <w:tcBorders>
              <w:right w:val="nil"/>
            </w:tcBorders>
            <w:vAlign w:val="center"/>
          </w:tcPr>
          <w:p w14:paraId="485AF997"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6525E667" w14:textId="77777777" w:rsidR="00711FE4" w:rsidRPr="00711FE4" w:rsidRDefault="00711FE4" w:rsidP="00711FE4">
            <w:pPr>
              <w:spacing w:before="40" w:after="40" w:line="240" w:lineRule="auto"/>
              <w:jc w:val="both"/>
              <w:rPr>
                <w:rFonts w:ascii="Arial" w:hAnsi="Arial"/>
                <w:color w:val="000000"/>
                <w:sz w:val="14"/>
                <w:szCs w:val="14"/>
              </w:rPr>
            </w:pPr>
            <w:r w:rsidRPr="00711FE4">
              <w:rPr>
                <w:rFonts w:ascii="Arial" w:hAnsi="Arial"/>
                <w:color w:val="000000"/>
                <w:sz w:val="14"/>
                <w:szCs w:val="14"/>
              </w:rPr>
              <w:t>went without fresh fruit and vegetables</w:t>
            </w:r>
          </w:p>
        </w:tc>
        <w:tc>
          <w:tcPr>
            <w:tcW w:w="3822" w:type="dxa"/>
            <w:tcBorders>
              <w:left w:val="nil"/>
              <w:right w:val="single" w:sz="4" w:space="0" w:color="auto"/>
            </w:tcBorders>
            <w:vAlign w:val="center"/>
          </w:tcPr>
          <w:p w14:paraId="7A04E15E" w14:textId="77777777" w:rsidR="00711FE4" w:rsidRPr="00711FE4" w:rsidRDefault="00711FE4" w:rsidP="00711FE4">
            <w:pPr>
              <w:spacing w:before="40" w:after="40" w:line="240" w:lineRule="auto"/>
              <w:ind w:left="113" w:right="113"/>
              <w:jc w:val="both"/>
              <w:rPr>
                <w:rFonts w:ascii="Arial" w:hAnsi="Arial"/>
                <w:color w:val="000000"/>
                <w:sz w:val="14"/>
                <w:szCs w:val="14"/>
              </w:rPr>
            </w:pPr>
            <w:r w:rsidRPr="00711FE4">
              <w:rPr>
                <w:rFonts w:ascii="Arial" w:hAnsi="Arial"/>
                <w:color w:val="000000"/>
                <w:sz w:val="14"/>
                <w:szCs w:val="14"/>
              </w:rPr>
              <w:t>went without or cut back on fresh fruit and vegetables</w:t>
            </w:r>
          </w:p>
        </w:tc>
      </w:tr>
      <w:tr w:rsidR="00711FE4" w:rsidRPr="00711FE4" w14:paraId="24014DAE" w14:textId="77777777" w:rsidTr="00366F04">
        <w:trPr>
          <w:jc w:val="center"/>
        </w:trPr>
        <w:tc>
          <w:tcPr>
            <w:tcW w:w="237" w:type="dxa"/>
            <w:tcBorders>
              <w:right w:val="nil"/>
            </w:tcBorders>
            <w:vAlign w:val="center"/>
          </w:tcPr>
          <w:p w14:paraId="41ED2102"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41182B22"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bought cheaper cuts of meat or bought less than wanted</w:t>
            </w:r>
          </w:p>
        </w:tc>
        <w:tc>
          <w:tcPr>
            <w:tcW w:w="3822" w:type="dxa"/>
            <w:tcBorders>
              <w:left w:val="nil"/>
              <w:right w:val="single" w:sz="4" w:space="0" w:color="auto"/>
            </w:tcBorders>
            <w:vAlign w:val="center"/>
          </w:tcPr>
          <w:p w14:paraId="573B9649"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bought cheaper cuts of meat or bought less than wanted</w:t>
            </w:r>
          </w:p>
        </w:tc>
      </w:tr>
      <w:tr w:rsidR="00711FE4" w:rsidRPr="00711FE4" w14:paraId="39992115" w14:textId="77777777" w:rsidTr="00366F04">
        <w:trPr>
          <w:jc w:val="center"/>
        </w:trPr>
        <w:tc>
          <w:tcPr>
            <w:tcW w:w="237" w:type="dxa"/>
            <w:tcBorders>
              <w:right w:val="nil"/>
            </w:tcBorders>
            <w:vAlign w:val="center"/>
          </w:tcPr>
          <w:p w14:paraId="610DD9E9"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6B6DA758"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put up with feeling cold to save on heating costs</w:t>
            </w:r>
          </w:p>
        </w:tc>
        <w:tc>
          <w:tcPr>
            <w:tcW w:w="3822" w:type="dxa"/>
            <w:tcBorders>
              <w:left w:val="nil"/>
              <w:right w:val="single" w:sz="4" w:space="0" w:color="auto"/>
            </w:tcBorders>
            <w:vAlign w:val="center"/>
          </w:tcPr>
          <w:p w14:paraId="68B9C3CB"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put up with feeling cold to save on heating costs</w:t>
            </w:r>
          </w:p>
        </w:tc>
      </w:tr>
      <w:tr w:rsidR="00711FE4" w:rsidRPr="00711FE4" w14:paraId="3C47794D" w14:textId="77777777" w:rsidTr="00366F04">
        <w:trPr>
          <w:jc w:val="center"/>
        </w:trPr>
        <w:tc>
          <w:tcPr>
            <w:tcW w:w="237" w:type="dxa"/>
            <w:tcBorders>
              <w:right w:val="nil"/>
            </w:tcBorders>
            <w:vAlign w:val="center"/>
          </w:tcPr>
          <w:p w14:paraId="4296F068"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33918E17" w14:textId="77777777" w:rsidR="00711FE4" w:rsidRPr="00711FE4" w:rsidRDefault="00711FE4" w:rsidP="00711FE4">
            <w:pPr>
              <w:spacing w:before="40" w:after="40" w:line="240" w:lineRule="auto"/>
              <w:rPr>
                <w:rFonts w:ascii="Arial" w:hAnsi="Arial"/>
                <w:color w:val="000000"/>
                <w:sz w:val="14"/>
                <w:szCs w:val="14"/>
              </w:rPr>
            </w:pPr>
            <w:r w:rsidRPr="00711FE4">
              <w:rPr>
                <w:rFonts w:ascii="Arial" w:eastAsia="Times New Roman" w:hAnsi="Arial"/>
                <w:color w:val="000000"/>
                <w:sz w:val="14"/>
                <w:szCs w:val="14"/>
              </w:rPr>
              <w:t>postponed or put off visits to the doctor</w:t>
            </w:r>
          </w:p>
        </w:tc>
        <w:tc>
          <w:tcPr>
            <w:tcW w:w="3822" w:type="dxa"/>
            <w:tcBorders>
              <w:left w:val="nil"/>
              <w:right w:val="single" w:sz="4" w:space="0" w:color="auto"/>
            </w:tcBorders>
            <w:vAlign w:val="center"/>
          </w:tcPr>
          <w:p w14:paraId="7204C6B1"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 xml:space="preserve">put off </w:t>
            </w:r>
            <w:r w:rsidRPr="00711FE4">
              <w:rPr>
                <w:rFonts w:ascii="Arial" w:eastAsia="Times New Roman" w:hAnsi="Arial"/>
                <w:color w:val="000000"/>
                <w:sz w:val="14"/>
                <w:szCs w:val="14"/>
              </w:rPr>
              <w:t>visits to the doctor</w:t>
            </w:r>
          </w:p>
        </w:tc>
      </w:tr>
      <w:tr w:rsidR="00711FE4" w:rsidRPr="00711FE4" w14:paraId="2AAC7AE9" w14:textId="77777777" w:rsidTr="00366F04">
        <w:trPr>
          <w:jc w:val="center"/>
        </w:trPr>
        <w:tc>
          <w:tcPr>
            <w:tcW w:w="237" w:type="dxa"/>
            <w:tcBorders>
              <w:right w:val="nil"/>
            </w:tcBorders>
            <w:vAlign w:val="center"/>
          </w:tcPr>
          <w:p w14:paraId="1D054256"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6DCE9C08" w14:textId="77777777" w:rsidR="00711FE4" w:rsidRPr="00711FE4" w:rsidRDefault="00711FE4" w:rsidP="00711FE4">
            <w:pPr>
              <w:spacing w:before="40" w:after="40" w:line="240" w:lineRule="auto"/>
              <w:rPr>
                <w:rFonts w:ascii="Arial" w:hAnsi="Arial"/>
                <w:color w:val="000000"/>
                <w:sz w:val="14"/>
                <w:szCs w:val="14"/>
              </w:rPr>
            </w:pPr>
            <w:r w:rsidRPr="00711FE4">
              <w:rPr>
                <w:rFonts w:ascii="Arial" w:eastAsia="Times New Roman" w:hAnsi="Arial"/>
                <w:color w:val="000000"/>
                <w:sz w:val="14"/>
                <w:szCs w:val="14"/>
              </w:rPr>
              <w:t>postponed or put off visits to the dentist</w:t>
            </w:r>
          </w:p>
        </w:tc>
        <w:tc>
          <w:tcPr>
            <w:tcW w:w="3822" w:type="dxa"/>
            <w:tcBorders>
              <w:left w:val="nil"/>
              <w:right w:val="single" w:sz="4" w:space="0" w:color="auto"/>
            </w:tcBorders>
            <w:vAlign w:val="center"/>
          </w:tcPr>
          <w:p w14:paraId="2A44C0FD"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 xml:space="preserve">put off </w:t>
            </w:r>
            <w:r w:rsidRPr="00711FE4">
              <w:rPr>
                <w:rFonts w:ascii="Arial" w:eastAsia="Times New Roman" w:hAnsi="Arial"/>
                <w:color w:val="000000"/>
                <w:sz w:val="14"/>
                <w:szCs w:val="14"/>
              </w:rPr>
              <w:t>visits to the dentist</w:t>
            </w:r>
          </w:p>
        </w:tc>
      </w:tr>
      <w:tr w:rsidR="00711FE4" w:rsidRPr="00711FE4" w14:paraId="2A0AD90F" w14:textId="77777777" w:rsidTr="00366F04">
        <w:trPr>
          <w:jc w:val="center"/>
        </w:trPr>
        <w:tc>
          <w:tcPr>
            <w:tcW w:w="237" w:type="dxa"/>
            <w:tcBorders>
              <w:right w:val="nil"/>
            </w:tcBorders>
            <w:vAlign w:val="center"/>
          </w:tcPr>
          <w:p w14:paraId="35F3FDAF"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6C57EF86"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did without or cut back on trips to the shops or other local places</w:t>
            </w:r>
          </w:p>
        </w:tc>
        <w:tc>
          <w:tcPr>
            <w:tcW w:w="3822" w:type="dxa"/>
            <w:tcBorders>
              <w:left w:val="nil"/>
              <w:right w:val="single" w:sz="4" w:space="0" w:color="auto"/>
            </w:tcBorders>
            <w:vAlign w:val="center"/>
          </w:tcPr>
          <w:p w14:paraId="048CD66D" w14:textId="77777777" w:rsidR="00711FE4" w:rsidRPr="00711FE4" w:rsidRDefault="00711FE4" w:rsidP="00711FE4">
            <w:pPr>
              <w:spacing w:before="40" w:after="40" w:line="240" w:lineRule="auto"/>
              <w:ind w:left="113" w:right="113"/>
              <w:jc w:val="center"/>
              <w:rPr>
                <w:rFonts w:ascii="Arial" w:hAnsi="Arial"/>
                <w:color w:val="000000"/>
                <w:sz w:val="14"/>
                <w:szCs w:val="14"/>
              </w:rPr>
            </w:pPr>
            <w:r w:rsidRPr="00711FE4">
              <w:rPr>
                <w:rFonts w:ascii="Arial" w:hAnsi="Arial"/>
                <w:color w:val="000000"/>
                <w:sz w:val="14"/>
                <w:szCs w:val="14"/>
              </w:rPr>
              <w:t>-</w:t>
            </w:r>
          </w:p>
        </w:tc>
      </w:tr>
      <w:tr w:rsidR="00711FE4" w:rsidRPr="00711FE4" w14:paraId="33E642A4" w14:textId="77777777" w:rsidTr="00366F04">
        <w:trPr>
          <w:jc w:val="center"/>
        </w:trPr>
        <w:tc>
          <w:tcPr>
            <w:tcW w:w="237" w:type="dxa"/>
            <w:tcBorders>
              <w:right w:val="nil"/>
            </w:tcBorders>
            <w:vAlign w:val="center"/>
          </w:tcPr>
          <w:p w14:paraId="7D35D688"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1574278E"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delayed repairing or replacing broken or damaged appliances</w:t>
            </w:r>
          </w:p>
        </w:tc>
        <w:tc>
          <w:tcPr>
            <w:tcW w:w="3822" w:type="dxa"/>
            <w:tcBorders>
              <w:left w:val="nil"/>
              <w:right w:val="single" w:sz="4" w:space="0" w:color="auto"/>
            </w:tcBorders>
            <w:vAlign w:val="center"/>
          </w:tcPr>
          <w:p w14:paraId="241E27B6"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put off repairing or replacing broken or damaged appliances</w:t>
            </w:r>
          </w:p>
        </w:tc>
      </w:tr>
      <w:tr w:rsidR="00711FE4" w:rsidRPr="00711FE4" w14:paraId="003F5E61" w14:textId="77777777" w:rsidTr="00366F04">
        <w:trPr>
          <w:jc w:val="center"/>
        </w:trPr>
        <w:tc>
          <w:tcPr>
            <w:tcW w:w="7928" w:type="dxa"/>
            <w:gridSpan w:val="3"/>
            <w:tcBorders>
              <w:right w:val="single" w:sz="4" w:space="0" w:color="auto"/>
            </w:tcBorders>
            <w:vAlign w:val="center"/>
          </w:tcPr>
          <w:p w14:paraId="23975908" w14:textId="77777777" w:rsidR="00711FE4" w:rsidRPr="00711FE4" w:rsidRDefault="00711FE4" w:rsidP="00711FE4">
            <w:pPr>
              <w:spacing w:before="40" w:after="40" w:line="240" w:lineRule="auto"/>
              <w:ind w:left="269" w:hanging="149"/>
              <w:jc w:val="both"/>
              <w:rPr>
                <w:rFonts w:ascii="Arial" w:hAnsi="Arial"/>
                <w:b/>
                <w:color w:val="000000"/>
                <w:sz w:val="14"/>
                <w:szCs w:val="14"/>
              </w:rPr>
            </w:pPr>
            <w:r w:rsidRPr="00711FE4">
              <w:rPr>
                <w:rFonts w:ascii="Arial" w:hAnsi="Arial"/>
                <w:b/>
                <w:color w:val="000000"/>
                <w:sz w:val="14"/>
                <w:szCs w:val="14"/>
              </w:rPr>
              <w:t xml:space="preserve">In arrears more than once in last 12 months </w:t>
            </w:r>
            <w:r w:rsidRPr="00711FE4">
              <w:rPr>
                <w:rFonts w:ascii="Arial" w:hAnsi="Arial"/>
                <w:color w:val="000000"/>
                <w:sz w:val="14"/>
                <w:szCs w:val="14"/>
              </w:rPr>
              <w:t>(because of shortage of cash at the time, not through forgetting)</w:t>
            </w:r>
          </w:p>
        </w:tc>
      </w:tr>
      <w:tr w:rsidR="00711FE4" w:rsidRPr="00711FE4" w14:paraId="2BA8483B" w14:textId="77777777" w:rsidTr="00366F04">
        <w:trPr>
          <w:jc w:val="center"/>
        </w:trPr>
        <w:tc>
          <w:tcPr>
            <w:tcW w:w="237" w:type="dxa"/>
            <w:tcBorders>
              <w:right w:val="nil"/>
            </w:tcBorders>
            <w:vAlign w:val="center"/>
          </w:tcPr>
          <w:p w14:paraId="1A1453E2"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18E2B1C3" w14:textId="77777777" w:rsidR="00711FE4" w:rsidRPr="00711FE4" w:rsidRDefault="00711FE4" w:rsidP="00711FE4">
            <w:pPr>
              <w:spacing w:before="40" w:after="40" w:line="240" w:lineRule="auto"/>
              <w:jc w:val="both"/>
              <w:rPr>
                <w:rFonts w:ascii="Arial" w:hAnsi="Arial"/>
                <w:color w:val="000000"/>
                <w:sz w:val="14"/>
                <w:szCs w:val="14"/>
              </w:rPr>
            </w:pPr>
            <w:r w:rsidRPr="00711FE4">
              <w:rPr>
                <w:rFonts w:ascii="Arial" w:hAnsi="Arial"/>
                <w:color w:val="000000"/>
                <w:sz w:val="14"/>
                <w:szCs w:val="14"/>
              </w:rPr>
              <w:t>rates, electricity, water</w:t>
            </w:r>
          </w:p>
        </w:tc>
        <w:tc>
          <w:tcPr>
            <w:tcW w:w="3822" w:type="dxa"/>
            <w:tcBorders>
              <w:left w:val="nil"/>
              <w:right w:val="single" w:sz="4" w:space="0" w:color="auto"/>
            </w:tcBorders>
            <w:vAlign w:val="center"/>
          </w:tcPr>
          <w:p w14:paraId="4BCA5193" w14:textId="77777777" w:rsidR="00711FE4" w:rsidRPr="00711FE4" w:rsidRDefault="00711FE4" w:rsidP="00711FE4">
            <w:pPr>
              <w:spacing w:before="40" w:after="40" w:line="240" w:lineRule="auto"/>
              <w:ind w:left="113" w:right="113"/>
              <w:jc w:val="both"/>
              <w:rPr>
                <w:rFonts w:ascii="Arial" w:hAnsi="Arial"/>
                <w:color w:val="000000"/>
                <w:sz w:val="14"/>
                <w:szCs w:val="14"/>
              </w:rPr>
            </w:pPr>
            <w:r w:rsidRPr="00711FE4">
              <w:rPr>
                <w:rFonts w:ascii="Arial" w:hAnsi="Arial"/>
                <w:color w:val="000000"/>
                <w:sz w:val="14"/>
                <w:szCs w:val="14"/>
              </w:rPr>
              <w:t>rates, electricity, water</w:t>
            </w:r>
          </w:p>
        </w:tc>
      </w:tr>
      <w:tr w:rsidR="00711FE4" w:rsidRPr="00711FE4" w14:paraId="7FE471BE" w14:textId="77777777" w:rsidTr="00366F04">
        <w:trPr>
          <w:jc w:val="center"/>
        </w:trPr>
        <w:tc>
          <w:tcPr>
            <w:tcW w:w="237" w:type="dxa"/>
            <w:tcBorders>
              <w:right w:val="nil"/>
            </w:tcBorders>
            <w:vAlign w:val="center"/>
          </w:tcPr>
          <w:p w14:paraId="71E7C497"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636DC7CB"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vehicle registration, insurance or warrant of fitness</w:t>
            </w:r>
          </w:p>
        </w:tc>
        <w:tc>
          <w:tcPr>
            <w:tcW w:w="3822" w:type="dxa"/>
            <w:tcBorders>
              <w:left w:val="nil"/>
              <w:right w:val="single" w:sz="4" w:space="0" w:color="auto"/>
            </w:tcBorders>
            <w:vAlign w:val="center"/>
          </w:tcPr>
          <w:p w14:paraId="0596A92A"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vehicle registration, insurance or warrant of fitness</w:t>
            </w:r>
          </w:p>
        </w:tc>
      </w:tr>
      <w:tr w:rsidR="00711FE4" w:rsidRPr="00711FE4" w14:paraId="007C011E" w14:textId="77777777" w:rsidTr="00366F04">
        <w:trPr>
          <w:jc w:val="center"/>
        </w:trPr>
        <w:tc>
          <w:tcPr>
            <w:tcW w:w="7928" w:type="dxa"/>
            <w:gridSpan w:val="3"/>
            <w:tcBorders>
              <w:right w:val="single" w:sz="4" w:space="0" w:color="auto"/>
            </w:tcBorders>
            <w:vAlign w:val="center"/>
          </w:tcPr>
          <w:p w14:paraId="79EC7CC8" w14:textId="77777777" w:rsidR="00711FE4" w:rsidRPr="00711FE4" w:rsidRDefault="00711FE4" w:rsidP="00711FE4">
            <w:pPr>
              <w:spacing w:before="40" w:after="40" w:line="240" w:lineRule="auto"/>
              <w:ind w:left="410" w:hanging="316"/>
              <w:jc w:val="both"/>
              <w:rPr>
                <w:rFonts w:ascii="Arial" w:hAnsi="Arial"/>
                <w:b/>
                <w:color w:val="000000"/>
                <w:sz w:val="14"/>
                <w:szCs w:val="14"/>
              </w:rPr>
            </w:pPr>
            <w:r w:rsidRPr="00711FE4">
              <w:rPr>
                <w:rFonts w:ascii="Arial" w:hAnsi="Arial"/>
                <w:b/>
                <w:color w:val="000000"/>
                <w:sz w:val="14"/>
                <w:szCs w:val="14"/>
              </w:rPr>
              <w:t xml:space="preserve">Financial stress and vulnerability </w:t>
            </w:r>
          </w:p>
        </w:tc>
      </w:tr>
      <w:tr w:rsidR="00711FE4" w:rsidRPr="00711FE4" w14:paraId="4EA44635" w14:textId="77777777" w:rsidTr="00366F04">
        <w:trPr>
          <w:jc w:val="center"/>
        </w:trPr>
        <w:tc>
          <w:tcPr>
            <w:tcW w:w="237" w:type="dxa"/>
            <w:tcBorders>
              <w:right w:val="nil"/>
            </w:tcBorders>
            <w:vAlign w:val="center"/>
          </w:tcPr>
          <w:p w14:paraId="30438423"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2930FAF3" w14:textId="77777777" w:rsidR="00711FE4" w:rsidRPr="00711FE4" w:rsidRDefault="00711FE4" w:rsidP="00711FE4">
            <w:pPr>
              <w:spacing w:before="40" w:after="40" w:line="240" w:lineRule="auto"/>
              <w:jc w:val="both"/>
              <w:rPr>
                <w:rFonts w:ascii="Arial" w:hAnsi="Arial"/>
                <w:color w:val="000000"/>
                <w:sz w:val="14"/>
                <w:szCs w:val="14"/>
              </w:rPr>
            </w:pPr>
            <w:r w:rsidRPr="00711FE4">
              <w:rPr>
                <w:rFonts w:ascii="Arial" w:hAnsi="Arial"/>
                <w:color w:val="000000"/>
                <w:sz w:val="14"/>
                <w:szCs w:val="14"/>
              </w:rPr>
              <w:t>borrowed money from family or friends more than once in the last 12 months to cover everyday living costs</w:t>
            </w:r>
          </w:p>
        </w:tc>
        <w:tc>
          <w:tcPr>
            <w:tcW w:w="3822" w:type="dxa"/>
            <w:tcBorders>
              <w:left w:val="nil"/>
              <w:right w:val="single" w:sz="4" w:space="0" w:color="auto"/>
            </w:tcBorders>
            <w:vAlign w:val="center"/>
          </w:tcPr>
          <w:p w14:paraId="5717FF26" w14:textId="77777777" w:rsidR="00711FE4" w:rsidRPr="00711FE4" w:rsidRDefault="00711FE4" w:rsidP="00711FE4">
            <w:pPr>
              <w:spacing w:before="40" w:after="40" w:line="240" w:lineRule="auto"/>
              <w:ind w:left="113" w:right="113"/>
              <w:jc w:val="both"/>
              <w:rPr>
                <w:rFonts w:ascii="Arial" w:hAnsi="Arial"/>
                <w:color w:val="000000"/>
                <w:sz w:val="14"/>
                <w:szCs w:val="14"/>
              </w:rPr>
            </w:pPr>
            <w:r w:rsidRPr="00711FE4">
              <w:rPr>
                <w:rFonts w:ascii="Arial" w:hAnsi="Arial"/>
                <w:color w:val="000000"/>
                <w:sz w:val="14"/>
                <w:szCs w:val="14"/>
              </w:rPr>
              <w:t>borrowed money from family or friends more than once in the last 12 months to cover everyday living costs</w:t>
            </w:r>
          </w:p>
        </w:tc>
      </w:tr>
      <w:tr w:rsidR="00711FE4" w:rsidRPr="00711FE4" w14:paraId="653533DA" w14:textId="77777777" w:rsidTr="00366F04">
        <w:trPr>
          <w:jc w:val="center"/>
        </w:trPr>
        <w:tc>
          <w:tcPr>
            <w:tcW w:w="237" w:type="dxa"/>
            <w:tcBorders>
              <w:right w:val="nil"/>
            </w:tcBorders>
            <w:vAlign w:val="center"/>
          </w:tcPr>
          <w:p w14:paraId="0F2648E8"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4AC7A41A" w14:textId="77777777" w:rsidR="00711FE4" w:rsidRPr="00711FE4" w:rsidRDefault="00711FE4" w:rsidP="00711FE4">
            <w:pPr>
              <w:spacing w:before="40" w:after="40" w:line="240" w:lineRule="auto"/>
              <w:jc w:val="both"/>
              <w:rPr>
                <w:rFonts w:ascii="Arial" w:hAnsi="Arial"/>
                <w:color w:val="000000"/>
                <w:sz w:val="14"/>
                <w:szCs w:val="14"/>
              </w:rPr>
            </w:pPr>
            <w:r w:rsidRPr="00711FE4">
              <w:rPr>
                <w:rFonts w:ascii="Arial" w:hAnsi="Arial"/>
                <w:color w:val="000000"/>
                <w:sz w:val="14"/>
                <w:szCs w:val="14"/>
              </w:rPr>
              <w:t>feel ‘very limited’ by the money available when thinking about purchase of clothes or shoes for self (options were: not at all, a little, quite limited, and very limited)</w:t>
            </w:r>
          </w:p>
        </w:tc>
        <w:tc>
          <w:tcPr>
            <w:tcW w:w="3822" w:type="dxa"/>
            <w:tcBorders>
              <w:left w:val="nil"/>
              <w:right w:val="single" w:sz="4" w:space="0" w:color="auto"/>
            </w:tcBorders>
            <w:vAlign w:val="center"/>
          </w:tcPr>
          <w:p w14:paraId="67EF5FA5" w14:textId="77777777" w:rsidR="00711FE4" w:rsidRPr="00711FE4" w:rsidRDefault="00711FE4" w:rsidP="00711FE4">
            <w:pPr>
              <w:spacing w:before="40" w:after="40" w:line="240" w:lineRule="auto"/>
              <w:ind w:left="113" w:right="113"/>
              <w:jc w:val="both"/>
              <w:rPr>
                <w:rFonts w:ascii="Arial" w:hAnsi="Arial"/>
                <w:color w:val="000000"/>
                <w:sz w:val="14"/>
                <w:szCs w:val="14"/>
              </w:rPr>
            </w:pPr>
            <w:r w:rsidRPr="00711FE4">
              <w:rPr>
                <w:rFonts w:ascii="Arial" w:hAnsi="Arial"/>
                <w:color w:val="000000"/>
                <w:sz w:val="14"/>
                <w:szCs w:val="14"/>
              </w:rPr>
              <w:t>feel ‘very limited’ by the money available when thinking about purchase of clothes or shoes for self (options were: not at all, a little, quite limited, and very limited)</w:t>
            </w:r>
          </w:p>
        </w:tc>
      </w:tr>
      <w:tr w:rsidR="00711FE4" w:rsidRPr="00711FE4" w14:paraId="259CCB27" w14:textId="77777777" w:rsidTr="00366F04">
        <w:trPr>
          <w:jc w:val="center"/>
        </w:trPr>
        <w:tc>
          <w:tcPr>
            <w:tcW w:w="237" w:type="dxa"/>
            <w:tcBorders>
              <w:right w:val="nil"/>
            </w:tcBorders>
            <w:vAlign w:val="center"/>
          </w:tcPr>
          <w:p w14:paraId="45131626" w14:textId="77777777" w:rsidR="00711FE4" w:rsidRPr="00711FE4" w:rsidRDefault="00711FE4" w:rsidP="00711FE4">
            <w:pPr>
              <w:spacing w:before="40" w:after="40" w:line="240" w:lineRule="auto"/>
              <w:rPr>
                <w:rFonts w:ascii="Arial" w:hAnsi="Arial"/>
                <w:color w:val="000000"/>
                <w:sz w:val="14"/>
                <w:szCs w:val="14"/>
              </w:rPr>
            </w:pPr>
          </w:p>
        </w:tc>
        <w:tc>
          <w:tcPr>
            <w:tcW w:w="3869" w:type="dxa"/>
            <w:tcBorders>
              <w:left w:val="nil"/>
              <w:right w:val="single" w:sz="4" w:space="0" w:color="auto"/>
            </w:tcBorders>
            <w:tcMar>
              <w:left w:w="57" w:type="dxa"/>
              <w:right w:w="113" w:type="dxa"/>
            </w:tcMar>
            <w:vAlign w:val="center"/>
          </w:tcPr>
          <w:p w14:paraId="0845957C" w14:textId="77777777" w:rsidR="00711FE4" w:rsidRPr="00711FE4" w:rsidRDefault="00711FE4" w:rsidP="00711FE4">
            <w:pPr>
              <w:spacing w:before="40" w:after="40" w:line="240" w:lineRule="auto"/>
              <w:rPr>
                <w:rFonts w:ascii="Arial" w:hAnsi="Arial"/>
                <w:color w:val="000000"/>
                <w:sz w:val="14"/>
                <w:szCs w:val="14"/>
              </w:rPr>
            </w:pPr>
            <w:r w:rsidRPr="00711FE4">
              <w:rPr>
                <w:rFonts w:ascii="Arial" w:hAnsi="Arial"/>
                <w:color w:val="000000"/>
                <w:sz w:val="14"/>
                <w:szCs w:val="14"/>
              </w:rPr>
              <w:t>could not pay an unexpected and unavoidable bill of $500 within a month without borrowing</w:t>
            </w:r>
          </w:p>
        </w:tc>
        <w:tc>
          <w:tcPr>
            <w:tcW w:w="3822" w:type="dxa"/>
            <w:tcBorders>
              <w:left w:val="nil"/>
              <w:right w:val="single" w:sz="4" w:space="0" w:color="auto"/>
            </w:tcBorders>
            <w:vAlign w:val="center"/>
          </w:tcPr>
          <w:p w14:paraId="70847C2D" w14:textId="77777777" w:rsidR="00711FE4" w:rsidRPr="00711FE4" w:rsidRDefault="00711FE4" w:rsidP="00711FE4">
            <w:pPr>
              <w:spacing w:before="40" w:after="40" w:line="240" w:lineRule="auto"/>
              <w:ind w:left="113" w:right="113"/>
              <w:rPr>
                <w:rFonts w:ascii="Arial" w:hAnsi="Arial"/>
                <w:color w:val="000000"/>
                <w:sz w:val="14"/>
                <w:szCs w:val="14"/>
              </w:rPr>
            </w:pPr>
            <w:r w:rsidRPr="00711FE4">
              <w:rPr>
                <w:rFonts w:ascii="Arial" w:hAnsi="Arial"/>
                <w:color w:val="000000"/>
                <w:sz w:val="14"/>
                <w:szCs w:val="14"/>
              </w:rPr>
              <w:t>could not pay an unexpected and unavoidable bill of $500 within a month without borrowing</w:t>
            </w:r>
          </w:p>
        </w:tc>
      </w:tr>
    </w:tbl>
    <w:p w14:paraId="0B2A53F0" w14:textId="77777777" w:rsidR="00711FE4" w:rsidRPr="00711FE4" w:rsidRDefault="00711FE4" w:rsidP="00711FE4">
      <w:pPr>
        <w:spacing w:before="120" w:after="0"/>
        <w:ind w:left="567"/>
        <w:rPr>
          <w:rFonts w:ascii="Arial" w:hAnsi="Arial"/>
          <w:color w:val="000000"/>
          <w:sz w:val="14"/>
          <w:szCs w:val="14"/>
        </w:rPr>
      </w:pPr>
      <w:r w:rsidRPr="00711FE4">
        <w:rPr>
          <w:rFonts w:ascii="Arial" w:hAnsi="Arial"/>
          <w:color w:val="000000"/>
          <w:sz w:val="14"/>
          <w:szCs w:val="14"/>
        </w:rPr>
        <w:t>Note: an enforced lack is an item that is wanted but not possessed because of the cost.</w:t>
      </w:r>
    </w:p>
    <w:p w14:paraId="71E2DD93" w14:textId="77777777" w:rsidR="00711FE4" w:rsidRPr="00711FE4" w:rsidRDefault="00711FE4" w:rsidP="00711FE4">
      <w:pPr>
        <w:spacing w:after="0" w:line="240" w:lineRule="auto"/>
        <w:rPr>
          <w:rFonts w:ascii="Arial" w:hAnsi="Arial"/>
          <w:color w:val="000000"/>
          <w:sz w:val="16"/>
          <w:szCs w:val="16"/>
        </w:rPr>
      </w:pPr>
    </w:p>
    <w:p w14:paraId="275B43DE" w14:textId="77777777" w:rsidR="00711FE4" w:rsidRPr="00711FE4" w:rsidRDefault="00711FE4" w:rsidP="00711FE4">
      <w:pPr>
        <w:spacing w:after="0" w:line="240" w:lineRule="auto"/>
        <w:rPr>
          <w:rFonts w:ascii="Arial" w:hAnsi="Arial"/>
          <w:b/>
          <w:color w:val="000000"/>
          <w:sz w:val="18"/>
          <w:szCs w:val="18"/>
        </w:rPr>
      </w:pPr>
    </w:p>
    <w:p w14:paraId="7347720A" w14:textId="77777777" w:rsidR="00711FE4" w:rsidRPr="00711FE4" w:rsidRDefault="00711FE4" w:rsidP="00711FE4">
      <w:pPr>
        <w:spacing w:after="0" w:line="240" w:lineRule="auto"/>
        <w:rPr>
          <w:rFonts w:ascii="Arial" w:hAnsi="Arial"/>
          <w:b/>
          <w:color w:val="000000"/>
          <w:sz w:val="18"/>
          <w:szCs w:val="18"/>
        </w:rPr>
      </w:pPr>
      <w:r w:rsidRPr="00711FE4">
        <w:rPr>
          <w:rFonts w:ascii="Arial" w:hAnsi="Arial"/>
          <w:b/>
          <w:color w:val="000000"/>
          <w:sz w:val="18"/>
          <w:szCs w:val="18"/>
        </w:rPr>
        <w:br w:type="page"/>
      </w:r>
    </w:p>
    <w:p w14:paraId="16EED409" w14:textId="77777777" w:rsidR="00711FE4" w:rsidRPr="00711FE4" w:rsidRDefault="00711FE4" w:rsidP="00711FE4">
      <w:pPr>
        <w:spacing w:after="0" w:line="240" w:lineRule="auto"/>
        <w:jc w:val="center"/>
        <w:rPr>
          <w:rFonts w:ascii="Arial" w:hAnsi="Arial"/>
          <w:b/>
          <w:color w:val="000000"/>
          <w:sz w:val="18"/>
          <w:szCs w:val="18"/>
        </w:rPr>
      </w:pPr>
      <w:r w:rsidRPr="00711FE4">
        <w:rPr>
          <w:rFonts w:ascii="Arial" w:hAnsi="Arial"/>
          <w:b/>
          <w:color w:val="000000"/>
          <w:sz w:val="18"/>
          <w:szCs w:val="18"/>
        </w:rPr>
        <w:lastRenderedPageBreak/>
        <w:t>Table 3.2</w:t>
      </w:r>
    </w:p>
    <w:p w14:paraId="63490E0C" w14:textId="77777777" w:rsidR="00711FE4" w:rsidRPr="00711FE4" w:rsidRDefault="00711FE4" w:rsidP="00711FE4">
      <w:pPr>
        <w:spacing w:line="240" w:lineRule="auto"/>
        <w:jc w:val="center"/>
        <w:rPr>
          <w:rFonts w:ascii="Arial" w:hAnsi="Arial"/>
          <w:color w:val="000000"/>
          <w:szCs w:val="20"/>
        </w:rPr>
      </w:pPr>
      <w:r w:rsidRPr="00711FE4">
        <w:rPr>
          <w:rFonts w:ascii="Arial" w:hAnsi="Arial"/>
          <w:b/>
          <w:color w:val="000000"/>
          <w:sz w:val="18"/>
          <w:szCs w:val="18"/>
        </w:rPr>
        <w:t>Composition of EU-13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9"/>
      </w:tblGrid>
      <w:tr w:rsidR="00711FE4" w:rsidRPr="00711FE4" w14:paraId="7329D1C6" w14:textId="77777777" w:rsidTr="00366F04">
        <w:trPr>
          <w:jc w:val="center"/>
        </w:trPr>
        <w:tc>
          <w:tcPr>
            <w:tcW w:w="5659" w:type="dxa"/>
          </w:tcPr>
          <w:p w14:paraId="04ACC5B8" w14:textId="77777777" w:rsidR="00711FE4" w:rsidRPr="00711FE4" w:rsidRDefault="00711FE4" w:rsidP="00711FE4">
            <w:pPr>
              <w:spacing w:before="40" w:after="40" w:line="240" w:lineRule="auto"/>
              <w:ind w:left="50"/>
              <w:rPr>
                <w:rFonts w:ascii="Arial" w:hAnsi="Arial"/>
                <w:b/>
                <w:color w:val="000000"/>
                <w:sz w:val="14"/>
                <w:szCs w:val="14"/>
              </w:rPr>
            </w:pPr>
            <w:r w:rsidRPr="00711FE4">
              <w:rPr>
                <w:rFonts w:ascii="Arial" w:hAnsi="Arial"/>
                <w:b/>
                <w:color w:val="000000"/>
                <w:sz w:val="14"/>
                <w:szCs w:val="14"/>
              </w:rPr>
              <w:t>Seven household deprivations (enforced lacks)</w:t>
            </w:r>
          </w:p>
        </w:tc>
      </w:tr>
      <w:tr w:rsidR="00711FE4" w:rsidRPr="00711FE4" w14:paraId="05798A5A" w14:textId="77777777" w:rsidTr="00366F04">
        <w:trPr>
          <w:jc w:val="center"/>
        </w:trPr>
        <w:tc>
          <w:tcPr>
            <w:tcW w:w="5659" w:type="dxa"/>
          </w:tcPr>
          <w:p w14:paraId="26618008"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ability to face unexpected expenses of NZD1500</w:t>
            </w:r>
            <w:r w:rsidRPr="00711FE4">
              <w:rPr>
                <w:rFonts w:ascii="Arial" w:hAnsi="Arial"/>
                <w:color w:val="000000"/>
                <w:sz w:val="14"/>
                <w:szCs w:val="14"/>
                <w:vertAlign w:val="superscript"/>
              </w:rPr>
              <w:footnoteReference w:id="99"/>
            </w:r>
          </w:p>
        </w:tc>
      </w:tr>
      <w:tr w:rsidR="00711FE4" w:rsidRPr="00711FE4" w14:paraId="53E0D556" w14:textId="77777777" w:rsidTr="00366F04">
        <w:trPr>
          <w:jc w:val="center"/>
        </w:trPr>
        <w:tc>
          <w:tcPr>
            <w:tcW w:w="5659" w:type="dxa"/>
          </w:tcPr>
          <w:p w14:paraId="22BD5133"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one week’s annual holiday away from home</w:t>
            </w:r>
          </w:p>
        </w:tc>
      </w:tr>
      <w:tr w:rsidR="00711FE4" w:rsidRPr="00711FE4" w14:paraId="0B7623D4" w14:textId="77777777" w:rsidTr="00366F04">
        <w:trPr>
          <w:jc w:val="center"/>
        </w:trPr>
        <w:tc>
          <w:tcPr>
            <w:tcW w:w="5659" w:type="dxa"/>
          </w:tcPr>
          <w:p w14:paraId="73652CD7"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avoid arrears in mortgage or rent, utility bills or HP instalments</w:t>
            </w:r>
          </w:p>
        </w:tc>
      </w:tr>
      <w:tr w:rsidR="00711FE4" w:rsidRPr="00711FE4" w14:paraId="67B2D1D3" w14:textId="77777777" w:rsidTr="00366F04">
        <w:trPr>
          <w:jc w:val="center"/>
        </w:trPr>
        <w:tc>
          <w:tcPr>
            <w:tcW w:w="5659" w:type="dxa"/>
          </w:tcPr>
          <w:p w14:paraId="4E4928E6"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a meal with meat, fish or chicken every second day</w:t>
            </w:r>
          </w:p>
        </w:tc>
      </w:tr>
      <w:tr w:rsidR="00711FE4" w:rsidRPr="00711FE4" w14:paraId="75540737" w14:textId="77777777" w:rsidTr="00366F04">
        <w:trPr>
          <w:jc w:val="center"/>
        </w:trPr>
        <w:tc>
          <w:tcPr>
            <w:tcW w:w="5659" w:type="dxa"/>
          </w:tcPr>
          <w:p w14:paraId="5228766D"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keep the home adequately warm</w:t>
            </w:r>
          </w:p>
        </w:tc>
      </w:tr>
      <w:tr w:rsidR="00711FE4" w:rsidRPr="00711FE4" w14:paraId="787A74F5" w14:textId="77777777" w:rsidTr="00366F04">
        <w:trPr>
          <w:jc w:val="center"/>
        </w:trPr>
        <w:tc>
          <w:tcPr>
            <w:tcW w:w="5659" w:type="dxa"/>
          </w:tcPr>
          <w:p w14:paraId="33A5BE18"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access to a car / van for personal use</w:t>
            </w:r>
          </w:p>
        </w:tc>
      </w:tr>
      <w:tr w:rsidR="00711FE4" w:rsidRPr="00711FE4" w14:paraId="697BED8C" w14:textId="77777777" w:rsidTr="00366F04">
        <w:trPr>
          <w:jc w:val="center"/>
        </w:trPr>
        <w:tc>
          <w:tcPr>
            <w:tcW w:w="5659" w:type="dxa"/>
          </w:tcPr>
          <w:p w14:paraId="0CE5DDD5"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replace worn-out furniture</w:t>
            </w:r>
          </w:p>
        </w:tc>
      </w:tr>
      <w:tr w:rsidR="00711FE4" w:rsidRPr="00711FE4" w14:paraId="2296B684" w14:textId="77777777" w:rsidTr="00366F04">
        <w:trPr>
          <w:jc w:val="center"/>
        </w:trPr>
        <w:tc>
          <w:tcPr>
            <w:tcW w:w="5659" w:type="dxa"/>
          </w:tcPr>
          <w:p w14:paraId="52550467" w14:textId="77777777" w:rsidR="00711FE4" w:rsidRPr="00711FE4" w:rsidRDefault="00711FE4" w:rsidP="00711FE4">
            <w:pPr>
              <w:spacing w:before="40" w:after="40" w:line="240" w:lineRule="auto"/>
              <w:ind w:left="50"/>
              <w:rPr>
                <w:rFonts w:ascii="Arial" w:hAnsi="Arial"/>
                <w:b/>
                <w:color w:val="000000"/>
                <w:sz w:val="14"/>
                <w:szCs w:val="14"/>
              </w:rPr>
            </w:pPr>
            <w:r w:rsidRPr="00711FE4">
              <w:rPr>
                <w:rFonts w:ascii="Arial" w:hAnsi="Arial"/>
                <w:b/>
                <w:color w:val="000000"/>
                <w:sz w:val="14"/>
                <w:szCs w:val="14"/>
              </w:rPr>
              <w:t>Six personal deprivations (enforced lacks)</w:t>
            </w:r>
          </w:p>
        </w:tc>
      </w:tr>
      <w:tr w:rsidR="00711FE4" w:rsidRPr="00711FE4" w14:paraId="0165A58A" w14:textId="77777777" w:rsidTr="00366F04">
        <w:trPr>
          <w:jc w:val="center"/>
        </w:trPr>
        <w:tc>
          <w:tcPr>
            <w:tcW w:w="5659" w:type="dxa"/>
          </w:tcPr>
          <w:p w14:paraId="0AE4AA4B"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replace worn-out clothes by some new ones</w:t>
            </w:r>
          </w:p>
        </w:tc>
      </w:tr>
      <w:tr w:rsidR="00711FE4" w:rsidRPr="00711FE4" w14:paraId="283EA860" w14:textId="77777777" w:rsidTr="00366F04">
        <w:trPr>
          <w:jc w:val="center"/>
        </w:trPr>
        <w:tc>
          <w:tcPr>
            <w:tcW w:w="5659" w:type="dxa"/>
          </w:tcPr>
          <w:p w14:paraId="338C4BA4"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two pairs of properly fitting shoes</w:t>
            </w:r>
          </w:p>
        </w:tc>
      </w:tr>
      <w:tr w:rsidR="00711FE4" w:rsidRPr="00711FE4" w14:paraId="2E08D1F1" w14:textId="77777777" w:rsidTr="00366F04">
        <w:trPr>
          <w:jc w:val="center"/>
        </w:trPr>
        <w:tc>
          <w:tcPr>
            <w:tcW w:w="5659" w:type="dxa"/>
          </w:tcPr>
          <w:p w14:paraId="06CE2908"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spend a small amount of money each week on oneself</w:t>
            </w:r>
          </w:p>
        </w:tc>
      </w:tr>
      <w:tr w:rsidR="00711FE4" w:rsidRPr="00711FE4" w14:paraId="5212C840" w14:textId="77777777" w:rsidTr="00366F04">
        <w:trPr>
          <w:jc w:val="center"/>
        </w:trPr>
        <w:tc>
          <w:tcPr>
            <w:tcW w:w="5659" w:type="dxa"/>
          </w:tcPr>
          <w:p w14:paraId="236AC4F6"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regular leisure activities</w:t>
            </w:r>
          </w:p>
        </w:tc>
      </w:tr>
      <w:tr w:rsidR="00711FE4" w:rsidRPr="00711FE4" w14:paraId="50906474" w14:textId="77777777" w:rsidTr="00366F04">
        <w:trPr>
          <w:jc w:val="center"/>
        </w:trPr>
        <w:tc>
          <w:tcPr>
            <w:tcW w:w="5659" w:type="dxa"/>
          </w:tcPr>
          <w:p w14:paraId="35992E42"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a get together with friends/family for a drink/meal at least monthly</w:t>
            </w:r>
          </w:p>
        </w:tc>
      </w:tr>
      <w:tr w:rsidR="00711FE4" w:rsidRPr="00711FE4" w14:paraId="6C4CFD62" w14:textId="77777777" w:rsidTr="00366F04">
        <w:trPr>
          <w:jc w:val="center"/>
        </w:trPr>
        <w:tc>
          <w:tcPr>
            <w:tcW w:w="5659" w:type="dxa"/>
          </w:tcPr>
          <w:p w14:paraId="4E6AA51C" w14:textId="77777777" w:rsidR="00711FE4" w:rsidRPr="00711FE4" w:rsidRDefault="00711FE4" w:rsidP="00711FE4">
            <w:pPr>
              <w:spacing w:before="40" w:after="40" w:line="240" w:lineRule="auto"/>
              <w:ind w:left="202"/>
              <w:rPr>
                <w:rFonts w:ascii="Arial" w:hAnsi="Arial"/>
                <w:color w:val="000000"/>
                <w:sz w:val="14"/>
                <w:szCs w:val="14"/>
              </w:rPr>
            </w:pPr>
            <w:r w:rsidRPr="00711FE4">
              <w:rPr>
                <w:rFonts w:ascii="Arial" w:hAnsi="Arial"/>
                <w:color w:val="000000"/>
                <w:sz w:val="14"/>
                <w:szCs w:val="14"/>
              </w:rPr>
              <w:t>have both a computer and an internet connection</w:t>
            </w:r>
          </w:p>
        </w:tc>
      </w:tr>
    </w:tbl>
    <w:p w14:paraId="60A18D1D" w14:textId="77777777" w:rsidR="00711FE4" w:rsidRPr="00711FE4" w:rsidRDefault="00711FE4" w:rsidP="00711FE4">
      <w:pPr>
        <w:jc w:val="both"/>
        <w:rPr>
          <w:rFonts w:ascii="Arial" w:hAnsi="Arial"/>
          <w:color w:val="000000"/>
          <w:szCs w:val="20"/>
        </w:rPr>
      </w:pPr>
    </w:p>
    <w:p w14:paraId="30AF7CC2" w14:textId="77777777" w:rsidR="00711FE4" w:rsidRPr="00711FE4" w:rsidRDefault="00711FE4" w:rsidP="00711FE4">
      <w:pPr>
        <w:spacing w:after="0" w:line="240" w:lineRule="auto"/>
        <w:rPr>
          <w:rFonts w:ascii="Arial" w:hAnsi="Arial"/>
          <w:color w:val="000000"/>
          <w:sz w:val="16"/>
          <w:szCs w:val="16"/>
        </w:rPr>
      </w:pPr>
    </w:p>
    <w:p w14:paraId="5751F58B" w14:textId="0E19D377" w:rsidR="00711FE4" w:rsidRPr="00711FE4" w:rsidRDefault="00711FE4" w:rsidP="00711FE4">
      <w:pPr>
        <w:spacing w:after="0" w:line="240" w:lineRule="auto"/>
        <w:jc w:val="center"/>
        <w:rPr>
          <w:rFonts w:ascii="Arial" w:eastAsia="Times New Roman" w:hAnsi="Arial"/>
          <w:b/>
          <w:color w:val="FF0000"/>
          <w:sz w:val="18"/>
          <w:szCs w:val="18"/>
        </w:rPr>
      </w:pPr>
      <w:r w:rsidRPr="00711FE4">
        <w:rPr>
          <w:rFonts w:ascii="Arial" w:eastAsia="Times New Roman" w:hAnsi="Arial"/>
          <w:b/>
          <w:color w:val="000000"/>
          <w:szCs w:val="18"/>
        </w:rPr>
        <w:br w:type="page"/>
      </w:r>
      <w:r w:rsidRPr="00711FE4">
        <w:rPr>
          <w:rFonts w:ascii="Arial" w:eastAsia="Times New Roman" w:hAnsi="Arial"/>
          <w:b/>
          <w:color w:val="000000"/>
          <w:sz w:val="18"/>
          <w:szCs w:val="18"/>
        </w:rPr>
        <w:lastRenderedPageBreak/>
        <w:t xml:space="preserve">Table 3.3 </w:t>
      </w:r>
    </w:p>
    <w:p w14:paraId="7E45B1E1" w14:textId="77777777" w:rsidR="00711FE4" w:rsidRPr="00711FE4" w:rsidRDefault="00711FE4" w:rsidP="00711FE4">
      <w:pPr>
        <w:spacing w:line="240" w:lineRule="auto"/>
        <w:jc w:val="center"/>
        <w:rPr>
          <w:rFonts w:ascii="Arial" w:eastAsia="Times New Roman" w:hAnsi="Arial"/>
          <w:b/>
          <w:color w:val="000000"/>
          <w:sz w:val="18"/>
          <w:szCs w:val="18"/>
        </w:rPr>
      </w:pPr>
      <w:r w:rsidRPr="00711FE4">
        <w:rPr>
          <w:rFonts w:ascii="Arial" w:eastAsia="Times New Roman" w:hAnsi="Arial"/>
          <w:b/>
          <w:color w:val="000000"/>
          <w:sz w:val="18"/>
          <w:szCs w:val="18"/>
        </w:rPr>
        <w:t>The composition and scoring for the HES-based MWI-24 and the HILS-based MWI-26</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6435"/>
        <w:gridCol w:w="851"/>
        <w:gridCol w:w="850"/>
      </w:tblGrid>
      <w:tr w:rsidR="00711FE4" w:rsidRPr="00711FE4" w14:paraId="47E0A874" w14:textId="77777777" w:rsidTr="00366F04">
        <w:trPr>
          <w:trHeight w:val="227"/>
          <w:jc w:val="center"/>
        </w:trPr>
        <w:tc>
          <w:tcPr>
            <w:tcW w:w="7088" w:type="dxa"/>
            <w:gridSpan w:val="2"/>
            <w:shd w:val="clear" w:color="auto" w:fill="E7E6E6"/>
            <w:vAlign w:val="center"/>
          </w:tcPr>
          <w:p w14:paraId="52C60384" w14:textId="77777777" w:rsidR="00711FE4" w:rsidRPr="00711FE4" w:rsidRDefault="00711FE4" w:rsidP="00711FE4">
            <w:pPr>
              <w:spacing w:before="40" w:after="40" w:line="240" w:lineRule="auto"/>
              <w:jc w:val="center"/>
              <w:rPr>
                <w:rFonts w:ascii="Arial" w:eastAsia="Times New Roman" w:hAnsi="Arial"/>
                <w:b/>
                <w:color w:val="000000"/>
                <w:sz w:val="16"/>
                <w:szCs w:val="16"/>
              </w:rPr>
            </w:pPr>
            <w:r w:rsidRPr="00711FE4">
              <w:rPr>
                <w:rFonts w:ascii="Arial" w:eastAsia="Times New Roman" w:hAnsi="Arial"/>
                <w:b/>
                <w:color w:val="000000"/>
                <w:sz w:val="16"/>
                <w:szCs w:val="16"/>
              </w:rPr>
              <w:t>Item description</w:t>
            </w:r>
          </w:p>
        </w:tc>
        <w:tc>
          <w:tcPr>
            <w:tcW w:w="851" w:type="dxa"/>
            <w:shd w:val="clear" w:color="auto" w:fill="E7E6E6"/>
          </w:tcPr>
          <w:p w14:paraId="1181C5AF" w14:textId="77777777" w:rsidR="00711FE4" w:rsidRPr="00711FE4" w:rsidRDefault="00711FE4" w:rsidP="00711FE4">
            <w:pPr>
              <w:spacing w:before="40" w:after="40" w:line="240" w:lineRule="auto"/>
              <w:jc w:val="center"/>
              <w:rPr>
                <w:rFonts w:ascii="Arial" w:eastAsia="Times New Roman" w:hAnsi="Arial"/>
                <w:b/>
                <w:color w:val="000000"/>
                <w:sz w:val="16"/>
                <w:szCs w:val="16"/>
              </w:rPr>
            </w:pPr>
            <w:r w:rsidRPr="00711FE4">
              <w:rPr>
                <w:rFonts w:ascii="Arial" w:eastAsia="Times New Roman" w:hAnsi="Arial"/>
                <w:b/>
                <w:color w:val="000000"/>
                <w:sz w:val="16"/>
                <w:szCs w:val="16"/>
              </w:rPr>
              <w:t>MWI-24</w:t>
            </w:r>
          </w:p>
        </w:tc>
        <w:tc>
          <w:tcPr>
            <w:tcW w:w="850" w:type="dxa"/>
            <w:shd w:val="clear" w:color="auto" w:fill="E7E6E6"/>
          </w:tcPr>
          <w:p w14:paraId="3A897F2D" w14:textId="77777777" w:rsidR="00711FE4" w:rsidRPr="00711FE4" w:rsidRDefault="00711FE4" w:rsidP="00711FE4">
            <w:pPr>
              <w:spacing w:before="40" w:after="40" w:line="240" w:lineRule="auto"/>
              <w:jc w:val="center"/>
              <w:rPr>
                <w:rFonts w:ascii="Arial" w:eastAsia="Times New Roman" w:hAnsi="Arial"/>
                <w:b/>
                <w:color w:val="000000"/>
                <w:sz w:val="16"/>
                <w:szCs w:val="16"/>
              </w:rPr>
            </w:pPr>
            <w:r w:rsidRPr="00711FE4">
              <w:rPr>
                <w:rFonts w:ascii="Arial" w:eastAsia="Times New Roman" w:hAnsi="Arial"/>
                <w:b/>
                <w:color w:val="000000"/>
                <w:sz w:val="16"/>
                <w:szCs w:val="16"/>
              </w:rPr>
              <w:t>MWI-26</w:t>
            </w:r>
          </w:p>
        </w:tc>
      </w:tr>
      <w:tr w:rsidR="00711FE4" w:rsidRPr="00711FE4" w14:paraId="28A329D5" w14:textId="77777777" w:rsidTr="00366F04">
        <w:trPr>
          <w:jc w:val="center"/>
        </w:trPr>
        <w:tc>
          <w:tcPr>
            <w:tcW w:w="7088" w:type="dxa"/>
            <w:gridSpan w:val="2"/>
            <w:vAlign w:val="center"/>
          </w:tcPr>
          <w:p w14:paraId="10AB5272" w14:textId="77777777" w:rsidR="00711FE4" w:rsidRPr="00711FE4" w:rsidRDefault="00711FE4" w:rsidP="00711FE4">
            <w:pPr>
              <w:spacing w:before="60" w:after="20" w:line="240" w:lineRule="auto"/>
              <w:rPr>
                <w:rFonts w:ascii="Arial" w:eastAsia="Times New Roman" w:hAnsi="Arial"/>
                <w:color w:val="000000"/>
                <w:sz w:val="16"/>
                <w:szCs w:val="16"/>
              </w:rPr>
            </w:pPr>
            <w:r w:rsidRPr="00711FE4">
              <w:rPr>
                <w:rFonts w:ascii="Arial" w:eastAsia="Times New Roman" w:hAnsi="Arial"/>
                <w:b/>
                <w:color w:val="000000"/>
                <w:sz w:val="16"/>
                <w:szCs w:val="16"/>
              </w:rPr>
              <w:t xml:space="preserve">Ownership or participation </w:t>
            </w:r>
            <w:r w:rsidRPr="00711FE4">
              <w:rPr>
                <w:rFonts w:ascii="Arial" w:eastAsia="Times New Roman" w:hAnsi="Arial"/>
                <w:color w:val="000000"/>
                <w:sz w:val="16"/>
                <w:szCs w:val="16"/>
              </w:rPr>
              <w:t>(have/do, don’t have/do and enforced lack (EL))</w:t>
            </w:r>
          </w:p>
          <w:p w14:paraId="17868CE6" w14:textId="77777777" w:rsidR="00711FE4" w:rsidRPr="00711FE4" w:rsidRDefault="00711FE4" w:rsidP="00711FE4">
            <w:pPr>
              <w:spacing w:before="60" w:after="40" w:line="240" w:lineRule="auto"/>
              <w:ind w:left="249"/>
              <w:rPr>
                <w:rFonts w:ascii="Arial" w:eastAsia="Times New Roman" w:hAnsi="Arial"/>
                <w:b/>
                <w:color w:val="000000"/>
                <w:sz w:val="16"/>
                <w:szCs w:val="16"/>
              </w:rPr>
            </w:pPr>
            <w:r w:rsidRPr="00711FE4">
              <w:rPr>
                <w:rFonts w:ascii="Arial" w:eastAsia="Times New Roman" w:hAnsi="Arial"/>
                <w:i/>
                <w:color w:val="000000"/>
                <w:sz w:val="16"/>
                <w:szCs w:val="16"/>
              </w:rPr>
              <w:t>For both, score an EL as a 0, otherwise 1</w:t>
            </w:r>
          </w:p>
        </w:tc>
        <w:tc>
          <w:tcPr>
            <w:tcW w:w="851" w:type="dxa"/>
          </w:tcPr>
          <w:p w14:paraId="1FD810D9" w14:textId="77777777" w:rsidR="00711FE4" w:rsidRPr="00711FE4" w:rsidRDefault="00711FE4" w:rsidP="00711FE4">
            <w:pPr>
              <w:spacing w:before="60" w:after="20" w:line="240" w:lineRule="auto"/>
              <w:rPr>
                <w:rFonts w:ascii="Arial" w:eastAsia="Times New Roman" w:hAnsi="Arial"/>
                <w:b/>
                <w:color w:val="000000"/>
                <w:sz w:val="16"/>
                <w:szCs w:val="16"/>
              </w:rPr>
            </w:pPr>
          </w:p>
        </w:tc>
        <w:tc>
          <w:tcPr>
            <w:tcW w:w="850" w:type="dxa"/>
          </w:tcPr>
          <w:p w14:paraId="3F0B1EA3" w14:textId="77777777" w:rsidR="00711FE4" w:rsidRPr="00711FE4" w:rsidRDefault="00711FE4" w:rsidP="00711FE4">
            <w:pPr>
              <w:spacing w:before="60" w:after="20" w:line="240" w:lineRule="auto"/>
              <w:rPr>
                <w:rFonts w:ascii="Arial" w:eastAsia="Times New Roman" w:hAnsi="Arial"/>
                <w:b/>
                <w:color w:val="000000"/>
                <w:sz w:val="16"/>
                <w:szCs w:val="16"/>
              </w:rPr>
            </w:pPr>
          </w:p>
        </w:tc>
      </w:tr>
      <w:tr w:rsidR="00711FE4" w:rsidRPr="00711FE4" w14:paraId="55D9B5FD" w14:textId="77777777" w:rsidTr="00366F04">
        <w:trPr>
          <w:trHeight w:val="170"/>
          <w:jc w:val="center"/>
        </w:trPr>
        <w:tc>
          <w:tcPr>
            <w:tcW w:w="653" w:type="dxa"/>
            <w:tcBorders>
              <w:right w:val="nil"/>
            </w:tcBorders>
            <w:tcMar>
              <w:left w:w="198" w:type="dxa"/>
              <w:right w:w="28" w:type="dxa"/>
            </w:tcMar>
            <w:vAlign w:val="center"/>
          </w:tcPr>
          <w:p w14:paraId="1688A952"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w:t>
            </w:r>
          </w:p>
        </w:tc>
        <w:tc>
          <w:tcPr>
            <w:tcW w:w="6435" w:type="dxa"/>
            <w:tcBorders>
              <w:left w:val="nil"/>
            </w:tcBorders>
            <w:vAlign w:val="center"/>
          </w:tcPr>
          <w:p w14:paraId="13D47992"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Two pairs of shoes in a good condition and suitable for daily activities</w:t>
            </w:r>
          </w:p>
        </w:tc>
        <w:tc>
          <w:tcPr>
            <w:tcW w:w="851" w:type="dxa"/>
            <w:vAlign w:val="center"/>
          </w:tcPr>
          <w:p w14:paraId="59489427"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50688C43"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18051C64" w14:textId="77777777" w:rsidTr="00366F04">
        <w:trPr>
          <w:trHeight w:val="170"/>
          <w:jc w:val="center"/>
        </w:trPr>
        <w:tc>
          <w:tcPr>
            <w:tcW w:w="653" w:type="dxa"/>
            <w:tcBorders>
              <w:right w:val="nil"/>
            </w:tcBorders>
            <w:tcMar>
              <w:left w:w="198" w:type="dxa"/>
              <w:right w:w="28" w:type="dxa"/>
            </w:tcMar>
            <w:vAlign w:val="center"/>
          </w:tcPr>
          <w:p w14:paraId="1C2787F9"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2</w:t>
            </w:r>
          </w:p>
        </w:tc>
        <w:tc>
          <w:tcPr>
            <w:tcW w:w="6435" w:type="dxa"/>
            <w:tcBorders>
              <w:left w:val="nil"/>
            </w:tcBorders>
            <w:vAlign w:val="center"/>
          </w:tcPr>
          <w:p w14:paraId="339825DD"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Suitable clothes for important or special occasions</w:t>
            </w:r>
          </w:p>
        </w:tc>
        <w:tc>
          <w:tcPr>
            <w:tcW w:w="851" w:type="dxa"/>
            <w:vAlign w:val="center"/>
          </w:tcPr>
          <w:p w14:paraId="6EF150EB"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3ABA4C12"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36CDC1C7" w14:textId="77777777" w:rsidTr="00366F04">
        <w:trPr>
          <w:trHeight w:val="113"/>
          <w:jc w:val="center"/>
        </w:trPr>
        <w:tc>
          <w:tcPr>
            <w:tcW w:w="653" w:type="dxa"/>
            <w:tcBorders>
              <w:right w:val="nil"/>
            </w:tcBorders>
            <w:tcMar>
              <w:left w:w="198" w:type="dxa"/>
              <w:right w:w="28" w:type="dxa"/>
            </w:tcMar>
            <w:vAlign w:val="center"/>
          </w:tcPr>
          <w:p w14:paraId="171EF79B"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3</w:t>
            </w:r>
          </w:p>
        </w:tc>
        <w:tc>
          <w:tcPr>
            <w:tcW w:w="6435" w:type="dxa"/>
            <w:tcBorders>
              <w:left w:val="nil"/>
            </w:tcBorders>
            <w:vAlign w:val="center"/>
          </w:tcPr>
          <w:p w14:paraId="1A0DAF88"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Contents insurance</w:t>
            </w:r>
          </w:p>
        </w:tc>
        <w:tc>
          <w:tcPr>
            <w:tcW w:w="851" w:type="dxa"/>
            <w:vAlign w:val="center"/>
          </w:tcPr>
          <w:p w14:paraId="1A13AD0E"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7FE2B1D9"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79D6FB60" w14:textId="77777777" w:rsidTr="00366F04">
        <w:trPr>
          <w:trHeight w:val="113"/>
          <w:jc w:val="center"/>
        </w:trPr>
        <w:tc>
          <w:tcPr>
            <w:tcW w:w="653" w:type="dxa"/>
            <w:tcBorders>
              <w:right w:val="nil"/>
            </w:tcBorders>
            <w:tcMar>
              <w:left w:w="198" w:type="dxa"/>
              <w:right w:w="28" w:type="dxa"/>
            </w:tcMar>
            <w:vAlign w:val="center"/>
          </w:tcPr>
          <w:p w14:paraId="0E8FB129"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4</w:t>
            </w:r>
          </w:p>
        </w:tc>
        <w:tc>
          <w:tcPr>
            <w:tcW w:w="6435" w:type="dxa"/>
            <w:tcBorders>
              <w:left w:val="nil"/>
            </w:tcBorders>
            <w:vAlign w:val="center"/>
          </w:tcPr>
          <w:p w14:paraId="398C1869" w14:textId="77777777" w:rsidR="00711FE4" w:rsidRPr="00711FE4" w:rsidRDefault="00711FE4" w:rsidP="00711FE4">
            <w:pPr>
              <w:autoSpaceDE w:val="0"/>
              <w:autoSpaceDN w:val="0"/>
              <w:adjustRightInd w:val="0"/>
              <w:spacing w:before="40" w:after="40" w:line="240" w:lineRule="auto"/>
              <w:jc w:val="both"/>
              <w:rPr>
                <w:rFonts w:ascii="Arial" w:eastAsia="Times New Roman" w:hAnsi="Arial"/>
                <w:color w:val="000000"/>
                <w:sz w:val="14"/>
                <w:szCs w:val="14"/>
              </w:rPr>
            </w:pPr>
            <w:r w:rsidRPr="00711FE4">
              <w:rPr>
                <w:rFonts w:ascii="Arial" w:eastAsia="Times New Roman" w:hAnsi="Arial"/>
                <w:color w:val="000000"/>
                <w:sz w:val="14"/>
                <w:szCs w:val="14"/>
              </w:rPr>
              <w:t>A protein meal at least each 2nd day</w:t>
            </w:r>
          </w:p>
        </w:tc>
        <w:tc>
          <w:tcPr>
            <w:tcW w:w="851" w:type="dxa"/>
            <w:vAlign w:val="center"/>
          </w:tcPr>
          <w:p w14:paraId="4E91358E"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33C07861"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6D8EC28D" w14:textId="77777777" w:rsidTr="00366F04">
        <w:trPr>
          <w:trHeight w:val="113"/>
          <w:jc w:val="center"/>
        </w:trPr>
        <w:tc>
          <w:tcPr>
            <w:tcW w:w="653" w:type="dxa"/>
            <w:tcBorders>
              <w:right w:val="nil"/>
            </w:tcBorders>
            <w:tcMar>
              <w:left w:w="198" w:type="dxa"/>
              <w:right w:w="28" w:type="dxa"/>
            </w:tcMar>
            <w:vAlign w:val="center"/>
          </w:tcPr>
          <w:p w14:paraId="47767F6C"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5</w:t>
            </w:r>
          </w:p>
        </w:tc>
        <w:tc>
          <w:tcPr>
            <w:tcW w:w="6435" w:type="dxa"/>
            <w:tcBorders>
              <w:left w:val="nil"/>
            </w:tcBorders>
            <w:vAlign w:val="center"/>
          </w:tcPr>
          <w:p w14:paraId="28031B4B" w14:textId="77777777" w:rsidR="00711FE4" w:rsidRPr="00711FE4" w:rsidRDefault="00711FE4" w:rsidP="00711FE4">
            <w:pPr>
              <w:autoSpaceDE w:val="0"/>
              <w:autoSpaceDN w:val="0"/>
              <w:adjustRightInd w:val="0"/>
              <w:spacing w:before="40" w:after="40" w:line="240" w:lineRule="auto"/>
              <w:jc w:val="both"/>
              <w:rPr>
                <w:rFonts w:ascii="Arial" w:eastAsia="Times New Roman" w:hAnsi="Arial"/>
                <w:color w:val="000000"/>
                <w:sz w:val="14"/>
                <w:szCs w:val="14"/>
              </w:rPr>
            </w:pPr>
            <w:r w:rsidRPr="00711FE4">
              <w:rPr>
                <w:rFonts w:ascii="Arial" w:eastAsia="Times New Roman" w:hAnsi="Arial"/>
                <w:color w:val="000000"/>
                <w:sz w:val="14"/>
                <w:szCs w:val="14"/>
              </w:rPr>
              <w:t>A good bed</w:t>
            </w:r>
          </w:p>
        </w:tc>
        <w:tc>
          <w:tcPr>
            <w:tcW w:w="851" w:type="dxa"/>
            <w:vAlign w:val="center"/>
          </w:tcPr>
          <w:p w14:paraId="1A3AC38C"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5B6C8748"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16D7C1F1" w14:textId="77777777" w:rsidTr="00366F04">
        <w:trPr>
          <w:jc w:val="center"/>
        </w:trPr>
        <w:tc>
          <w:tcPr>
            <w:tcW w:w="653" w:type="dxa"/>
            <w:tcBorders>
              <w:right w:val="nil"/>
            </w:tcBorders>
            <w:tcMar>
              <w:left w:w="198" w:type="dxa"/>
              <w:right w:w="28" w:type="dxa"/>
            </w:tcMar>
            <w:vAlign w:val="center"/>
          </w:tcPr>
          <w:p w14:paraId="18CA7C8F"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6</w:t>
            </w:r>
          </w:p>
        </w:tc>
        <w:tc>
          <w:tcPr>
            <w:tcW w:w="6435" w:type="dxa"/>
            <w:tcBorders>
              <w:left w:val="nil"/>
            </w:tcBorders>
            <w:vAlign w:val="center"/>
          </w:tcPr>
          <w:p w14:paraId="2B192BA1"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Presents for family/friends on special occasions</w:t>
            </w:r>
          </w:p>
        </w:tc>
        <w:tc>
          <w:tcPr>
            <w:tcW w:w="851" w:type="dxa"/>
            <w:vAlign w:val="center"/>
          </w:tcPr>
          <w:p w14:paraId="7FAB835F"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71DBC314"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4B6DBCF9" w14:textId="77777777" w:rsidTr="00366F04">
        <w:trPr>
          <w:jc w:val="center"/>
        </w:trPr>
        <w:tc>
          <w:tcPr>
            <w:tcW w:w="653" w:type="dxa"/>
            <w:tcBorders>
              <w:right w:val="nil"/>
            </w:tcBorders>
            <w:tcMar>
              <w:left w:w="198" w:type="dxa"/>
              <w:right w:w="28" w:type="dxa"/>
            </w:tcMar>
            <w:vAlign w:val="center"/>
          </w:tcPr>
          <w:p w14:paraId="6E37EEC6"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7</w:t>
            </w:r>
          </w:p>
        </w:tc>
        <w:tc>
          <w:tcPr>
            <w:tcW w:w="6435" w:type="dxa"/>
            <w:tcBorders>
              <w:left w:val="nil"/>
            </w:tcBorders>
            <w:vAlign w:val="center"/>
          </w:tcPr>
          <w:p w14:paraId="72D012EB"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 xml:space="preserve">Usually replace worn-out clothes with new (not second-hand) ones </w:t>
            </w:r>
          </w:p>
        </w:tc>
        <w:tc>
          <w:tcPr>
            <w:tcW w:w="851" w:type="dxa"/>
            <w:vAlign w:val="center"/>
          </w:tcPr>
          <w:p w14:paraId="3372BE47"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53FA7BD7"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64FC52DF" w14:textId="77777777" w:rsidTr="00366F04">
        <w:trPr>
          <w:jc w:val="center"/>
        </w:trPr>
        <w:tc>
          <w:tcPr>
            <w:tcW w:w="653" w:type="dxa"/>
            <w:tcBorders>
              <w:right w:val="nil"/>
            </w:tcBorders>
            <w:tcMar>
              <w:left w:w="198" w:type="dxa"/>
              <w:right w:w="28" w:type="dxa"/>
            </w:tcMar>
            <w:vAlign w:val="center"/>
          </w:tcPr>
          <w:p w14:paraId="4BF77C71"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8</w:t>
            </w:r>
          </w:p>
        </w:tc>
        <w:tc>
          <w:tcPr>
            <w:tcW w:w="6435" w:type="dxa"/>
            <w:tcBorders>
              <w:left w:val="nil"/>
            </w:tcBorders>
            <w:vAlign w:val="center"/>
          </w:tcPr>
          <w:p w14:paraId="706DC8AD"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Holiday away from home at least once every year</w:t>
            </w:r>
          </w:p>
        </w:tc>
        <w:tc>
          <w:tcPr>
            <w:tcW w:w="851" w:type="dxa"/>
            <w:vAlign w:val="center"/>
          </w:tcPr>
          <w:p w14:paraId="3EB87595"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45839BC9"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65F076EC" w14:textId="77777777" w:rsidTr="00366F04">
        <w:trPr>
          <w:jc w:val="center"/>
        </w:trPr>
        <w:tc>
          <w:tcPr>
            <w:tcW w:w="653" w:type="dxa"/>
            <w:tcBorders>
              <w:right w:val="nil"/>
            </w:tcBorders>
            <w:tcMar>
              <w:left w:w="198" w:type="dxa"/>
              <w:right w:w="28" w:type="dxa"/>
            </w:tcMar>
            <w:vAlign w:val="center"/>
          </w:tcPr>
          <w:p w14:paraId="3F042195"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9</w:t>
            </w:r>
          </w:p>
        </w:tc>
        <w:tc>
          <w:tcPr>
            <w:tcW w:w="6435" w:type="dxa"/>
            <w:tcBorders>
              <w:left w:val="nil"/>
            </w:tcBorders>
            <w:vAlign w:val="center"/>
          </w:tcPr>
          <w:p w14:paraId="1C89328A"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Overseas holiday at least once every three years</w:t>
            </w:r>
          </w:p>
        </w:tc>
        <w:tc>
          <w:tcPr>
            <w:tcW w:w="851" w:type="dxa"/>
            <w:vAlign w:val="center"/>
          </w:tcPr>
          <w:p w14:paraId="566490B4"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6B10288C"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380F8B58" w14:textId="77777777" w:rsidTr="00366F04">
        <w:trPr>
          <w:jc w:val="center"/>
        </w:trPr>
        <w:tc>
          <w:tcPr>
            <w:tcW w:w="653" w:type="dxa"/>
            <w:tcBorders>
              <w:right w:val="nil"/>
            </w:tcBorders>
            <w:tcMar>
              <w:left w:w="198" w:type="dxa"/>
              <w:right w:w="28" w:type="dxa"/>
            </w:tcMar>
            <w:vAlign w:val="center"/>
          </w:tcPr>
          <w:p w14:paraId="550F2382"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w:t>
            </w:r>
          </w:p>
        </w:tc>
        <w:tc>
          <w:tcPr>
            <w:tcW w:w="6435" w:type="dxa"/>
            <w:tcBorders>
              <w:left w:val="nil"/>
            </w:tcBorders>
            <w:vAlign w:val="center"/>
          </w:tcPr>
          <w:p w14:paraId="40D22205"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Can afford to keep accommodation adequately warm</w:t>
            </w:r>
          </w:p>
        </w:tc>
        <w:tc>
          <w:tcPr>
            <w:tcW w:w="851" w:type="dxa"/>
            <w:vAlign w:val="center"/>
          </w:tcPr>
          <w:p w14:paraId="586FF3F4"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t>-</w:t>
            </w:r>
          </w:p>
        </w:tc>
        <w:tc>
          <w:tcPr>
            <w:tcW w:w="850" w:type="dxa"/>
            <w:vAlign w:val="center"/>
          </w:tcPr>
          <w:p w14:paraId="59EEC52F"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0F8ECCE3" w14:textId="77777777" w:rsidTr="00366F04">
        <w:trPr>
          <w:jc w:val="center"/>
        </w:trPr>
        <w:tc>
          <w:tcPr>
            <w:tcW w:w="653" w:type="dxa"/>
            <w:tcBorders>
              <w:right w:val="nil"/>
            </w:tcBorders>
            <w:tcMar>
              <w:left w:w="198" w:type="dxa"/>
              <w:right w:w="28" w:type="dxa"/>
            </w:tcMar>
            <w:vAlign w:val="center"/>
          </w:tcPr>
          <w:p w14:paraId="47617EB1"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w:t>
            </w:r>
          </w:p>
        </w:tc>
        <w:tc>
          <w:tcPr>
            <w:tcW w:w="6435" w:type="dxa"/>
            <w:tcBorders>
              <w:left w:val="nil"/>
            </w:tcBorders>
            <w:vAlign w:val="center"/>
          </w:tcPr>
          <w:p w14:paraId="02463056"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Have access to car or van for personal use</w:t>
            </w:r>
          </w:p>
        </w:tc>
        <w:tc>
          <w:tcPr>
            <w:tcW w:w="851" w:type="dxa"/>
            <w:vAlign w:val="center"/>
          </w:tcPr>
          <w:p w14:paraId="59B8F329"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t>-</w:t>
            </w:r>
          </w:p>
        </w:tc>
        <w:tc>
          <w:tcPr>
            <w:tcW w:w="850" w:type="dxa"/>
            <w:vAlign w:val="center"/>
          </w:tcPr>
          <w:p w14:paraId="27555446"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5D1DDBBC" w14:textId="77777777" w:rsidTr="00366F04">
        <w:trPr>
          <w:jc w:val="center"/>
        </w:trPr>
        <w:tc>
          <w:tcPr>
            <w:tcW w:w="653" w:type="dxa"/>
            <w:tcBorders>
              <w:right w:val="nil"/>
            </w:tcBorders>
            <w:tcMar>
              <w:left w:w="198" w:type="dxa"/>
              <w:right w:w="28" w:type="dxa"/>
            </w:tcMar>
            <w:vAlign w:val="center"/>
          </w:tcPr>
          <w:p w14:paraId="7456D091"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w:t>
            </w:r>
          </w:p>
        </w:tc>
        <w:tc>
          <w:tcPr>
            <w:tcW w:w="6435" w:type="dxa"/>
            <w:tcBorders>
              <w:left w:val="nil"/>
            </w:tcBorders>
            <w:vAlign w:val="center"/>
          </w:tcPr>
          <w:p w14:paraId="418C3C0B"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Have access to both a computer and internet connection at home</w:t>
            </w:r>
          </w:p>
        </w:tc>
        <w:tc>
          <w:tcPr>
            <w:tcW w:w="851" w:type="dxa"/>
            <w:vAlign w:val="center"/>
          </w:tcPr>
          <w:p w14:paraId="3BE84518"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t>-</w:t>
            </w:r>
          </w:p>
        </w:tc>
        <w:tc>
          <w:tcPr>
            <w:tcW w:w="850" w:type="dxa"/>
            <w:vAlign w:val="center"/>
          </w:tcPr>
          <w:p w14:paraId="58AF6E0D"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40E2A4E2" w14:textId="77777777" w:rsidTr="00366F04">
        <w:trPr>
          <w:trHeight w:val="227"/>
          <w:jc w:val="center"/>
        </w:trPr>
        <w:tc>
          <w:tcPr>
            <w:tcW w:w="7088" w:type="dxa"/>
            <w:gridSpan w:val="2"/>
            <w:tcBorders>
              <w:right w:val="single" w:sz="4" w:space="0" w:color="auto"/>
            </w:tcBorders>
            <w:tcMar>
              <w:left w:w="142" w:type="dxa"/>
              <w:right w:w="28" w:type="dxa"/>
            </w:tcMar>
            <w:vAlign w:val="center"/>
          </w:tcPr>
          <w:p w14:paraId="5D83B488" w14:textId="77777777" w:rsidR="00711FE4" w:rsidRPr="00711FE4" w:rsidRDefault="00711FE4" w:rsidP="00711FE4">
            <w:pPr>
              <w:spacing w:before="60" w:after="20" w:line="240" w:lineRule="auto"/>
              <w:ind w:left="-9"/>
              <w:rPr>
                <w:rFonts w:ascii="Arial" w:eastAsia="Times New Roman" w:hAnsi="Arial"/>
                <w:color w:val="000000"/>
                <w:sz w:val="16"/>
                <w:szCs w:val="16"/>
              </w:rPr>
            </w:pPr>
            <w:r w:rsidRPr="00711FE4">
              <w:rPr>
                <w:rFonts w:ascii="Arial" w:eastAsia="Times New Roman" w:hAnsi="Arial"/>
                <w:b/>
                <w:color w:val="000000"/>
                <w:sz w:val="16"/>
                <w:szCs w:val="16"/>
              </w:rPr>
              <w:t xml:space="preserve">Economising </w:t>
            </w:r>
            <w:r w:rsidRPr="00711FE4">
              <w:rPr>
                <w:rFonts w:ascii="Arial" w:eastAsia="Times New Roman" w:hAnsi="Arial"/>
                <w:color w:val="000000"/>
                <w:sz w:val="16"/>
                <w:szCs w:val="16"/>
              </w:rPr>
              <w:t>(not at all, a little, a lot) – to keep down costs to help in paying for (other) basic items (not just to be thrifty or to save for a trip or other non-essential)</w:t>
            </w:r>
          </w:p>
          <w:p w14:paraId="20B19B34" w14:textId="77777777" w:rsidR="00711FE4" w:rsidRPr="00711FE4" w:rsidRDefault="00711FE4" w:rsidP="00711FE4">
            <w:pPr>
              <w:spacing w:before="60" w:after="40" w:line="240" w:lineRule="auto"/>
              <w:ind w:left="261" w:firstLine="11"/>
              <w:rPr>
                <w:rFonts w:ascii="Arial" w:eastAsia="Times New Roman" w:hAnsi="Arial"/>
                <w:i/>
                <w:color w:val="000000"/>
                <w:sz w:val="16"/>
                <w:szCs w:val="16"/>
              </w:rPr>
            </w:pPr>
            <w:r w:rsidRPr="00711FE4">
              <w:rPr>
                <w:rFonts w:ascii="Arial" w:eastAsia="Times New Roman" w:hAnsi="Arial"/>
                <w:i/>
                <w:color w:val="000000"/>
                <w:sz w:val="16"/>
                <w:szCs w:val="16"/>
              </w:rPr>
              <w:t>For both, score ‘not at all as 2, ‘a little’ as 1, and ‘a lot’ as 0</w:t>
            </w:r>
          </w:p>
        </w:tc>
        <w:tc>
          <w:tcPr>
            <w:tcW w:w="851" w:type="dxa"/>
            <w:vAlign w:val="center"/>
          </w:tcPr>
          <w:p w14:paraId="589BCC8A" w14:textId="77777777" w:rsidR="00711FE4" w:rsidRPr="00711FE4" w:rsidRDefault="00711FE4" w:rsidP="00711FE4">
            <w:pPr>
              <w:spacing w:before="60" w:after="20" w:line="240" w:lineRule="auto"/>
              <w:ind w:left="-9"/>
              <w:jc w:val="center"/>
              <w:rPr>
                <w:rFonts w:ascii="Arial" w:eastAsia="Times New Roman" w:hAnsi="Arial"/>
                <w:b/>
                <w:color w:val="000000"/>
                <w:sz w:val="16"/>
                <w:szCs w:val="16"/>
              </w:rPr>
            </w:pPr>
          </w:p>
        </w:tc>
        <w:tc>
          <w:tcPr>
            <w:tcW w:w="850" w:type="dxa"/>
            <w:vAlign w:val="center"/>
          </w:tcPr>
          <w:p w14:paraId="6C02C23E" w14:textId="77777777" w:rsidR="00711FE4" w:rsidRPr="00711FE4" w:rsidRDefault="00711FE4" w:rsidP="00711FE4">
            <w:pPr>
              <w:spacing w:before="60" w:after="20" w:line="240" w:lineRule="auto"/>
              <w:ind w:left="-9"/>
              <w:jc w:val="center"/>
              <w:rPr>
                <w:rFonts w:ascii="Arial" w:eastAsia="Times New Roman" w:hAnsi="Arial"/>
                <w:b/>
                <w:color w:val="000000"/>
                <w:sz w:val="16"/>
                <w:szCs w:val="16"/>
              </w:rPr>
            </w:pPr>
          </w:p>
        </w:tc>
      </w:tr>
      <w:tr w:rsidR="00711FE4" w:rsidRPr="00711FE4" w14:paraId="69CAE293" w14:textId="77777777" w:rsidTr="00366F04">
        <w:trPr>
          <w:trHeight w:val="227"/>
          <w:jc w:val="center"/>
        </w:trPr>
        <w:tc>
          <w:tcPr>
            <w:tcW w:w="653" w:type="dxa"/>
            <w:tcBorders>
              <w:right w:val="nil"/>
            </w:tcBorders>
            <w:tcMar>
              <w:left w:w="142" w:type="dxa"/>
              <w:right w:w="28" w:type="dxa"/>
            </w:tcMar>
            <w:vAlign w:val="center"/>
          </w:tcPr>
          <w:p w14:paraId="51DC3C5B"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10</w:t>
            </w:r>
          </w:p>
        </w:tc>
        <w:tc>
          <w:tcPr>
            <w:tcW w:w="6435" w:type="dxa"/>
            <w:tcBorders>
              <w:left w:val="nil"/>
              <w:right w:val="single" w:sz="4" w:space="0" w:color="auto"/>
            </w:tcBorders>
            <w:vAlign w:val="center"/>
          </w:tcPr>
          <w:p w14:paraId="09044920"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 xml:space="preserve">Gone without on fresh fruit and vegetables (MWI-24) </w:t>
            </w:r>
          </w:p>
          <w:p w14:paraId="047610D8"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 xml:space="preserve">Gone without or cut back on fresh fruit and vegetables (MWI-26) </w:t>
            </w:r>
          </w:p>
        </w:tc>
        <w:tc>
          <w:tcPr>
            <w:tcW w:w="851" w:type="dxa"/>
            <w:vAlign w:val="center"/>
          </w:tcPr>
          <w:p w14:paraId="4070D522"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43AD48B3"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1073E269" w14:textId="77777777" w:rsidTr="00366F04">
        <w:trPr>
          <w:trHeight w:val="227"/>
          <w:jc w:val="center"/>
        </w:trPr>
        <w:tc>
          <w:tcPr>
            <w:tcW w:w="653" w:type="dxa"/>
            <w:tcBorders>
              <w:right w:val="nil"/>
            </w:tcBorders>
            <w:tcMar>
              <w:left w:w="142" w:type="dxa"/>
              <w:right w:w="28" w:type="dxa"/>
            </w:tcMar>
            <w:vAlign w:val="center"/>
          </w:tcPr>
          <w:p w14:paraId="276322A8"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11</w:t>
            </w:r>
          </w:p>
        </w:tc>
        <w:tc>
          <w:tcPr>
            <w:tcW w:w="6435" w:type="dxa"/>
            <w:tcBorders>
              <w:left w:val="nil"/>
              <w:right w:val="single" w:sz="4" w:space="0" w:color="auto"/>
            </w:tcBorders>
            <w:vAlign w:val="center"/>
          </w:tcPr>
          <w:p w14:paraId="2135472C" w14:textId="77777777" w:rsidR="00711FE4" w:rsidRPr="00711FE4" w:rsidRDefault="00711FE4" w:rsidP="00711FE4">
            <w:pPr>
              <w:autoSpaceDE w:val="0"/>
              <w:autoSpaceDN w:val="0"/>
              <w:adjustRightInd w:val="0"/>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Buy cheaper cuts of meat or bought less meat than you would like</w:t>
            </w:r>
          </w:p>
        </w:tc>
        <w:tc>
          <w:tcPr>
            <w:tcW w:w="851" w:type="dxa"/>
            <w:vAlign w:val="center"/>
          </w:tcPr>
          <w:p w14:paraId="13F8290C"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324B5E78"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6467F403" w14:textId="77777777" w:rsidTr="00366F04">
        <w:trPr>
          <w:trHeight w:val="227"/>
          <w:jc w:val="center"/>
        </w:trPr>
        <w:tc>
          <w:tcPr>
            <w:tcW w:w="653" w:type="dxa"/>
            <w:tcBorders>
              <w:right w:val="nil"/>
            </w:tcBorders>
            <w:tcMar>
              <w:left w:w="142" w:type="dxa"/>
              <w:right w:w="28" w:type="dxa"/>
            </w:tcMar>
            <w:vAlign w:val="center"/>
          </w:tcPr>
          <w:p w14:paraId="48C18E31"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12</w:t>
            </w:r>
          </w:p>
        </w:tc>
        <w:tc>
          <w:tcPr>
            <w:tcW w:w="6435" w:type="dxa"/>
            <w:tcBorders>
              <w:left w:val="nil"/>
              <w:right w:val="single" w:sz="4" w:space="0" w:color="auto"/>
            </w:tcBorders>
            <w:vAlign w:val="center"/>
          </w:tcPr>
          <w:p w14:paraId="4478C28B" w14:textId="77777777" w:rsidR="00711FE4" w:rsidRPr="00711FE4" w:rsidRDefault="00711FE4" w:rsidP="00711FE4">
            <w:pPr>
              <w:autoSpaceDE w:val="0"/>
              <w:autoSpaceDN w:val="0"/>
              <w:adjustRightInd w:val="0"/>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Put up with feeling cold</w:t>
            </w:r>
          </w:p>
        </w:tc>
        <w:tc>
          <w:tcPr>
            <w:tcW w:w="851" w:type="dxa"/>
            <w:vAlign w:val="center"/>
          </w:tcPr>
          <w:p w14:paraId="67CC390B"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20B54014"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353C209C" w14:textId="77777777" w:rsidTr="00366F04">
        <w:trPr>
          <w:trHeight w:val="227"/>
          <w:jc w:val="center"/>
        </w:trPr>
        <w:tc>
          <w:tcPr>
            <w:tcW w:w="653" w:type="dxa"/>
            <w:tcBorders>
              <w:right w:val="nil"/>
            </w:tcBorders>
            <w:tcMar>
              <w:left w:w="142" w:type="dxa"/>
              <w:right w:w="28" w:type="dxa"/>
            </w:tcMar>
            <w:vAlign w:val="center"/>
          </w:tcPr>
          <w:p w14:paraId="03091280"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13</w:t>
            </w:r>
          </w:p>
        </w:tc>
        <w:tc>
          <w:tcPr>
            <w:tcW w:w="6435" w:type="dxa"/>
            <w:tcBorders>
              <w:left w:val="nil"/>
              <w:right w:val="single" w:sz="4" w:space="0" w:color="auto"/>
            </w:tcBorders>
            <w:vAlign w:val="center"/>
          </w:tcPr>
          <w:p w14:paraId="0E177233"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Do without or cut back on trips to the shops or other local places</w:t>
            </w:r>
          </w:p>
        </w:tc>
        <w:tc>
          <w:tcPr>
            <w:tcW w:w="851" w:type="dxa"/>
            <w:vAlign w:val="center"/>
          </w:tcPr>
          <w:p w14:paraId="3484BCC3"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634A5217"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5DCB8D4A" w14:textId="77777777" w:rsidTr="00366F04">
        <w:trPr>
          <w:trHeight w:val="227"/>
          <w:jc w:val="center"/>
        </w:trPr>
        <w:tc>
          <w:tcPr>
            <w:tcW w:w="653" w:type="dxa"/>
            <w:tcBorders>
              <w:right w:val="nil"/>
            </w:tcBorders>
            <w:tcMar>
              <w:left w:w="142" w:type="dxa"/>
              <w:right w:w="28" w:type="dxa"/>
            </w:tcMar>
            <w:vAlign w:val="center"/>
          </w:tcPr>
          <w:p w14:paraId="5EBBDBDC"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14</w:t>
            </w:r>
          </w:p>
        </w:tc>
        <w:tc>
          <w:tcPr>
            <w:tcW w:w="6435" w:type="dxa"/>
            <w:tcBorders>
              <w:left w:val="nil"/>
              <w:right w:val="single" w:sz="4" w:space="0" w:color="auto"/>
            </w:tcBorders>
            <w:vAlign w:val="center"/>
          </w:tcPr>
          <w:p w14:paraId="67EE62EF" w14:textId="77777777" w:rsidR="00711FE4" w:rsidRPr="00711FE4" w:rsidRDefault="00711FE4" w:rsidP="00711FE4">
            <w:pPr>
              <w:autoSpaceDE w:val="0"/>
              <w:autoSpaceDN w:val="0"/>
              <w:adjustRightInd w:val="0"/>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Delay replacing or repairing broken or damaged appliances</w:t>
            </w:r>
          </w:p>
        </w:tc>
        <w:tc>
          <w:tcPr>
            <w:tcW w:w="851" w:type="dxa"/>
            <w:vAlign w:val="center"/>
          </w:tcPr>
          <w:p w14:paraId="3F5646C3"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6BE57BCE"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768C0690" w14:textId="77777777" w:rsidTr="00366F04">
        <w:trPr>
          <w:trHeight w:val="227"/>
          <w:jc w:val="center"/>
        </w:trPr>
        <w:tc>
          <w:tcPr>
            <w:tcW w:w="653" w:type="dxa"/>
            <w:tcBorders>
              <w:right w:val="nil"/>
            </w:tcBorders>
            <w:tcMar>
              <w:left w:w="142" w:type="dxa"/>
              <w:right w:w="28" w:type="dxa"/>
            </w:tcMar>
            <w:vAlign w:val="center"/>
          </w:tcPr>
          <w:p w14:paraId="64F828AC"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15</w:t>
            </w:r>
          </w:p>
        </w:tc>
        <w:tc>
          <w:tcPr>
            <w:tcW w:w="6435" w:type="dxa"/>
            <w:tcBorders>
              <w:left w:val="nil"/>
              <w:right w:val="single" w:sz="4" w:space="0" w:color="auto"/>
            </w:tcBorders>
            <w:vAlign w:val="center"/>
          </w:tcPr>
          <w:p w14:paraId="1F3D31B1"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Spent less on hobbies or other special interests than you would like</w:t>
            </w:r>
          </w:p>
        </w:tc>
        <w:tc>
          <w:tcPr>
            <w:tcW w:w="851" w:type="dxa"/>
            <w:vAlign w:val="center"/>
          </w:tcPr>
          <w:p w14:paraId="09A819A9"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10ED3161"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1304C73F" w14:textId="77777777" w:rsidTr="00366F04">
        <w:trPr>
          <w:trHeight w:val="227"/>
          <w:jc w:val="center"/>
        </w:trPr>
        <w:tc>
          <w:tcPr>
            <w:tcW w:w="653" w:type="dxa"/>
            <w:tcBorders>
              <w:right w:val="nil"/>
            </w:tcBorders>
            <w:tcMar>
              <w:left w:w="142" w:type="dxa"/>
              <w:right w:w="28" w:type="dxa"/>
            </w:tcMar>
            <w:vAlign w:val="center"/>
          </w:tcPr>
          <w:p w14:paraId="74E4C895"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16</w:t>
            </w:r>
          </w:p>
        </w:tc>
        <w:tc>
          <w:tcPr>
            <w:tcW w:w="6435" w:type="dxa"/>
            <w:tcBorders>
              <w:left w:val="nil"/>
              <w:right w:val="single" w:sz="4" w:space="0" w:color="auto"/>
            </w:tcBorders>
            <w:vAlign w:val="center"/>
          </w:tcPr>
          <w:p w14:paraId="07EFE927"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Postponed visits to the doctor</w:t>
            </w:r>
          </w:p>
        </w:tc>
        <w:tc>
          <w:tcPr>
            <w:tcW w:w="851" w:type="dxa"/>
            <w:vAlign w:val="center"/>
          </w:tcPr>
          <w:p w14:paraId="19D03BBC"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64906879"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5B970EA2" w14:textId="77777777" w:rsidTr="00366F04">
        <w:trPr>
          <w:trHeight w:val="227"/>
          <w:jc w:val="center"/>
        </w:trPr>
        <w:tc>
          <w:tcPr>
            <w:tcW w:w="653" w:type="dxa"/>
            <w:tcBorders>
              <w:bottom w:val="single" w:sz="4" w:space="0" w:color="auto"/>
              <w:right w:val="nil"/>
            </w:tcBorders>
            <w:tcMar>
              <w:left w:w="142" w:type="dxa"/>
              <w:right w:w="28" w:type="dxa"/>
            </w:tcMar>
            <w:vAlign w:val="center"/>
          </w:tcPr>
          <w:p w14:paraId="395C74D5"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17</w:t>
            </w:r>
          </w:p>
        </w:tc>
        <w:tc>
          <w:tcPr>
            <w:tcW w:w="6435" w:type="dxa"/>
            <w:tcBorders>
              <w:left w:val="nil"/>
              <w:bottom w:val="single" w:sz="4" w:space="0" w:color="auto"/>
              <w:right w:val="single" w:sz="4" w:space="0" w:color="auto"/>
            </w:tcBorders>
            <w:vAlign w:val="center"/>
          </w:tcPr>
          <w:p w14:paraId="2AFAEB05" w14:textId="77777777" w:rsidR="00711FE4" w:rsidRPr="00711FE4" w:rsidRDefault="00711FE4" w:rsidP="00711FE4">
            <w:pPr>
              <w:autoSpaceDE w:val="0"/>
              <w:autoSpaceDN w:val="0"/>
              <w:adjustRightInd w:val="0"/>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Postponed visits to the dentist</w:t>
            </w:r>
          </w:p>
        </w:tc>
        <w:tc>
          <w:tcPr>
            <w:tcW w:w="851" w:type="dxa"/>
            <w:vAlign w:val="center"/>
          </w:tcPr>
          <w:p w14:paraId="7716D7E9"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4265EF38" w14:textId="77777777" w:rsidR="00711FE4" w:rsidRPr="00711FE4" w:rsidRDefault="00711FE4" w:rsidP="00711FE4">
            <w:pPr>
              <w:autoSpaceDE w:val="0"/>
              <w:autoSpaceDN w:val="0"/>
              <w:adjustRightInd w:val="0"/>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18327EB3" w14:textId="77777777" w:rsidTr="00366F04">
        <w:trPr>
          <w:trHeight w:val="227"/>
          <w:jc w:val="center"/>
        </w:trPr>
        <w:tc>
          <w:tcPr>
            <w:tcW w:w="7088" w:type="dxa"/>
            <w:gridSpan w:val="2"/>
            <w:tcBorders>
              <w:bottom w:val="single" w:sz="4" w:space="0" w:color="auto"/>
              <w:right w:val="single" w:sz="4" w:space="0" w:color="auto"/>
            </w:tcBorders>
            <w:tcMar>
              <w:left w:w="28" w:type="dxa"/>
              <w:right w:w="28" w:type="dxa"/>
            </w:tcMar>
            <w:vAlign w:val="center"/>
          </w:tcPr>
          <w:p w14:paraId="4D194E25" w14:textId="77777777" w:rsidR="00711FE4" w:rsidRPr="00711FE4" w:rsidRDefault="00711FE4" w:rsidP="00711FE4">
            <w:pPr>
              <w:spacing w:before="60" w:after="20" w:line="240" w:lineRule="auto"/>
              <w:rPr>
                <w:rFonts w:ascii="Arial" w:eastAsia="Times New Roman" w:hAnsi="Arial"/>
                <w:color w:val="000000"/>
                <w:sz w:val="16"/>
                <w:szCs w:val="16"/>
              </w:rPr>
            </w:pPr>
            <w:r w:rsidRPr="00711FE4">
              <w:rPr>
                <w:rFonts w:ascii="Arial" w:eastAsia="Times New Roman" w:hAnsi="Arial"/>
                <w:b/>
                <w:color w:val="000000"/>
                <w:sz w:val="16"/>
                <w:szCs w:val="16"/>
              </w:rPr>
              <w:t xml:space="preserve"> Housing problems</w:t>
            </w:r>
            <w:r w:rsidRPr="00711FE4">
              <w:rPr>
                <w:rFonts w:ascii="Arial" w:eastAsia="Times New Roman" w:hAnsi="Arial"/>
                <w:b/>
                <w:color w:val="000000"/>
                <w:sz w:val="18"/>
                <w:szCs w:val="16"/>
              </w:rPr>
              <w:t xml:space="preserve"> </w:t>
            </w:r>
            <w:r w:rsidRPr="00711FE4">
              <w:rPr>
                <w:rFonts w:ascii="Arial" w:eastAsia="Times New Roman" w:hAnsi="Arial"/>
                <w:color w:val="000000"/>
                <w:sz w:val="16"/>
                <w:szCs w:val="16"/>
              </w:rPr>
              <w:t>(no problem, minor problem, major problem … in the last 12 months)</w:t>
            </w:r>
          </w:p>
          <w:p w14:paraId="5ED7AD7E" w14:textId="77777777" w:rsidR="00711FE4" w:rsidRPr="00711FE4" w:rsidRDefault="00711FE4" w:rsidP="00711FE4">
            <w:pPr>
              <w:spacing w:before="60" w:after="40" w:line="240" w:lineRule="auto"/>
              <w:ind w:left="329"/>
              <w:rPr>
                <w:rFonts w:ascii="Arial" w:eastAsia="Times New Roman" w:hAnsi="Arial"/>
                <w:i/>
                <w:color w:val="000000"/>
                <w:sz w:val="16"/>
                <w:szCs w:val="16"/>
              </w:rPr>
            </w:pPr>
            <w:r w:rsidRPr="00711FE4">
              <w:rPr>
                <w:rFonts w:ascii="Arial" w:eastAsia="Times New Roman" w:hAnsi="Arial"/>
                <w:i/>
                <w:color w:val="000000"/>
                <w:sz w:val="16"/>
                <w:szCs w:val="16"/>
              </w:rPr>
              <w:t>For both, score as 2, 1 and 0 respectively</w:t>
            </w:r>
          </w:p>
        </w:tc>
        <w:tc>
          <w:tcPr>
            <w:tcW w:w="851" w:type="dxa"/>
            <w:vAlign w:val="center"/>
          </w:tcPr>
          <w:p w14:paraId="1327A2A1" w14:textId="77777777" w:rsidR="00711FE4" w:rsidRPr="00711FE4" w:rsidRDefault="00711FE4" w:rsidP="00711FE4">
            <w:pPr>
              <w:spacing w:before="60" w:after="20" w:line="240" w:lineRule="auto"/>
              <w:jc w:val="center"/>
              <w:rPr>
                <w:rFonts w:ascii="Arial" w:eastAsia="Times New Roman" w:hAnsi="Arial"/>
                <w:b/>
                <w:color w:val="000000"/>
                <w:sz w:val="16"/>
                <w:szCs w:val="16"/>
              </w:rPr>
            </w:pPr>
          </w:p>
        </w:tc>
        <w:tc>
          <w:tcPr>
            <w:tcW w:w="850" w:type="dxa"/>
            <w:vAlign w:val="center"/>
          </w:tcPr>
          <w:p w14:paraId="7296A485" w14:textId="77777777" w:rsidR="00711FE4" w:rsidRPr="00711FE4" w:rsidRDefault="00711FE4" w:rsidP="00711FE4">
            <w:pPr>
              <w:spacing w:before="60" w:after="20" w:line="240" w:lineRule="auto"/>
              <w:jc w:val="center"/>
              <w:rPr>
                <w:rFonts w:ascii="Arial" w:eastAsia="Times New Roman" w:hAnsi="Arial"/>
                <w:b/>
                <w:color w:val="000000"/>
                <w:sz w:val="16"/>
                <w:szCs w:val="16"/>
              </w:rPr>
            </w:pPr>
          </w:p>
        </w:tc>
      </w:tr>
      <w:tr w:rsidR="00711FE4" w:rsidRPr="00711FE4" w14:paraId="6AFF21E7" w14:textId="77777777" w:rsidTr="00366F04">
        <w:trPr>
          <w:trHeight w:val="227"/>
          <w:jc w:val="center"/>
        </w:trPr>
        <w:tc>
          <w:tcPr>
            <w:tcW w:w="653" w:type="dxa"/>
            <w:tcBorders>
              <w:bottom w:val="single" w:sz="4" w:space="0" w:color="auto"/>
              <w:right w:val="nil"/>
            </w:tcBorders>
            <w:tcMar>
              <w:left w:w="28" w:type="dxa"/>
              <w:right w:w="28" w:type="dxa"/>
            </w:tcMar>
            <w:vAlign w:val="center"/>
          </w:tcPr>
          <w:p w14:paraId="64336095"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t>18</w:t>
            </w:r>
          </w:p>
        </w:tc>
        <w:tc>
          <w:tcPr>
            <w:tcW w:w="6435" w:type="dxa"/>
            <w:tcBorders>
              <w:left w:val="nil"/>
              <w:bottom w:val="single" w:sz="4" w:space="0" w:color="auto"/>
              <w:right w:val="single" w:sz="4" w:space="0" w:color="auto"/>
            </w:tcBorders>
            <w:vAlign w:val="center"/>
          </w:tcPr>
          <w:p w14:paraId="220D1FE1" w14:textId="77777777" w:rsidR="00711FE4" w:rsidRPr="00711FE4" w:rsidRDefault="00711FE4" w:rsidP="00711FE4">
            <w:pPr>
              <w:spacing w:before="40" w:after="40" w:line="240" w:lineRule="auto"/>
              <w:ind w:left="20"/>
              <w:rPr>
                <w:rFonts w:ascii="Arial" w:eastAsia="Times New Roman" w:hAnsi="Arial"/>
                <w:color w:val="000000"/>
                <w:sz w:val="14"/>
                <w:szCs w:val="14"/>
              </w:rPr>
            </w:pPr>
            <w:r w:rsidRPr="00711FE4">
              <w:rPr>
                <w:rFonts w:ascii="Arial" w:eastAsia="Times New Roman" w:hAnsi="Arial"/>
                <w:color w:val="000000"/>
                <w:sz w:val="14"/>
                <w:szCs w:val="14"/>
              </w:rPr>
              <w:t>Dampness or mould</w:t>
            </w:r>
          </w:p>
        </w:tc>
        <w:tc>
          <w:tcPr>
            <w:tcW w:w="851" w:type="dxa"/>
            <w:vAlign w:val="center"/>
          </w:tcPr>
          <w:p w14:paraId="6C8CB5DB"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6D297875"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07E97EA6" w14:textId="77777777" w:rsidTr="00366F04">
        <w:trPr>
          <w:trHeight w:val="227"/>
          <w:jc w:val="center"/>
        </w:trPr>
        <w:tc>
          <w:tcPr>
            <w:tcW w:w="653" w:type="dxa"/>
            <w:tcBorders>
              <w:bottom w:val="single" w:sz="4" w:space="0" w:color="auto"/>
              <w:right w:val="nil"/>
            </w:tcBorders>
            <w:tcMar>
              <w:left w:w="28" w:type="dxa"/>
              <w:right w:w="28" w:type="dxa"/>
            </w:tcMar>
            <w:vAlign w:val="center"/>
          </w:tcPr>
          <w:p w14:paraId="58C48F6E" w14:textId="77777777" w:rsidR="00711FE4" w:rsidRPr="00711FE4" w:rsidRDefault="00711FE4" w:rsidP="00711FE4">
            <w:pPr>
              <w:spacing w:before="40" w:after="40" w:line="240" w:lineRule="auto"/>
              <w:jc w:val="center"/>
              <w:rPr>
                <w:rFonts w:ascii="Arial" w:eastAsia="Times New Roman" w:hAnsi="Arial"/>
                <w:color w:val="000000"/>
                <w:sz w:val="14"/>
                <w:szCs w:val="14"/>
              </w:rPr>
            </w:pPr>
            <w:r w:rsidRPr="00711FE4">
              <w:rPr>
                <w:rFonts w:ascii="Arial" w:eastAsia="Times New Roman" w:hAnsi="Arial"/>
                <w:color w:val="000000"/>
                <w:sz w:val="14"/>
                <w:szCs w:val="14"/>
              </w:rPr>
              <w:t>19</w:t>
            </w:r>
          </w:p>
        </w:tc>
        <w:tc>
          <w:tcPr>
            <w:tcW w:w="6435" w:type="dxa"/>
            <w:tcBorders>
              <w:left w:val="nil"/>
              <w:bottom w:val="single" w:sz="4" w:space="0" w:color="auto"/>
              <w:right w:val="single" w:sz="4" w:space="0" w:color="auto"/>
            </w:tcBorders>
            <w:vAlign w:val="center"/>
          </w:tcPr>
          <w:p w14:paraId="07BF5A30" w14:textId="77777777" w:rsidR="00711FE4" w:rsidRPr="00711FE4" w:rsidRDefault="00711FE4" w:rsidP="00711FE4">
            <w:pPr>
              <w:spacing w:before="40" w:after="40" w:line="240" w:lineRule="auto"/>
              <w:ind w:left="20"/>
              <w:rPr>
                <w:rFonts w:ascii="Arial" w:eastAsia="Times New Roman" w:hAnsi="Arial"/>
                <w:color w:val="000000"/>
                <w:sz w:val="14"/>
                <w:szCs w:val="14"/>
              </w:rPr>
            </w:pPr>
            <w:r w:rsidRPr="00711FE4">
              <w:rPr>
                <w:rFonts w:ascii="Arial" w:eastAsia="Times New Roman" w:hAnsi="Arial"/>
                <w:color w:val="000000"/>
                <w:sz w:val="14"/>
                <w:szCs w:val="14"/>
              </w:rPr>
              <w:t xml:space="preserve">Heating or keeping it warm in winter </w:t>
            </w:r>
            <w:r w:rsidRPr="00711FE4">
              <w:rPr>
                <w:rFonts w:ascii="Arial" w:eastAsia="Times New Roman" w:hAnsi="Arial"/>
                <w:color w:val="000000"/>
                <w:sz w:val="14"/>
                <w:szCs w:val="14"/>
              </w:rPr>
              <w:tab/>
            </w:r>
            <w:r w:rsidRPr="00711FE4">
              <w:rPr>
                <w:rFonts w:ascii="Arial" w:eastAsia="Times New Roman" w:hAnsi="Arial"/>
                <w:color w:val="000000"/>
                <w:sz w:val="14"/>
                <w:szCs w:val="14"/>
              </w:rPr>
              <w:tab/>
            </w:r>
            <w:r w:rsidRPr="00711FE4">
              <w:rPr>
                <w:rFonts w:ascii="Arial" w:eastAsia="Times New Roman" w:hAnsi="Arial"/>
                <w:i/>
                <w:iCs/>
                <w:color w:val="000000"/>
                <w:sz w:val="14"/>
                <w:szCs w:val="14"/>
              </w:rPr>
              <w:t>(not collected in HILS)</w:t>
            </w:r>
          </w:p>
        </w:tc>
        <w:tc>
          <w:tcPr>
            <w:tcW w:w="851" w:type="dxa"/>
            <w:vAlign w:val="center"/>
          </w:tcPr>
          <w:p w14:paraId="52F39424"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65870576"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t>-</w:t>
            </w:r>
          </w:p>
        </w:tc>
      </w:tr>
      <w:tr w:rsidR="00711FE4" w:rsidRPr="00711FE4" w14:paraId="45CD1F62" w14:textId="77777777" w:rsidTr="00366F04">
        <w:trPr>
          <w:jc w:val="center"/>
        </w:trPr>
        <w:tc>
          <w:tcPr>
            <w:tcW w:w="7088" w:type="dxa"/>
            <w:gridSpan w:val="2"/>
            <w:vAlign w:val="center"/>
          </w:tcPr>
          <w:p w14:paraId="23AC66AC" w14:textId="77777777" w:rsidR="00711FE4" w:rsidRPr="00711FE4" w:rsidRDefault="00711FE4" w:rsidP="00711FE4">
            <w:pPr>
              <w:spacing w:before="60" w:after="20" w:line="240" w:lineRule="auto"/>
              <w:rPr>
                <w:rFonts w:ascii="Arial" w:eastAsia="Times New Roman" w:hAnsi="Arial"/>
                <w:b/>
                <w:color w:val="000000"/>
                <w:sz w:val="16"/>
                <w:szCs w:val="16"/>
              </w:rPr>
            </w:pPr>
            <w:r w:rsidRPr="00711FE4">
              <w:rPr>
                <w:rFonts w:ascii="Arial" w:eastAsia="Times New Roman" w:hAnsi="Arial"/>
                <w:b/>
                <w:color w:val="000000"/>
                <w:sz w:val="16"/>
                <w:szCs w:val="16"/>
              </w:rPr>
              <w:t>Freedoms/Restrictions</w:t>
            </w:r>
          </w:p>
        </w:tc>
        <w:tc>
          <w:tcPr>
            <w:tcW w:w="851" w:type="dxa"/>
            <w:vAlign w:val="center"/>
          </w:tcPr>
          <w:p w14:paraId="27EB8916" w14:textId="77777777" w:rsidR="00711FE4" w:rsidRPr="00711FE4" w:rsidRDefault="00711FE4" w:rsidP="00711FE4">
            <w:pPr>
              <w:spacing w:before="60" w:after="20" w:line="240" w:lineRule="auto"/>
              <w:jc w:val="center"/>
              <w:rPr>
                <w:rFonts w:ascii="Arial" w:eastAsia="Times New Roman" w:hAnsi="Arial"/>
                <w:b/>
                <w:color w:val="000000"/>
                <w:sz w:val="16"/>
                <w:szCs w:val="16"/>
              </w:rPr>
            </w:pPr>
          </w:p>
        </w:tc>
        <w:tc>
          <w:tcPr>
            <w:tcW w:w="850" w:type="dxa"/>
            <w:vAlign w:val="center"/>
          </w:tcPr>
          <w:p w14:paraId="11F6D81A" w14:textId="77777777" w:rsidR="00711FE4" w:rsidRPr="00711FE4" w:rsidRDefault="00711FE4" w:rsidP="00711FE4">
            <w:pPr>
              <w:spacing w:before="60" w:after="20" w:line="240" w:lineRule="auto"/>
              <w:jc w:val="center"/>
              <w:rPr>
                <w:rFonts w:ascii="Arial" w:eastAsia="Times New Roman" w:hAnsi="Arial"/>
                <w:b/>
                <w:color w:val="000000"/>
                <w:sz w:val="16"/>
                <w:szCs w:val="16"/>
              </w:rPr>
            </w:pPr>
          </w:p>
        </w:tc>
      </w:tr>
      <w:tr w:rsidR="00711FE4" w:rsidRPr="00711FE4" w14:paraId="3FDA4D1A" w14:textId="77777777" w:rsidTr="00366F04">
        <w:trPr>
          <w:jc w:val="center"/>
        </w:trPr>
        <w:tc>
          <w:tcPr>
            <w:tcW w:w="653" w:type="dxa"/>
            <w:tcBorders>
              <w:right w:val="nil"/>
            </w:tcBorders>
            <w:tcMar>
              <w:left w:w="142" w:type="dxa"/>
              <w:right w:w="28" w:type="dxa"/>
            </w:tcMar>
            <w:vAlign w:val="center"/>
          </w:tcPr>
          <w:p w14:paraId="6939C672"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20</w:t>
            </w:r>
          </w:p>
        </w:tc>
        <w:tc>
          <w:tcPr>
            <w:tcW w:w="6435" w:type="dxa"/>
            <w:tcBorders>
              <w:left w:val="nil"/>
            </w:tcBorders>
            <w:vAlign w:val="center"/>
          </w:tcPr>
          <w:p w14:paraId="687EE711" w14:textId="77777777" w:rsidR="00711FE4" w:rsidRPr="00711FE4" w:rsidRDefault="00711FE4" w:rsidP="00711FE4">
            <w:pPr>
              <w:autoSpaceDE w:val="0"/>
              <w:autoSpaceDN w:val="0"/>
              <w:adjustRightInd w:val="0"/>
              <w:spacing w:before="40" w:after="40" w:line="240" w:lineRule="auto"/>
              <w:ind w:left="20"/>
              <w:rPr>
                <w:rFonts w:ascii="Arial" w:eastAsia="Times New Roman" w:hAnsi="Arial"/>
                <w:color w:val="000000"/>
                <w:sz w:val="14"/>
                <w:szCs w:val="14"/>
              </w:rPr>
            </w:pPr>
            <w:r w:rsidRPr="00711FE4">
              <w:rPr>
                <w:rFonts w:ascii="Arial" w:eastAsia="Times New Roman" w:hAnsi="Arial"/>
                <w:color w:val="000000"/>
                <w:sz w:val="14"/>
                <w:szCs w:val="14"/>
              </w:rPr>
              <w:t>When buying, or thinking about buying, clothes or shoes for yourself, how much do you usually feel limited by the money available?  (4 point response options: ‘not at all limited, a little limited, quite limited, very limited)</w:t>
            </w:r>
          </w:p>
          <w:p w14:paraId="67736757" w14:textId="77777777" w:rsidR="00711FE4" w:rsidRPr="00711FE4" w:rsidRDefault="00711FE4" w:rsidP="00711FE4">
            <w:pPr>
              <w:autoSpaceDE w:val="0"/>
              <w:autoSpaceDN w:val="0"/>
              <w:adjustRightInd w:val="0"/>
              <w:spacing w:before="40" w:after="40" w:line="240" w:lineRule="auto"/>
              <w:ind w:left="23"/>
              <w:rPr>
                <w:rFonts w:ascii="Arial" w:eastAsia="Times New Roman" w:hAnsi="Arial"/>
                <w:color w:val="000000"/>
                <w:sz w:val="14"/>
                <w:szCs w:val="14"/>
              </w:rPr>
            </w:pPr>
            <w:r w:rsidRPr="00711FE4">
              <w:rPr>
                <w:rFonts w:ascii="Arial" w:eastAsia="Times New Roman" w:hAnsi="Arial"/>
                <w:i/>
                <w:color w:val="000000"/>
                <w:sz w:val="14"/>
                <w:szCs w:val="14"/>
              </w:rPr>
              <w:t>For both, score as 3, 2, 1 and 0 respectively</w:t>
            </w:r>
          </w:p>
        </w:tc>
        <w:tc>
          <w:tcPr>
            <w:tcW w:w="851" w:type="dxa"/>
            <w:vAlign w:val="center"/>
          </w:tcPr>
          <w:p w14:paraId="51507196" w14:textId="77777777" w:rsidR="00711FE4" w:rsidRPr="00711FE4" w:rsidRDefault="00711FE4" w:rsidP="00711FE4">
            <w:pPr>
              <w:autoSpaceDE w:val="0"/>
              <w:autoSpaceDN w:val="0"/>
              <w:adjustRightInd w:val="0"/>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1622606F" w14:textId="77777777" w:rsidR="00711FE4" w:rsidRPr="00711FE4" w:rsidRDefault="00711FE4" w:rsidP="00711FE4">
            <w:pPr>
              <w:autoSpaceDE w:val="0"/>
              <w:autoSpaceDN w:val="0"/>
              <w:adjustRightInd w:val="0"/>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098F4961" w14:textId="77777777" w:rsidTr="00366F04">
        <w:trPr>
          <w:jc w:val="center"/>
        </w:trPr>
        <w:tc>
          <w:tcPr>
            <w:tcW w:w="653" w:type="dxa"/>
            <w:tcBorders>
              <w:right w:val="nil"/>
            </w:tcBorders>
            <w:tcMar>
              <w:left w:w="142" w:type="dxa"/>
              <w:right w:w="28" w:type="dxa"/>
            </w:tcMar>
            <w:vAlign w:val="center"/>
          </w:tcPr>
          <w:p w14:paraId="34CCC2ED"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21</w:t>
            </w:r>
          </w:p>
        </w:tc>
        <w:tc>
          <w:tcPr>
            <w:tcW w:w="6435" w:type="dxa"/>
            <w:tcBorders>
              <w:left w:val="nil"/>
            </w:tcBorders>
            <w:vAlign w:val="center"/>
          </w:tcPr>
          <w:p w14:paraId="2E5EC7D4" w14:textId="77777777" w:rsidR="00711FE4" w:rsidRPr="00711FE4" w:rsidRDefault="00711FE4" w:rsidP="00711FE4">
            <w:pPr>
              <w:spacing w:before="40" w:after="40" w:line="240" w:lineRule="auto"/>
              <w:ind w:left="20"/>
              <w:rPr>
                <w:rFonts w:ascii="Arial" w:eastAsia="Times New Roman" w:hAnsi="Arial"/>
                <w:color w:val="000000"/>
                <w:sz w:val="14"/>
                <w:szCs w:val="14"/>
              </w:rPr>
            </w:pPr>
            <w:r w:rsidRPr="00711FE4">
              <w:rPr>
                <w:rFonts w:ascii="Arial" w:eastAsia="Times New Roman" w:hAnsi="Arial"/>
                <w:color w:val="000000"/>
                <w:sz w:val="14"/>
                <w:szCs w:val="14"/>
              </w:rPr>
              <w:t>$400 spot purchase for an ’extra’, not a necessity ($300 in HES/MWI-24) – how limited do you feel about buying it? (5 point response  options: not at all limited, a little limited, quite limited, very limited, couldn’t buy it)</w:t>
            </w:r>
          </w:p>
          <w:p w14:paraId="0524DFAB" w14:textId="77777777" w:rsidR="00711FE4" w:rsidRPr="00711FE4" w:rsidRDefault="00711FE4" w:rsidP="00711FE4">
            <w:pPr>
              <w:spacing w:before="40" w:after="40" w:line="240" w:lineRule="auto"/>
              <w:ind w:left="23"/>
              <w:rPr>
                <w:rFonts w:ascii="Arial" w:eastAsia="Times New Roman" w:hAnsi="Arial"/>
                <w:i/>
                <w:color w:val="000000"/>
                <w:sz w:val="14"/>
                <w:szCs w:val="14"/>
              </w:rPr>
            </w:pPr>
            <w:r w:rsidRPr="00711FE4">
              <w:rPr>
                <w:rFonts w:ascii="Arial" w:eastAsia="Times New Roman" w:hAnsi="Arial"/>
                <w:i/>
                <w:color w:val="000000"/>
                <w:sz w:val="14"/>
                <w:szCs w:val="14"/>
              </w:rPr>
              <w:t>For MWI-24, score as 4, 3, 2, 1 and 0 respectively. MWI-26, score as 3, 2, 1, 0 and 0</w:t>
            </w:r>
          </w:p>
        </w:tc>
        <w:tc>
          <w:tcPr>
            <w:tcW w:w="851" w:type="dxa"/>
            <w:vAlign w:val="center"/>
          </w:tcPr>
          <w:p w14:paraId="72A559D1"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4C7397B1"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3DF7AC1C" w14:textId="77777777" w:rsidTr="00366F04">
        <w:trPr>
          <w:jc w:val="center"/>
        </w:trPr>
        <w:tc>
          <w:tcPr>
            <w:tcW w:w="653" w:type="dxa"/>
            <w:tcBorders>
              <w:right w:val="nil"/>
            </w:tcBorders>
            <w:tcMar>
              <w:left w:w="142" w:type="dxa"/>
              <w:right w:w="28" w:type="dxa"/>
            </w:tcMar>
            <w:vAlign w:val="center"/>
          </w:tcPr>
          <w:p w14:paraId="58FECD2D"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22</w:t>
            </w:r>
          </w:p>
        </w:tc>
        <w:tc>
          <w:tcPr>
            <w:tcW w:w="6435" w:type="dxa"/>
            <w:tcBorders>
              <w:left w:val="nil"/>
            </w:tcBorders>
            <w:vAlign w:val="center"/>
          </w:tcPr>
          <w:p w14:paraId="4212275E" w14:textId="77777777" w:rsidR="00711FE4" w:rsidRPr="00711FE4" w:rsidRDefault="00711FE4" w:rsidP="00711FE4">
            <w:pPr>
              <w:spacing w:before="40" w:after="40" w:line="240" w:lineRule="auto"/>
              <w:ind w:left="23"/>
              <w:rPr>
                <w:rFonts w:ascii="Arial" w:eastAsia="Times New Roman" w:hAnsi="Arial"/>
                <w:color w:val="000000"/>
                <w:sz w:val="14"/>
                <w:szCs w:val="14"/>
              </w:rPr>
            </w:pPr>
            <w:r w:rsidRPr="00711FE4">
              <w:rPr>
                <w:rFonts w:ascii="Arial" w:eastAsia="Times New Roman" w:hAnsi="Arial"/>
                <w:color w:val="000000"/>
                <w:sz w:val="14"/>
                <w:szCs w:val="14"/>
              </w:rPr>
              <w:t>$500 unexpected unavoidable expense on an essential – can you pay in a month without borrowing?  (yes/no)</w:t>
            </w:r>
          </w:p>
          <w:p w14:paraId="4D7D09D4" w14:textId="77777777" w:rsidR="00711FE4" w:rsidRPr="00711FE4" w:rsidRDefault="00711FE4" w:rsidP="00711FE4">
            <w:pPr>
              <w:spacing w:before="40" w:after="40" w:line="240" w:lineRule="auto"/>
              <w:ind w:left="23"/>
              <w:rPr>
                <w:rFonts w:ascii="Arial" w:eastAsia="Times New Roman" w:hAnsi="Arial"/>
                <w:color w:val="000000"/>
                <w:sz w:val="14"/>
                <w:szCs w:val="14"/>
              </w:rPr>
            </w:pPr>
            <w:r w:rsidRPr="00711FE4">
              <w:rPr>
                <w:rFonts w:ascii="Arial" w:eastAsia="Times New Roman" w:hAnsi="Arial"/>
                <w:i/>
                <w:color w:val="000000"/>
                <w:sz w:val="14"/>
                <w:szCs w:val="14"/>
              </w:rPr>
              <w:t>For both, score ‘yes’ as 2 and ‘no’ as 0</w:t>
            </w:r>
          </w:p>
        </w:tc>
        <w:tc>
          <w:tcPr>
            <w:tcW w:w="851" w:type="dxa"/>
            <w:vAlign w:val="center"/>
          </w:tcPr>
          <w:p w14:paraId="50EEEB32" w14:textId="77777777" w:rsidR="00711FE4" w:rsidRPr="00711FE4" w:rsidRDefault="00711FE4" w:rsidP="00711FE4">
            <w:pPr>
              <w:spacing w:before="40" w:after="40" w:line="240" w:lineRule="auto"/>
              <w:ind w:left="23"/>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78C1CD8E" w14:textId="77777777" w:rsidR="00711FE4" w:rsidRPr="00711FE4" w:rsidRDefault="00711FE4" w:rsidP="00711FE4">
            <w:pPr>
              <w:spacing w:before="40" w:after="40" w:line="240" w:lineRule="auto"/>
              <w:ind w:left="23"/>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78FA7D33" w14:textId="77777777" w:rsidTr="00366F04">
        <w:trPr>
          <w:jc w:val="center"/>
        </w:trPr>
        <w:tc>
          <w:tcPr>
            <w:tcW w:w="7088" w:type="dxa"/>
            <w:gridSpan w:val="2"/>
            <w:vAlign w:val="center"/>
          </w:tcPr>
          <w:p w14:paraId="61927AD2" w14:textId="77777777" w:rsidR="00711FE4" w:rsidRPr="00711FE4" w:rsidRDefault="00711FE4" w:rsidP="00711FE4">
            <w:pPr>
              <w:spacing w:before="60" w:after="20" w:line="240" w:lineRule="auto"/>
              <w:rPr>
                <w:rFonts w:ascii="Arial" w:eastAsia="Times New Roman" w:hAnsi="Arial"/>
                <w:color w:val="000000"/>
                <w:sz w:val="16"/>
                <w:szCs w:val="16"/>
              </w:rPr>
            </w:pPr>
            <w:r w:rsidRPr="00711FE4">
              <w:rPr>
                <w:rFonts w:ascii="Arial" w:eastAsia="Times New Roman" w:hAnsi="Arial"/>
                <w:b/>
                <w:color w:val="000000"/>
                <w:sz w:val="16"/>
                <w:szCs w:val="16"/>
              </w:rPr>
              <w:t xml:space="preserve">Financial strain </w:t>
            </w:r>
            <w:r w:rsidRPr="00711FE4">
              <w:rPr>
                <w:rFonts w:ascii="Arial" w:eastAsia="Times New Roman" w:hAnsi="Arial"/>
                <w:color w:val="000000"/>
                <w:sz w:val="16"/>
                <w:szCs w:val="16"/>
              </w:rPr>
              <w:t>(in last 12 months)   (not at all, once, more than once)</w:t>
            </w:r>
          </w:p>
          <w:p w14:paraId="4B7EC386" w14:textId="77777777" w:rsidR="00711FE4" w:rsidRPr="00711FE4" w:rsidRDefault="00711FE4" w:rsidP="00711FE4">
            <w:pPr>
              <w:spacing w:before="60" w:after="40" w:line="240" w:lineRule="auto"/>
              <w:ind w:left="249"/>
              <w:rPr>
                <w:rFonts w:ascii="Arial" w:eastAsia="Times New Roman" w:hAnsi="Arial"/>
                <w:b/>
                <w:color w:val="000000"/>
                <w:sz w:val="16"/>
                <w:szCs w:val="16"/>
              </w:rPr>
            </w:pPr>
            <w:r w:rsidRPr="00711FE4">
              <w:rPr>
                <w:rFonts w:ascii="Arial" w:eastAsia="Times New Roman" w:hAnsi="Arial"/>
                <w:i/>
                <w:color w:val="000000"/>
                <w:sz w:val="16"/>
                <w:szCs w:val="16"/>
              </w:rPr>
              <w:t>For both, score ‘not at all’ as 2, ‘once’ as 1, ‘more than once’ as 0</w:t>
            </w:r>
          </w:p>
        </w:tc>
        <w:tc>
          <w:tcPr>
            <w:tcW w:w="851" w:type="dxa"/>
            <w:vAlign w:val="center"/>
          </w:tcPr>
          <w:p w14:paraId="591FC179" w14:textId="77777777" w:rsidR="00711FE4" w:rsidRPr="00711FE4" w:rsidRDefault="00711FE4" w:rsidP="00711FE4">
            <w:pPr>
              <w:spacing w:before="60" w:after="20" w:line="240" w:lineRule="auto"/>
              <w:jc w:val="center"/>
              <w:rPr>
                <w:rFonts w:ascii="Arial" w:eastAsia="Times New Roman" w:hAnsi="Arial"/>
                <w:b/>
                <w:color w:val="000000"/>
                <w:sz w:val="16"/>
                <w:szCs w:val="16"/>
              </w:rPr>
            </w:pPr>
          </w:p>
        </w:tc>
        <w:tc>
          <w:tcPr>
            <w:tcW w:w="850" w:type="dxa"/>
            <w:vAlign w:val="center"/>
          </w:tcPr>
          <w:p w14:paraId="324E17F9" w14:textId="77777777" w:rsidR="00711FE4" w:rsidRPr="00711FE4" w:rsidRDefault="00711FE4" w:rsidP="00711FE4">
            <w:pPr>
              <w:spacing w:before="60" w:after="20" w:line="240" w:lineRule="auto"/>
              <w:jc w:val="center"/>
              <w:rPr>
                <w:rFonts w:ascii="Arial" w:eastAsia="Times New Roman" w:hAnsi="Arial"/>
                <w:b/>
                <w:color w:val="000000"/>
                <w:sz w:val="16"/>
                <w:szCs w:val="16"/>
              </w:rPr>
            </w:pPr>
          </w:p>
        </w:tc>
      </w:tr>
      <w:tr w:rsidR="00711FE4" w:rsidRPr="00711FE4" w14:paraId="384992F3" w14:textId="77777777" w:rsidTr="00366F04">
        <w:trPr>
          <w:jc w:val="center"/>
        </w:trPr>
        <w:tc>
          <w:tcPr>
            <w:tcW w:w="653" w:type="dxa"/>
            <w:tcBorders>
              <w:right w:val="nil"/>
            </w:tcBorders>
            <w:tcMar>
              <w:left w:w="170" w:type="dxa"/>
              <w:right w:w="0" w:type="dxa"/>
            </w:tcMar>
            <w:vAlign w:val="center"/>
          </w:tcPr>
          <w:p w14:paraId="3CA21440"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23</w:t>
            </w:r>
          </w:p>
        </w:tc>
        <w:tc>
          <w:tcPr>
            <w:tcW w:w="6435" w:type="dxa"/>
            <w:tcBorders>
              <w:left w:val="nil"/>
            </w:tcBorders>
            <w:vAlign w:val="center"/>
          </w:tcPr>
          <w:p w14:paraId="30EFA581" w14:textId="77777777" w:rsidR="00711FE4" w:rsidRPr="00711FE4" w:rsidRDefault="00711FE4" w:rsidP="00711FE4">
            <w:pPr>
              <w:spacing w:before="40" w:after="40" w:line="240" w:lineRule="auto"/>
              <w:ind w:left="20"/>
              <w:rPr>
                <w:rFonts w:ascii="Arial" w:eastAsia="Times New Roman" w:hAnsi="Arial"/>
                <w:color w:val="000000"/>
                <w:sz w:val="14"/>
                <w:szCs w:val="14"/>
              </w:rPr>
            </w:pPr>
            <w:r w:rsidRPr="00711FE4">
              <w:rPr>
                <w:rFonts w:ascii="Arial" w:eastAsia="Times New Roman" w:hAnsi="Arial"/>
                <w:color w:val="000000"/>
                <w:sz w:val="14"/>
                <w:szCs w:val="14"/>
              </w:rPr>
              <w:t xml:space="preserve">Behind on rates or utilities </w:t>
            </w:r>
          </w:p>
        </w:tc>
        <w:tc>
          <w:tcPr>
            <w:tcW w:w="851" w:type="dxa"/>
            <w:vAlign w:val="center"/>
          </w:tcPr>
          <w:p w14:paraId="74AD1FED"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30AEADAD"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r w:rsidR="00711FE4" w:rsidRPr="00711FE4" w14:paraId="1EC806BD" w14:textId="77777777" w:rsidTr="00366F04">
        <w:trPr>
          <w:jc w:val="center"/>
        </w:trPr>
        <w:tc>
          <w:tcPr>
            <w:tcW w:w="653" w:type="dxa"/>
            <w:tcBorders>
              <w:right w:val="nil"/>
            </w:tcBorders>
            <w:tcMar>
              <w:left w:w="170" w:type="dxa"/>
              <w:right w:w="0" w:type="dxa"/>
            </w:tcMar>
            <w:vAlign w:val="center"/>
          </w:tcPr>
          <w:p w14:paraId="79974A97" w14:textId="77777777" w:rsidR="00711FE4" w:rsidRPr="00711FE4" w:rsidRDefault="00711FE4" w:rsidP="00711FE4">
            <w:pPr>
              <w:spacing w:before="40" w:after="40" w:line="240" w:lineRule="auto"/>
              <w:rPr>
                <w:rFonts w:ascii="Arial" w:eastAsia="Times New Roman" w:hAnsi="Arial"/>
                <w:color w:val="000000"/>
                <w:sz w:val="14"/>
                <w:szCs w:val="14"/>
              </w:rPr>
            </w:pPr>
            <w:r w:rsidRPr="00711FE4">
              <w:rPr>
                <w:rFonts w:ascii="Arial" w:eastAsia="Times New Roman" w:hAnsi="Arial"/>
                <w:color w:val="000000"/>
                <w:sz w:val="14"/>
                <w:szCs w:val="14"/>
              </w:rPr>
              <w:t>24</w:t>
            </w:r>
          </w:p>
        </w:tc>
        <w:tc>
          <w:tcPr>
            <w:tcW w:w="6435" w:type="dxa"/>
            <w:tcBorders>
              <w:left w:val="nil"/>
            </w:tcBorders>
            <w:vAlign w:val="center"/>
          </w:tcPr>
          <w:p w14:paraId="3C158CA6" w14:textId="77777777" w:rsidR="00711FE4" w:rsidRPr="00711FE4" w:rsidRDefault="00711FE4" w:rsidP="00711FE4">
            <w:pPr>
              <w:spacing w:before="40" w:after="40" w:line="240" w:lineRule="auto"/>
              <w:ind w:left="20"/>
              <w:rPr>
                <w:rFonts w:ascii="Arial" w:eastAsia="Times New Roman" w:hAnsi="Arial"/>
                <w:color w:val="000000"/>
                <w:sz w:val="14"/>
                <w:szCs w:val="14"/>
              </w:rPr>
            </w:pPr>
            <w:r w:rsidRPr="00711FE4">
              <w:rPr>
                <w:rFonts w:ascii="Arial" w:eastAsia="Times New Roman" w:hAnsi="Arial"/>
                <w:color w:val="000000"/>
                <w:sz w:val="14"/>
                <w:szCs w:val="14"/>
              </w:rPr>
              <w:t xml:space="preserve">Behind on car registration, wof or insurance </w:t>
            </w:r>
          </w:p>
        </w:tc>
        <w:tc>
          <w:tcPr>
            <w:tcW w:w="851" w:type="dxa"/>
            <w:vAlign w:val="center"/>
          </w:tcPr>
          <w:p w14:paraId="21C197A5"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c>
          <w:tcPr>
            <w:tcW w:w="850" w:type="dxa"/>
            <w:vAlign w:val="center"/>
          </w:tcPr>
          <w:p w14:paraId="1AE35888" w14:textId="77777777" w:rsidR="00711FE4" w:rsidRPr="00711FE4" w:rsidRDefault="00711FE4" w:rsidP="00711FE4">
            <w:pPr>
              <w:spacing w:before="40" w:after="40" w:line="240" w:lineRule="auto"/>
              <w:ind w:left="20"/>
              <w:jc w:val="center"/>
              <w:rPr>
                <w:rFonts w:ascii="Arial" w:eastAsia="Times New Roman" w:hAnsi="Arial"/>
                <w:color w:val="000000"/>
                <w:sz w:val="14"/>
                <w:szCs w:val="14"/>
              </w:rPr>
            </w:pPr>
            <w:r w:rsidRPr="00711FE4">
              <w:rPr>
                <w:rFonts w:ascii="Arial" w:eastAsia="Times New Roman" w:hAnsi="Arial"/>
                <w:color w:val="000000"/>
                <w:sz w:val="14"/>
                <w:szCs w:val="14"/>
              </w:rPr>
              <w:sym w:font="Wingdings" w:char="F0FC"/>
            </w:r>
          </w:p>
        </w:tc>
      </w:tr>
    </w:tbl>
    <w:p w14:paraId="7AB75660" w14:textId="77777777" w:rsidR="00711FE4" w:rsidRPr="00711FE4" w:rsidRDefault="00711FE4" w:rsidP="00711FE4">
      <w:pPr>
        <w:spacing w:after="0" w:line="240" w:lineRule="auto"/>
        <w:rPr>
          <w:rFonts w:ascii="Arial" w:eastAsia="Times New Roman" w:hAnsi="Arial"/>
          <w:color w:val="000000"/>
          <w:szCs w:val="20"/>
          <w:lang w:eastAsia="en-NZ"/>
        </w:rPr>
      </w:pPr>
    </w:p>
    <w:p w14:paraId="66799948" w14:textId="77777777" w:rsidR="00711FE4" w:rsidRPr="00711FE4" w:rsidRDefault="00711FE4" w:rsidP="00711FE4">
      <w:pPr>
        <w:spacing w:after="0" w:line="240" w:lineRule="auto"/>
        <w:rPr>
          <w:rFonts w:ascii="Arial" w:hAnsi="Arial"/>
          <w:color w:val="000000"/>
          <w:szCs w:val="20"/>
        </w:rPr>
      </w:pPr>
    </w:p>
    <w:p w14:paraId="61FA5B76" w14:textId="77777777" w:rsidR="00711FE4" w:rsidRPr="00711FE4" w:rsidRDefault="00711FE4" w:rsidP="00711FE4">
      <w:pPr>
        <w:spacing w:after="0" w:line="240" w:lineRule="auto"/>
        <w:rPr>
          <w:rFonts w:ascii="Arial" w:hAnsi="Arial"/>
          <w:b/>
          <w:sz w:val="28"/>
        </w:rPr>
      </w:pPr>
      <w:r w:rsidRPr="00711FE4">
        <w:rPr>
          <w:rFonts w:ascii="Arial" w:hAnsi="Arial"/>
          <w:b/>
          <w:sz w:val="28"/>
        </w:rPr>
        <w:br w:type="page"/>
      </w:r>
    </w:p>
    <w:p w14:paraId="5C93A4D1" w14:textId="0D51E65E" w:rsidR="00711FE4" w:rsidRPr="00711FE4" w:rsidRDefault="00711FE4" w:rsidP="00711FE4">
      <w:pPr>
        <w:spacing w:after="0" w:line="240" w:lineRule="auto"/>
        <w:jc w:val="center"/>
        <w:rPr>
          <w:rFonts w:ascii="Arial" w:hAnsi="Arial"/>
          <w:b/>
          <w:color w:val="FF0000"/>
          <w:sz w:val="18"/>
          <w:szCs w:val="18"/>
        </w:rPr>
      </w:pPr>
      <w:r w:rsidRPr="00711FE4">
        <w:rPr>
          <w:rFonts w:ascii="Arial" w:hAnsi="Arial"/>
          <w:b/>
          <w:color w:val="000000"/>
          <w:sz w:val="18"/>
          <w:szCs w:val="18"/>
        </w:rPr>
        <w:lastRenderedPageBreak/>
        <w:t>Table 3.4</w:t>
      </w:r>
    </w:p>
    <w:p w14:paraId="2726D5CC" w14:textId="77777777" w:rsidR="00711FE4" w:rsidRPr="00711FE4" w:rsidRDefault="00711FE4" w:rsidP="00711FE4">
      <w:pPr>
        <w:spacing w:line="240" w:lineRule="auto"/>
        <w:jc w:val="center"/>
        <w:rPr>
          <w:rFonts w:ascii="Arial" w:hAnsi="Arial"/>
          <w:b/>
          <w:color w:val="000000" w:themeColor="text1"/>
          <w:sz w:val="18"/>
          <w:szCs w:val="18"/>
        </w:rPr>
      </w:pPr>
      <w:r w:rsidRPr="00711FE4">
        <w:rPr>
          <w:rFonts w:ascii="Arial" w:hAnsi="Arial"/>
          <w:b/>
          <w:color w:val="000000" w:themeColor="text1"/>
          <w:sz w:val="18"/>
          <w:szCs w:val="18"/>
        </w:rPr>
        <w:t>The 20 child-specific items in the HES from 2018-19 to 2023-24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tblGrid>
      <w:tr w:rsidR="00711FE4" w:rsidRPr="00711FE4" w14:paraId="3AEE6D9F" w14:textId="77777777" w:rsidTr="00366F04">
        <w:trPr>
          <w:jc w:val="center"/>
        </w:trPr>
        <w:tc>
          <w:tcPr>
            <w:tcW w:w="6799" w:type="dxa"/>
            <w:vAlign w:val="center"/>
          </w:tcPr>
          <w:p w14:paraId="17E4ADDB" w14:textId="77777777" w:rsidR="00711FE4" w:rsidRPr="00711FE4" w:rsidRDefault="00711FE4" w:rsidP="00711FE4">
            <w:pPr>
              <w:spacing w:before="120" w:after="40" w:line="240" w:lineRule="auto"/>
              <w:ind w:left="34"/>
              <w:rPr>
                <w:rFonts w:ascii="Arial" w:eastAsia="Times New Roman" w:hAnsi="Arial"/>
                <w:b/>
                <w:bCs/>
                <w:color w:val="000000" w:themeColor="text1"/>
                <w:sz w:val="14"/>
                <w:szCs w:val="14"/>
              </w:rPr>
            </w:pPr>
            <w:r w:rsidRPr="00711FE4">
              <w:rPr>
                <w:rFonts w:ascii="Arial" w:eastAsia="Times New Roman" w:hAnsi="Arial"/>
                <w:b/>
                <w:bCs/>
                <w:color w:val="000000" w:themeColor="text1"/>
                <w:sz w:val="14"/>
                <w:szCs w:val="14"/>
              </w:rPr>
              <w:t>Have/do, don’t have/do for each of your children (</w:t>
            </w:r>
            <w:r w:rsidRPr="00711FE4">
              <w:rPr>
                <w:rFonts w:ascii="Arial" w:hAnsi="Arial"/>
                <w:color w:val="000000" w:themeColor="text1"/>
                <w:sz w:val="14"/>
                <w:szCs w:val="14"/>
              </w:rPr>
              <w:t>Respondents are asked whether any have/do lacks are because of cost or for some other reason.)</w:t>
            </w:r>
          </w:p>
        </w:tc>
      </w:tr>
      <w:tr w:rsidR="00711FE4" w:rsidRPr="00711FE4" w14:paraId="05561034" w14:textId="77777777" w:rsidTr="00366F04">
        <w:trPr>
          <w:jc w:val="center"/>
        </w:trPr>
        <w:tc>
          <w:tcPr>
            <w:tcW w:w="6799" w:type="dxa"/>
          </w:tcPr>
          <w:p w14:paraId="67F0360A" w14:textId="77777777" w:rsidR="00711FE4" w:rsidRPr="00711FE4" w:rsidRDefault="00711FE4" w:rsidP="00711FE4">
            <w:pPr>
              <w:spacing w:before="40" w:after="40" w:line="240" w:lineRule="auto"/>
              <w:ind w:left="174"/>
              <w:rPr>
                <w:rFonts w:ascii="Arial" w:hAnsi="Arial"/>
                <w:color w:val="000000" w:themeColor="text1"/>
                <w:sz w:val="14"/>
                <w:szCs w:val="14"/>
              </w:rPr>
            </w:pPr>
            <w:bookmarkStart w:id="28" w:name="_Hlk107809108"/>
            <w:r w:rsidRPr="00711FE4">
              <w:rPr>
                <w:rFonts w:ascii="Arial" w:eastAsia="Times New Roman" w:hAnsi="Arial"/>
                <w:color w:val="000000" w:themeColor="text1"/>
                <w:sz w:val="14"/>
                <w:szCs w:val="14"/>
                <w:lang w:eastAsia="en-NZ"/>
              </w:rPr>
              <w:t>two pairs of shoes in a good condition that are suitable for daily activities</w:t>
            </w:r>
            <w:bookmarkEnd w:id="28"/>
          </w:p>
        </w:tc>
      </w:tr>
      <w:tr w:rsidR="00711FE4" w:rsidRPr="00711FE4" w14:paraId="2513AFCC" w14:textId="77777777" w:rsidTr="00366F04">
        <w:trPr>
          <w:jc w:val="center"/>
        </w:trPr>
        <w:tc>
          <w:tcPr>
            <w:tcW w:w="6799" w:type="dxa"/>
          </w:tcPr>
          <w:p w14:paraId="51B843F3" w14:textId="77777777" w:rsidR="00711FE4" w:rsidRPr="00711FE4" w:rsidRDefault="00711FE4" w:rsidP="00711FE4">
            <w:pPr>
              <w:spacing w:before="40" w:after="40" w:line="240" w:lineRule="auto"/>
              <w:ind w:left="174"/>
              <w:rPr>
                <w:rFonts w:ascii="Arial" w:hAnsi="Arial"/>
                <w:color w:val="000000" w:themeColor="text1"/>
                <w:sz w:val="14"/>
                <w:szCs w:val="14"/>
              </w:rPr>
            </w:pPr>
            <w:r w:rsidRPr="00711FE4">
              <w:rPr>
                <w:rFonts w:ascii="Arial" w:eastAsia="Times New Roman" w:hAnsi="Arial"/>
                <w:color w:val="000000" w:themeColor="text1"/>
                <w:sz w:val="14"/>
                <w:szCs w:val="14"/>
                <w:lang w:eastAsia="en-NZ"/>
              </w:rPr>
              <w:t>two sets of warm winter clothes</w:t>
            </w:r>
          </w:p>
        </w:tc>
      </w:tr>
      <w:tr w:rsidR="00711FE4" w:rsidRPr="00711FE4" w14:paraId="210AA741" w14:textId="77777777" w:rsidTr="00366F04">
        <w:trPr>
          <w:jc w:val="center"/>
        </w:trPr>
        <w:tc>
          <w:tcPr>
            <w:tcW w:w="6799" w:type="dxa"/>
          </w:tcPr>
          <w:p w14:paraId="7F4BFBDF" w14:textId="77777777" w:rsidR="00711FE4" w:rsidRPr="00711FE4" w:rsidRDefault="00711FE4" w:rsidP="00711FE4">
            <w:pPr>
              <w:spacing w:before="40" w:after="40" w:line="240" w:lineRule="auto"/>
              <w:ind w:left="174"/>
              <w:rPr>
                <w:rFonts w:ascii="Arial" w:hAnsi="Arial"/>
                <w:color w:val="000000" w:themeColor="text1"/>
                <w:sz w:val="14"/>
                <w:szCs w:val="14"/>
              </w:rPr>
            </w:pPr>
            <w:r w:rsidRPr="00711FE4">
              <w:rPr>
                <w:rFonts w:ascii="Arial" w:eastAsia="Times New Roman" w:hAnsi="Arial"/>
                <w:color w:val="000000" w:themeColor="text1"/>
                <w:sz w:val="14"/>
                <w:szCs w:val="14"/>
                <w:lang w:eastAsia="en-NZ"/>
              </w:rPr>
              <w:t>waterproof coat</w:t>
            </w:r>
          </w:p>
        </w:tc>
      </w:tr>
      <w:tr w:rsidR="00711FE4" w:rsidRPr="00711FE4" w14:paraId="30EA15E8" w14:textId="77777777" w:rsidTr="00366F04">
        <w:trPr>
          <w:jc w:val="center"/>
        </w:trPr>
        <w:tc>
          <w:tcPr>
            <w:tcW w:w="6799" w:type="dxa"/>
          </w:tcPr>
          <w:p w14:paraId="30BF2B3A"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all the uniform required by their schools</w:t>
            </w:r>
          </w:p>
        </w:tc>
      </w:tr>
      <w:tr w:rsidR="00711FE4" w:rsidRPr="00711FE4" w14:paraId="6D070901" w14:textId="77777777" w:rsidTr="00366F04">
        <w:trPr>
          <w:jc w:val="center"/>
        </w:trPr>
        <w:tc>
          <w:tcPr>
            <w:tcW w:w="6799" w:type="dxa"/>
          </w:tcPr>
          <w:p w14:paraId="1F5723D9" w14:textId="77777777" w:rsidR="00711FE4" w:rsidRPr="00711FE4" w:rsidRDefault="00711FE4" w:rsidP="00711FE4">
            <w:pPr>
              <w:spacing w:before="40" w:after="40" w:line="240" w:lineRule="auto"/>
              <w:ind w:left="176"/>
              <w:rPr>
                <w:rFonts w:ascii="Arial" w:hAnsi="Arial"/>
                <w:color w:val="000000" w:themeColor="text1"/>
                <w:sz w:val="14"/>
                <w:szCs w:val="14"/>
              </w:rPr>
            </w:pPr>
            <w:r w:rsidRPr="00711FE4">
              <w:rPr>
                <w:rFonts w:ascii="Arial" w:eastAsia="Times New Roman" w:hAnsi="Arial"/>
                <w:color w:val="000000" w:themeColor="text1"/>
                <w:sz w:val="14"/>
                <w:szCs w:val="14"/>
                <w:lang w:eastAsia="en-NZ"/>
              </w:rPr>
              <w:t>a separate bed</w:t>
            </w:r>
          </w:p>
        </w:tc>
      </w:tr>
      <w:tr w:rsidR="00711FE4" w:rsidRPr="00711FE4" w14:paraId="663CA579" w14:textId="77777777" w:rsidTr="00366F04">
        <w:trPr>
          <w:jc w:val="center"/>
        </w:trPr>
        <w:tc>
          <w:tcPr>
            <w:tcW w:w="6799" w:type="dxa"/>
          </w:tcPr>
          <w:p w14:paraId="41F16F03" w14:textId="77777777" w:rsidR="00711FE4" w:rsidRPr="00711FE4" w:rsidRDefault="00711FE4" w:rsidP="00711FE4">
            <w:pPr>
              <w:spacing w:before="40" w:after="40" w:line="240" w:lineRule="auto"/>
              <w:ind w:left="176"/>
              <w:rPr>
                <w:rFonts w:ascii="Arial" w:hAnsi="Arial"/>
                <w:color w:val="000000" w:themeColor="text1"/>
                <w:sz w:val="14"/>
                <w:szCs w:val="14"/>
              </w:rPr>
            </w:pPr>
            <w:r w:rsidRPr="00711FE4">
              <w:rPr>
                <w:rFonts w:ascii="Arial" w:eastAsia="Times New Roman" w:hAnsi="Arial"/>
                <w:color w:val="000000" w:themeColor="text1"/>
                <w:sz w:val="14"/>
                <w:szCs w:val="14"/>
              </w:rPr>
              <w:t>fresh fruit and vegetables daily</w:t>
            </w:r>
          </w:p>
        </w:tc>
      </w:tr>
      <w:tr w:rsidR="00711FE4" w:rsidRPr="00711FE4" w14:paraId="366D70A7" w14:textId="77777777" w:rsidTr="00366F04">
        <w:trPr>
          <w:jc w:val="center"/>
        </w:trPr>
        <w:tc>
          <w:tcPr>
            <w:tcW w:w="6799" w:type="dxa"/>
          </w:tcPr>
          <w:p w14:paraId="3FA4F590" w14:textId="77777777" w:rsidR="00711FE4" w:rsidRPr="00711FE4" w:rsidRDefault="00711FE4" w:rsidP="00711FE4">
            <w:pPr>
              <w:spacing w:before="40" w:after="40" w:line="240" w:lineRule="auto"/>
              <w:ind w:left="176"/>
              <w:rPr>
                <w:rFonts w:ascii="Arial" w:hAnsi="Arial"/>
                <w:color w:val="000000" w:themeColor="text1"/>
                <w:sz w:val="14"/>
                <w:szCs w:val="14"/>
              </w:rPr>
            </w:pPr>
            <w:r w:rsidRPr="00711FE4">
              <w:rPr>
                <w:rFonts w:ascii="Arial" w:eastAsia="Times New Roman" w:hAnsi="Arial"/>
                <w:color w:val="000000" w:themeColor="text1"/>
                <w:sz w:val="14"/>
                <w:szCs w:val="14"/>
              </w:rPr>
              <w:t>a meal with meat, fish or chicken (or vegetarian equivalent) each day</w:t>
            </w:r>
          </w:p>
        </w:tc>
      </w:tr>
      <w:tr w:rsidR="00711FE4" w:rsidRPr="00711FE4" w14:paraId="2B69E34F" w14:textId="77777777" w:rsidTr="00366F04">
        <w:trPr>
          <w:jc w:val="center"/>
        </w:trPr>
        <w:tc>
          <w:tcPr>
            <w:tcW w:w="6799" w:type="dxa"/>
          </w:tcPr>
          <w:p w14:paraId="1F877A41" w14:textId="77777777" w:rsidR="00711FE4" w:rsidRPr="00711FE4" w:rsidRDefault="00711FE4" w:rsidP="00711FE4">
            <w:pPr>
              <w:spacing w:before="40" w:after="40" w:line="240" w:lineRule="auto"/>
              <w:ind w:left="176"/>
              <w:rPr>
                <w:rFonts w:ascii="Arial" w:eastAsia="Times New Roman" w:hAnsi="Arial"/>
                <w:color w:val="000000" w:themeColor="text1"/>
                <w:sz w:val="14"/>
                <w:szCs w:val="14"/>
              </w:rPr>
            </w:pPr>
            <w:r w:rsidRPr="00711FE4">
              <w:rPr>
                <w:rFonts w:ascii="Arial" w:eastAsia="Times New Roman" w:hAnsi="Arial"/>
                <w:color w:val="000000" w:themeColor="text1"/>
                <w:sz w:val="14"/>
                <w:szCs w:val="14"/>
              </w:rPr>
              <w:t>a range of books at home suitable for their ages</w:t>
            </w:r>
          </w:p>
        </w:tc>
      </w:tr>
      <w:tr w:rsidR="00711FE4" w:rsidRPr="00711FE4" w14:paraId="3C5591EB" w14:textId="77777777" w:rsidTr="00366F04">
        <w:trPr>
          <w:jc w:val="center"/>
        </w:trPr>
        <w:tc>
          <w:tcPr>
            <w:tcW w:w="6799" w:type="dxa"/>
          </w:tcPr>
          <w:p w14:paraId="1842236C" w14:textId="77777777" w:rsidR="00711FE4" w:rsidRPr="00711FE4" w:rsidRDefault="00711FE4" w:rsidP="00711FE4">
            <w:pPr>
              <w:spacing w:before="40" w:after="40" w:line="240" w:lineRule="auto"/>
              <w:ind w:left="176"/>
              <w:rPr>
                <w:rFonts w:ascii="Arial" w:eastAsia="Times New Roman" w:hAnsi="Arial"/>
                <w:color w:val="000000" w:themeColor="text1"/>
                <w:sz w:val="14"/>
                <w:szCs w:val="14"/>
              </w:rPr>
            </w:pPr>
            <w:r w:rsidRPr="00711FE4">
              <w:rPr>
                <w:rFonts w:ascii="Arial" w:eastAsia="Times New Roman" w:hAnsi="Arial"/>
                <w:color w:val="000000" w:themeColor="text1"/>
                <w:sz w:val="14"/>
                <w:szCs w:val="14"/>
              </w:rPr>
              <w:t>a suitable place at home to do school homework</w:t>
            </w:r>
          </w:p>
        </w:tc>
      </w:tr>
      <w:tr w:rsidR="00711FE4" w:rsidRPr="00711FE4" w14:paraId="57B49624" w14:textId="77777777" w:rsidTr="00366F04">
        <w:trPr>
          <w:jc w:val="center"/>
        </w:trPr>
        <w:tc>
          <w:tcPr>
            <w:tcW w:w="6799" w:type="dxa"/>
          </w:tcPr>
          <w:p w14:paraId="39CBBA3D"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rPr>
            </w:pPr>
            <w:r w:rsidRPr="00711FE4">
              <w:rPr>
                <w:rFonts w:ascii="Arial" w:eastAsia="Times New Roman" w:hAnsi="Arial"/>
                <w:color w:val="000000" w:themeColor="text1"/>
                <w:sz w:val="14"/>
                <w:szCs w:val="14"/>
              </w:rPr>
              <w:t>their friends around to play and eat from time to time</w:t>
            </w:r>
          </w:p>
        </w:tc>
      </w:tr>
      <w:tr w:rsidR="00711FE4" w:rsidRPr="00711FE4" w14:paraId="437787E9" w14:textId="77777777" w:rsidTr="00366F04">
        <w:trPr>
          <w:jc w:val="center"/>
        </w:trPr>
        <w:tc>
          <w:tcPr>
            <w:tcW w:w="6799" w:type="dxa"/>
          </w:tcPr>
          <w:p w14:paraId="45F0D711"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rPr>
            </w:pPr>
            <w:r w:rsidRPr="00711FE4">
              <w:rPr>
                <w:rFonts w:ascii="Arial" w:eastAsia="Times New Roman" w:hAnsi="Arial"/>
                <w:color w:val="000000" w:themeColor="text1"/>
                <w:sz w:val="14"/>
                <w:szCs w:val="14"/>
              </w:rPr>
              <w:t>their friends around for a birthday party</w:t>
            </w:r>
          </w:p>
        </w:tc>
      </w:tr>
      <w:tr w:rsidR="00711FE4" w:rsidRPr="00711FE4" w14:paraId="0032DAF6" w14:textId="77777777" w:rsidTr="00366F04">
        <w:trPr>
          <w:jc w:val="center"/>
        </w:trPr>
        <w:tc>
          <w:tcPr>
            <w:tcW w:w="6799" w:type="dxa"/>
          </w:tcPr>
          <w:p w14:paraId="5BA5BC3A" w14:textId="77777777" w:rsidR="00711FE4" w:rsidRPr="00711FE4" w:rsidRDefault="00711FE4" w:rsidP="00711FE4">
            <w:pPr>
              <w:spacing w:before="40" w:after="40" w:line="240" w:lineRule="auto"/>
              <w:ind w:left="174"/>
              <w:rPr>
                <w:rFonts w:ascii="Arial" w:hAnsi="Arial"/>
                <w:color w:val="000000" w:themeColor="text1"/>
                <w:sz w:val="14"/>
                <w:szCs w:val="14"/>
              </w:rPr>
            </w:pPr>
            <w:r w:rsidRPr="00711FE4">
              <w:rPr>
                <w:rFonts w:ascii="Arial" w:eastAsia="Times New Roman" w:hAnsi="Arial"/>
                <w:color w:val="000000" w:themeColor="text1"/>
                <w:sz w:val="14"/>
                <w:szCs w:val="14"/>
              </w:rPr>
              <w:t>good access at home to a computer and the internet for homework</w:t>
            </w:r>
          </w:p>
        </w:tc>
      </w:tr>
      <w:tr w:rsidR="00711FE4" w:rsidRPr="00711FE4" w14:paraId="2E1AA4EA" w14:textId="77777777" w:rsidTr="00366F04">
        <w:trPr>
          <w:jc w:val="center"/>
        </w:trPr>
        <w:tc>
          <w:tcPr>
            <w:tcW w:w="6799" w:type="dxa"/>
          </w:tcPr>
          <w:p w14:paraId="3A06B355"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rPr>
              <w:t>a mobile phone if aged 11 or older</w:t>
            </w:r>
          </w:p>
        </w:tc>
      </w:tr>
      <w:tr w:rsidR="00711FE4" w:rsidRPr="00711FE4" w14:paraId="5002D704" w14:textId="77777777" w:rsidTr="00366F04">
        <w:trPr>
          <w:jc w:val="center"/>
        </w:trPr>
        <w:tc>
          <w:tcPr>
            <w:tcW w:w="6799" w:type="dxa"/>
          </w:tcPr>
          <w:p w14:paraId="4F356F7C" w14:textId="77777777" w:rsidR="00711FE4" w:rsidRPr="00711FE4" w:rsidRDefault="00711FE4" w:rsidP="00711FE4">
            <w:pPr>
              <w:spacing w:before="120" w:after="40" w:line="240" w:lineRule="auto"/>
              <w:ind w:hanging="108"/>
              <w:rPr>
                <w:rFonts w:ascii="Arial" w:eastAsia="Times New Roman" w:hAnsi="Arial"/>
                <w:color w:val="000000" w:themeColor="text1"/>
                <w:sz w:val="14"/>
                <w:szCs w:val="14"/>
              </w:rPr>
            </w:pPr>
            <w:r w:rsidRPr="00711FE4">
              <w:rPr>
                <w:rFonts w:ascii="Arial" w:eastAsia="Times New Roman" w:hAnsi="Arial"/>
                <w:b/>
                <w:color w:val="000000" w:themeColor="text1"/>
                <w:sz w:val="14"/>
                <w:szCs w:val="14"/>
              </w:rPr>
              <w:t xml:space="preserve">  Economising </w:t>
            </w:r>
            <w:r w:rsidRPr="00711FE4">
              <w:rPr>
                <w:rFonts w:ascii="Arial" w:eastAsia="Times New Roman" w:hAnsi="Arial"/>
                <w:color w:val="000000" w:themeColor="text1"/>
                <w:sz w:val="14"/>
                <w:szCs w:val="14"/>
              </w:rPr>
              <w:t>(not at all, a little, a lot) – to keep down costs to help in paying for (other) basic items (not just to be thrifty or to save for a trip or other non-essential). In this report, economising ‘a lot’ is taken as equivalent to an enforced lack.</w:t>
            </w:r>
          </w:p>
        </w:tc>
      </w:tr>
      <w:tr w:rsidR="00711FE4" w:rsidRPr="00711FE4" w14:paraId="42110446" w14:textId="77777777" w:rsidTr="00366F04">
        <w:trPr>
          <w:jc w:val="center"/>
        </w:trPr>
        <w:tc>
          <w:tcPr>
            <w:tcW w:w="6799" w:type="dxa"/>
          </w:tcPr>
          <w:p w14:paraId="17FF8EAB"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postponed a child's visit to the doctor</w:t>
            </w:r>
          </w:p>
        </w:tc>
      </w:tr>
      <w:tr w:rsidR="00711FE4" w:rsidRPr="00711FE4" w14:paraId="51A42C14" w14:textId="77777777" w:rsidTr="00366F04">
        <w:trPr>
          <w:jc w:val="center"/>
        </w:trPr>
        <w:tc>
          <w:tcPr>
            <w:tcW w:w="6799" w:type="dxa"/>
          </w:tcPr>
          <w:p w14:paraId="21DDB637"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postponed a child's visit to the dentist</w:t>
            </w:r>
          </w:p>
        </w:tc>
      </w:tr>
      <w:tr w:rsidR="00711FE4" w:rsidRPr="00711FE4" w14:paraId="6D6B12F8" w14:textId="77777777" w:rsidTr="00366F04">
        <w:trPr>
          <w:jc w:val="center"/>
        </w:trPr>
        <w:tc>
          <w:tcPr>
            <w:tcW w:w="6799" w:type="dxa"/>
          </w:tcPr>
          <w:p w14:paraId="223BDBC7"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did not pick up a child's prescription</w:t>
            </w:r>
          </w:p>
        </w:tc>
      </w:tr>
      <w:tr w:rsidR="00711FE4" w:rsidRPr="00711FE4" w14:paraId="4E9E5F53" w14:textId="77777777" w:rsidTr="00366F04">
        <w:trPr>
          <w:trHeight w:val="295"/>
          <w:jc w:val="center"/>
        </w:trPr>
        <w:tc>
          <w:tcPr>
            <w:tcW w:w="6799" w:type="dxa"/>
          </w:tcPr>
          <w:p w14:paraId="3FC39E58"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been unable to pay for a child to go on a school trip or other school event</w:t>
            </w:r>
          </w:p>
        </w:tc>
      </w:tr>
      <w:tr w:rsidR="00711FE4" w:rsidRPr="00711FE4" w14:paraId="3AB42975" w14:textId="77777777" w:rsidTr="00366F04">
        <w:trPr>
          <w:jc w:val="center"/>
        </w:trPr>
        <w:tc>
          <w:tcPr>
            <w:tcW w:w="6799" w:type="dxa"/>
          </w:tcPr>
          <w:p w14:paraId="2CBBC653"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 xml:space="preserve">had to limit children’s involvement in sport </w:t>
            </w:r>
          </w:p>
        </w:tc>
      </w:tr>
      <w:tr w:rsidR="00711FE4" w:rsidRPr="00711FE4" w14:paraId="25D0CA84" w14:textId="77777777" w:rsidTr="00366F04">
        <w:trPr>
          <w:jc w:val="center"/>
        </w:trPr>
        <w:tc>
          <w:tcPr>
            <w:tcW w:w="6799" w:type="dxa"/>
          </w:tcPr>
          <w:p w14:paraId="2CA73609"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had your children go without music, dance, kapa haka, art, swimming or other special interest lessons</w:t>
            </w:r>
          </w:p>
        </w:tc>
      </w:tr>
      <w:tr w:rsidR="00711FE4" w:rsidRPr="00711FE4" w14:paraId="58DA017B" w14:textId="77777777" w:rsidTr="00366F04">
        <w:trPr>
          <w:jc w:val="center"/>
        </w:trPr>
        <w:tc>
          <w:tcPr>
            <w:tcW w:w="6799" w:type="dxa"/>
          </w:tcPr>
          <w:p w14:paraId="55F5FC39" w14:textId="77777777" w:rsidR="00711FE4" w:rsidRPr="00711FE4" w:rsidRDefault="00711FE4" w:rsidP="00711FE4">
            <w:pPr>
              <w:spacing w:before="40" w:after="40" w:line="240" w:lineRule="auto"/>
              <w:ind w:left="174"/>
              <w:rPr>
                <w:rFonts w:ascii="Arial" w:eastAsia="Times New Roman" w:hAnsi="Arial"/>
                <w:color w:val="000000" w:themeColor="text1"/>
                <w:sz w:val="14"/>
                <w:szCs w:val="14"/>
                <w:lang w:eastAsia="en-NZ"/>
              </w:rPr>
            </w:pPr>
            <w:r w:rsidRPr="00711FE4">
              <w:rPr>
                <w:rFonts w:ascii="Arial" w:eastAsia="Times New Roman" w:hAnsi="Arial"/>
                <w:color w:val="000000" w:themeColor="text1"/>
                <w:sz w:val="14"/>
                <w:szCs w:val="14"/>
                <w:lang w:eastAsia="en-NZ"/>
              </w:rPr>
              <w:t>had your children continue wearing shoes or clothes that were worn out or the wrong size</w:t>
            </w:r>
          </w:p>
        </w:tc>
      </w:tr>
    </w:tbl>
    <w:p w14:paraId="3E779F4E" w14:textId="77777777" w:rsidR="00711FE4" w:rsidRPr="00711FE4" w:rsidRDefault="00711FE4" w:rsidP="00711FE4">
      <w:pPr>
        <w:spacing w:before="60" w:after="0" w:line="240" w:lineRule="auto"/>
        <w:ind w:left="1560" w:right="1229" w:hanging="426"/>
        <w:jc w:val="both"/>
        <w:rPr>
          <w:color w:val="000000" w:themeColor="text1"/>
          <w:sz w:val="18"/>
          <w:szCs w:val="18"/>
        </w:rPr>
      </w:pPr>
      <w:r w:rsidRPr="00711FE4">
        <w:rPr>
          <w:rFonts w:ascii="Arial" w:hAnsi="Arial"/>
          <w:color w:val="000000" w:themeColor="text1"/>
          <w:sz w:val="14"/>
          <w:szCs w:val="14"/>
        </w:rPr>
        <w:t>Notes for Table:</w:t>
      </w:r>
      <w:r w:rsidRPr="00711FE4">
        <w:rPr>
          <w:color w:val="000000" w:themeColor="text1"/>
          <w:sz w:val="18"/>
          <w:szCs w:val="18"/>
        </w:rPr>
        <w:tab/>
      </w:r>
    </w:p>
    <w:p w14:paraId="0E274217" w14:textId="77777777" w:rsidR="00711FE4" w:rsidRPr="00711FE4" w:rsidRDefault="00711FE4">
      <w:pPr>
        <w:numPr>
          <w:ilvl w:val="0"/>
          <w:numId w:val="114"/>
        </w:numPr>
        <w:spacing w:before="20" w:after="0" w:line="240" w:lineRule="auto"/>
        <w:ind w:left="1560" w:right="1230" w:hanging="210"/>
        <w:jc w:val="both"/>
        <w:rPr>
          <w:rFonts w:ascii="Arial" w:hAnsi="Arial"/>
          <w:color w:val="000000" w:themeColor="text1"/>
          <w:sz w:val="14"/>
          <w:szCs w:val="14"/>
        </w:rPr>
      </w:pPr>
      <w:r w:rsidRPr="00711FE4">
        <w:rPr>
          <w:rFonts w:ascii="Arial" w:hAnsi="Arial"/>
          <w:color w:val="000000" w:themeColor="text1"/>
          <w:sz w:val="14"/>
          <w:szCs w:val="14"/>
        </w:rPr>
        <w:t>None of these items are included in DEP-17 or EU-13 which are general purpose indices that are designed to apply to all ages and household types and so on.</w:t>
      </w:r>
    </w:p>
    <w:p w14:paraId="131F1C2A" w14:textId="77777777" w:rsidR="00711FE4" w:rsidRPr="00711FE4" w:rsidRDefault="00711FE4">
      <w:pPr>
        <w:numPr>
          <w:ilvl w:val="0"/>
          <w:numId w:val="114"/>
        </w:numPr>
        <w:spacing w:before="20" w:after="0" w:line="240" w:lineRule="auto"/>
        <w:ind w:left="1560" w:right="1230" w:hanging="210"/>
        <w:jc w:val="both"/>
        <w:rPr>
          <w:rFonts w:ascii="Arial" w:hAnsi="Arial"/>
          <w:color w:val="000000" w:themeColor="text1"/>
          <w:sz w:val="14"/>
          <w:szCs w:val="14"/>
        </w:rPr>
      </w:pPr>
      <w:r w:rsidRPr="00711FE4">
        <w:rPr>
          <w:rFonts w:ascii="Arial" w:hAnsi="Arial"/>
          <w:color w:val="000000" w:themeColor="text1"/>
          <w:sz w:val="14"/>
          <w:szCs w:val="14"/>
        </w:rPr>
        <w:t xml:space="preserve">See </w:t>
      </w:r>
      <w:r w:rsidRPr="00711FE4">
        <w:rPr>
          <w:rFonts w:ascii="Arial" w:hAnsi="Arial"/>
          <w:b/>
          <w:bCs/>
          <w:color w:val="000000" w:themeColor="text1"/>
          <w:sz w:val="14"/>
          <w:szCs w:val="14"/>
        </w:rPr>
        <w:t>Appendix 20</w:t>
      </w:r>
      <w:r w:rsidRPr="00711FE4">
        <w:rPr>
          <w:rFonts w:ascii="Arial" w:hAnsi="Arial"/>
          <w:color w:val="000000" w:themeColor="text1"/>
          <w:sz w:val="14"/>
          <w:szCs w:val="14"/>
        </w:rPr>
        <w:t xml:space="preserve"> (</w:t>
      </w:r>
      <w:r w:rsidRPr="00711FE4">
        <w:rPr>
          <w:rFonts w:ascii="Arial" w:hAnsi="Arial"/>
          <w:b/>
          <w:bCs/>
          <w:color w:val="000000" w:themeColor="text1"/>
          <w:sz w:val="14"/>
          <w:szCs w:val="14"/>
        </w:rPr>
        <w:t>Table 20.6</w:t>
      </w:r>
      <w:r w:rsidRPr="00711FE4">
        <w:rPr>
          <w:rFonts w:ascii="Arial" w:hAnsi="Arial"/>
          <w:color w:val="000000" w:themeColor="text1"/>
          <w:sz w:val="14"/>
          <w:szCs w:val="14"/>
        </w:rPr>
        <w:t>) for the HILS changes to the child-specific items.</w:t>
      </w:r>
    </w:p>
    <w:p w14:paraId="2B882664" w14:textId="77777777" w:rsidR="00711FE4" w:rsidRPr="00711FE4" w:rsidRDefault="00711FE4" w:rsidP="00711FE4">
      <w:pPr>
        <w:spacing w:after="0" w:line="240" w:lineRule="auto"/>
        <w:rPr>
          <w:rFonts w:ascii="Arial" w:hAnsi="Arial"/>
          <w:color w:val="000000" w:themeColor="text1"/>
          <w:szCs w:val="20"/>
        </w:rPr>
      </w:pPr>
      <w:r w:rsidRPr="00711FE4">
        <w:rPr>
          <w:rFonts w:ascii="Arial" w:hAnsi="Arial"/>
          <w:color w:val="000000" w:themeColor="text1"/>
          <w:szCs w:val="20"/>
        </w:rPr>
        <w:br w:type="page"/>
      </w:r>
    </w:p>
    <w:p w14:paraId="21358779" w14:textId="77777777" w:rsidR="00711FE4" w:rsidRPr="00711FE4" w:rsidRDefault="00711FE4" w:rsidP="00711FE4">
      <w:pPr>
        <w:spacing w:after="0" w:line="240" w:lineRule="auto"/>
        <w:rPr>
          <w:rFonts w:ascii="Arial" w:hAnsi="Arial"/>
          <w:b/>
          <w:sz w:val="28"/>
        </w:rPr>
      </w:pPr>
    </w:p>
    <w:p w14:paraId="1D9AE8D4" w14:textId="77777777" w:rsidR="00711FE4" w:rsidRPr="00711FE4" w:rsidRDefault="00711FE4" w:rsidP="00711FE4">
      <w:pPr>
        <w:spacing w:line="240" w:lineRule="auto"/>
        <w:rPr>
          <w:rFonts w:ascii="Arial" w:hAnsi="Arial"/>
          <w:bCs/>
          <w:color w:val="0000FF"/>
          <w:sz w:val="22"/>
        </w:rPr>
      </w:pPr>
      <w:r w:rsidRPr="00711FE4">
        <w:rPr>
          <w:rFonts w:ascii="Arial" w:hAnsi="Arial"/>
          <w:b/>
          <w:sz w:val="28"/>
        </w:rPr>
        <w:t xml:space="preserve">Appendix 4 </w:t>
      </w:r>
    </w:p>
    <w:p w14:paraId="5AE2C583" w14:textId="77777777" w:rsidR="00711FE4" w:rsidRPr="00711FE4" w:rsidRDefault="00711FE4" w:rsidP="00711FE4">
      <w:pPr>
        <w:spacing w:after="0" w:line="240" w:lineRule="auto"/>
        <w:rPr>
          <w:rFonts w:ascii="Arial" w:hAnsi="Arial"/>
          <w:b/>
          <w:sz w:val="24"/>
          <w:szCs w:val="24"/>
        </w:rPr>
      </w:pPr>
      <w:bookmarkStart w:id="29" w:name="_Hlk174620504"/>
      <w:r w:rsidRPr="00711FE4">
        <w:rPr>
          <w:rFonts w:ascii="Arial" w:hAnsi="Arial"/>
          <w:b/>
          <w:sz w:val="24"/>
          <w:szCs w:val="24"/>
        </w:rPr>
        <w:t>Trends showing the close similarity of material hardship assessments for children using three indices (DEP-17, EU-13 and MWI)</w:t>
      </w:r>
    </w:p>
    <w:p w14:paraId="48C00AC8" w14:textId="77777777" w:rsidR="00711FE4" w:rsidRPr="00711FE4" w:rsidRDefault="00711FE4" w:rsidP="00711FE4">
      <w:pPr>
        <w:spacing w:after="0" w:line="240" w:lineRule="auto"/>
        <w:rPr>
          <w:rFonts w:ascii="Arial" w:hAnsi="Arial"/>
          <w:bCs/>
          <w:szCs w:val="20"/>
        </w:rPr>
      </w:pPr>
    </w:p>
    <w:p w14:paraId="0A6A6C7B" w14:textId="77777777" w:rsidR="00711FE4" w:rsidRPr="00711FE4" w:rsidRDefault="00711FE4" w:rsidP="00711FE4">
      <w:pPr>
        <w:spacing w:after="0" w:line="240" w:lineRule="auto"/>
        <w:rPr>
          <w:rFonts w:ascii="Arial" w:hAnsi="Arial"/>
          <w:bCs/>
          <w:szCs w:val="20"/>
        </w:rPr>
      </w:pPr>
    </w:p>
    <w:p w14:paraId="2FD06BA6" w14:textId="77777777" w:rsidR="00711FE4" w:rsidRPr="00711FE4" w:rsidRDefault="00711FE4" w:rsidP="00711FE4">
      <w:pPr>
        <w:spacing w:after="0" w:line="240" w:lineRule="auto"/>
        <w:rPr>
          <w:rFonts w:ascii="Arial" w:hAnsi="Arial"/>
          <w:b/>
          <w:sz w:val="28"/>
        </w:rPr>
      </w:pPr>
    </w:p>
    <w:p w14:paraId="69BE8549" w14:textId="77777777" w:rsidR="00711FE4" w:rsidRPr="00711FE4" w:rsidRDefault="00711FE4" w:rsidP="00711FE4">
      <w:pPr>
        <w:spacing w:after="0" w:line="240" w:lineRule="auto"/>
        <w:jc w:val="center"/>
        <w:rPr>
          <w:rFonts w:ascii="Arial" w:hAnsi="Arial"/>
          <w:b/>
          <w:bCs/>
          <w:color w:val="FF0000"/>
          <w:sz w:val="18"/>
          <w:szCs w:val="20"/>
        </w:rPr>
      </w:pPr>
      <w:r w:rsidRPr="00711FE4">
        <w:rPr>
          <w:rFonts w:ascii="Arial" w:hAnsi="Arial"/>
          <w:b/>
          <w:bCs/>
          <w:color w:val="000000"/>
          <w:sz w:val="18"/>
          <w:szCs w:val="20"/>
        </w:rPr>
        <w:t>Figure 4.1</w:t>
      </w:r>
    </w:p>
    <w:p w14:paraId="4D0C3462"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t xml:space="preserve"> Comparison of trends in MH rates using MWI-24, MWI-26, DEP-17, MH-18 and EU-13, 2013 to 2025:</w:t>
      </w:r>
    </w:p>
    <w:p w14:paraId="68427EE6" w14:textId="77777777" w:rsidR="00711FE4" w:rsidRPr="00711FE4" w:rsidRDefault="00711FE4" w:rsidP="00711FE4">
      <w:pPr>
        <w:spacing w:after="0" w:line="240" w:lineRule="auto"/>
        <w:jc w:val="center"/>
        <w:rPr>
          <w:rFonts w:ascii="Arial" w:hAnsi="Arial"/>
          <w:b/>
          <w:bCs/>
          <w:color w:val="000000"/>
        </w:rPr>
      </w:pPr>
      <w:r w:rsidRPr="00711FE4">
        <w:rPr>
          <w:noProof/>
        </w:rPr>
        <w:drawing>
          <wp:anchor distT="0" distB="0" distL="114300" distR="114300" simplePos="0" relativeHeight="253184000" behindDoc="0" locked="0" layoutInCell="1" allowOverlap="1" wp14:anchorId="319DDAD4" wp14:editId="0FE0BF53">
            <wp:simplePos x="0" y="0"/>
            <wp:positionH relativeFrom="margin">
              <wp:align>center</wp:align>
            </wp:positionH>
            <wp:positionV relativeFrom="paragraph">
              <wp:posOffset>202565</wp:posOffset>
            </wp:positionV>
            <wp:extent cx="3616960" cy="2229243"/>
            <wp:effectExtent l="0" t="0" r="2540" b="0"/>
            <wp:wrapTopAndBottom/>
            <wp:docPr id="1123347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347061"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616960" cy="2229243"/>
                    </a:xfrm>
                    <a:prstGeom prst="rect">
                      <a:avLst/>
                    </a:prstGeom>
                  </pic:spPr>
                </pic:pic>
              </a:graphicData>
            </a:graphic>
            <wp14:sizeRelH relativeFrom="page">
              <wp14:pctWidth>0</wp14:pctWidth>
            </wp14:sizeRelH>
            <wp14:sizeRelV relativeFrom="page">
              <wp14:pctHeight>0</wp14:pctHeight>
            </wp14:sizeRelV>
          </wp:anchor>
        </w:drawing>
      </w:r>
      <w:r w:rsidRPr="00711FE4">
        <w:t xml:space="preserve"> </w:t>
      </w:r>
      <w:r w:rsidRPr="00711FE4">
        <w:rPr>
          <w:rFonts w:ascii="Arial" w:hAnsi="Arial"/>
          <w:b/>
          <w:bCs/>
          <w:color w:val="000000"/>
          <w:sz w:val="18"/>
          <w:szCs w:val="18"/>
        </w:rPr>
        <w:t>Children (0-17 yrs)</w:t>
      </w:r>
    </w:p>
    <w:bookmarkEnd w:id="29"/>
    <w:p w14:paraId="5A0B1B97" w14:textId="77777777" w:rsidR="00711FE4" w:rsidRPr="00711FE4" w:rsidRDefault="00711FE4" w:rsidP="00711FE4">
      <w:pPr>
        <w:spacing w:after="0" w:line="240" w:lineRule="auto"/>
        <w:rPr>
          <w:rFonts w:ascii="Arial" w:hAnsi="Arial"/>
          <w:b/>
          <w:sz w:val="28"/>
        </w:rPr>
      </w:pPr>
    </w:p>
    <w:p w14:paraId="772E481E" w14:textId="77777777" w:rsidR="00711FE4" w:rsidRPr="00711FE4" w:rsidRDefault="00711FE4" w:rsidP="00711FE4">
      <w:pPr>
        <w:spacing w:after="0" w:line="240" w:lineRule="auto"/>
        <w:rPr>
          <w:rFonts w:ascii="Arial" w:hAnsi="Arial"/>
          <w:b/>
          <w:sz w:val="28"/>
        </w:rPr>
      </w:pPr>
    </w:p>
    <w:p w14:paraId="4591A60D" w14:textId="77777777" w:rsidR="00711FE4" w:rsidRPr="00711FE4" w:rsidRDefault="00711FE4" w:rsidP="00711FE4">
      <w:pPr>
        <w:spacing w:after="0" w:line="240" w:lineRule="auto"/>
        <w:rPr>
          <w:rFonts w:ascii="Arial" w:hAnsi="Arial"/>
          <w:b/>
          <w:color w:val="000000" w:themeColor="text1"/>
          <w:sz w:val="28"/>
          <w:szCs w:val="28"/>
        </w:rPr>
      </w:pPr>
      <w:bookmarkStart w:id="30" w:name="_Hlk72557811"/>
      <w:r w:rsidRPr="00711FE4">
        <w:rPr>
          <w:rFonts w:ascii="Arial" w:hAnsi="Arial"/>
          <w:b/>
          <w:color w:val="000000" w:themeColor="text1"/>
          <w:sz w:val="28"/>
          <w:szCs w:val="28"/>
        </w:rPr>
        <w:br w:type="page"/>
      </w:r>
    </w:p>
    <w:p w14:paraId="7F9C2400" w14:textId="77777777" w:rsidR="00711FE4" w:rsidRPr="00711FE4" w:rsidRDefault="00711FE4" w:rsidP="00711FE4">
      <w:pPr>
        <w:spacing w:after="100" w:line="240" w:lineRule="auto"/>
        <w:rPr>
          <w:rFonts w:ascii="Arial" w:hAnsi="Arial"/>
          <w:b/>
          <w:color w:val="000000" w:themeColor="text1"/>
          <w:sz w:val="28"/>
          <w:szCs w:val="28"/>
        </w:rPr>
      </w:pPr>
      <w:r w:rsidRPr="00711FE4">
        <w:rPr>
          <w:rFonts w:ascii="Arial" w:hAnsi="Arial"/>
          <w:b/>
          <w:color w:val="000000" w:themeColor="text1"/>
          <w:sz w:val="28"/>
          <w:szCs w:val="28"/>
        </w:rPr>
        <w:lastRenderedPageBreak/>
        <w:t xml:space="preserve">Appendix 5 </w:t>
      </w:r>
    </w:p>
    <w:p w14:paraId="241E07B1" w14:textId="77777777" w:rsidR="00711FE4" w:rsidRPr="00711FE4" w:rsidRDefault="00711FE4" w:rsidP="00711FE4">
      <w:pPr>
        <w:spacing w:after="0" w:line="240" w:lineRule="auto"/>
        <w:rPr>
          <w:rFonts w:ascii="Arial" w:hAnsi="Arial"/>
          <w:b/>
          <w:color w:val="000000" w:themeColor="text1"/>
          <w:sz w:val="24"/>
          <w:szCs w:val="24"/>
        </w:rPr>
      </w:pPr>
      <w:r w:rsidRPr="00711FE4">
        <w:rPr>
          <w:rFonts w:ascii="Arial" w:hAnsi="Arial"/>
          <w:b/>
          <w:color w:val="000000" w:themeColor="text1"/>
          <w:sz w:val="24"/>
          <w:szCs w:val="24"/>
        </w:rPr>
        <w:t>Whole population version of Table D.5</w:t>
      </w:r>
    </w:p>
    <w:p w14:paraId="2F19D629" w14:textId="77777777" w:rsidR="00711FE4" w:rsidRPr="00711FE4" w:rsidRDefault="00711FE4" w:rsidP="00711FE4">
      <w:pPr>
        <w:spacing w:after="0" w:line="240" w:lineRule="auto"/>
        <w:jc w:val="center"/>
        <w:rPr>
          <w:rFonts w:ascii="Arial" w:hAnsi="Arial"/>
          <w:b/>
          <w:color w:val="000000" w:themeColor="text1"/>
          <w:sz w:val="14"/>
          <w:szCs w:val="14"/>
        </w:rPr>
      </w:pPr>
    </w:p>
    <w:p w14:paraId="0D39B9F7" w14:textId="773F2A11" w:rsidR="00711FE4" w:rsidRPr="00711FE4" w:rsidRDefault="00711FE4" w:rsidP="00711FE4">
      <w:pPr>
        <w:spacing w:after="0" w:line="240" w:lineRule="auto"/>
        <w:jc w:val="center"/>
        <w:rPr>
          <w:rFonts w:ascii="Arial" w:hAnsi="Arial"/>
          <w:b/>
          <w:color w:val="FF0000"/>
          <w:sz w:val="18"/>
          <w:szCs w:val="18"/>
        </w:rPr>
      </w:pPr>
      <w:r w:rsidRPr="00711FE4">
        <w:rPr>
          <w:rFonts w:ascii="Arial" w:hAnsi="Arial"/>
          <w:b/>
          <w:color w:val="000000" w:themeColor="text1"/>
          <w:sz w:val="18"/>
          <w:szCs w:val="18"/>
        </w:rPr>
        <w:t xml:space="preserve">Table 5.1 </w:t>
      </w:r>
    </w:p>
    <w:p w14:paraId="7A9FEEC0" w14:textId="77777777" w:rsidR="00711FE4" w:rsidRPr="00711FE4" w:rsidRDefault="00711FE4" w:rsidP="00711FE4">
      <w:pPr>
        <w:spacing w:after="0" w:line="240" w:lineRule="auto"/>
        <w:jc w:val="center"/>
        <w:rPr>
          <w:rFonts w:ascii="Arial" w:hAnsi="Arial"/>
          <w:b/>
          <w:color w:val="000000" w:themeColor="text1"/>
          <w:sz w:val="18"/>
          <w:szCs w:val="18"/>
        </w:rPr>
      </w:pPr>
      <w:r w:rsidRPr="00711FE4">
        <w:rPr>
          <w:rFonts w:ascii="Arial" w:hAnsi="Arial"/>
          <w:b/>
          <w:color w:val="000000" w:themeColor="text1"/>
          <w:sz w:val="18"/>
          <w:szCs w:val="18"/>
        </w:rPr>
        <w:t xml:space="preserve">Reported DEP-17 deprivations (%) for all in selected population group and those in MH and severe MH: </w:t>
      </w:r>
    </w:p>
    <w:p w14:paraId="64973A87" w14:textId="77777777" w:rsidR="00711FE4" w:rsidRPr="00711FE4" w:rsidRDefault="00711FE4" w:rsidP="00711FE4">
      <w:pPr>
        <w:spacing w:after="60" w:line="240" w:lineRule="auto"/>
        <w:jc w:val="center"/>
        <w:rPr>
          <w:rFonts w:ascii="Arial" w:hAnsi="Arial"/>
          <w:color w:val="000000" w:themeColor="text1"/>
          <w:szCs w:val="20"/>
        </w:rPr>
      </w:pPr>
      <w:r w:rsidRPr="00711FE4">
        <w:rPr>
          <w:rFonts w:ascii="Arial" w:hAnsi="Arial"/>
          <w:b/>
          <w:color w:val="000000" w:themeColor="text1"/>
          <w:sz w:val="18"/>
          <w:szCs w:val="18"/>
        </w:rPr>
        <w:t>Whole population, HES 2017-18 to 2023-24</w:t>
      </w:r>
    </w:p>
    <w:tbl>
      <w:tblPr>
        <w:tblW w:w="8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7"/>
        <w:gridCol w:w="1139"/>
        <w:gridCol w:w="533"/>
        <w:gridCol w:w="488"/>
        <w:gridCol w:w="488"/>
        <w:gridCol w:w="489"/>
        <w:gridCol w:w="494"/>
        <w:gridCol w:w="494"/>
        <w:gridCol w:w="489"/>
        <w:gridCol w:w="489"/>
        <w:gridCol w:w="489"/>
        <w:gridCol w:w="494"/>
        <w:gridCol w:w="494"/>
        <w:gridCol w:w="489"/>
        <w:gridCol w:w="489"/>
        <w:gridCol w:w="489"/>
        <w:gridCol w:w="489"/>
      </w:tblGrid>
      <w:tr w:rsidR="00711FE4" w:rsidRPr="00711FE4" w14:paraId="0F6A1384" w14:textId="77777777" w:rsidTr="00366F04">
        <w:trPr>
          <w:jc w:val="center"/>
        </w:trPr>
        <w:tc>
          <w:tcPr>
            <w:tcW w:w="1276" w:type="dxa"/>
            <w:gridSpan w:val="2"/>
            <w:vMerge w:val="restart"/>
            <w:tcBorders>
              <w:top w:val="single" w:sz="6" w:space="0" w:color="auto"/>
              <w:left w:val="single" w:sz="6" w:space="0" w:color="auto"/>
              <w:bottom w:val="single" w:sz="6" w:space="0" w:color="auto"/>
              <w:right w:val="single" w:sz="8" w:space="0" w:color="auto"/>
            </w:tcBorders>
            <w:tcMar>
              <w:left w:w="57" w:type="dxa"/>
              <w:right w:w="113" w:type="dxa"/>
            </w:tcMar>
            <w:vAlign w:val="center"/>
          </w:tcPr>
          <w:p w14:paraId="18AD33C6" w14:textId="77777777" w:rsidR="00711FE4" w:rsidRPr="00711FE4" w:rsidRDefault="00711FE4" w:rsidP="00711FE4">
            <w:pPr>
              <w:spacing w:before="30" w:after="30" w:line="240" w:lineRule="auto"/>
              <w:jc w:val="both"/>
              <w:rPr>
                <w:rFonts w:ascii="Arial" w:hAnsi="Arial"/>
                <w:b/>
                <w:color w:val="000000" w:themeColor="text1"/>
                <w:sz w:val="16"/>
                <w:szCs w:val="16"/>
              </w:rPr>
            </w:pPr>
          </w:p>
        </w:tc>
        <w:tc>
          <w:tcPr>
            <w:tcW w:w="7397" w:type="dxa"/>
            <w:gridSpan w:val="15"/>
            <w:tcBorders>
              <w:left w:val="single" w:sz="8" w:space="0" w:color="auto"/>
            </w:tcBorders>
            <w:vAlign w:val="center"/>
          </w:tcPr>
          <w:p w14:paraId="47A7E787" w14:textId="77777777" w:rsidR="00711FE4" w:rsidRPr="00711FE4" w:rsidRDefault="00711FE4" w:rsidP="00711FE4">
            <w:pPr>
              <w:spacing w:before="60" w:after="60" w:line="240" w:lineRule="auto"/>
              <w:jc w:val="center"/>
              <w:rPr>
                <w:rFonts w:ascii="Arial" w:hAnsi="Arial"/>
                <w:b/>
                <w:bCs/>
                <w:color w:val="000000" w:themeColor="text1"/>
                <w:sz w:val="14"/>
                <w:szCs w:val="14"/>
              </w:rPr>
            </w:pPr>
            <w:r w:rsidRPr="00711FE4">
              <w:rPr>
                <w:rFonts w:ascii="Arial" w:hAnsi="Arial"/>
                <w:b/>
                <w:bCs/>
                <w:color w:val="000000" w:themeColor="text1"/>
                <w:sz w:val="14"/>
                <w:szCs w:val="14"/>
              </w:rPr>
              <w:t>Deprivation rate for item for whole population, and for those in HHs in hardship or severe hardship (%)</w:t>
            </w:r>
          </w:p>
        </w:tc>
      </w:tr>
      <w:tr w:rsidR="00711FE4" w:rsidRPr="00711FE4" w14:paraId="4EF2B49C" w14:textId="77777777" w:rsidTr="00366F04">
        <w:trPr>
          <w:jc w:val="center"/>
        </w:trPr>
        <w:tc>
          <w:tcPr>
            <w:tcW w:w="1276" w:type="dxa"/>
            <w:gridSpan w:val="2"/>
            <w:vMerge/>
            <w:tcBorders>
              <w:top w:val="single" w:sz="6" w:space="0" w:color="auto"/>
              <w:left w:val="single" w:sz="6" w:space="0" w:color="auto"/>
              <w:bottom w:val="single" w:sz="6" w:space="0" w:color="auto"/>
              <w:right w:val="single" w:sz="8" w:space="0" w:color="auto"/>
            </w:tcBorders>
            <w:tcMar>
              <w:left w:w="57" w:type="dxa"/>
              <w:right w:w="113" w:type="dxa"/>
            </w:tcMar>
            <w:vAlign w:val="center"/>
          </w:tcPr>
          <w:p w14:paraId="737B70E3" w14:textId="77777777" w:rsidR="00711FE4" w:rsidRPr="00711FE4" w:rsidRDefault="00711FE4" w:rsidP="00711FE4">
            <w:pPr>
              <w:spacing w:before="30" w:after="30" w:line="240" w:lineRule="auto"/>
              <w:jc w:val="both"/>
              <w:rPr>
                <w:rFonts w:ascii="Arial" w:hAnsi="Arial"/>
                <w:b/>
                <w:color w:val="000000" w:themeColor="text1"/>
                <w:sz w:val="18"/>
                <w:szCs w:val="16"/>
              </w:rPr>
            </w:pPr>
          </w:p>
        </w:tc>
        <w:tc>
          <w:tcPr>
            <w:tcW w:w="2492" w:type="dxa"/>
            <w:gridSpan w:val="5"/>
            <w:tcBorders>
              <w:left w:val="single" w:sz="8" w:space="0" w:color="auto"/>
              <w:right w:val="single" w:sz="8" w:space="0" w:color="auto"/>
            </w:tcBorders>
          </w:tcPr>
          <w:p w14:paraId="61A6AEAC"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All</w:t>
            </w:r>
          </w:p>
        </w:tc>
        <w:tc>
          <w:tcPr>
            <w:tcW w:w="2455" w:type="dxa"/>
            <w:gridSpan w:val="5"/>
            <w:tcBorders>
              <w:left w:val="single" w:sz="8" w:space="0" w:color="auto"/>
              <w:right w:val="single" w:sz="8" w:space="0" w:color="auto"/>
            </w:tcBorders>
            <w:vAlign w:val="center"/>
          </w:tcPr>
          <w:p w14:paraId="5287E037"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6+/17</w:t>
            </w:r>
          </w:p>
        </w:tc>
        <w:tc>
          <w:tcPr>
            <w:tcW w:w="2450" w:type="dxa"/>
            <w:gridSpan w:val="5"/>
            <w:tcBorders>
              <w:left w:val="single" w:sz="8" w:space="0" w:color="auto"/>
            </w:tcBorders>
            <w:vAlign w:val="center"/>
          </w:tcPr>
          <w:p w14:paraId="41B16EC1"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9+/17</w:t>
            </w:r>
          </w:p>
        </w:tc>
      </w:tr>
      <w:tr w:rsidR="00711FE4" w:rsidRPr="00711FE4" w14:paraId="0D9C0185" w14:textId="77777777" w:rsidTr="00366F04">
        <w:trPr>
          <w:trHeight w:val="170"/>
          <w:jc w:val="center"/>
        </w:trPr>
        <w:tc>
          <w:tcPr>
            <w:tcW w:w="1276" w:type="dxa"/>
            <w:gridSpan w:val="2"/>
            <w:tcBorders>
              <w:top w:val="single" w:sz="6" w:space="0" w:color="auto"/>
              <w:left w:val="single" w:sz="6" w:space="0" w:color="auto"/>
              <w:bottom w:val="single" w:sz="6" w:space="0" w:color="auto"/>
              <w:right w:val="single" w:sz="8" w:space="0" w:color="auto"/>
            </w:tcBorders>
            <w:tcMar>
              <w:left w:w="57" w:type="dxa"/>
              <w:right w:w="113" w:type="dxa"/>
            </w:tcMar>
            <w:vAlign w:val="center"/>
          </w:tcPr>
          <w:p w14:paraId="50079DFC" w14:textId="77777777" w:rsidR="00711FE4" w:rsidRPr="00711FE4" w:rsidRDefault="00711FE4" w:rsidP="00711FE4">
            <w:pPr>
              <w:spacing w:before="30" w:after="30" w:line="240" w:lineRule="auto"/>
              <w:ind w:right="-106"/>
              <w:jc w:val="both"/>
              <w:rPr>
                <w:rFonts w:ascii="Arial" w:hAnsi="Arial"/>
                <w:b/>
                <w:color w:val="000000" w:themeColor="text1"/>
                <w:sz w:val="14"/>
                <w:szCs w:val="14"/>
              </w:rPr>
            </w:pPr>
            <w:r w:rsidRPr="00711FE4">
              <w:rPr>
                <w:rFonts w:ascii="Arial" w:hAnsi="Arial"/>
                <w:b/>
                <w:color w:val="000000" w:themeColor="text1"/>
                <w:sz w:val="14"/>
                <w:szCs w:val="14"/>
              </w:rPr>
              <w:t>Enforced lacks</w:t>
            </w:r>
          </w:p>
        </w:tc>
        <w:tc>
          <w:tcPr>
            <w:tcW w:w="533" w:type="dxa"/>
            <w:tcBorders>
              <w:left w:val="single" w:sz="8" w:space="0" w:color="auto"/>
              <w:bottom w:val="single" w:sz="4" w:space="0" w:color="auto"/>
            </w:tcBorders>
            <w:vAlign w:val="center"/>
          </w:tcPr>
          <w:p w14:paraId="4F44BA2B"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17-18</w:t>
            </w:r>
          </w:p>
        </w:tc>
        <w:tc>
          <w:tcPr>
            <w:tcW w:w="488" w:type="dxa"/>
            <w:tcBorders>
              <w:bottom w:val="single" w:sz="4" w:space="0" w:color="auto"/>
            </w:tcBorders>
            <w:vAlign w:val="center"/>
          </w:tcPr>
          <w:p w14:paraId="1AA6D37F"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18-19</w:t>
            </w:r>
          </w:p>
        </w:tc>
        <w:tc>
          <w:tcPr>
            <w:tcW w:w="488" w:type="dxa"/>
            <w:tcBorders>
              <w:bottom w:val="single" w:sz="4" w:space="0" w:color="auto"/>
            </w:tcBorders>
            <w:vAlign w:val="center"/>
          </w:tcPr>
          <w:p w14:paraId="0D0C7ABE"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19-20</w:t>
            </w:r>
          </w:p>
        </w:tc>
        <w:tc>
          <w:tcPr>
            <w:tcW w:w="489" w:type="dxa"/>
            <w:tcBorders>
              <w:bottom w:val="single" w:sz="4" w:space="0" w:color="auto"/>
            </w:tcBorders>
            <w:vAlign w:val="center"/>
          </w:tcPr>
          <w:p w14:paraId="32CD8911"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22-23</w:t>
            </w:r>
          </w:p>
        </w:tc>
        <w:tc>
          <w:tcPr>
            <w:tcW w:w="494" w:type="dxa"/>
            <w:tcBorders>
              <w:bottom w:val="single" w:sz="4" w:space="0" w:color="auto"/>
              <w:right w:val="single" w:sz="8" w:space="0" w:color="auto"/>
            </w:tcBorders>
            <w:vAlign w:val="center"/>
          </w:tcPr>
          <w:p w14:paraId="121013F1"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23-24</w:t>
            </w:r>
          </w:p>
        </w:tc>
        <w:tc>
          <w:tcPr>
            <w:tcW w:w="494" w:type="dxa"/>
            <w:tcBorders>
              <w:left w:val="single" w:sz="8" w:space="0" w:color="auto"/>
              <w:bottom w:val="single" w:sz="4" w:space="0" w:color="auto"/>
            </w:tcBorders>
            <w:vAlign w:val="center"/>
          </w:tcPr>
          <w:p w14:paraId="0DD9B1F6"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17-18</w:t>
            </w:r>
          </w:p>
        </w:tc>
        <w:tc>
          <w:tcPr>
            <w:tcW w:w="489" w:type="dxa"/>
            <w:tcBorders>
              <w:bottom w:val="single" w:sz="4" w:space="0" w:color="auto"/>
            </w:tcBorders>
            <w:vAlign w:val="center"/>
          </w:tcPr>
          <w:p w14:paraId="738CE0B0"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18-19</w:t>
            </w:r>
          </w:p>
        </w:tc>
        <w:tc>
          <w:tcPr>
            <w:tcW w:w="489" w:type="dxa"/>
            <w:tcBorders>
              <w:bottom w:val="single" w:sz="4" w:space="0" w:color="auto"/>
            </w:tcBorders>
            <w:vAlign w:val="center"/>
          </w:tcPr>
          <w:p w14:paraId="7E94B439"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19-20</w:t>
            </w:r>
          </w:p>
        </w:tc>
        <w:tc>
          <w:tcPr>
            <w:tcW w:w="489" w:type="dxa"/>
            <w:tcBorders>
              <w:bottom w:val="single" w:sz="4" w:space="0" w:color="auto"/>
            </w:tcBorders>
            <w:vAlign w:val="center"/>
          </w:tcPr>
          <w:p w14:paraId="29D2EB51"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22-23</w:t>
            </w:r>
          </w:p>
        </w:tc>
        <w:tc>
          <w:tcPr>
            <w:tcW w:w="494" w:type="dxa"/>
            <w:tcBorders>
              <w:bottom w:val="single" w:sz="4" w:space="0" w:color="auto"/>
              <w:right w:val="single" w:sz="8" w:space="0" w:color="auto"/>
            </w:tcBorders>
            <w:vAlign w:val="center"/>
          </w:tcPr>
          <w:p w14:paraId="1B9A389A"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23-24</w:t>
            </w:r>
          </w:p>
        </w:tc>
        <w:tc>
          <w:tcPr>
            <w:tcW w:w="494" w:type="dxa"/>
            <w:tcBorders>
              <w:left w:val="single" w:sz="8" w:space="0" w:color="auto"/>
              <w:bottom w:val="single" w:sz="4" w:space="0" w:color="auto"/>
            </w:tcBorders>
            <w:vAlign w:val="center"/>
          </w:tcPr>
          <w:p w14:paraId="067A2BF0"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17-18</w:t>
            </w:r>
          </w:p>
        </w:tc>
        <w:tc>
          <w:tcPr>
            <w:tcW w:w="489" w:type="dxa"/>
            <w:tcBorders>
              <w:bottom w:val="single" w:sz="4" w:space="0" w:color="auto"/>
            </w:tcBorders>
            <w:vAlign w:val="center"/>
          </w:tcPr>
          <w:p w14:paraId="17F44E50"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18-19</w:t>
            </w:r>
          </w:p>
        </w:tc>
        <w:tc>
          <w:tcPr>
            <w:tcW w:w="489" w:type="dxa"/>
            <w:tcBorders>
              <w:bottom w:val="single" w:sz="4" w:space="0" w:color="auto"/>
            </w:tcBorders>
            <w:vAlign w:val="center"/>
          </w:tcPr>
          <w:p w14:paraId="126D086A"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19-20</w:t>
            </w:r>
          </w:p>
        </w:tc>
        <w:tc>
          <w:tcPr>
            <w:tcW w:w="489" w:type="dxa"/>
            <w:tcBorders>
              <w:bottom w:val="single" w:sz="4" w:space="0" w:color="auto"/>
            </w:tcBorders>
            <w:vAlign w:val="center"/>
          </w:tcPr>
          <w:p w14:paraId="7BE88A91"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22-23</w:t>
            </w:r>
          </w:p>
        </w:tc>
        <w:tc>
          <w:tcPr>
            <w:tcW w:w="489" w:type="dxa"/>
            <w:tcBorders>
              <w:bottom w:val="single" w:sz="4" w:space="0" w:color="auto"/>
            </w:tcBorders>
            <w:vAlign w:val="center"/>
          </w:tcPr>
          <w:p w14:paraId="2318E87E" w14:textId="77777777" w:rsidR="00711FE4" w:rsidRPr="00711FE4" w:rsidRDefault="00711FE4" w:rsidP="00711FE4">
            <w:pPr>
              <w:spacing w:before="30" w:after="30" w:line="240" w:lineRule="auto"/>
              <w:jc w:val="center"/>
              <w:rPr>
                <w:rFonts w:ascii="Arial" w:hAnsi="Arial"/>
                <w:b/>
                <w:bCs/>
                <w:color w:val="000000"/>
                <w:sz w:val="14"/>
                <w:szCs w:val="14"/>
              </w:rPr>
            </w:pPr>
            <w:r w:rsidRPr="00711FE4">
              <w:rPr>
                <w:rFonts w:ascii="Arial" w:hAnsi="Arial"/>
                <w:b/>
                <w:bCs/>
                <w:color w:val="000000"/>
                <w:sz w:val="14"/>
                <w:szCs w:val="14"/>
              </w:rPr>
              <w:t>23-24</w:t>
            </w:r>
          </w:p>
        </w:tc>
      </w:tr>
      <w:tr w:rsidR="00711FE4" w:rsidRPr="00711FE4" w14:paraId="7665493F" w14:textId="77777777" w:rsidTr="00366F04">
        <w:trPr>
          <w:trHeight w:val="170"/>
          <w:jc w:val="center"/>
        </w:trPr>
        <w:tc>
          <w:tcPr>
            <w:tcW w:w="137" w:type="dxa"/>
            <w:tcBorders>
              <w:top w:val="single" w:sz="6" w:space="0" w:color="auto"/>
              <w:left w:val="single" w:sz="6" w:space="0" w:color="auto"/>
              <w:bottom w:val="single" w:sz="6" w:space="0" w:color="auto"/>
              <w:right w:val="nil"/>
            </w:tcBorders>
            <w:vAlign w:val="center"/>
          </w:tcPr>
          <w:p w14:paraId="34F2F354"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676DB734" w14:textId="77777777" w:rsidR="00711FE4" w:rsidRPr="00711FE4" w:rsidRDefault="00711FE4" w:rsidP="00711FE4">
            <w:pPr>
              <w:spacing w:before="30" w:after="30" w:line="240" w:lineRule="auto"/>
              <w:jc w:val="both"/>
              <w:rPr>
                <w:rFonts w:ascii="Arial" w:hAnsi="Arial"/>
                <w:color w:val="000000" w:themeColor="text1"/>
                <w:sz w:val="14"/>
                <w:szCs w:val="16"/>
              </w:rPr>
            </w:pPr>
            <w:r w:rsidRPr="00711FE4">
              <w:rPr>
                <w:rFonts w:ascii="Arial" w:hAnsi="Arial"/>
                <w:color w:val="000000"/>
                <w:sz w:val="14"/>
                <w:szCs w:val="14"/>
              </w:rPr>
              <w:t>meat meal</w:t>
            </w:r>
          </w:p>
        </w:tc>
        <w:tc>
          <w:tcPr>
            <w:tcW w:w="533" w:type="dxa"/>
            <w:tcBorders>
              <w:left w:val="single" w:sz="8" w:space="0" w:color="auto"/>
            </w:tcBorders>
            <w:vAlign w:val="center"/>
          </w:tcPr>
          <w:p w14:paraId="771A2FF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w:t>
            </w:r>
          </w:p>
        </w:tc>
        <w:tc>
          <w:tcPr>
            <w:tcW w:w="488" w:type="dxa"/>
            <w:vAlign w:val="center"/>
          </w:tcPr>
          <w:p w14:paraId="42AFDE8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88" w:type="dxa"/>
            <w:vAlign w:val="center"/>
          </w:tcPr>
          <w:p w14:paraId="6FF9480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w:t>
            </w:r>
          </w:p>
        </w:tc>
        <w:tc>
          <w:tcPr>
            <w:tcW w:w="489" w:type="dxa"/>
            <w:vAlign w:val="center"/>
          </w:tcPr>
          <w:p w14:paraId="494DCE2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94" w:type="dxa"/>
            <w:tcBorders>
              <w:right w:val="single" w:sz="8" w:space="0" w:color="auto"/>
            </w:tcBorders>
            <w:vAlign w:val="center"/>
          </w:tcPr>
          <w:p w14:paraId="48E96C7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94" w:type="dxa"/>
            <w:tcBorders>
              <w:left w:val="single" w:sz="8" w:space="0" w:color="auto"/>
            </w:tcBorders>
            <w:vAlign w:val="center"/>
          </w:tcPr>
          <w:p w14:paraId="3DF36FC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14</w:t>
            </w:r>
          </w:p>
        </w:tc>
        <w:tc>
          <w:tcPr>
            <w:tcW w:w="489" w:type="dxa"/>
            <w:vAlign w:val="center"/>
          </w:tcPr>
          <w:p w14:paraId="3F139E2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13</w:t>
            </w:r>
          </w:p>
        </w:tc>
        <w:tc>
          <w:tcPr>
            <w:tcW w:w="489" w:type="dxa"/>
            <w:vAlign w:val="center"/>
          </w:tcPr>
          <w:p w14:paraId="6EA7F45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11</w:t>
            </w:r>
          </w:p>
        </w:tc>
        <w:tc>
          <w:tcPr>
            <w:tcW w:w="489" w:type="dxa"/>
            <w:vAlign w:val="center"/>
          </w:tcPr>
          <w:p w14:paraId="3C56BA0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12</w:t>
            </w:r>
          </w:p>
        </w:tc>
        <w:tc>
          <w:tcPr>
            <w:tcW w:w="494" w:type="dxa"/>
            <w:tcBorders>
              <w:right w:val="single" w:sz="8" w:space="0" w:color="auto"/>
            </w:tcBorders>
            <w:vAlign w:val="center"/>
          </w:tcPr>
          <w:p w14:paraId="662C60F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14</w:t>
            </w:r>
          </w:p>
        </w:tc>
        <w:tc>
          <w:tcPr>
            <w:tcW w:w="494" w:type="dxa"/>
            <w:tcBorders>
              <w:left w:val="single" w:sz="8" w:space="0" w:color="auto"/>
            </w:tcBorders>
            <w:vAlign w:val="center"/>
          </w:tcPr>
          <w:p w14:paraId="4F9087D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27</w:t>
            </w:r>
          </w:p>
        </w:tc>
        <w:tc>
          <w:tcPr>
            <w:tcW w:w="489" w:type="dxa"/>
            <w:vAlign w:val="center"/>
          </w:tcPr>
          <w:p w14:paraId="76B8586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20</w:t>
            </w:r>
          </w:p>
        </w:tc>
        <w:tc>
          <w:tcPr>
            <w:tcW w:w="489" w:type="dxa"/>
            <w:vAlign w:val="center"/>
          </w:tcPr>
          <w:p w14:paraId="19259AE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18</w:t>
            </w:r>
          </w:p>
        </w:tc>
        <w:tc>
          <w:tcPr>
            <w:tcW w:w="489" w:type="dxa"/>
            <w:vAlign w:val="center"/>
          </w:tcPr>
          <w:p w14:paraId="52B45E1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24</w:t>
            </w:r>
          </w:p>
        </w:tc>
        <w:tc>
          <w:tcPr>
            <w:tcW w:w="489" w:type="dxa"/>
            <w:vAlign w:val="center"/>
          </w:tcPr>
          <w:p w14:paraId="6C899D5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22</w:t>
            </w:r>
          </w:p>
        </w:tc>
      </w:tr>
      <w:tr w:rsidR="00711FE4" w:rsidRPr="00711FE4" w14:paraId="7EC4BE65" w14:textId="77777777" w:rsidTr="00366F04">
        <w:trPr>
          <w:trHeight w:val="170"/>
          <w:jc w:val="center"/>
        </w:trPr>
        <w:tc>
          <w:tcPr>
            <w:tcW w:w="137" w:type="dxa"/>
            <w:tcBorders>
              <w:top w:val="single" w:sz="6" w:space="0" w:color="auto"/>
              <w:left w:val="single" w:sz="6" w:space="0" w:color="auto"/>
              <w:bottom w:val="single" w:sz="6" w:space="0" w:color="auto"/>
              <w:right w:val="nil"/>
            </w:tcBorders>
            <w:vAlign w:val="center"/>
          </w:tcPr>
          <w:p w14:paraId="26B7FCD6"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7B6B5676" w14:textId="77777777" w:rsidR="00711FE4" w:rsidRPr="00711FE4" w:rsidRDefault="00711FE4" w:rsidP="00711FE4">
            <w:pPr>
              <w:spacing w:before="30" w:after="30" w:line="240" w:lineRule="auto"/>
              <w:jc w:val="both"/>
              <w:rPr>
                <w:rFonts w:ascii="Arial" w:hAnsi="Arial"/>
                <w:color w:val="000000" w:themeColor="text1"/>
                <w:sz w:val="14"/>
                <w:szCs w:val="16"/>
              </w:rPr>
            </w:pPr>
            <w:r w:rsidRPr="00711FE4">
              <w:rPr>
                <w:rFonts w:ascii="Arial" w:hAnsi="Arial"/>
                <w:color w:val="000000"/>
                <w:sz w:val="14"/>
                <w:szCs w:val="14"/>
              </w:rPr>
              <w:t>shoes</w:t>
            </w:r>
          </w:p>
        </w:tc>
        <w:tc>
          <w:tcPr>
            <w:tcW w:w="533" w:type="dxa"/>
            <w:tcBorders>
              <w:left w:val="single" w:sz="8" w:space="0" w:color="auto"/>
            </w:tcBorders>
            <w:vAlign w:val="center"/>
          </w:tcPr>
          <w:p w14:paraId="5FE0D9F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88" w:type="dxa"/>
            <w:vAlign w:val="center"/>
          </w:tcPr>
          <w:p w14:paraId="50169E3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88" w:type="dxa"/>
            <w:vAlign w:val="center"/>
          </w:tcPr>
          <w:p w14:paraId="0EBF7FE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89" w:type="dxa"/>
            <w:vAlign w:val="center"/>
          </w:tcPr>
          <w:p w14:paraId="639A093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94" w:type="dxa"/>
            <w:tcBorders>
              <w:right w:val="single" w:sz="8" w:space="0" w:color="auto"/>
            </w:tcBorders>
            <w:vAlign w:val="center"/>
          </w:tcPr>
          <w:p w14:paraId="2761914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w:t>
            </w:r>
          </w:p>
        </w:tc>
        <w:tc>
          <w:tcPr>
            <w:tcW w:w="494" w:type="dxa"/>
            <w:tcBorders>
              <w:left w:val="single" w:sz="8" w:space="0" w:color="auto"/>
            </w:tcBorders>
            <w:vAlign w:val="center"/>
          </w:tcPr>
          <w:p w14:paraId="6510018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23</w:t>
            </w:r>
          </w:p>
        </w:tc>
        <w:tc>
          <w:tcPr>
            <w:tcW w:w="489" w:type="dxa"/>
            <w:vAlign w:val="center"/>
          </w:tcPr>
          <w:p w14:paraId="3217679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20</w:t>
            </w:r>
          </w:p>
        </w:tc>
        <w:tc>
          <w:tcPr>
            <w:tcW w:w="489" w:type="dxa"/>
            <w:vAlign w:val="center"/>
          </w:tcPr>
          <w:p w14:paraId="46EEEE7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18</w:t>
            </w:r>
          </w:p>
        </w:tc>
        <w:tc>
          <w:tcPr>
            <w:tcW w:w="489" w:type="dxa"/>
            <w:vAlign w:val="center"/>
          </w:tcPr>
          <w:p w14:paraId="5740264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19</w:t>
            </w:r>
          </w:p>
        </w:tc>
        <w:tc>
          <w:tcPr>
            <w:tcW w:w="494" w:type="dxa"/>
            <w:tcBorders>
              <w:right w:val="single" w:sz="8" w:space="0" w:color="auto"/>
            </w:tcBorders>
            <w:vAlign w:val="center"/>
          </w:tcPr>
          <w:p w14:paraId="530A193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20</w:t>
            </w:r>
          </w:p>
        </w:tc>
        <w:tc>
          <w:tcPr>
            <w:tcW w:w="494" w:type="dxa"/>
            <w:tcBorders>
              <w:left w:val="single" w:sz="8" w:space="0" w:color="auto"/>
            </w:tcBorders>
            <w:vAlign w:val="center"/>
          </w:tcPr>
          <w:p w14:paraId="4576F4A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39</w:t>
            </w:r>
          </w:p>
        </w:tc>
        <w:tc>
          <w:tcPr>
            <w:tcW w:w="489" w:type="dxa"/>
            <w:vAlign w:val="center"/>
          </w:tcPr>
          <w:p w14:paraId="7F948D0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37</w:t>
            </w:r>
          </w:p>
        </w:tc>
        <w:tc>
          <w:tcPr>
            <w:tcW w:w="489" w:type="dxa"/>
            <w:vAlign w:val="center"/>
          </w:tcPr>
          <w:p w14:paraId="00F3F22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32</w:t>
            </w:r>
          </w:p>
        </w:tc>
        <w:tc>
          <w:tcPr>
            <w:tcW w:w="489" w:type="dxa"/>
            <w:vAlign w:val="center"/>
          </w:tcPr>
          <w:p w14:paraId="299DB87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30</w:t>
            </w:r>
          </w:p>
        </w:tc>
        <w:tc>
          <w:tcPr>
            <w:tcW w:w="489" w:type="dxa"/>
            <w:vAlign w:val="center"/>
          </w:tcPr>
          <w:p w14:paraId="22BB194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31</w:t>
            </w:r>
          </w:p>
        </w:tc>
      </w:tr>
      <w:tr w:rsidR="00711FE4" w:rsidRPr="00711FE4" w14:paraId="1BC300A5" w14:textId="77777777" w:rsidTr="00366F04">
        <w:trPr>
          <w:trHeight w:val="170"/>
          <w:jc w:val="center"/>
        </w:trPr>
        <w:tc>
          <w:tcPr>
            <w:tcW w:w="137" w:type="dxa"/>
            <w:tcBorders>
              <w:top w:val="single" w:sz="6" w:space="0" w:color="auto"/>
              <w:left w:val="single" w:sz="6" w:space="0" w:color="auto"/>
              <w:bottom w:val="single" w:sz="6" w:space="0" w:color="auto"/>
              <w:right w:val="nil"/>
            </w:tcBorders>
            <w:vAlign w:val="center"/>
          </w:tcPr>
          <w:p w14:paraId="5CC920D6"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2AFDA8CE"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suitable clothes</w:t>
            </w:r>
          </w:p>
        </w:tc>
        <w:tc>
          <w:tcPr>
            <w:tcW w:w="533" w:type="dxa"/>
            <w:tcBorders>
              <w:left w:val="single" w:sz="8" w:space="0" w:color="auto"/>
            </w:tcBorders>
            <w:vAlign w:val="center"/>
          </w:tcPr>
          <w:p w14:paraId="6041B25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w:t>
            </w:r>
          </w:p>
        </w:tc>
        <w:tc>
          <w:tcPr>
            <w:tcW w:w="488" w:type="dxa"/>
            <w:vAlign w:val="center"/>
          </w:tcPr>
          <w:p w14:paraId="5364773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w:t>
            </w:r>
          </w:p>
        </w:tc>
        <w:tc>
          <w:tcPr>
            <w:tcW w:w="488" w:type="dxa"/>
            <w:vAlign w:val="center"/>
          </w:tcPr>
          <w:p w14:paraId="503E8C9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w:t>
            </w:r>
          </w:p>
        </w:tc>
        <w:tc>
          <w:tcPr>
            <w:tcW w:w="489" w:type="dxa"/>
            <w:vAlign w:val="center"/>
          </w:tcPr>
          <w:p w14:paraId="0AA4504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w:t>
            </w:r>
          </w:p>
        </w:tc>
        <w:tc>
          <w:tcPr>
            <w:tcW w:w="494" w:type="dxa"/>
            <w:tcBorders>
              <w:right w:val="single" w:sz="8" w:space="0" w:color="auto"/>
            </w:tcBorders>
            <w:vAlign w:val="center"/>
          </w:tcPr>
          <w:p w14:paraId="5CA7877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w:t>
            </w:r>
          </w:p>
        </w:tc>
        <w:tc>
          <w:tcPr>
            <w:tcW w:w="494" w:type="dxa"/>
            <w:tcBorders>
              <w:left w:val="single" w:sz="8" w:space="0" w:color="auto"/>
            </w:tcBorders>
            <w:vAlign w:val="center"/>
          </w:tcPr>
          <w:p w14:paraId="2204760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30</w:t>
            </w:r>
          </w:p>
        </w:tc>
        <w:tc>
          <w:tcPr>
            <w:tcW w:w="489" w:type="dxa"/>
            <w:vAlign w:val="center"/>
          </w:tcPr>
          <w:p w14:paraId="20310BA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29</w:t>
            </w:r>
          </w:p>
        </w:tc>
        <w:tc>
          <w:tcPr>
            <w:tcW w:w="489" w:type="dxa"/>
            <w:vAlign w:val="center"/>
          </w:tcPr>
          <w:p w14:paraId="14985A4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25</w:t>
            </w:r>
          </w:p>
        </w:tc>
        <w:tc>
          <w:tcPr>
            <w:tcW w:w="489" w:type="dxa"/>
            <w:vAlign w:val="center"/>
          </w:tcPr>
          <w:p w14:paraId="33CC75D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27</w:t>
            </w:r>
          </w:p>
        </w:tc>
        <w:tc>
          <w:tcPr>
            <w:tcW w:w="494" w:type="dxa"/>
            <w:tcBorders>
              <w:right w:val="single" w:sz="8" w:space="0" w:color="auto"/>
            </w:tcBorders>
            <w:vAlign w:val="center"/>
          </w:tcPr>
          <w:p w14:paraId="45D1925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25</w:t>
            </w:r>
          </w:p>
        </w:tc>
        <w:tc>
          <w:tcPr>
            <w:tcW w:w="494" w:type="dxa"/>
            <w:tcBorders>
              <w:left w:val="single" w:sz="8" w:space="0" w:color="auto"/>
            </w:tcBorders>
            <w:vAlign w:val="center"/>
          </w:tcPr>
          <w:p w14:paraId="13E820A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51</w:t>
            </w:r>
          </w:p>
        </w:tc>
        <w:tc>
          <w:tcPr>
            <w:tcW w:w="489" w:type="dxa"/>
            <w:vAlign w:val="center"/>
          </w:tcPr>
          <w:p w14:paraId="4B3847C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45</w:t>
            </w:r>
          </w:p>
        </w:tc>
        <w:tc>
          <w:tcPr>
            <w:tcW w:w="489" w:type="dxa"/>
            <w:vAlign w:val="center"/>
          </w:tcPr>
          <w:p w14:paraId="4925A8B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44</w:t>
            </w:r>
          </w:p>
        </w:tc>
        <w:tc>
          <w:tcPr>
            <w:tcW w:w="489" w:type="dxa"/>
            <w:vAlign w:val="center"/>
          </w:tcPr>
          <w:p w14:paraId="44C5E95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40</w:t>
            </w:r>
          </w:p>
        </w:tc>
        <w:tc>
          <w:tcPr>
            <w:tcW w:w="489" w:type="dxa"/>
            <w:vAlign w:val="center"/>
          </w:tcPr>
          <w:p w14:paraId="77949FC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38</w:t>
            </w:r>
          </w:p>
        </w:tc>
      </w:tr>
      <w:tr w:rsidR="00711FE4" w:rsidRPr="00711FE4" w14:paraId="2B814E92" w14:textId="77777777" w:rsidTr="00366F04">
        <w:trPr>
          <w:trHeight w:val="170"/>
          <w:jc w:val="center"/>
        </w:trPr>
        <w:tc>
          <w:tcPr>
            <w:tcW w:w="137" w:type="dxa"/>
            <w:tcBorders>
              <w:top w:val="single" w:sz="6" w:space="0" w:color="auto"/>
              <w:left w:val="single" w:sz="6" w:space="0" w:color="auto"/>
              <w:bottom w:val="single" w:sz="6" w:space="0" w:color="auto"/>
              <w:right w:val="nil"/>
            </w:tcBorders>
            <w:vAlign w:val="center"/>
          </w:tcPr>
          <w:p w14:paraId="22FC81F3"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4C12101B"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presents</w:t>
            </w:r>
          </w:p>
        </w:tc>
        <w:tc>
          <w:tcPr>
            <w:tcW w:w="533" w:type="dxa"/>
            <w:tcBorders>
              <w:left w:val="single" w:sz="8" w:space="0" w:color="auto"/>
            </w:tcBorders>
            <w:vAlign w:val="center"/>
          </w:tcPr>
          <w:p w14:paraId="6C00CAE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w:t>
            </w:r>
          </w:p>
        </w:tc>
        <w:tc>
          <w:tcPr>
            <w:tcW w:w="488" w:type="dxa"/>
            <w:vAlign w:val="center"/>
          </w:tcPr>
          <w:p w14:paraId="7575CE3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88" w:type="dxa"/>
            <w:vAlign w:val="center"/>
          </w:tcPr>
          <w:p w14:paraId="4376334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w:t>
            </w:r>
          </w:p>
        </w:tc>
        <w:tc>
          <w:tcPr>
            <w:tcW w:w="489" w:type="dxa"/>
            <w:vAlign w:val="center"/>
          </w:tcPr>
          <w:p w14:paraId="289B313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94" w:type="dxa"/>
            <w:tcBorders>
              <w:right w:val="single" w:sz="8" w:space="0" w:color="auto"/>
            </w:tcBorders>
            <w:vAlign w:val="center"/>
          </w:tcPr>
          <w:p w14:paraId="64BD05A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94" w:type="dxa"/>
            <w:tcBorders>
              <w:left w:val="single" w:sz="8" w:space="0" w:color="auto"/>
            </w:tcBorders>
            <w:vAlign w:val="center"/>
          </w:tcPr>
          <w:p w14:paraId="428F4B6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31</w:t>
            </w:r>
          </w:p>
        </w:tc>
        <w:tc>
          <w:tcPr>
            <w:tcW w:w="489" w:type="dxa"/>
            <w:vAlign w:val="center"/>
          </w:tcPr>
          <w:p w14:paraId="0E4CD04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34</w:t>
            </w:r>
          </w:p>
        </w:tc>
        <w:tc>
          <w:tcPr>
            <w:tcW w:w="489" w:type="dxa"/>
            <w:vAlign w:val="center"/>
          </w:tcPr>
          <w:p w14:paraId="33DE815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30</w:t>
            </w:r>
          </w:p>
        </w:tc>
        <w:tc>
          <w:tcPr>
            <w:tcW w:w="489" w:type="dxa"/>
            <w:vAlign w:val="center"/>
          </w:tcPr>
          <w:p w14:paraId="7A15C39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31</w:t>
            </w:r>
          </w:p>
        </w:tc>
        <w:tc>
          <w:tcPr>
            <w:tcW w:w="494" w:type="dxa"/>
            <w:tcBorders>
              <w:right w:val="single" w:sz="8" w:space="0" w:color="auto"/>
            </w:tcBorders>
            <w:vAlign w:val="center"/>
          </w:tcPr>
          <w:p w14:paraId="2FFE87C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29</w:t>
            </w:r>
          </w:p>
        </w:tc>
        <w:tc>
          <w:tcPr>
            <w:tcW w:w="494" w:type="dxa"/>
            <w:tcBorders>
              <w:left w:val="single" w:sz="8" w:space="0" w:color="auto"/>
            </w:tcBorders>
            <w:vAlign w:val="center"/>
          </w:tcPr>
          <w:p w14:paraId="52AA944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41</w:t>
            </w:r>
          </w:p>
        </w:tc>
        <w:tc>
          <w:tcPr>
            <w:tcW w:w="489" w:type="dxa"/>
            <w:vAlign w:val="center"/>
          </w:tcPr>
          <w:p w14:paraId="75069B1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44</w:t>
            </w:r>
          </w:p>
        </w:tc>
        <w:tc>
          <w:tcPr>
            <w:tcW w:w="489" w:type="dxa"/>
            <w:vAlign w:val="center"/>
          </w:tcPr>
          <w:p w14:paraId="1977B50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45</w:t>
            </w:r>
          </w:p>
        </w:tc>
        <w:tc>
          <w:tcPr>
            <w:tcW w:w="489" w:type="dxa"/>
            <w:vAlign w:val="center"/>
          </w:tcPr>
          <w:p w14:paraId="20682C3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47</w:t>
            </w:r>
          </w:p>
        </w:tc>
        <w:tc>
          <w:tcPr>
            <w:tcW w:w="489" w:type="dxa"/>
            <w:vAlign w:val="center"/>
          </w:tcPr>
          <w:p w14:paraId="577480E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42</w:t>
            </w:r>
          </w:p>
        </w:tc>
      </w:tr>
      <w:tr w:rsidR="00711FE4" w:rsidRPr="00711FE4" w14:paraId="0D44C6E0" w14:textId="77777777" w:rsidTr="00366F04">
        <w:trPr>
          <w:trHeight w:val="170"/>
          <w:jc w:val="center"/>
        </w:trPr>
        <w:tc>
          <w:tcPr>
            <w:tcW w:w="137" w:type="dxa"/>
            <w:tcBorders>
              <w:top w:val="single" w:sz="6" w:space="0" w:color="auto"/>
              <w:left w:val="single" w:sz="6" w:space="0" w:color="auto"/>
              <w:bottom w:val="single" w:sz="6" w:space="0" w:color="auto"/>
              <w:right w:val="nil"/>
            </w:tcBorders>
            <w:vAlign w:val="center"/>
          </w:tcPr>
          <w:p w14:paraId="1AB0032B"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top w:val="single" w:sz="6" w:space="0" w:color="auto"/>
              <w:left w:val="nil"/>
              <w:bottom w:val="single" w:sz="6" w:space="0" w:color="auto"/>
              <w:right w:val="single" w:sz="8" w:space="0" w:color="auto"/>
            </w:tcBorders>
            <w:tcMar>
              <w:left w:w="57" w:type="dxa"/>
              <w:right w:w="113" w:type="dxa"/>
            </w:tcMar>
            <w:vAlign w:val="center"/>
          </w:tcPr>
          <w:p w14:paraId="6D765113"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contents ins</w:t>
            </w:r>
          </w:p>
        </w:tc>
        <w:tc>
          <w:tcPr>
            <w:tcW w:w="533" w:type="dxa"/>
            <w:tcBorders>
              <w:left w:val="single" w:sz="8" w:space="0" w:color="auto"/>
            </w:tcBorders>
            <w:vAlign w:val="center"/>
          </w:tcPr>
          <w:p w14:paraId="6F11388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13</w:t>
            </w:r>
          </w:p>
        </w:tc>
        <w:tc>
          <w:tcPr>
            <w:tcW w:w="488" w:type="dxa"/>
            <w:vAlign w:val="center"/>
          </w:tcPr>
          <w:p w14:paraId="02B3030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15</w:t>
            </w:r>
          </w:p>
        </w:tc>
        <w:tc>
          <w:tcPr>
            <w:tcW w:w="488" w:type="dxa"/>
            <w:vAlign w:val="center"/>
          </w:tcPr>
          <w:p w14:paraId="288868A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14</w:t>
            </w:r>
          </w:p>
        </w:tc>
        <w:tc>
          <w:tcPr>
            <w:tcW w:w="489" w:type="dxa"/>
            <w:vAlign w:val="center"/>
          </w:tcPr>
          <w:p w14:paraId="1424B11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14</w:t>
            </w:r>
          </w:p>
        </w:tc>
        <w:tc>
          <w:tcPr>
            <w:tcW w:w="494" w:type="dxa"/>
            <w:tcBorders>
              <w:right w:val="single" w:sz="8" w:space="0" w:color="auto"/>
            </w:tcBorders>
            <w:vAlign w:val="center"/>
          </w:tcPr>
          <w:p w14:paraId="5EAA434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16</w:t>
            </w:r>
          </w:p>
        </w:tc>
        <w:tc>
          <w:tcPr>
            <w:tcW w:w="494" w:type="dxa"/>
            <w:tcBorders>
              <w:left w:val="single" w:sz="8" w:space="0" w:color="auto"/>
            </w:tcBorders>
            <w:vAlign w:val="center"/>
          </w:tcPr>
          <w:p w14:paraId="44E2D92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65</w:t>
            </w:r>
          </w:p>
        </w:tc>
        <w:tc>
          <w:tcPr>
            <w:tcW w:w="489" w:type="dxa"/>
            <w:vAlign w:val="center"/>
          </w:tcPr>
          <w:p w14:paraId="4DB24E8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61</w:t>
            </w:r>
          </w:p>
        </w:tc>
        <w:tc>
          <w:tcPr>
            <w:tcW w:w="489" w:type="dxa"/>
            <w:vAlign w:val="center"/>
          </w:tcPr>
          <w:p w14:paraId="4C7BF10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65</w:t>
            </w:r>
          </w:p>
        </w:tc>
        <w:tc>
          <w:tcPr>
            <w:tcW w:w="489" w:type="dxa"/>
            <w:vAlign w:val="center"/>
          </w:tcPr>
          <w:p w14:paraId="49D98A4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63</w:t>
            </w:r>
          </w:p>
        </w:tc>
        <w:tc>
          <w:tcPr>
            <w:tcW w:w="494" w:type="dxa"/>
            <w:tcBorders>
              <w:right w:val="single" w:sz="8" w:space="0" w:color="auto"/>
            </w:tcBorders>
            <w:vAlign w:val="center"/>
          </w:tcPr>
          <w:p w14:paraId="399ABA9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66</w:t>
            </w:r>
          </w:p>
        </w:tc>
        <w:tc>
          <w:tcPr>
            <w:tcW w:w="494" w:type="dxa"/>
            <w:tcBorders>
              <w:left w:val="single" w:sz="8" w:space="0" w:color="auto"/>
            </w:tcBorders>
            <w:vAlign w:val="center"/>
          </w:tcPr>
          <w:p w14:paraId="7FF5ACF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71</w:t>
            </w:r>
          </w:p>
        </w:tc>
        <w:tc>
          <w:tcPr>
            <w:tcW w:w="489" w:type="dxa"/>
            <w:vAlign w:val="center"/>
          </w:tcPr>
          <w:p w14:paraId="0EF965B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76</w:t>
            </w:r>
          </w:p>
        </w:tc>
        <w:tc>
          <w:tcPr>
            <w:tcW w:w="489" w:type="dxa"/>
            <w:vAlign w:val="center"/>
          </w:tcPr>
          <w:p w14:paraId="10BFB2D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79</w:t>
            </w:r>
          </w:p>
        </w:tc>
        <w:tc>
          <w:tcPr>
            <w:tcW w:w="489" w:type="dxa"/>
            <w:vAlign w:val="center"/>
          </w:tcPr>
          <w:p w14:paraId="253C8CA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77</w:t>
            </w:r>
          </w:p>
        </w:tc>
        <w:tc>
          <w:tcPr>
            <w:tcW w:w="489" w:type="dxa"/>
            <w:vAlign w:val="center"/>
          </w:tcPr>
          <w:p w14:paraId="1EED363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76</w:t>
            </w:r>
          </w:p>
        </w:tc>
      </w:tr>
      <w:tr w:rsidR="00711FE4" w:rsidRPr="00711FE4" w14:paraId="7BB8E61B" w14:textId="77777777" w:rsidTr="00366F04">
        <w:trPr>
          <w:trHeight w:val="170"/>
          <w:jc w:val="center"/>
        </w:trPr>
        <w:tc>
          <w:tcPr>
            <w:tcW w:w="1809" w:type="dxa"/>
            <w:gridSpan w:val="3"/>
            <w:tcBorders>
              <w:bottom w:val="single" w:sz="4" w:space="0" w:color="auto"/>
            </w:tcBorders>
            <w:tcMar>
              <w:left w:w="57" w:type="dxa"/>
              <w:right w:w="113" w:type="dxa"/>
            </w:tcMar>
            <w:vAlign w:val="center"/>
          </w:tcPr>
          <w:p w14:paraId="228E4762" w14:textId="77777777" w:rsidR="00711FE4" w:rsidRPr="00711FE4" w:rsidRDefault="00711FE4" w:rsidP="00711FE4">
            <w:pPr>
              <w:spacing w:before="30" w:after="30" w:line="240" w:lineRule="auto"/>
              <w:rPr>
                <w:rFonts w:ascii="Arial" w:hAnsi="Arial"/>
                <w:color w:val="000000"/>
                <w:sz w:val="14"/>
                <w:szCs w:val="14"/>
              </w:rPr>
            </w:pPr>
            <w:r w:rsidRPr="00711FE4">
              <w:rPr>
                <w:rFonts w:ascii="Arial" w:hAnsi="Arial"/>
                <w:b/>
                <w:color w:val="000000" w:themeColor="text1"/>
                <w:sz w:val="14"/>
                <w:szCs w:val="14"/>
              </w:rPr>
              <w:t>Economised ‘a lot’</w:t>
            </w:r>
          </w:p>
        </w:tc>
        <w:tc>
          <w:tcPr>
            <w:tcW w:w="488" w:type="dxa"/>
            <w:tcBorders>
              <w:bottom w:val="single" w:sz="4" w:space="0" w:color="auto"/>
            </w:tcBorders>
            <w:vAlign w:val="center"/>
          </w:tcPr>
          <w:p w14:paraId="4755436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8" w:type="dxa"/>
            <w:tcBorders>
              <w:bottom w:val="single" w:sz="4" w:space="0" w:color="auto"/>
            </w:tcBorders>
            <w:vAlign w:val="center"/>
          </w:tcPr>
          <w:p w14:paraId="2D08C21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440A616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bottom w:val="single" w:sz="4" w:space="0" w:color="auto"/>
              <w:right w:val="single" w:sz="8" w:space="0" w:color="auto"/>
            </w:tcBorders>
            <w:vAlign w:val="center"/>
          </w:tcPr>
          <w:p w14:paraId="5D480BC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left w:val="single" w:sz="8" w:space="0" w:color="auto"/>
              <w:bottom w:val="single" w:sz="4" w:space="0" w:color="auto"/>
            </w:tcBorders>
            <w:vAlign w:val="center"/>
          </w:tcPr>
          <w:p w14:paraId="2FF8BD3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747EC9D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3F12B43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4B98A44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bottom w:val="single" w:sz="4" w:space="0" w:color="auto"/>
              <w:right w:val="single" w:sz="8" w:space="0" w:color="auto"/>
            </w:tcBorders>
            <w:vAlign w:val="center"/>
          </w:tcPr>
          <w:p w14:paraId="39E3332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left w:val="single" w:sz="8" w:space="0" w:color="auto"/>
              <w:bottom w:val="single" w:sz="4" w:space="0" w:color="auto"/>
            </w:tcBorders>
            <w:vAlign w:val="center"/>
          </w:tcPr>
          <w:p w14:paraId="5C2D2BB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4BF2E43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40292E6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06E5EFE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tcBorders>
              <w:bottom w:val="single" w:sz="4" w:space="0" w:color="auto"/>
            </w:tcBorders>
            <w:vAlign w:val="center"/>
          </w:tcPr>
          <w:p w14:paraId="3E311329" w14:textId="77777777" w:rsidR="00711FE4" w:rsidRPr="00711FE4" w:rsidRDefault="00711FE4" w:rsidP="00711FE4">
            <w:pPr>
              <w:spacing w:before="30" w:after="30" w:line="240" w:lineRule="auto"/>
              <w:jc w:val="center"/>
              <w:rPr>
                <w:rFonts w:ascii="Arial" w:hAnsi="Arial"/>
                <w:b/>
                <w:color w:val="000000" w:themeColor="text1"/>
                <w:sz w:val="16"/>
                <w:szCs w:val="16"/>
                <w:highlight w:val="cyan"/>
              </w:rPr>
            </w:pPr>
            <w:r w:rsidRPr="00711FE4">
              <w:rPr>
                <w:rFonts w:ascii="Arial" w:hAnsi="Arial"/>
                <w:b/>
                <w:bCs/>
                <w:color w:val="000000"/>
                <w:sz w:val="16"/>
                <w:szCs w:val="16"/>
              </w:rPr>
              <w:t> </w:t>
            </w:r>
          </w:p>
        </w:tc>
      </w:tr>
      <w:tr w:rsidR="00711FE4" w:rsidRPr="00711FE4" w14:paraId="7C391B22" w14:textId="77777777" w:rsidTr="00366F04">
        <w:trPr>
          <w:trHeight w:val="170"/>
          <w:jc w:val="center"/>
        </w:trPr>
        <w:tc>
          <w:tcPr>
            <w:tcW w:w="137" w:type="dxa"/>
            <w:tcBorders>
              <w:right w:val="nil"/>
            </w:tcBorders>
            <w:vAlign w:val="center"/>
          </w:tcPr>
          <w:p w14:paraId="7F608E52"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3640CB03" w14:textId="77777777" w:rsidR="00711FE4" w:rsidRPr="00711FE4" w:rsidRDefault="00711FE4" w:rsidP="00711FE4">
            <w:pPr>
              <w:spacing w:before="30" w:after="30" w:line="240" w:lineRule="auto"/>
              <w:jc w:val="both"/>
              <w:rPr>
                <w:rFonts w:ascii="Arial" w:hAnsi="Arial"/>
                <w:color w:val="000000" w:themeColor="text1"/>
                <w:sz w:val="14"/>
                <w:szCs w:val="16"/>
              </w:rPr>
            </w:pPr>
            <w:r w:rsidRPr="00711FE4">
              <w:rPr>
                <w:rFonts w:ascii="Arial" w:hAnsi="Arial"/>
                <w:color w:val="000000"/>
                <w:sz w:val="14"/>
                <w:szCs w:val="14"/>
              </w:rPr>
              <w:t>fruit &amp; veg</w:t>
            </w:r>
          </w:p>
        </w:tc>
        <w:tc>
          <w:tcPr>
            <w:tcW w:w="533" w:type="dxa"/>
            <w:tcBorders>
              <w:left w:val="single" w:sz="8" w:space="0" w:color="auto"/>
            </w:tcBorders>
            <w:vAlign w:val="center"/>
          </w:tcPr>
          <w:p w14:paraId="6EB9093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w:t>
            </w:r>
          </w:p>
        </w:tc>
        <w:tc>
          <w:tcPr>
            <w:tcW w:w="488" w:type="dxa"/>
            <w:vAlign w:val="center"/>
          </w:tcPr>
          <w:p w14:paraId="4BA3FFC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w:t>
            </w:r>
          </w:p>
        </w:tc>
        <w:tc>
          <w:tcPr>
            <w:tcW w:w="488" w:type="dxa"/>
            <w:vAlign w:val="center"/>
          </w:tcPr>
          <w:p w14:paraId="6D98BCD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w:t>
            </w:r>
          </w:p>
        </w:tc>
        <w:tc>
          <w:tcPr>
            <w:tcW w:w="489" w:type="dxa"/>
            <w:vAlign w:val="center"/>
          </w:tcPr>
          <w:p w14:paraId="1790DFB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94" w:type="dxa"/>
            <w:tcBorders>
              <w:right w:val="single" w:sz="8" w:space="0" w:color="auto"/>
            </w:tcBorders>
            <w:vAlign w:val="center"/>
          </w:tcPr>
          <w:p w14:paraId="2BE258A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w:t>
            </w:r>
          </w:p>
        </w:tc>
        <w:tc>
          <w:tcPr>
            <w:tcW w:w="494" w:type="dxa"/>
            <w:tcBorders>
              <w:left w:val="single" w:sz="8" w:space="0" w:color="auto"/>
            </w:tcBorders>
            <w:vAlign w:val="center"/>
          </w:tcPr>
          <w:p w14:paraId="256FBFD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35</w:t>
            </w:r>
          </w:p>
        </w:tc>
        <w:tc>
          <w:tcPr>
            <w:tcW w:w="489" w:type="dxa"/>
            <w:vAlign w:val="center"/>
          </w:tcPr>
          <w:p w14:paraId="4B200F7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31</w:t>
            </w:r>
          </w:p>
        </w:tc>
        <w:tc>
          <w:tcPr>
            <w:tcW w:w="489" w:type="dxa"/>
            <w:vAlign w:val="center"/>
          </w:tcPr>
          <w:p w14:paraId="27FD6EE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31</w:t>
            </w:r>
          </w:p>
        </w:tc>
        <w:tc>
          <w:tcPr>
            <w:tcW w:w="489" w:type="dxa"/>
            <w:vAlign w:val="center"/>
          </w:tcPr>
          <w:p w14:paraId="4094F36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41</w:t>
            </w:r>
          </w:p>
        </w:tc>
        <w:tc>
          <w:tcPr>
            <w:tcW w:w="494" w:type="dxa"/>
            <w:tcBorders>
              <w:right w:val="single" w:sz="8" w:space="0" w:color="auto"/>
            </w:tcBorders>
            <w:vAlign w:val="center"/>
          </w:tcPr>
          <w:p w14:paraId="2D4B966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44</w:t>
            </w:r>
          </w:p>
        </w:tc>
        <w:tc>
          <w:tcPr>
            <w:tcW w:w="494" w:type="dxa"/>
            <w:tcBorders>
              <w:left w:val="single" w:sz="8" w:space="0" w:color="auto"/>
            </w:tcBorders>
            <w:vAlign w:val="center"/>
          </w:tcPr>
          <w:p w14:paraId="47D6E12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64</w:t>
            </w:r>
          </w:p>
        </w:tc>
        <w:tc>
          <w:tcPr>
            <w:tcW w:w="489" w:type="dxa"/>
            <w:vAlign w:val="center"/>
          </w:tcPr>
          <w:p w14:paraId="1987DA2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50</w:t>
            </w:r>
          </w:p>
        </w:tc>
        <w:tc>
          <w:tcPr>
            <w:tcW w:w="489" w:type="dxa"/>
            <w:vAlign w:val="center"/>
          </w:tcPr>
          <w:p w14:paraId="0BC7D25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50</w:t>
            </w:r>
          </w:p>
        </w:tc>
        <w:tc>
          <w:tcPr>
            <w:tcW w:w="489" w:type="dxa"/>
            <w:vAlign w:val="center"/>
          </w:tcPr>
          <w:p w14:paraId="0BDE4AB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61</w:t>
            </w:r>
          </w:p>
        </w:tc>
        <w:tc>
          <w:tcPr>
            <w:tcW w:w="489" w:type="dxa"/>
            <w:vAlign w:val="center"/>
          </w:tcPr>
          <w:p w14:paraId="69E473B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67</w:t>
            </w:r>
          </w:p>
        </w:tc>
      </w:tr>
      <w:tr w:rsidR="00711FE4" w:rsidRPr="00711FE4" w14:paraId="1413F923" w14:textId="77777777" w:rsidTr="00366F04">
        <w:trPr>
          <w:trHeight w:val="170"/>
          <w:jc w:val="center"/>
        </w:trPr>
        <w:tc>
          <w:tcPr>
            <w:tcW w:w="137" w:type="dxa"/>
            <w:tcBorders>
              <w:right w:val="nil"/>
            </w:tcBorders>
            <w:vAlign w:val="center"/>
          </w:tcPr>
          <w:p w14:paraId="35D2E2C2"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76520C9B"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 xml:space="preserve">meat </w:t>
            </w:r>
          </w:p>
        </w:tc>
        <w:tc>
          <w:tcPr>
            <w:tcW w:w="533" w:type="dxa"/>
            <w:tcBorders>
              <w:left w:val="single" w:sz="8" w:space="0" w:color="auto"/>
            </w:tcBorders>
            <w:vAlign w:val="center"/>
          </w:tcPr>
          <w:p w14:paraId="44BA983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11</w:t>
            </w:r>
          </w:p>
        </w:tc>
        <w:tc>
          <w:tcPr>
            <w:tcW w:w="488" w:type="dxa"/>
            <w:vAlign w:val="center"/>
          </w:tcPr>
          <w:p w14:paraId="456F0E7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13</w:t>
            </w:r>
          </w:p>
        </w:tc>
        <w:tc>
          <w:tcPr>
            <w:tcW w:w="488" w:type="dxa"/>
            <w:vAlign w:val="center"/>
          </w:tcPr>
          <w:p w14:paraId="5089B3F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12</w:t>
            </w:r>
          </w:p>
        </w:tc>
        <w:tc>
          <w:tcPr>
            <w:tcW w:w="489" w:type="dxa"/>
            <w:vAlign w:val="center"/>
          </w:tcPr>
          <w:p w14:paraId="4DC98C9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16</w:t>
            </w:r>
          </w:p>
        </w:tc>
        <w:tc>
          <w:tcPr>
            <w:tcW w:w="494" w:type="dxa"/>
            <w:tcBorders>
              <w:right w:val="single" w:sz="8" w:space="0" w:color="auto"/>
            </w:tcBorders>
            <w:vAlign w:val="center"/>
          </w:tcPr>
          <w:p w14:paraId="4823DE8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16</w:t>
            </w:r>
          </w:p>
        </w:tc>
        <w:tc>
          <w:tcPr>
            <w:tcW w:w="494" w:type="dxa"/>
            <w:tcBorders>
              <w:left w:val="single" w:sz="8" w:space="0" w:color="auto"/>
            </w:tcBorders>
            <w:vAlign w:val="center"/>
          </w:tcPr>
          <w:p w14:paraId="231D31D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70</w:t>
            </w:r>
          </w:p>
        </w:tc>
        <w:tc>
          <w:tcPr>
            <w:tcW w:w="489" w:type="dxa"/>
            <w:vAlign w:val="center"/>
          </w:tcPr>
          <w:p w14:paraId="320EF46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67</w:t>
            </w:r>
          </w:p>
        </w:tc>
        <w:tc>
          <w:tcPr>
            <w:tcW w:w="489" w:type="dxa"/>
            <w:vAlign w:val="center"/>
          </w:tcPr>
          <w:p w14:paraId="02C2FCB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68</w:t>
            </w:r>
          </w:p>
        </w:tc>
        <w:tc>
          <w:tcPr>
            <w:tcW w:w="489" w:type="dxa"/>
            <w:vAlign w:val="center"/>
          </w:tcPr>
          <w:p w14:paraId="0D64F40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75</w:t>
            </w:r>
          </w:p>
        </w:tc>
        <w:tc>
          <w:tcPr>
            <w:tcW w:w="494" w:type="dxa"/>
            <w:tcBorders>
              <w:right w:val="single" w:sz="8" w:space="0" w:color="auto"/>
            </w:tcBorders>
            <w:vAlign w:val="center"/>
          </w:tcPr>
          <w:p w14:paraId="74F1C52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73</w:t>
            </w:r>
          </w:p>
        </w:tc>
        <w:tc>
          <w:tcPr>
            <w:tcW w:w="494" w:type="dxa"/>
            <w:tcBorders>
              <w:left w:val="single" w:sz="8" w:space="0" w:color="auto"/>
            </w:tcBorders>
            <w:vAlign w:val="center"/>
          </w:tcPr>
          <w:p w14:paraId="7A260EA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85</w:t>
            </w:r>
          </w:p>
        </w:tc>
        <w:tc>
          <w:tcPr>
            <w:tcW w:w="489" w:type="dxa"/>
            <w:vAlign w:val="center"/>
          </w:tcPr>
          <w:p w14:paraId="210D55F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84</w:t>
            </w:r>
          </w:p>
        </w:tc>
        <w:tc>
          <w:tcPr>
            <w:tcW w:w="489" w:type="dxa"/>
            <w:vAlign w:val="center"/>
          </w:tcPr>
          <w:p w14:paraId="17A7C63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85</w:t>
            </w:r>
          </w:p>
        </w:tc>
        <w:tc>
          <w:tcPr>
            <w:tcW w:w="489" w:type="dxa"/>
            <w:vAlign w:val="center"/>
          </w:tcPr>
          <w:p w14:paraId="1A6BEB8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86</w:t>
            </w:r>
          </w:p>
        </w:tc>
        <w:tc>
          <w:tcPr>
            <w:tcW w:w="489" w:type="dxa"/>
            <w:vAlign w:val="center"/>
          </w:tcPr>
          <w:p w14:paraId="3937285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86</w:t>
            </w:r>
          </w:p>
        </w:tc>
      </w:tr>
      <w:tr w:rsidR="00711FE4" w:rsidRPr="00711FE4" w14:paraId="32253A40" w14:textId="77777777" w:rsidTr="00366F04">
        <w:trPr>
          <w:trHeight w:val="170"/>
          <w:jc w:val="center"/>
        </w:trPr>
        <w:tc>
          <w:tcPr>
            <w:tcW w:w="137" w:type="dxa"/>
            <w:tcBorders>
              <w:right w:val="nil"/>
            </w:tcBorders>
            <w:vAlign w:val="center"/>
          </w:tcPr>
          <w:p w14:paraId="5D497187"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659542A0"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heating</w:t>
            </w:r>
          </w:p>
        </w:tc>
        <w:tc>
          <w:tcPr>
            <w:tcW w:w="533" w:type="dxa"/>
            <w:tcBorders>
              <w:left w:val="single" w:sz="8" w:space="0" w:color="auto"/>
            </w:tcBorders>
            <w:vAlign w:val="center"/>
          </w:tcPr>
          <w:p w14:paraId="2A29D44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w:t>
            </w:r>
          </w:p>
        </w:tc>
        <w:tc>
          <w:tcPr>
            <w:tcW w:w="488" w:type="dxa"/>
            <w:vAlign w:val="center"/>
          </w:tcPr>
          <w:p w14:paraId="21C0C38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88" w:type="dxa"/>
            <w:vAlign w:val="center"/>
          </w:tcPr>
          <w:p w14:paraId="7B1A5D9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w:t>
            </w:r>
          </w:p>
        </w:tc>
        <w:tc>
          <w:tcPr>
            <w:tcW w:w="489" w:type="dxa"/>
            <w:vAlign w:val="center"/>
          </w:tcPr>
          <w:p w14:paraId="3D868A7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94" w:type="dxa"/>
            <w:tcBorders>
              <w:right w:val="single" w:sz="8" w:space="0" w:color="auto"/>
            </w:tcBorders>
            <w:vAlign w:val="center"/>
          </w:tcPr>
          <w:p w14:paraId="6D7A815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94" w:type="dxa"/>
            <w:tcBorders>
              <w:left w:val="single" w:sz="8" w:space="0" w:color="auto"/>
            </w:tcBorders>
            <w:vAlign w:val="center"/>
          </w:tcPr>
          <w:p w14:paraId="0FC0FAD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47</w:t>
            </w:r>
          </w:p>
        </w:tc>
        <w:tc>
          <w:tcPr>
            <w:tcW w:w="489" w:type="dxa"/>
            <w:vAlign w:val="center"/>
          </w:tcPr>
          <w:p w14:paraId="7962E27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46</w:t>
            </w:r>
          </w:p>
        </w:tc>
        <w:tc>
          <w:tcPr>
            <w:tcW w:w="489" w:type="dxa"/>
            <w:vAlign w:val="center"/>
          </w:tcPr>
          <w:p w14:paraId="6197C8F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43</w:t>
            </w:r>
          </w:p>
        </w:tc>
        <w:tc>
          <w:tcPr>
            <w:tcW w:w="489" w:type="dxa"/>
            <w:vAlign w:val="center"/>
          </w:tcPr>
          <w:p w14:paraId="1704EFB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37</w:t>
            </w:r>
          </w:p>
        </w:tc>
        <w:tc>
          <w:tcPr>
            <w:tcW w:w="494" w:type="dxa"/>
            <w:tcBorders>
              <w:right w:val="single" w:sz="8" w:space="0" w:color="auto"/>
            </w:tcBorders>
            <w:vAlign w:val="center"/>
          </w:tcPr>
          <w:p w14:paraId="336D065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36</w:t>
            </w:r>
          </w:p>
        </w:tc>
        <w:tc>
          <w:tcPr>
            <w:tcW w:w="494" w:type="dxa"/>
            <w:tcBorders>
              <w:left w:val="single" w:sz="8" w:space="0" w:color="auto"/>
            </w:tcBorders>
            <w:vAlign w:val="center"/>
          </w:tcPr>
          <w:p w14:paraId="7899F12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68</w:t>
            </w:r>
          </w:p>
        </w:tc>
        <w:tc>
          <w:tcPr>
            <w:tcW w:w="489" w:type="dxa"/>
            <w:vAlign w:val="center"/>
          </w:tcPr>
          <w:p w14:paraId="44C651E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61</w:t>
            </w:r>
          </w:p>
        </w:tc>
        <w:tc>
          <w:tcPr>
            <w:tcW w:w="489" w:type="dxa"/>
            <w:vAlign w:val="center"/>
          </w:tcPr>
          <w:p w14:paraId="074186E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60</w:t>
            </w:r>
          </w:p>
        </w:tc>
        <w:tc>
          <w:tcPr>
            <w:tcW w:w="489" w:type="dxa"/>
            <w:vAlign w:val="center"/>
          </w:tcPr>
          <w:p w14:paraId="77E1204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54</w:t>
            </w:r>
          </w:p>
        </w:tc>
        <w:tc>
          <w:tcPr>
            <w:tcW w:w="489" w:type="dxa"/>
            <w:vAlign w:val="center"/>
          </w:tcPr>
          <w:p w14:paraId="12A07E9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53</w:t>
            </w:r>
          </w:p>
        </w:tc>
      </w:tr>
      <w:tr w:rsidR="00711FE4" w:rsidRPr="00711FE4" w14:paraId="79F0C297" w14:textId="77777777" w:rsidTr="00366F04">
        <w:trPr>
          <w:trHeight w:val="170"/>
          <w:jc w:val="center"/>
        </w:trPr>
        <w:tc>
          <w:tcPr>
            <w:tcW w:w="137" w:type="dxa"/>
            <w:tcBorders>
              <w:right w:val="nil"/>
            </w:tcBorders>
            <w:vAlign w:val="center"/>
          </w:tcPr>
          <w:p w14:paraId="59388975"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68FE3008"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doctor</w:t>
            </w:r>
          </w:p>
        </w:tc>
        <w:tc>
          <w:tcPr>
            <w:tcW w:w="533" w:type="dxa"/>
            <w:tcBorders>
              <w:left w:val="single" w:sz="8" w:space="0" w:color="auto"/>
            </w:tcBorders>
            <w:vAlign w:val="center"/>
          </w:tcPr>
          <w:p w14:paraId="7A859DA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88" w:type="dxa"/>
            <w:vAlign w:val="center"/>
          </w:tcPr>
          <w:p w14:paraId="72FD644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88" w:type="dxa"/>
            <w:vAlign w:val="center"/>
          </w:tcPr>
          <w:p w14:paraId="7DFD17E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w:t>
            </w:r>
          </w:p>
        </w:tc>
        <w:tc>
          <w:tcPr>
            <w:tcW w:w="489" w:type="dxa"/>
            <w:vAlign w:val="center"/>
          </w:tcPr>
          <w:p w14:paraId="718B4C4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94" w:type="dxa"/>
            <w:tcBorders>
              <w:right w:val="single" w:sz="8" w:space="0" w:color="auto"/>
            </w:tcBorders>
            <w:vAlign w:val="center"/>
          </w:tcPr>
          <w:p w14:paraId="07FA9C7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94" w:type="dxa"/>
            <w:tcBorders>
              <w:left w:val="single" w:sz="8" w:space="0" w:color="auto"/>
            </w:tcBorders>
            <w:vAlign w:val="center"/>
          </w:tcPr>
          <w:p w14:paraId="34510BC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50</w:t>
            </w:r>
          </w:p>
        </w:tc>
        <w:tc>
          <w:tcPr>
            <w:tcW w:w="489" w:type="dxa"/>
            <w:vAlign w:val="center"/>
          </w:tcPr>
          <w:p w14:paraId="243E5C0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52</w:t>
            </w:r>
          </w:p>
        </w:tc>
        <w:tc>
          <w:tcPr>
            <w:tcW w:w="489" w:type="dxa"/>
            <w:vAlign w:val="center"/>
          </w:tcPr>
          <w:p w14:paraId="075DB7B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51</w:t>
            </w:r>
          </w:p>
        </w:tc>
        <w:tc>
          <w:tcPr>
            <w:tcW w:w="489" w:type="dxa"/>
            <w:vAlign w:val="center"/>
          </w:tcPr>
          <w:p w14:paraId="315C9C6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50</w:t>
            </w:r>
          </w:p>
        </w:tc>
        <w:tc>
          <w:tcPr>
            <w:tcW w:w="494" w:type="dxa"/>
            <w:tcBorders>
              <w:right w:val="single" w:sz="8" w:space="0" w:color="auto"/>
            </w:tcBorders>
            <w:vAlign w:val="center"/>
          </w:tcPr>
          <w:p w14:paraId="48E9D1F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44</w:t>
            </w:r>
          </w:p>
        </w:tc>
        <w:tc>
          <w:tcPr>
            <w:tcW w:w="494" w:type="dxa"/>
            <w:tcBorders>
              <w:left w:val="single" w:sz="8" w:space="0" w:color="auto"/>
            </w:tcBorders>
            <w:vAlign w:val="center"/>
          </w:tcPr>
          <w:p w14:paraId="4D29F9A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70</w:t>
            </w:r>
          </w:p>
        </w:tc>
        <w:tc>
          <w:tcPr>
            <w:tcW w:w="489" w:type="dxa"/>
            <w:vAlign w:val="center"/>
          </w:tcPr>
          <w:p w14:paraId="5E5B699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67</w:t>
            </w:r>
          </w:p>
        </w:tc>
        <w:tc>
          <w:tcPr>
            <w:tcW w:w="489" w:type="dxa"/>
            <w:vAlign w:val="center"/>
          </w:tcPr>
          <w:p w14:paraId="73EE8B3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66</w:t>
            </w:r>
          </w:p>
        </w:tc>
        <w:tc>
          <w:tcPr>
            <w:tcW w:w="489" w:type="dxa"/>
            <w:vAlign w:val="center"/>
          </w:tcPr>
          <w:p w14:paraId="216084A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63</w:t>
            </w:r>
          </w:p>
        </w:tc>
        <w:tc>
          <w:tcPr>
            <w:tcW w:w="489" w:type="dxa"/>
            <w:vAlign w:val="center"/>
          </w:tcPr>
          <w:p w14:paraId="0ECD6D8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58</w:t>
            </w:r>
          </w:p>
        </w:tc>
      </w:tr>
      <w:tr w:rsidR="00711FE4" w:rsidRPr="00711FE4" w14:paraId="7E656E4B" w14:textId="77777777" w:rsidTr="00366F04">
        <w:trPr>
          <w:trHeight w:val="170"/>
          <w:jc w:val="center"/>
        </w:trPr>
        <w:tc>
          <w:tcPr>
            <w:tcW w:w="137" w:type="dxa"/>
            <w:tcBorders>
              <w:right w:val="nil"/>
            </w:tcBorders>
            <w:vAlign w:val="center"/>
          </w:tcPr>
          <w:p w14:paraId="24660B2D"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79C77B9C"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dentist</w:t>
            </w:r>
          </w:p>
        </w:tc>
        <w:tc>
          <w:tcPr>
            <w:tcW w:w="533" w:type="dxa"/>
            <w:tcBorders>
              <w:left w:val="single" w:sz="8" w:space="0" w:color="auto"/>
            </w:tcBorders>
            <w:vAlign w:val="center"/>
          </w:tcPr>
          <w:p w14:paraId="74DE0DB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21</w:t>
            </w:r>
          </w:p>
        </w:tc>
        <w:tc>
          <w:tcPr>
            <w:tcW w:w="488" w:type="dxa"/>
            <w:vAlign w:val="center"/>
          </w:tcPr>
          <w:p w14:paraId="05C079F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25</w:t>
            </w:r>
          </w:p>
        </w:tc>
        <w:tc>
          <w:tcPr>
            <w:tcW w:w="488" w:type="dxa"/>
            <w:vAlign w:val="center"/>
          </w:tcPr>
          <w:p w14:paraId="441324B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23</w:t>
            </w:r>
          </w:p>
        </w:tc>
        <w:tc>
          <w:tcPr>
            <w:tcW w:w="489" w:type="dxa"/>
            <w:vAlign w:val="center"/>
          </w:tcPr>
          <w:p w14:paraId="2D7528C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23</w:t>
            </w:r>
          </w:p>
        </w:tc>
        <w:tc>
          <w:tcPr>
            <w:tcW w:w="494" w:type="dxa"/>
            <w:tcBorders>
              <w:right w:val="single" w:sz="8" w:space="0" w:color="auto"/>
            </w:tcBorders>
            <w:vAlign w:val="center"/>
          </w:tcPr>
          <w:p w14:paraId="02A9092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26</w:t>
            </w:r>
          </w:p>
        </w:tc>
        <w:tc>
          <w:tcPr>
            <w:tcW w:w="494" w:type="dxa"/>
            <w:tcBorders>
              <w:left w:val="single" w:sz="8" w:space="0" w:color="auto"/>
            </w:tcBorders>
            <w:vAlign w:val="center"/>
          </w:tcPr>
          <w:p w14:paraId="29D1920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80</w:t>
            </w:r>
          </w:p>
        </w:tc>
        <w:tc>
          <w:tcPr>
            <w:tcW w:w="489" w:type="dxa"/>
            <w:vAlign w:val="center"/>
          </w:tcPr>
          <w:p w14:paraId="67DC2DD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83</w:t>
            </w:r>
          </w:p>
        </w:tc>
        <w:tc>
          <w:tcPr>
            <w:tcW w:w="489" w:type="dxa"/>
            <w:vAlign w:val="center"/>
          </w:tcPr>
          <w:p w14:paraId="04D6DE3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81</w:t>
            </w:r>
          </w:p>
        </w:tc>
        <w:tc>
          <w:tcPr>
            <w:tcW w:w="489" w:type="dxa"/>
            <w:vAlign w:val="center"/>
          </w:tcPr>
          <w:p w14:paraId="42184A7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81</w:t>
            </w:r>
          </w:p>
        </w:tc>
        <w:tc>
          <w:tcPr>
            <w:tcW w:w="494" w:type="dxa"/>
            <w:tcBorders>
              <w:right w:val="single" w:sz="8" w:space="0" w:color="auto"/>
            </w:tcBorders>
            <w:vAlign w:val="center"/>
          </w:tcPr>
          <w:p w14:paraId="38ED603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82</w:t>
            </w:r>
          </w:p>
        </w:tc>
        <w:tc>
          <w:tcPr>
            <w:tcW w:w="494" w:type="dxa"/>
            <w:tcBorders>
              <w:left w:val="single" w:sz="8" w:space="0" w:color="auto"/>
            </w:tcBorders>
            <w:vAlign w:val="center"/>
          </w:tcPr>
          <w:p w14:paraId="0591058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88</w:t>
            </w:r>
          </w:p>
        </w:tc>
        <w:tc>
          <w:tcPr>
            <w:tcW w:w="489" w:type="dxa"/>
            <w:vAlign w:val="center"/>
          </w:tcPr>
          <w:p w14:paraId="278E0D4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91</w:t>
            </w:r>
          </w:p>
        </w:tc>
        <w:tc>
          <w:tcPr>
            <w:tcW w:w="489" w:type="dxa"/>
            <w:vAlign w:val="center"/>
          </w:tcPr>
          <w:p w14:paraId="0FA0DCC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87</w:t>
            </w:r>
          </w:p>
        </w:tc>
        <w:tc>
          <w:tcPr>
            <w:tcW w:w="489" w:type="dxa"/>
            <w:vAlign w:val="center"/>
          </w:tcPr>
          <w:p w14:paraId="294177C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88</w:t>
            </w:r>
          </w:p>
        </w:tc>
        <w:tc>
          <w:tcPr>
            <w:tcW w:w="489" w:type="dxa"/>
            <w:vAlign w:val="center"/>
          </w:tcPr>
          <w:p w14:paraId="4F9E13A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91</w:t>
            </w:r>
          </w:p>
        </w:tc>
      </w:tr>
      <w:tr w:rsidR="00711FE4" w:rsidRPr="00711FE4" w14:paraId="64E1931B" w14:textId="77777777" w:rsidTr="00366F04">
        <w:trPr>
          <w:trHeight w:val="170"/>
          <w:jc w:val="center"/>
        </w:trPr>
        <w:tc>
          <w:tcPr>
            <w:tcW w:w="137" w:type="dxa"/>
            <w:tcBorders>
              <w:right w:val="nil"/>
            </w:tcBorders>
            <w:vAlign w:val="center"/>
          </w:tcPr>
          <w:p w14:paraId="14453806"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3E82EC90"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local trips</w:t>
            </w:r>
          </w:p>
        </w:tc>
        <w:tc>
          <w:tcPr>
            <w:tcW w:w="533" w:type="dxa"/>
            <w:tcBorders>
              <w:left w:val="single" w:sz="8" w:space="0" w:color="auto"/>
            </w:tcBorders>
            <w:vAlign w:val="center"/>
          </w:tcPr>
          <w:p w14:paraId="3FBA147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10</w:t>
            </w:r>
          </w:p>
        </w:tc>
        <w:tc>
          <w:tcPr>
            <w:tcW w:w="488" w:type="dxa"/>
            <w:vAlign w:val="center"/>
          </w:tcPr>
          <w:p w14:paraId="60B1313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11</w:t>
            </w:r>
          </w:p>
        </w:tc>
        <w:tc>
          <w:tcPr>
            <w:tcW w:w="488" w:type="dxa"/>
            <w:vAlign w:val="center"/>
          </w:tcPr>
          <w:p w14:paraId="08B9E61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10</w:t>
            </w:r>
          </w:p>
        </w:tc>
        <w:tc>
          <w:tcPr>
            <w:tcW w:w="489" w:type="dxa"/>
            <w:vAlign w:val="center"/>
          </w:tcPr>
          <w:p w14:paraId="5EBCFBC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12</w:t>
            </w:r>
          </w:p>
        </w:tc>
        <w:tc>
          <w:tcPr>
            <w:tcW w:w="494" w:type="dxa"/>
            <w:tcBorders>
              <w:right w:val="single" w:sz="8" w:space="0" w:color="auto"/>
            </w:tcBorders>
            <w:vAlign w:val="center"/>
          </w:tcPr>
          <w:p w14:paraId="131347E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13</w:t>
            </w:r>
          </w:p>
        </w:tc>
        <w:tc>
          <w:tcPr>
            <w:tcW w:w="494" w:type="dxa"/>
            <w:tcBorders>
              <w:left w:val="single" w:sz="8" w:space="0" w:color="auto"/>
            </w:tcBorders>
            <w:vAlign w:val="center"/>
          </w:tcPr>
          <w:p w14:paraId="65BA172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70</w:t>
            </w:r>
          </w:p>
        </w:tc>
        <w:tc>
          <w:tcPr>
            <w:tcW w:w="489" w:type="dxa"/>
            <w:vAlign w:val="center"/>
          </w:tcPr>
          <w:p w14:paraId="2F16E96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65</w:t>
            </w:r>
          </w:p>
        </w:tc>
        <w:tc>
          <w:tcPr>
            <w:tcW w:w="489" w:type="dxa"/>
            <w:vAlign w:val="center"/>
          </w:tcPr>
          <w:p w14:paraId="1D0574D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66</w:t>
            </w:r>
          </w:p>
        </w:tc>
        <w:tc>
          <w:tcPr>
            <w:tcW w:w="489" w:type="dxa"/>
            <w:vAlign w:val="center"/>
          </w:tcPr>
          <w:p w14:paraId="755FC36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70</w:t>
            </w:r>
          </w:p>
        </w:tc>
        <w:tc>
          <w:tcPr>
            <w:tcW w:w="494" w:type="dxa"/>
            <w:tcBorders>
              <w:right w:val="single" w:sz="8" w:space="0" w:color="auto"/>
            </w:tcBorders>
            <w:vAlign w:val="center"/>
          </w:tcPr>
          <w:p w14:paraId="75D73C5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68</w:t>
            </w:r>
          </w:p>
        </w:tc>
        <w:tc>
          <w:tcPr>
            <w:tcW w:w="494" w:type="dxa"/>
            <w:tcBorders>
              <w:left w:val="single" w:sz="8" w:space="0" w:color="auto"/>
            </w:tcBorders>
            <w:vAlign w:val="center"/>
          </w:tcPr>
          <w:p w14:paraId="5D321F2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86</w:t>
            </w:r>
          </w:p>
        </w:tc>
        <w:tc>
          <w:tcPr>
            <w:tcW w:w="489" w:type="dxa"/>
            <w:vAlign w:val="center"/>
          </w:tcPr>
          <w:p w14:paraId="66E1333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81</w:t>
            </w:r>
          </w:p>
        </w:tc>
        <w:tc>
          <w:tcPr>
            <w:tcW w:w="489" w:type="dxa"/>
            <w:vAlign w:val="center"/>
          </w:tcPr>
          <w:p w14:paraId="6877ADD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82</w:t>
            </w:r>
          </w:p>
        </w:tc>
        <w:tc>
          <w:tcPr>
            <w:tcW w:w="489" w:type="dxa"/>
            <w:vAlign w:val="center"/>
          </w:tcPr>
          <w:p w14:paraId="5254BC3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86</w:t>
            </w:r>
          </w:p>
        </w:tc>
        <w:tc>
          <w:tcPr>
            <w:tcW w:w="489" w:type="dxa"/>
            <w:vAlign w:val="center"/>
          </w:tcPr>
          <w:p w14:paraId="17C4684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85</w:t>
            </w:r>
          </w:p>
        </w:tc>
      </w:tr>
      <w:tr w:rsidR="00711FE4" w:rsidRPr="00711FE4" w14:paraId="3D296516" w14:textId="77777777" w:rsidTr="00366F04">
        <w:trPr>
          <w:trHeight w:val="170"/>
          <w:jc w:val="center"/>
        </w:trPr>
        <w:tc>
          <w:tcPr>
            <w:tcW w:w="137" w:type="dxa"/>
            <w:tcBorders>
              <w:right w:val="nil"/>
            </w:tcBorders>
            <w:vAlign w:val="center"/>
          </w:tcPr>
          <w:p w14:paraId="3CD563CD"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61628603"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appliances</w:t>
            </w:r>
          </w:p>
        </w:tc>
        <w:tc>
          <w:tcPr>
            <w:tcW w:w="533" w:type="dxa"/>
            <w:tcBorders>
              <w:left w:val="single" w:sz="8" w:space="0" w:color="auto"/>
            </w:tcBorders>
            <w:vAlign w:val="center"/>
          </w:tcPr>
          <w:p w14:paraId="1BBC196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88" w:type="dxa"/>
            <w:vAlign w:val="center"/>
          </w:tcPr>
          <w:p w14:paraId="1A28398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w:t>
            </w:r>
          </w:p>
        </w:tc>
        <w:tc>
          <w:tcPr>
            <w:tcW w:w="488" w:type="dxa"/>
            <w:vAlign w:val="center"/>
          </w:tcPr>
          <w:p w14:paraId="1432A13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89" w:type="dxa"/>
            <w:vAlign w:val="center"/>
          </w:tcPr>
          <w:p w14:paraId="756094C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94" w:type="dxa"/>
            <w:tcBorders>
              <w:right w:val="single" w:sz="8" w:space="0" w:color="auto"/>
            </w:tcBorders>
            <w:vAlign w:val="center"/>
          </w:tcPr>
          <w:p w14:paraId="1538543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w:t>
            </w:r>
          </w:p>
        </w:tc>
        <w:tc>
          <w:tcPr>
            <w:tcW w:w="494" w:type="dxa"/>
            <w:tcBorders>
              <w:left w:val="single" w:sz="8" w:space="0" w:color="auto"/>
            </w:tcBorders>
            <w:vAlign w:val="center"/>
          </w:tcPr>
          <w:p w14:paraId="2D026A6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55</w:t>
            </w:r>
          </w:p>
        </w:tc>
        <w:tc>
          <w:tcPr>
            <w:tcW w:w="489" w:type="dxa"/>
            <w:vAlign w:val="center"/>
          </w:tcPr>
          <w:p w14:paraId="50B9281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56</w:t>
            </w:r>
          </w:p>
        </w:tc>
        <w:tc>
          <w:tcPr>
            <w:tcW w:w="489" w:type="dxa"/>
            <w:vAlign w:val="center"/>
          </w:tcPr>
          <w:p w14:paraId="6A43F46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58</w:t>
            </w:r>
          </w:p>
        </w:tc>
        <w:tc>
          <w:tcPr>
            <w:tcW w:w="489" w:type="dxa"/>
            <w:vAlign w:val="center"/>
          </w:tcPr>
          <w:p w14:paraId="4C045C3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57</w:t>
            </w:r>
          </w:p>
        </w:tc>
        <w:tc>
          <w:tcPr>
            <w:tcW w:w="494" w:type="dxa"/>
            <w:tcBorders>
              <w:right w:val="single" w:sz="8" w:space="0" w:color="auto"/>
            </w:tcBorders>
            <w:vAlign w:val="center"/>
          </w:tcPr>
          <w:p w14:paraId="5E52EF1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60</w:t>
            </w:r>
          </w:p>
        </w:tc>
        <w:tc>
          <w:tcPr>
            <w:tcW w:w="494" w:type="dxa"/>
            <w:tcBorders>
              <w:left w:val="single" w:sz="8" w:space="0" w:color="auto"/>
            </w:tcBorders>
            <w:vAlign w:val="center"/>
          </w:tcPr>
          <w:p w14:paraId="2EAC27C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75</w:t>
            </w:r>
          </w:p>
        </w:tc>
        <w:tc>
          <w:tcPr>
            <w:tcW w:w="489" w:type="dxa"/>
            <w:vAlign w:val="center"/>
          </w:tcPr>
          <w:p w14:paraId="1D7E6A3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73</w:t>
            </w:r>
          </w:p>
        </w:tc>
        <w:tc>
          <w:tcPr>
            <w:tcW w:w="489" w:type="dxa"/>
            <w:vAlign w:val="center"/>
          </w:tcPr>
          <w:p w14:paraId="15BC811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74</w:t>
            </w:r>
          </w:p>
        </w:tc>
        <w:tc>
          <w:tcPr>
            <w:tcW w:w="489" w:type="dxa"/>
            <w:vAlign w:val="center"/>
          </w:tcPr>
          <w:p w14:paraId="7BB0238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75</w:t>
            </w:r>
          </w:p>
        </w:tc>
        <w:tc>
          <w:tcPr>
            <w:tcW w:w="489" w:type="dxa"/>
            <w:vAlign w:val="center"/>
          </w:tcPr>
          <w:p w14:paraId="2F50787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73</w:t>
            </w:r>
          </w:p>
        </w:tc>
      </w:tr>
      <w:tr w:rsidR="00711FE4" w:rsidRPr="00711FE4" w14:paraId="32A202AC" w14:textId="77777777" w:rsidTr="00366F04">
        <w:trPr>
          <w:trHeight w:val="170"/>
          <w:jc w:val="center"/>
        </w:trPr>
        <w:tc>
          <w:tcPr>
            <w:tcW w:w="1276" w:type="dxa"/>
            <w:gridSpan w:val="2"/>
            <w:tcBorders>
              <w:right w:val="single" w:sz="8" w:space="0" w:color="auto"/>
            </w:tcBorders>
            <w:tcMar>
              <w:right w:w="57" w:type="dxa"/>
            </w:tcMar>
            <w:vAlign w:val="center"/>
          </w:tcPr>
          <w:p w14:paraId="7817D541" w14:textId="77777777" w:rsidR="00711FE4" w:rsidRPr="00711FE4" w:rsidRDefault="00711FE4" w:rsidP="00711FE4">
            <w:pPr>
              <w:spacing w:before="30" w:after="30" w:line="240" w:lineRule="auto"/>
              <w:rPr>
                <w:rFonts w:ascii="Arial" w:hAnsi="Arial"/>
                <w:color w:val="000000" w:themeColor="text1"/>
                <w:sz w:val="14"/>
                <w:szCs w:val="14"/>
              </w:rPr>
            </w:pPr>
            <w:r w:rsidRPr="00711FE4">
              <w:rPr>
                <w:rFonts w:ascii="Arial" w:hAnsi="Arial"/>
                <w:b/>
                <w:color w:val="000000" w:themeColor="text1"/>
                <w:sz w:val="14"/>
                <w:szCs w:val="14"/>
              </w:rPr>
              <w:t xml:space="preserve"> Arrears</w:t>
            </w:r>
          </w:p>
        </w:tc>
        <w:tc>
          <w:tcPr>
            <w:tcW w:w="533" w:type="dxa"/>
            <w:tcBorders>
              <w:left w:val="single" w:sz="8" w:space="0" w:color="auto"/>
            </w:tcBorders>
            <w:vAlign w:val="center"/>
          </w:tcPr>
          <w:p w14:paraId="455D1DC4" w14:textId="77777777" w:rsidR="00711FE4" w:rsidRPr="00711FE4" w:rsidRDefault="00711FE4" w:rsidP="00711FE4">
            <w:pPr>
              <w:spacing w:before="30" w:after="30" w:line="240" w:lineRule="auto"/>
              <w:jc w:val="center"/>
              <w:rPr>
                <w:rFonts w:ascii="Arial" w:hAnsi="Arial"/>
                <w:color w:val="000000"/>
                <w:sz w:val="14"/>
                <w:szCs w:val="14"/>
              </w:rPr>
            </w:pPr>
          </w:p>
        </w:tc>
        <w:tc>
          <w:tcPr>
            <w:tcW w:w="488" w:type="dxa"/>
            <w:vAlign w:val="center"/>
          </w:tcPr>
          <w:p w14:paraId="204BCB7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8" w:type="dxa"/>
            <w:vAlign w:val="center"/>
          </w:tcPr>
          <w:p w14:paraId="16CA216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636F24B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right w:val="single" w:sz="8" w:space="0" w:color="auto"/>
            </w:tcBorders>
            <w:vAlign w:val="center"/>
          </w:tcPr>
          <w:p w14:paraId="39E1175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left w:val="single" w:sz="8" w:space="0" w:color="auto"/>
            </w:tcBorders>
            <w:vAlign w:val="center"/>
          </w:tcPr>
          <w:p w14:paraId="0B4A272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36CD9B6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08CF7EC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1B3F999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right w:val="single" w:sz="8" w:space="0" w:color="auto"/>
            </w:tcBorders>
            <w:vAlign w:val="center"/>
          </w:tcPr>
          <w:p w14:paraId="71F52FD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left w:val="single" w:sz="8" w:space="0" w:color="auto"/>
            </w:tcBorders>
            <w:vAlign w:val="center"/>
          </w:tcPr>
          <w:p w14:paraId="663A3FF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63B4211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106785E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6E89522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25225EF7" w14:textId="77777777" w:rsidR="00711FE4" w:rsidRPr="00711FE4" w:rsidRDefault="00711FE4" w:rsidP="00711FE4">
            <w:pPr>
              <w:spacing w:before="30" w:after="30" w:line="240" w:lineRule="auto"/>
              <w:ind w:left="132"/>
              <w:jc w:val="center"/>
              <w:rPr>
                <w:rFonts w:ascii="Arial" w:hAnsi="Arial"/>
                <w:b/>
                <w:color w:val="000000" w:themeColor="text1"/>
                <w:sz w:val="16"/>
                <w:szCs w:val="16"/>
                <w:highlight w:val="cyan"/>
              </w:rPr>
            </w:pPr>
            <w:r w:rsidRPr="00711FE4">
              <w:rPr>
                <w:rFonts w:ascii="Arial" w:hAnsi="Arial"/>
                <w:b/>
                <w:bCs/>
                <w:color w:val="000000"/>
                <w:sz w:val="16"/>
                <w:szCs w:val="16"/>
              </w:rPr>
              <w:t> </w:t>
            </w:r>
          </w:p>
        </w:tc>
      </w:tr>
      <w:tr w:rsidR="00711FE4" w:rsidRPr="00711FE4" w14:paraId="5F78BBC1" w14:textId="77777777" w:rsidTr="00366F04">
        <w:trPr>
          <w:trHeight w:val="170"/>
          <w:jc w:val="center"/>
        </w:trPr>
        <w:tc>
          <w:tcPr>
            <w:tcW w:w="137" w:type="dxa"/>
            <w:tcBorders>
              <w:right w:val="nil"/>
            </w:tcBorders>
            <w:vAlign w:val="center"/>
          </w:tcPr>
          <w:p w14:paraId="0C4D4B44"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0C4D2DD2" w14:textId="77777777" w:rsidR="00711FE4" w:rsidRPr="00711FE4" w:rsidRDefault="00711FE4" w:rsidP="00711FE4">
            <w:pPr>
              <w:spacing w:before="30" w:after="30" w:line="240" w:lineRule="auto"/>
              <w:jc w:val="both"/>
              <w:rPr>
                <w:rFonts w:ascii="Arial" w:hAnsi="Arial"/>
                <w:color w:val="000000" w:themeColor="text1"/>
                <w:sz w:val="14"/>
                <w:szCs w:val="16"/>
              </w:rPr>
            </w:pPr>
            <w:r w:rsidRPr="00711FE4">
              <w:rPr>
                <w:rFonts w:ascii="Arial" w:hAnsi="Arial"/>
                <w:color w:val="000000"/>
                <w:sz w:val="14"/>
                <w:szCs w:val="14"/>
              </w:rPr>
              <w:t>utilities</w:t>
            </w:r>
          </w:p>
        </w:tc>
        <w:tc>
          <w:tcPr>
            <w:tcW w:w="533" w:type="dxa"/>
            <w:tcBorders>
              <w:left w:val="single" w:sz="8" w:space="0" w:color="auto"/>
            </w:tcBorders>
            <w:vAlign w:val="center"/>
          </w:tcPr>
          <w:p w14:paraId="07E39B0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88" w:type="dxa"/>
            <w:vAlign w:val="center"/>
          </w:tcPr>
          <w:p w14:paraId="41BEDE7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88" w:type="dxa"/>
            <w:vAlign w:val="center"/>
          </w:tcPr>
          <w:p w14:paraId="5269584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89" w:type="dxa"/>
            <w:vAlign w:val="center"/>
          </w:tcPr>
          <w:p w14:paraId="2E6CFFA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94" w:type="dxa"/>
            <w:tcBorders>
              <w:right w:val="single" w:sz="8" w:space="0" w:color="auto"/>
            </w:tcBorders>
            <w:vAlign w:val="center"/>
          </w:tcPr>
          <w:p w14:paraId="26986B4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w:t>
            </w:r>
          </w:p>
        </w:tc>
        <w:tc>
          <w:tcPr>
            <w:tcW w:w="494" w:type="dxa"/>
            <w:tcBorders>
              <w:left w:val="single" w:sz="8" w:space="0" w:color="auto"/>
            </w:tcBorders>
            <w:vAlign w:val="center"/>
          </w:tcPr>
          <w:p w14:paraId="40596DA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41</w:t>
            </w:r>
          </w:p>
        </w:tc>
        <w:tc>
          <w:tcPr>
            <w:tcW w:w="489" w:type="dxa"/>
            <w:vAlign w:val="center"/>
          </w:tcPr>
          <w:p w14:paraId="41D12D4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42</w:t>
            </w:r>
          </w:p>
        </w:tc>
        <w:tc>
          <w:tcPr>
            <w:tcW w:w="489" w:type="dxa"/>
            <w:vAlign w:val="center"/>
          </w:tcPr>
          <w:p w14:paraId="10C22BA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41</w:t>
            </w:r>
          </w:p>
        </w:tc>
        <w:tc>
          <w:tcPr>
            <w:tcW w:w="489" w:type="dxa"/>
            <w:vAlign w:val="center"/>
          </w:tcPr>
          <w:p w14:paraId="04113DA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44</w:t>
            </w:r>
          </w:p>
        </w:tc>
        <w:tc>
          <w:tcPr>
            <w:tcW w:w="494" w:type="dxa"/>
            <w:tcBorders>
              <w:right w:val="single" w:sz="8" w:space="0" w:color="auto"/>
            </w:tcBorders>
            <w:vAlign w:val="center"/>
          </w:tcPr>
          <w:p w14:paraId="2476C19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44</w:t>
            </w:r>
          </w:p>
        </w:tc>
        <w:tc>
          <w:tcPr>
            <w:tcW w:w="494" w:type="dxa"/>
            <w:tcBorders>
              <w:left w:val="single" w:sz="8" w:space="0" w:color="auto"/>
            </w:tcBorders>
            <w:vAlign w:val="center"/>
          </w:tcPr>
          <w:p w14:paraId="7AED0E0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60</w:t>
            </w:r>
          </w:p>
        </w:tc>
        <w:tc>
          <w:tcPr>
            <w:tcW w:w="489" w:type="dxa"/>
            <w:vAlign w:val="center"/>
          </w:tcPr>
          <w:p w14:paraId="7340E6E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59</w:t>
            </w:r>
          </w:p>
        </w:tc>
        <w:tc>
          <w:tcPr>
            <w:tcW w:w="489" w:type="dxa"/>
            <w:vAlign w:val="center"/>
          </w:tcPr>
          <w:p w14:paraId="1BE7389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55</w:t>
            </w:r>
          </w:p>
        </w:tc>
        <w:tc>
          <w:tcPr>
            <w:tcW w:w="489" w:type="dxa"/>
            <w:vAlign w:val="center"/>
          </w:tcPr>
          <w:p w14:paraId="10719D8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59</w:t>
            </w:r>
          </w:p>
        </w:tc>
        <w:tc>
          <w:tcPr>
            <w:tcW w:w="489" w:type="dxa"/>
            <w:vAlign w:val="center"/>
          </w:tcPr>
          <w:p w14:paraId="71B59DE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60</w:t>
            </w:r>
          </w:p>
        </w:tc>
      </w:tr>
      <w:tr w:rsidR="00711FE4" w:rsidRPr="00711FE4" w14:paraId="74589D35" w14:textId="77777777" w:rsidTr="00366F04">
        <w:trPr>
          <w:trHeight w:val="170"/>
          <w:jc w:val="center"/>
        </w:trPr>
        <w:tc>
          <w:tcPr>
            <w:tcW w:w="137" w:type="dxa"/>
            <w:tcBorders>
              <w:right w:val="nil"/>
            </w:tcBorders>
            <w:vAlign w:val="center"/>
          </w:tcPr>
          <w:p w14:paraId="35C7C48A"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4BCBAB6A"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vehicle exp</w:t>
            </w:r>
          </w:p>
        </w:tc>
        <w:tc>
          <w:tcPr>
            <w:tcW w:w="533" w:type="dxa"/>
            <w:tcBorders>
              <w:left w:val="single" w:sz="8" w:space="0" w:color="auto"/>
            </w:tcBorders>
            <w:vAlign w:val="center"/>
          </w:tcPr>
          <w:p w14:paraId="5F7BCDB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88" w:type="dxa"/>
            <w:vAlign w:val="center"/>
          </w:tcPr>
          <w:p w14:paraId="2B8F8E8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88" w:type="dxa"/>
            <w:vAlign w:val="center"/>
          </w:tcPr>
          <w:p w14:paraId="3D5C32A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89" w:type="dxa"/>
            <w:vAlign w:val="center"/>
          </w:tcPr>
          <w:p w14:paraId="15100770"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w:t>
            </w:r>
          </w:p>
        </w:tc>
        <w:tc>
          <w:tcPr>
            <w:tcW w:w="494" w:type="dxa"/>
            <w:tcBorders>
              <w:right w:val="single" w:sz="8" w:space="0" w:color="auto"/>
            </w:tcBorders>
            <w:vAlign w:val="center"/>
          </w:tcPr>
          <w:p w14:paraId="22FA143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w:t>
            </w:r>
          </w:p>
        </w:tc>
        <w:tc>
          <w:tcPr>
            <w:tcW w:w="494" w:type="dxa"/>
            <w:tcBorders>
              <w:left w:val="single" w:sz="8" w:space="0" w:color="auto"/>
            </w:tcBorders>
            <w:vAlign w:val="center"/>
          </w:tcPr>
          <w:p w14:paraId="6EE5D16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41</w:t>
            </w:r>
          </w:p>
        </w:tc>
        <w:tc>
          <w:tcPr>
            <w:tcW w:w="489" w:type="dxa"/>
            <w:vAlign w:val="center"/>
          </w:tcPr>
          <w:p w14:paraId="01A027D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40</w:t>
            </w:r>
          </w:p>
        </w:tc>
        <w:tc>
          <w:tcPr>
            <w:tcW w:w="489" w:type="dxa"/>
            <w:vAlign w:val="center"/>
          </w:tcPr>
          <w:p w14:paraId="7824B2C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41</w:t>
            </w:r>
          </w:p>
        </w:tc>
        <w:tc>
          <w:tcPr>
            <w:tcW w:w="489" w:type="dxa"/>
            <w:vAlign w:val="center"/>
          </w:tcPr>
          <w:p w14:paraId="32EB501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42</w:t>
            </w:r>
          </w:p>
        </w:tc>
        <w:tc>
          <w:tcPr>
            <w:tcW w:w="494" w:type="dxa"/>
            <w:tcBorders>
              <w:right w:val="single" w:sz="8" w:space="0" w:color="auto"/>
            </w:tcBorders>
            <w:vAlign w:val="center"/>
          </w:tcPr>
          <w:p w14:paraId="086B5E0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43</w:t>
            </w:r>
          </w:p>
        </w:tc>
        <w:tc>
          <w:tcPr>
            <w:tcW w:w="494" w:type="dxa"/>
            <w:tcBorders>
              <w:left w:val="single" w:sz="8" w:space="0" w:color="auto"/>
            </w:tcBorders>
            <w:vAlign w:val="center"/>
          </w:tcPr>
          <w:p w14:paraId="1A03728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51</w:t>
            </w:r>
          </w:p>
        </w:tc>
        <w:tc>
          <w:tcPr>
            <w:tcW w:w="489" w:type="dxa"/>
            <w:vAlign w:val="center"/>
          </w:tcPr>
          <w:p w14:paraId="114CCD0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55</w:t>
            </w:r>
          </w:p>
        </w:tc>
        <w:tc>
          <w:tcPr>
            <w:tcW w:w="489" w:type="dxa"/>
            <w:vAlign w:val="center"/>
          </w:tcPr>
          <w:p w14:paraId="4A6168C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58</w:t>
            </w:r>
          </w:p>
        </w:tc>
        <w:tc>
          <w:tcPr>
            <w:tcW w:w="489" w:type="dxa"/>
            <w:vAlign w:val="center"/>
          </w:tcPr>
          <w:p w14:paraId="15FE0DE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59</w:t>
            </w:r>
          </w:p>
        </w:tc>
        <w:tc>
          <w:tcPr>
            <w:tcW w:w="489" w:type="dxa"/>
            <w:vAlign w:val="center"/>
          </w:tcPr>
          <w:p w14:paraId="4E6784A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60</w:t>
            </w:r>
          </w:p>
        </w:tc>
      </w:tr>
      <w:tr w:rsidR="00711FE4" w:rsidRPr="00711FE4" w14:paraId="32E269A1" w14:textId="77777777" w:rsidTr="00366F04">
        <w:trPr>
          <w:trHeight w:val="170"/>
          <w:jc w:val="center"/>
        </w:trPr>
        <w:tc>
          <w:tcPr>
            <w:tcW w:w="1276" w:type="dxa"/>
            <w:gridSpan w:val="2"/>
            <w:tcBorders>
              <w:right w:val="single" w:sz="8" w:space="0" w:color="auto"/>
            </w:tcBorders>
            <w:vAlign w:val="center"/>
          </w:tcPr>
          <w:p w14:paraId="0693F058" w14:textId="77777777" w:rsidR="00711FE4" w:rsidRPr="00711FE4" w:rsidRDefault="00711FE4" w:rsidP="00711FE4">
            <w:pPr>
              <w:spacing w:before="30" w:after="30" w:line="240" w:lineRule="auto"/>
              <w:jc w:val="both"/>
              <w:rPr>
                <w:rFonts w:ascii="Arial" w:hAnsi="Arial"/>
                <w:b/>
                <w:color w:val="000000" w:themeColor="text1"/>
                <w:sz w:val="14"/>
                <w:szCs w:val="14"/>
              </w:rPr>
            </w:pPr>
            <w:r w:rsidRPr="00711FE4">
              <w:rPr>
                <w:rFonts w:ascii="Arial" w:hAnsi="Arial"/>
                <w:b/>
                <w:color w:val="000000" w:themeColor="text1"/>
                <w:sz w:val="14"/>
                <w:szCs w:val="14"/>
              </w:rPr>
              <w:t xml:space="preserve"> Financial stress</w:t>
            </w:r>
          </w:p>
        </w:tc>
        <w:tc>
          <w:tcPr>
            <w:tcW w:w="533" w:type="dxa"/>
            <w:tcBorders>
              <w:left w:val="single" w:sz="8" w:space="0" w:color="auto"/>
            </w:tcBorders>
            <w:vAlign w:val="center"/>
          </w:tcPr>
          <w:p w14:paraId="74781DA2" w14:textId="77777777" w:rsidR="00711FE4" w:rsidRPr="00711FE4" w:rsidRDefault="00711FE4" w:rsidP="00711FE4">
            <w:pPr>
              <w:spacing w:before="30" w:after="30" w:line="240" w:lineRule="auto"/>
              <w:jc w:val="center"/>
              <w:rPr>
                <w:rFonts w:ascii="Arial" w:hAnsi="Arial"/>
                <w:color w:val="000000"/>
                <w:sz w:val="14"/>
                <w:szCs w:val="14"/>
              </w:rPr>
            </w:pPr>
          </w:p>
        </w:tc>
        <w:tc>
          <w:tcPr>
            <w:tcW w:w="488" w:type="dxa"/>
            <w:vAlign w:val="center"/>
          </w:tcPr>
          <w:p w14:paraId="3F15BC7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8" w:type="dxa"/>
            <w:vAlign w:val="center"/>
          </w:tcPr>
          <w:p w14:paraId="3FED3CA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0B3D082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right w:val="single" w:sz="8" w:space="0" w:color="auto"/>
            </w:tcBorders>
            <w:vAlign w:val="center"/>
          </w:tcPr>
          <w:p w14:paraId="3F6E4AB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left w:val="single" w:sz="8" w:space="0" w:color="auto"/>
            </w:tcBorders>
            <w:vAlign w:val="center"/>
          </w:tcPr>
          <w:p w14:paraId="0535D93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7DDB521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61EA571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761CC41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right w:val="single" w:sz="8" w:space="0" w:color="auto"/>
            </w:tcBorders>
            <w:vAlign w:val="center"/>
          </w:tcPr>
          <w:p w14:paraId="489B3D9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94" w:type="dxa"/>
            <w:tcBorders>
              <w:left w:val="single" w:sz="8" w:space="0" w:color="auto"/>
            </w:tcBorders>
            <w:vAlign w:val="center"/>
          </w:tcPr>
          <w:p w14:paraId="069662F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525F251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271E1C1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4928CEE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c>
          <w:tcPr>
            <w:tcW w:w="489" w:type="dxa"/>
            <w:vAlign w:val="center"/>
          </w:tcPr>
          <w:p w14:paraId="3D95B23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 </w:t>
            </w:r>
          </w:p>
        </w:tc>
      </w:tr>
      <w:tr w:rsidR="00711FE4" w:rsidRPr="00711FE4" w14:paraId="26694CA4" w14:textId="77777777" w:rsidTr="00366F04">
        <w:trPr>
          <w:trHeight w:val="170"/>
          <w:jc w:val="center"/>
        </w:trPr>
        <w:tc>
          <w:tcPr>
            <w:tcW w:w="137" w:type="dxa"/>
            <w:tcBorders>
              <w:right w:val="nil"/>
            </w:tcBorders>
            <w:vAlign w:val="center"/>
          </w:tcPr>
          <w:p w14:paraId="32FB1F2E"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66E7EB72" w14:textId="77777777" w:rsidR="00711FE4" w:rsidRPr="00711FE4" w:rsidRDefault="00711FE4" w:rsidP="00711FE4">
            <w:pPr>
              <w:spacing w:before="30" w:after="30" w:line="240" w:lineRule="auto"/>
              <w:jc w:val="both"/>
              <w:rPr>
                <w:rFonts w:ascii="Arial" w:hAnsi="Arial"/>
                <w:color w:val="000000" w:themeColor="text1"/>
                <w:sz w:val="14"/>
                <w:szCs w:val="16"/>
              </w:rPr>
            </w:pPr>
            <w:r w:rsidRPr="00711FE4">
              <w:rPr>
                <w:rFonts w:ascii="Arial" w:hAnsi="Arial"/>
                <w:color w:val="000000"/>
                <w:sz w:val="14"/>
                <w:szCs w:val="14"/>
              </w:rPr>
              <w:t>borrowed</w:t>
            </w:r>
          </w:p>
        </w:tc>
        <w:tc>
          <w:tcPr>
            <w:tcW w:w="533" w:type="dxa"/>
            <w:tcBorders>
              <w:left w:val="single" w:sz="8" w:space="0" w:color="auto"/>
            </w:tcBorders>
            <w:vAlign w:val="center"/>
          </w:tcPr>
          <w:p w14:paraId="6A40560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w:t>
            </w:r>
          </w:p>
        </w:tc>
        <w:tc>
          <w:tcPr>
            <w:tcW w:w="488" w:type="dxa"/>
            <w:vAlign w:val="center"/>
          </w:tcPr>
          <w:p w14:paraId="4131D7D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w:t>
            </w:r>
          </w:p>
        </w:tc>
        <w:tc>
          <w:tcPr>
            <w:tcW w:w="488" w:type="dxa"/>
            <w:vAlign w:val="center"/>
          </w:tcPr>
          <w:p w14:paraId="3031FF8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89" w:type="dxa"/>
            <w:vAlign w:val="center"/>
          </w:tcPr>
          <w:p w14:paraId="09251FF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94" w:type="dxa"/>
            <w:tcBorders>
              <w:right w:val="single" w:sz="8" w:space="0" w:color="auto"/>
            </w:tcBorders>
            <w:vAlign w:val="center"/>
          </w:tcPr>
          <w:p w14:paraId="7047D72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w:t>
            </w:r>
          </w:p>
        </w:tc>
        <w:tc>
          <w:tcPr>
            <w:tcW w:w="494" w:type="dxa"/>
            <w:tcBorders>
              <w:left w:val="single" w:sz="8" w:space="0" w:color="auto"/>
            </w:tcBorders>
            <w:vAlign w:val="center"/>
          </w:tcPr>
          <w:p w14:paraId="0F15517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51</w:t>
            </w:r>
          </w:p>
        </w:tc>
        <w:tc>
          <w:tcPr>
            <w:tcW w:w="489" w:type="dxa"/>
            <w:vAlign w:val="center"/>
          </w:tcPr>
          <w:p w14:paraId="3FE28CC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52</w:t>
            </w:r>
          </w:p>
        </w:tc>
        <w:tc>
          <w:tcPr>
            <w:tcW w:w="489" w:type="dxa"/>
            <w:vAlign w:val="center"/>
          </w:tcPr>
          <w:p w14:paraId="7140A77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53</w:t>
            </w:r>
          </w:p>
        </w:tc>
        <w:tc>
          <w:tcPr>
            <w:tcW w:w="489" w:type="dxa"/>
            <w:vAlign w:val="center"/>
          </w:tcPr>
          <w:p w14:paraId="5866020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50</w:t>
            </w:r>
          </w:p>
        </w:tc>
        <w:tc>
          <w:tcPr>
            <w:tcW w:w="494" w:type="dxa"/>
            <w:tcBorders>
              <w:right w:val="single" w:sz="8" w:space="0" w:color="auto"/>
            </w:tcBorders>
            <w:vAlign w:val="center"/>
          </w:tcPr>
          <w:p w14:paraId="5C69D45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50</w:t>
            </w:r>
          </w:p>
        </w:tc>
        <w:tc>
          <w:tcPr>
            <w:tcW w:w="494" w:type="dxa"/>
            <w:tcBorders>
              <w:left w:val="single" w:sz="8" w:space="0" w:color="auto"/>
            </w:tcBorders>
            <w:vAlign w:val="center"/>
          </w:tcPr>
          <w:p w14:paraId="6303CDB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64</w:t>
            </w:r>
          </w:p>
        </w:tc>
        <w:tc>
          <w:tcPr>
            <w:tcW w:w="489" w:type="dxa"/>
            <w:vAlign w:val="center"/>
          </w:tcPr>
          <w:p w14:paraId="23F8DE72"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68</w:t>
            </w:r>
          </w:p>
        </w:tc>
        <w:tc>
          <w:tcPr>
            <w:tcW w:w="489" w:type="dxa"/>
            <w:vAlign w:val="center"/>
          </w:tcPr>
          <w:p w14:paraId="1D7A8EE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67</w:t>
            </w:r>
          </w:p>
        </w:tc>
        <w:tc>
          <w:tcPr>
            <w:tcW w:w="489" w:type="dxa"/>
            <w:vAlign w:val="center"/>
          </w:tcPr>
          <w:p w14:paraId="01C85B4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66</w:t>
            </w:r>
          </w:p>
        </w:tc>
        <w:tc>
          <w:tcPr>
            <w:tcW w:w="489" w:type="dxa"/>
            <w:vAlign w:val="center"/>
          </w:tcPr>
          <w:p w14:paraId="7E62913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64</w:t>
            </w:r>
          </w:p>
        </w:tc>
      </w:tr>
      <w:tr w:rsidR="00711FE4" w:rsidRPr="00711FE4" w14:paraId="6D2D9C4F" w14:textId="77777777" w:rsidTr="00366F04">
        <w:trPr>
          <w:trHeight w:val="170"/>
          <w:jc w:val="center"/>
        </w:trPr>
        <w:tc>
          <w:tcPr>
            <w:tcW w:w="137" w:type="dxa"/>
            <w:tcBorders>
              <w:right w:val="nil"/>
            </w:tcBorders>
            <w:vAlign w:val="center"/>
          </w:tcPr>
          <w:p w14:paraId="30ADE467"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1A201F6F" w14:textId="77777777" w:rsidR="00711FE4" w:rsidRPr="00711FE4" w:rsidRDefault="00711FE4" w:rsidP="00711FE4">
            <w:pPr>
              <w:spacing w:before="30" w:after="30" w:line="240" w:lineRule="auto"/>
              <w:jc w:val="both"/>
              <w:rPr>
                <w:rFonts w:ascii="Arial" w:hAnsi="Arial"/>
                <w:color w:val="000000" w:themeColor="text1"/>
                <w:sz w:val="14"/>
                <w:szCs w:val="16"/>
              </w:rPr>
            </w:pPr>
            <w:r w:rsidRPr="00711FE4">
              <w:rPr>
                <w:rFonts w:ascii="Arial" w:hAnsi="Arial"/>
                <w:color w:val="000000"/>
                <w:sz w:val="14"/>
                <w:szCs w:val="14"/>
              </w:rPr>
              <w:t>‘very limited’</w:t>
            </w:r>
          </w:p>
        </w:tc>
        <w:tc>
          <w:tcPr>
            <w:tcW w:w="533" w:type="dxa"/>
            <w:tcBorders>
              <w:left w:val="single" w:sz="8" w:space="0" w:color="auto"/>
            </w:tcBorders>
            <w:vAlign w:val="center"/>
          </w:tcPr>
          <w:p w14:paraId="5D629AE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12</w:t>
            </w:r>
          </w:p>
        </w:tc>
        <w:tc>
          <w:tcPr>
            <w:tcW w:w="488" w:type="dxa"/>
            <w:vAlign w:val="center"/>
          </w:tcPr>
          <w:p w14:paraId="2ADD3E8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13</w:t>
            </w:r>
          </w:p>
        </w:tc>
        <w:tc>
          <w:tcPr>
            <w:tcW w:w="488" w:type="dxa"/>
            <w:vAlign w:val="center"/>
          </w:tcPr>
          <w:p w14:paraId="04B473C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11</w:t>
            </w:r>
          </w:p>
        </w:tc>
        <w:tc>
          <w:tcPr>
            <w:tcW w:w="489" w:type="dxa"/>
            <w:vAlign w:val="center"/>
          </w:tcPr>
          <w:p w14:paraId="19CA254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13</w:t>
            </w:r>
          </w:p>
        </w:tc>
        <w:tc>
          <w:tcPr>
            <w:tcW w:w="494" w:type="dxa"/>
            <w:tcBorders>
              <w:right w:val="single" w:sz="8" w:space="0" w:color="auto"/>
            </w:tcBorders>
            <w:vAlign w:val="center"/>
          </w:tcPr>
          <w:p w14:paraId="7B05176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14</w:t>
            </w:r>
          </w:p>
        </w:tc>
        <w:tc>
          <w:tcPr>
            <w:tcW w:w="494" w:type="dxa"/>
            <w:tcBorders>
              <w:left w:val="single" w:sz="8" w:space="0" w:color="auto"/>
            </w:tcBorders>
            <w:vAlign w:val="center"/>
          </w:tcPr>
          <w:p w14:paraId="0D5F482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78</w:t>
            </w:r>
          </w:p>
        </w:tc>
        <w:tc>
          <w:tcPr>
            <w:tcW w:w="489" w:type="dxa"/>
            <w:vAlign w:val="center"/>
          </w:tcPr>
          <w:p w14:paraId="1B6088B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71</w:t>
            </w:r>
          </w:p>
        </w:tc>
        <w:tc>
          <w:tcPr>
            <w:tcW w:w="489" w:type="dxa"/>
            <w:vAlign w:val="center"/>
          </w:tcPr>
          <w:p w14:paraId="616AA2C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70</w:t>
            </w:r>
          </w:p>
        </w:tc>
        <w:tc>
          <w:tcPr>
            <w:tcW w:w="489" w:type="dxa"/>
            <w:vAlign w:val="center"/>
          </w:tcPr>
          <w:p w14:paraId="52F4CB78"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71</w:t>
            </w:r>
          </w:p>
        </w:tc>
        <w:tc>
          <w:tcPr>
            <w:tcW w:w="494" w:type="dxa"/>
            <w:tcBorders>
              <w:right w:val="single" w:sz="8" w:space="0" w:color="auto"/>
            </w:tcBorders>
            <w:vAlign w:val="center"/>
          </w:tcPr>
          <w:p w14:paraId="142EA67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73</w:t>
            </w:r>
          </w:p>
        </w:tc>
        <w:tc>
          <w:tcPr>
            <w:tcW w:w="494" w:type="dxa"/>
            <w:tcBorders>
              <w:left w:val="single" w:sz="8" w:space="0" w:color="auto"/>
            </w:tcBorders>
            <w:vAlign w:val="center"/>
          </w:tcPr>
          <w:p w14:paraId="5CB5F8D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92</w:t>
            </w:r>
          </w:p>
        </w:tc>
        <w:tc>
          <w:tcPr>
            <w:tcW w:w="489" w:type="dxa"/>
            <w:vAlign w:val="center"/>
          </w:tcPr>
          <w:p w14:paraId="4C17BAAD"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85</w:t>
            </w:r>
          </w:p>
        </w:tc>
        <w:tc>
          <w:tcPr>
            <w:tcW w:w="489" w:type="dxa"/>
            <w:vAlign w:val="center"/>
          </w:tcPr>
          <w:p w14:paraId="45615AA3"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85</w:t>
            </w:r>
          </w:p>
        </w:tc>
        <w:tc>
          <w:tcPr>
            <w:tcW w:w="489" w:type="dxa"/>
            <w:vAlign w:val="center"/>
          </w:tcPr>
          <w:p w14:paraId="42DEE63F"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80</w:t>
            </w:r>
          </w:p>
        </w:tc>
        <w:tc>
          <w:tcPr>
            <w:tcW w:w="489" w:type="dxa"/>
            <w:vAlign w:val="center"/>
          </w:tcPr>
          <w:p w14:paraId="7C33E037"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84</w:t>
            </w:r>
          </w:p>
        </w:tc>
      </w:tr>
      <w:tr w:rsidR="00711FE4" w:rsidRPr="00711FE4" w14:paraId="1F2BBFBE" w14:textId="77777777" w:rsidTr="00366F04">
        <w:trPr>
          <w:trHeight w:val="170"/>
          <w:jc w:val="center"/>
        </w:trPr>
        <w:tc>
          <w:tcPr>
            <w:tcW w:w="137" w:type="dxa"/>
            <w:tcBorders>
              <w:right w:val="nil"/>
            </w:tcBorders>
            <w:vAlign w:val="center"/>
          </w:tcPr>
          <w:p w14:paraId="09D26622" w14:textId="77777777" w:rsidR="00711FE4" w:rsidRPr="00711FE4" w:rsidRDefault="00711FE4" w:rsidP="00711FE4">
            <w:pPr>
              <w:spacing w:before="30" w:after="30" w:line="240" w:lineRule="auto"/>
              <w:rPr>
                <w:rFonts w:ascii="Arial" w:hAnsi="Arial"/>
                <w:color w:val="000000" w:themeColor="text1"/>
                <w:sz w:val="16"/>
                <w:szCs w:val="16"/>
              </w:rPr>
            </w:pPr>
          </w:p>
        </w:tc>
        <w:tc>
          <w:tcPr>
            <w:tcW w:w="1139" w:type="dxa"/>
            <w:tcBorders>
              <w:left w:val="nil"/>
              <w:right w:val="single" w:sz="8" w:space="0" w:color="auto"/>
            </w:tcBorders>
            <w:tcMar>
              <w:left w:w="57" w:type="dxa"/>
              <w:right w:w="113" w:type="dxa"/>
            </w:tcMar>
            <w:vAlign w:val="center"/>
          </w:tcPr>
          <w:p w14:paraId="67A4DB53"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$500 bill</w:t>
            </w:r>
          </w:p>
        </w:tc>
        <w:tc>
          <w:tcPr>
            <w:tcW w:w="533" w:type="dxa"/>
            <w:tcBorders>
              <w:left w:val="single" w:sz="8" w:space="0" w:color="auto"/>
              <w:bottom w:val="single" w:sz="4" w:space="0" w:color="auto"/>
            </w:tcBorders>
            <w:vAlign w:val="center"/>
          </w:tcPr>
          <w:p w14:paraId="3A7EE91A"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21</w:t>
            </w:r>
          </w:p>
        </w:tc>
        <w:tc>
          <w:tcPr>
            <w:tcW w:w="488" w:type="dxa"/>
            <w:tcBorders>
              <w:bottom w:val="single" w:sz="4" w:space="0" w:color="auto"/>
            </w:tcBorders>
            <w:vAlign w:val="center"/>
          </w:tcPr>
          <w:p w14:paraId="31C15E24"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21</w:t>
            </w:r>
          </w:p>
        </w:tc>
        <w:tc>
          <w:tcPr>
            <w:tcW w:w="488" w:type="dxa"/>
            <w:tcBorders>
              <w:bottom w:val="single" w:sz="4" w:space="0" w:color="auto"/>
            </w:tcBorders>
            <w:vAlign w:val="center"/>
          </w:tcPr>
          <w:p w14:paraId="624560CB"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20</w:t>
            </w:r>
          </w:p>
        </w:tc>
        <w:tc>
          <w:tcPr>
            <w:tcW w:w="489" w:type="dxa"/>
            <w:tcBorders>
              <w:bottom w:val="single" w:sz="4" w:space="0" w:color="auto"/>
            </w:tcBorders>
            <w:vAlign w:val="center"/>
          </w:tcPr>
          <w:p w14:paraId="1A9F442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17</w:t>
            </w:r>
          </w:p>
        </w:tc>
        <w:tc>
          <w:tcPr>
            <w:tcW w:w="494" w:type="dxa"/>
            <w:tcBorders>
              <w:bottom w:val="single" w:sz="4" w:space="0" w:color="auto"/>
              <w:right w:val="single" w:sz="8" w:space="0" w:color="auto"/>
            </w:tcBorders>
            <w:vAlign w:val="center"/>
          </w:tcPr>
          <w:p w14:paraId="6B068866"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17</w:t>
            </w:r>
          </w:p>
        </w:tc>
        <w:tc>
          <w:tcPr>
            <w:tcW w:w="494" w:type="dxa"/>
            <w:tcBorders>
              <w:left w:val="single" w:sz="8" w:space="0" w:color="auto"/>
              <w:bottom w:val="single" w:sz="4" w:space="0" w:color="auto"/>
            </w:tcBorders>
            <w:vAlign w:val="center"/>
          </w:tcPr>
          <w:p w14:paraId="74AB910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87</w:t>
            </w:r>
          </w:p>
        </w:tc>
        <w:tc>
          <w:tcPr>
            <w:tcW w:w="489" w:type="dxa"/>
            <w:tcBorders>
              <w:bottom w:val="single" w:sz="4" w:space="0" w:color="auto"/>
            </w:tcBorders>
            <w:vAlign w:val="center"/>
          </w:tcPr>
          <w:p w14:paraId="74E7FA55"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83</w:t>
            </w:r>
          </w:p>
        </w:tc>
        <w:tc>
          <w:tcPr>
            <w:tcW w:w="489" w:type="dxa"/>
            <w:tcBorders>
              <w:bottom w:val="single" w:sz="4" w:space="0" w:color="auto"/>
            </w:tcBorders>
            <w:vAlign w:val="center"/>
          </w:tcPr>
          <w:p w14:paraId="027B76A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85</w:t>
            </w:r>
          </w:p>
        </w:tc>
        <w:tc>
          <w:tcPr>
            <w:tcW w:w="489" w:type="dxa"/>
            <w:tcBorders>
              <w:bottom w:val="single" w:sz="4" w:space="0" w:color="auto"/>
            </w:tcBorders>
            <w:vAlign w:val="center"/>
          </w:tcPr>
          <w:p w14:paraId="5583D48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76</w:t>
            </w:r>
          </w:p>
        </w:tc>
        <w:tc>
          <w:tcPr>
            <w:tcW w:w="494" w:type="dxa"/>
            <w:tcBorders>
              <w:bottom w:val="single" w:sz="4" w:space="0" w:color="auto"/>
              <w:right w:val="single" w:sz="8" w:space="0" w:color="auto"/>
            </w:tcBorders>
            <w:vAlign w:val="center"/>
          </w:tcPr>
          <w:p w14:paraId="3D7D6CE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74</w:t>
            </w:r>
          </w:p>
        </w:tc>
        <w:tc>
          <w:tcPr>
            <w:tcW w:w="494" w:type="dxa"/>
            <w:tcBorders>
              <w:left w:val="single" w:sz="8" w:space="0" w:color="auto"/>
              <w:bottom w:val="single" w:sz="4" w:space="0" w:color="auto"/>
            </w:tcBorders>
            <w:vAlign w:val="center"/>
          </w:tcPr>
          <w:p w14:paraId="0FC6CDCE"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94</w:t>
            </w:r>
          </w:p>
        </w:tc>
        <w:tc>
          <w:tcPr>
            <w:tcW w:w="489" w:type="dxa"/>
            <w:tcBorders>
              <w:bottom w:val="single" w:sz="4" w:space="0" w:color="auto"/>
            </w:tcBorders>
            <w:vAlign w:val="center"/>
          </w:tcPr>
          <w:p w14:paraId="58D2180C"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92</w:t>
            </w:r>
          </w:p>
        </w:tc>
        <w:tc>
          <w:tcPr>
            <w:tcW w:w="489" w:type="dxa"/>
            <w:tcBorders>
              <w:bottom w:val="single" w:sz="4" w:space="0" w:color="auto"/>
            </w:tcBorders>
            <w:vAlign w:val="center"/>
          </w:tcPr>
          <w:p w14:paraId="0EF177C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94</w:t>
            </w:r>
          </w:p>
        </w:tc>
        <w:tc>
          <w:tcPr>
            <w:tcW w:w="489" w:type="dxa"/>
            <w:tcBorders>
              <w:bottom w:val="single" w:sz="4" w:space="0" w:color="auto"/>
            </w:tcBorders>
            <w:vAlign w:val="center"/>
          </w:tcPr>
          <w:p w14:paraId="608BD019"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84</w:t>
            </w:r>
          </w:p>
        </w:tc>
        <w:tc>
          <w:tcPr>
            <w:tcW w:w="489" w:type="dxa"/>
            <w:tcBorders>
              <w:bottom w:val="single" w:sz="4" w:space="0" w:color="auto"/>
            </w:tcBorders>
            <w:vAlign w:val="center"/>
          </w:tcPr>
          <w:p w14:paraId="6EBB36A1" w14:textId="77777777" w:rsidR="00711FE4" w:rsidRPr="00711FE4" w:rsidRDefault="00711FE4" w:rsidP="00711FE4">
            <w:pPr>
              <w:spacing w:before="30" w:after="30" w:line="240" w:lineRule="auto"/>
              <w:jc w:val="center"/>
              <w:rPr>
                <w:rFonts w:ascii="Arial" w:hAnsi="Arial"/>
                <w:color w:val="000000"/>
                <w:sz w:val="14"/>
                <w:szCs w:val="14"/>
              </w:rPr>
            </w:pPr>
            <w:r w:rsidRPr="00711FE4">
              <w:rPr>
                <w:rFonts w:ascii="Arial" w:hAnsi="Arial"/>
                <w:color w:val="000000"/>
                <w:sz w:val="14"/>
                <w:szCs w:val="14"/>
              </w:rPr>
              <w:t>86</w:t>
            </w:r>
          </w:p>
        </w:tc>
      </w:tr>
    </w:tbl>
    <w:p w14:paraId="6C679C3C" w14:textId="77777777" w:rsidR="00711FE4" w:rsidRPr="00711FE4" w:rsidRDefault="00711FE4" w:rsidP="00711FE4">
      <w:pPr>
        <w:spacing w:after="0" w:line="240" w:lineRule="auto"/>
        <w:ind w:left="284" w:right="240"/>
        <w:jc w:val="both"/>
        <w:rPr>
          <w:rFonts w:ascii="Arial" w:eastAsia="Times New Roman" w:hAnsi="Arial"/>
          <w:color w:val="000000" w:themeColor="text1"/>
          <w:sz w:val="16"/>
          <w:szCs w:val="16"/>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
        <w:gridCol w:w="1134"/>
        <w:gridCol w:w="567"/>
        <w:gridCol w:w="6662"/>
      </w:tblGrid>
      <w:tr w:rsidR="00711FE4" w:rsidRPr="00711FE4" w14:paraId="335809CA" w14:textId="77777777" w:rsidTr="00366F04">
        <w:trPr>
          <w:jc w:val="center"/>
        </w:trPr>
        <w:tc>
          <w:tcPr>
            <w:tcW w:w="8642" w:type="dxa"/>
            <w:gridSpan w:val="4"/>
          </w:tcPr>
          <w:p w14:paraId="5DE19D2F" w14:textId="77777777" w:rsidR="00711FE4" w:rsidRPr="00711FE4" w:rsidRDefault="00711FE4" w:rsidP="00711FE4">
            <w:pPr>
              <w:spacing w:before="30" w:after="30" w:line="240" w:lineRule="auto"/>
              <w:rPr>
                <w:rFonts w:ascii="Arial" w:hAnsi="Arial"/>
                <w:color w:val="000000" w:themeColor="text1"/>
                <w:sz w:val="14"/>
                <w:szCs w:val="14"/>
              </w:rPr>
            </w:pPr>
            <w:r w:rsidRPr="00711FE4">
              <w:rPr>
                <w:rFonts w:ascii="Arial" w:hAnsi="Arial"/>
                <w:b/>
                <w:color w:val="000000" w:themeColor="text1"/>
                <w:sz w:val="14"/>
                <w:szCs w:val="14"/>
              </w:rPr>
              <w:t xml:space="preserve">  Enforced lack of essentials </w:t>
            </w:r>
            <w:r w:rsidRPr="00711FE4">
              <w:rPr>
                <w:rFonts w:ascii="Arial" w:hAnsi="Arial"/>
                <w:color w:val="000000" w:themeColor="text1"/>
                <w:sz w:val="14"/>
                <w:szCs w:val="14"/>
              </w:rPr>
              <w:t>(for respondent or household as a whole)</w:t>
            </w:r>
          </w:p>
        </w:tc>
      </w:tr>
      <w:tr w:rsidR="00711FE4" w:rsidRPr="00711FE4" w14:paraId="4C2047D5" w14:textId="77777777" w:rsidTr="00366F04">
        <w:trPr>
          <w:jc w:val="center"/>
        </w:trPr>
        <w:tc>
          <w:tcPr>
            <w:tcW w:w="279" w:type="dxa"/>
            <w:tcBorders>
              <w:right w:val="nil"/>
            </w:tcBorders>
          </w:tcPr>
          <w:p w14:paraId="537C4B92"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626BFAED"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meat meal</w:t>
            </w:r>
          </w:p>
        </w:tc>
        <w:tc>
          <w:tcPr>
            <w:tcW w:w="567" w:type="dxa"/>
            <w:vAlign w:val="center"/>
          </w:tcPr>
          <w:p w14:paraId="63863C99"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2FCFA601"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meal with meat, fish or chicken (or vegetarian equivalent) at least each 2nd day</w:t>
            </w:r>
          </w:p>
        </w:tc>
      </w:tr>
      <w:tr w:rsidR="00711FE4" w:rsidRPr="00711FE4" w14:paraId="62165419" w14:textId="77777777" w:rsidTr="00366F04">
        <w:trPr>
          <w:jc w:val="center"/>
        </w:trPr>
        <w:tc>
          <w:tcPr>
            <w:tcW w:w="279" w:type="dxa"/>
            <w:tcBorders>
              <w:right w:val="nil"/>
            </w:tcBorders>
          </w:tcPr>
          <w:p w14:paraId="0D709D8F"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34592EFF"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shoes</w:t>
            </w:r>
          </w:p>
        </w:tc>
        <w:tc>
          <w:tcPr>
            <w:tcW w:w="567" w:type="dxa"/>
            <w:vAlign w:val="center"/>
          </w:tcPr>
          <w:p w14:paraId="5C6CC161"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534390C9"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two pairs of shoes in good repair and suitable for everyday use</w:t>
            </w:r>
          </w:p>
        </w:tc>
      </w:tr>
      <w:tr w:rsidR="00711FE4" w:rsidRPr="00711FE4" w14:paraId="56F22CB7" w14:textId="77777777" w:rsidTr="00366F04">
        <w:trPr>
          <w:jc w:val="center"/>
        </w:trPr>
        <w:tc>
          <w:tcPr>
            <w:tcW w:w="279" w:type="dxa"/>
            <w:tcBorders>
              <w:right w:val="nil"/>
            </w:tcBorders>
          </w:tcPr>
          <w:p w14:paraId="0DA51E33"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12843936"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suitable clothes</w:t>
            </w:r>
          </w:p>
        </w:tc>
        <w:tc>
          <w:tcPr>
            <w:tcW w:w="567" w:type="dxa"/>
            <w:vAlign w:val="center"/>
          </w:tcPr>
          <w:p w14:paraId="7593864F"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37947FA8"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suitable clothes for important or special occasions</w:t>
            </w:r>
          </w:p>
        </w:tc>
      </w:tr>
      <w:tr w:rsidR="00711FE4" w:rsidRPr="00711FE4" w14:paraId="060C6AE7" w14:textId="77777777" w:rsidTr="00366F04">
        <w:trPr>
          <w:jc w:val="center"/>
        </w:trPr>
        <w:tc>
          <w:tcPr>
            <w:tcW w:w="279" w:type="dxa"/>
            <w:tcBorders>
              <w:right w:val="nil"/>
            </w:tcBorders>
          </w:tcPr>
          <w:p w14:paraId="23AA5CC5"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59B5C7CF"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presents</w:t>
            </w:r>
          </w:p>
        </w:tc>
        <w:tc>
          <w:tcPr>
            <w:tcW w:w="567" w:type="dxa"/>
            <w:vAlign w:val="center"/>
          </w:tcPr>
          <w:p w14:paraId="2DBF2CAA"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1A212EC8"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presents for family and friends on special occasions</w:t>
            </w:r>
          </w:p>
        </w:tc>
      </w:tr>
      <w:tr w:rsidR="00711FE4" w:rsidRPr="00711FE4" w14:paraId="7ABC6608" w14:textId="77777777" w:rsidTr="00366F04">
        <w:trPr>
          <w:jc w:val="center"/>
        </w:trPr>
        <w:tc>
          <w:tcPr>
            <w:tcW w:w="279" w:type="dxa"/>
            <w:tcBorders>
              <w:right w:val="nil"/>
            </w:tcBorders>
          </w:tcPr>
          <w:p w14:paraId="256DD4E5"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018D18C8"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contents ins</w:t>
            </w:r>
          </w:p>
        </w:tc>
        <w:tc>
          <w:tcPr>
            <w:tcW w:w="567" w:type="dxa"/>
            <w:vAlign w:val="center"/>
          </w:tcPr>
          <w:p w14:paraId="1CFC5DFE"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18AE88A2"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home contents insurance</w:t>
            </w:r>
          </w:p>
        </w:tc>
      </w:tr>
      <w:tr w:rsidR="00711FE4" w:rsidRPr="00711FE4" w14:paraId="1B9F3E74" w14:textId="77777777" w:rsidTr="00366F04">
        <w:trPr>
          <w:trHeight w:val="391"/>
          <w:jc w:val="center"/>
        </w:trPr>
        <w:tc>
          <w:tcPr>
            <w:tcW w:w="8642" w:type="dxa"/>
            <w:gridSpan w:val="4"/>
            <w:tcBorders>
              <w:bottom w:val="single" w:sz="4" w:space="0" w:color="auto"/>
            </w:tcBorders>
          </w:tcPr>
          <w:p w14:paraId="28A34BCA" w14:textId="77777777" w:rsidR="00711FE4" w:rsidRPr="00711FE4" w:rsidRDefault="00711FE4" w:rsidP="00711FE4">
            <w:pPr>
              <w:spacing w:before="30" w:after="30" w:line="240" w:lineRule="auto"/>
              <w:ind w:left="284" w:hanging="284"/>
              <w:rPr>
                <w:rFonts w:ascii="Arial" w:hAnsi="Arial"/>
                <w:b/>
                <w:color w:val="000000" w:themeColor="text1"/>
                <w:sz w:val="14"/>
                <w:szCs w:val="14"/>
              </w:rPr>
            </w:pPr>
            <w:r w:rsidRPr="00711FE4">
              <w:rPr>
                <w:rFonts w:ascii="Arial" w:hAnsi="Arial"/>
                <w:b/>
                <w:color w:val="000000" w:themeColor="text1"/>
                <w:sz w:val="16"/>
                <w:szCs w:val="16"/>
              </w:rPr>
              <w:t xml:space="preserve">  </w:t>
            </w:r>
            <w:r w:rsidRPr="00711FE4">
              <w:rPr>
                <w:rFonts w:ascii="Arial" w:hAnsi="Arial"/>
                <w:b/>
                <w:color w:val="000000" w:themeColor="text1"/>
                <w:sz w:val="14"/>
                <w:szCs w:val="14"/>
              </w:rPr>
              <w:t xml:space="preserve">Economised, cut back or delayed purchases ‘a lot’ </w:t>
            </w:r>
            <w:r w:rsidRPr="00711FE4">
              <w:rPr>
                <w:rFonts w:ascii="Arial" w:hAnsi="Arial"/>
                <w:color w:val="000000" w:themeColor="text1"/>
                <w:sz w:val="14"/>
                <w:szCs w:val="14"/>
              </w:rPr>
              <w:t>(because money was needed for other essentials, not just to be thrifty or to save for a trip or other non-essential)</w:t>
            </w:r>
          </w:p>
        </w:tc>
      </w:tr>
      <w:tr w:rsidR="00711FE4" w:rsidRPr="00711FE4" w14:paraId="13773B72" w14:textId="77777777" w:rsidTr="00366F04">
        <w:trPr>
          <w:jc w:val="center"/>
        </w:trPr>
        <w:tc>
          <w:tcPr>
            <w:tcW w:w="279" w:type="dxa"/>
            <w:tcBorders>
              <w:right w:val="nil"/>
            </w:tcBorders>
          </w:tcPr>
          <w:p w14:paraId="472BB937"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736D3AFC"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fruit &amp; veg</w:t>
            </w:r>
          </w:p>
        </w:tc>
        <w:tc>
          <w:tcPr>
            <w:tcW w:w="567" w:type="dxa"/>
            <w:vAlign w:val="center"/>
          </w:tcPr>
          <w:p w14:paraId="407CC4BE"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0D9475C8"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went without fresh fruit and vegetables</w:t>
            </w:r>
          </w:p>
        </w:tc>
      </w:tr>
      <w:tr w:rsidR="00711FE4" w:rsidRPr="00711FE4" w14:paraId="3B3DA09D" w14:textId="77777777" w:rsidTr="00366F04">
        <w:trPr>
          <w:jc w:val="center"/>
        </w:trPr>
        <w:tc>
          <w:tcPr>
            <w:tcW w:w="279" w:type="dxa"/>
            <w:tcBorders>
              <w:right w:val="nil"/>
            </w:tcBorders>
          </w:tcPr>
          <w:p w14:paraId="60304A52"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37A017B0"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 xml:space="preserve">meat </w:t>
            </w:r>
          </w:p>
        </w:tc>
        <w:tc>
          <w:tcPr>
            <w:tcW w:w="567" w:type="dxa"/>
            <w:vAlign w:val="center"/>
          </w:tcPr>
          <w:p w14:paraId="13B983FF"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4F0984EF"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bought cheaper cuts of meat or bought less than wanted</w:t>
            </w:r>
          </w:p>
        </w:tc>
      </w:tr>
      <w:tr w:rsidR="00711FE4" w:rsidRPr="00711FE4" w14:paraId="51DB7BF4" w14:textId="77777777" w:rsidTr="00366F04">
        <w:trPr>
          <w:jc w:val="center"/>
        </w:trPr>
        <w:tc>
          <w:tcPr>
            <w:tcW w:w="279" w:type="dxa"/>
            <w:tcBorders>
              <w:right w:val="nil"/>
            </w:tcBorders>
          </w:tcPr>
          <w:p w14:paraId="46476E11"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3D566382"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heating</w:t>
            </w:r>
          </w:p>
        </w:tc>
        <w:tc>
          <w:tcPr>
            <w:tcW w:w="567" w:type="dxa"/>
            <w:vAlign w:val="center"/>
          </w:tcPr>
          <w:p w14:paraId="36344A31"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R/H</w:t>
            </w:r>
          </w:p>
        </w:tc>
        <w:tc>
          <w:tcPr>
            <w:tcW w:w="6662" w:type="dxa"/>
            <w:vAlign w:val="center"/>
          </w:tcPr>
          <w:p w14:paraId="0F0F1D16"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put up with feeling cold to save on heating costs</w:t>
            </w:r>
          </w:p>
        </w:tc>
      </w:tr>
      <w:tr w:rsidR="00711FE4" w:rsidRPr="00711FE4" w14:paraId="39389A81" w14:textId="77777777" w:rsidTr="00366F04">
        <w:trPr>
          <w:jc w:val="center"/>
        </w:trPr>
        <w:tc>
          <w:tcPr>
            <w:tcW w:w="279" w:type="dxa"/>
            <w:tcBorders>
              <w:right w:val="nil"/>
            </w:tcBorders>
          </w:tcPr>
          <w:p w14:paraId="6C2F2ADC"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688C375A"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doctor</w:t>
            </w:r>
          </w:p>
        </w:tc>
        <w:tc>
          <w:tcPr>
            <w:tcW w:w="567" w:type="dxa"/>
            <w:vAlign w:val="center"/>
          </w:tcPr>
          <w:p w14:paraId="6634543B"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009041CA"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postponed visits to the doctor</w:t>
            </w:r>
          </w:p>
        </w:tc>
      </w:tr>
      <w:tr w:rsidR="00711FE4" w:rsidRPr="00711FE4" w14:paraId="1DB464E7" w14:textId="77777777" w:rsidTr="00366F04">
        <w:trPr>
          <w:jc w:val="center"/>
        </w:trPr>
        <w:tc>
          <w:tcPr>
            <w:tcW w:w="279" w:type="dxa"/>
            <w:tcBorders>
              <w:right w:val="nil"/>
            </w:tcBorders>
          </w:tcPr>
          <w:p w14:paraId="4B8C2294"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5A17534B"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dentist</w:t>
            </w:r>
          </w:p>
        </w:tc>
        <w:tc>
          <w:tcPr>
            <w:tcW w:w="567" w:type="dxa"/>
            <w:vAlign w:val="center"/>
          </w:tcPr>
          <w:p w14:paraId="4BE341AE"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685B9D74"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postponed visits to the dentist</w:t>
            </w:r>
          </w:p>
        </w:tc>
      </w:tr>
      <w:tr w:rsidR="00711FE4" w:rsidRPr="00711FE4" w14:paraId="57AD7B85" w14:textId="77777777" w:rsidTr="00366F04">
        <w:trPr>
          <w:jc w:val="center"/>
        </w:trPr>
        <w:tc>
          <w:tcPr>
            <w:tcW w:w="279" w:type="dxa"/>
            <w:tcBorders>
              <w:right w:val="nil"/>
            </w:tcBorders>
          </w:tcPr>
          <w:p w14:paraId="2C8FABC4"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1EBD3A5F"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local trips</w:t>
            </w:r>
          </w:p>
        </w:tc>
        <w:tc>
          <w:tcPr>
            <w:tcW w:w="567" w:type="dxa"/>
            <w:vAlign w:val="center"/>
          </w:tcPr>
          <w:p w14:paraId="5C7522E1"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R/H</w:t>
            </w:r>
          </w:p>
        </w:tc>
        <w:tc>
          <w:tcPr>
            <w:tcW w:w="6662" w:type="dxa"/>
            <w:vAlign w:val="center"/>
          </w:tcPr>
          <w:p w14:paraId="14C7FFD0"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did without or cut back on trips to the shops or other local places</w:t>
            </w:r>
          </w:p>
        </w:tc>
      </w:tr>
      <w:tr w:rsidR="00711FE4" w:rsidRPr="00711FE4" w14:paraId="4687F367" w14:textId="77777777" w:rsidTr="00366F04">
        <w:trPr>
          <w:jc w:val="center"/>
        </w:trPr>
        <w:tc>
          <w:tcPr>
            <w:tcW w:w="279" w:type="dxa"/>
            <w:tcBorders>
              <w:right w:val="nil"/>
            </w:tcBorders>
          </w:tcPr>
          <w:p w14:paraId="3568768F"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03990C3E"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appliances</w:t>
            </w:r>
          </w:p>
        </w:tc>
        <w:tc>
          <w:tcPr>
            <w:tcW w:w="567" w:type="dxa"/>
            <w:vAlign w:val="center"/>
          </w:tcPr>
          <w:p w14:paraId="21775428"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79E44DC2"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delayed repairing or replacing broken or damaged appliances</w:t>
            </w:r>
          </w:p>
        </w:tc>
      </w:tr>
      <w:tr w:rsidR="00711FE4" w:rsidRPr="00711FE4" w14:paraId="32FC09CA" w14:textId="77777777" w:rsidTr="00366F04">
        <w:trPr>
          <w:jc w:val="center"/>
        </w:trPr>
        <w:tc>
          <w:tcPr>
            <w:tcW w:w="8642" w:type="dxa"/>
            <w:gridSpan w:val="4"/>
          </w:tcPr>
          <w:p w14:paraId="68918DDB" w14:textId="77777777" w:rsidR="00711FE4" w:rsidRPr="00711FE4" w:rsidRDefault="00711FE4" w:rsidP="00711FE4">
            <w:pPr>
              <w:spacing w:before="30" w:after="30" w:line="240" w:lineRule="auto"/>
              <w:rPr>
                <w:rFonts w:ascii="Arial" w:hAnsi="Arial"/>
                <w:color w:val="000000" w:themeColor="text1"/>
                <w:sz w:val="14"/>
                <w:szCs w:val="14"/>
              </w:rPr>
            </w:pPr>
            <w:r w:rsidRPr="00711FE4">
              <w:rPr>
                <w:rFonts w:ascii="Arial" w:hAnsi="Arial"/>
                <w:b/>
                <w:color w:val="000000" w:themeColor="text1"/>
                <w:sz w:val="16"/>
                <w:szCs w:val="16"/>
              </w:rPr>
              <w:t xml:space="preserve">  </w:t>
            </w:r>
            <w:r w:rsidRPr="00711FE4">
              <w:rPr>
                <w:rFonts w:ascii="Arial" w:hAnsi="Arial"/>
                <w:b/>
                <w:color w:val="000000" w:themeColor="text1"/>
                <w:sz w:val="14"/>
                <w:szCs w:val="14"/>
              </w:rPr>
              <w:t xml:space="preserve">In arrears more than once in last 12 months </w:t>
            </w:r>
            <w:r w:rsidRPr="00711FE4">
              <w:rPr>
                <w:rFonts w:ascii="Arial" w:hAnsi="Arial"/>
                <w:bCs/>
                <w:color w:val="000000" w:themeColor="text1"/>
                <w:sz w:val="14"/>
                <w:szCs w:val="14"/>
              </w:rPr>
              <w:t>(because of shortage of cash at the time, not through forgetting)</w:t>
            </w:r>
            <w:r w:rsidRPr="00711FE4">
              <w:rPr>
                <w:rFonts w:ascii="Arial Mäori" w:hAnsi="Arial Mäori"/>
                <w:color w:val="000000"/>
                <w:sz w:val="14"/>
                <w:szCs w:val="14"/>
              </w:rPr>
              <w:t> </w:t>
            </w:r>
          </w:p>
        </w:tc>
      </w:tr>
      <w:tr w:rsidR="00711FE4" w:rsidRPr="00711FE4" w14:paraId="4EF1B9BF" w14:textId="77777777" w:rsidTr="00366F04">
        <w:trPr>
          <w:jc w:val="center"/>
        </w:trPr>
        <w:tc>
          <w:tcPr>
            <w:tcW w:w="279" w:type="dxa"/>
            <w:tcBorders>
              <w:right w:val="nil"/>
            </w:tcBorders>
          </w:tcPr>
          <w:p w14:paraId="0A104E32"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2E949667"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utilities</w:t>
            </w:r>
          </w:p>
        </w:tc>
        <w:tc>
          <w:tcPr>
            <w:tcW w:w="567" w:type="dxa"/>
            <w:vAlign w:val="center"/>
          </w:tcPr>
          <w:p w14:paraId="155AB6C7"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54229D19"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rates, electricity, water</w:t>
            </w:r>
          </w:p>
        </w:tc>
      </w:tr>
      <w:tr w:rsidR="00711FE4" w:rsidRPr="00711FE4" w14:paraId="4F6748BD" w14:textId="77777777" w:rsidTr="00366F04">
        <w:trPr>
          <w:jc w:val="center"/>
        </w:trPr>
        <w:tc>
          <w:tcPr>
            <w:tcW w:w="279" w:type="dxa"/>
            <w:tcBorders>
              <w:right w:val="nil"/>
            </w:tcBorders>
          </w:tcPr>
          <w:p w14:paraId="2A6FC348"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1CA37467"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vehicle exp</w:t>
            </w:r>
          </w:p>
        </w:tc>
        <w:tc>
          <w:tcPr>
            <w:tcW w:w="567" w:type="dxa"/>
            <w:vAlign w:val="center"/>
          </w:tcPr>
          <w:p w14:paraId="45B565B0"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5B0AFBB6"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vehicle registration, insurance or warrant of fitness</w:t>
            </w:r>
          </w:p>
        </w:tc>
      </w:tr>
      <w:tr w:rsidR="00711FE4" w:rsidRPr="00711FE4" w14:paraId="6433174F" w14:textId="77777777" w:rsidTr="00366F04">
        <w:trPr>
          <w:jc w:val="center"/>
        </w:trPr>
        <w:tc>
          <w:tcPr>
            <w:tcW w:w="8642" w:type="dxa"/>
            <w:gridSpan w:val="4"/>
          </w:tcPr>
          <w:p w14:paraId="485E4969" w14:textId="77777777" w:rsidR="00711FE4" w:rsidRPr="00711FE4" w:rsidRDefault="00711FE4" w:rsidP="00711FE4">
            <w:pPr>
              <w:spacing w:before="30" w:after="30" w:line="240" w:lineRule="auto"/>
              <w:rPr>
                <w:rFonts w:ascii="Arial" w:hAnsi="Arial"/>
                <w:color w:val="000000" w:themeColor="text1"/>
                <w:sz w:val="14"/>
                <w:szCs w:val="14"/>
              </w:rPr>
            </w:pPr>
            <w:r w:rsidRPr="00711FE4">
              <w:rPr>
                <w:rFonts w:ascii="Arial" w:hAnsi="Arial"/>
                <w:b/>
                <w:color w:val="000000" w:themeColor="text1"/>
                <w:sz w:val="16"/>
                <w:szCs w:val="16"/>
              </w:rPr>
              <w:t xml:space="preserve">  </w:t>
            </w:r>
            <w:r w:rsidRPr="00711FE4">
              <w:rPr>
                <w:rFonts w:ascii="Arial" w:hAnsi="Arial"/>
                <w:b/>
                <w:color w:val="000000" w:themeColor="text1"/>
                <w:sz w:val="14"/>
                <w:szCs w:val="14"/>
              </w:rPr>
              <w:t>Financial stress and vulnerability</w:t>
            </w:r>
            <w:r w:rsidRPr="00711FE4">
              <w:rPr>
                <w:rFonts w:ascii="Arial Mäori" w:hAnsi="Arial Mäori"/>
                <w:color w:val="000000"/>
                <w:sz w:val="14"/>
                <w:szCs w:val="14"/>
              </w:rPr>
              <w:t> </w:t>
            </w:r>
          </w:p>
        </w:tc>
      </w:tr>
      <w:tr w:rsidR="00711FE4" w:rsidRPr="00711FE4" w14:paraId="203231E3" w14:textId="77777777" w:rsidTr="00366F04">
        <w:trPr>
          <w:jc w:val="center"/>
        </w:trPr>
        <w:tc>
          <w:tcPr>
            <w:tcW w:w="279" w:type="dxa"/>
            <w:tcBorders>
              <w:right w:val="nil"/>
            </w:tcBorders>
          </w:tcPr>
          <w:p w14:paraId="17122D8F"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2F6A8418"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borrowed</w:t>
            </w:r>
          </w:p>
        </w:tc>
        <w:tc>
          <w:tcPr>
            <w:tcW w:w="567" w:type="dxa"/>
            <w:vAlign w:val="center"/>
          </w:tcPr>
          <w:p w14:paraId="245A4897"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369F815A"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borrowed from family or friends ‘more than once’ in the last 12 months to cover everyday living costs</w:t>
            </w:r>
          </w:p>
        </w:tc>
      </w:tr>
      <w:tr w:rsidR="00711FE4" w:rsidRPr="00711FE4" w14:paraId="210286E6" w14:textId="77777777" w:rsidTr="00366F04">
        <w:trPr>
          <w:jc w:val="center"/>
        </w:trPr>
        <w:tc>
          <w:tcPr>
            <w:tcW w:w="279" w:type="dxa"/>
            <w:tcBorders>
              <w:right w:val="nil"/>
            </w:tcBorders>
          </w:tcPr>
          <w:p w14:paraId="40B0A349"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53750ED8"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‘very limited’</w:t>
            </w:r>
          </w:p>
        </w:tc>
        <w:tc>
          <w:tcPr>
            <w:tcW w:w="567" w:type="dxa"/>
            <w:vAlign w:val="center"/>
          </w:tcPr>
          <w:p w14:paraId="4CC760D1"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R</w:t>
            </w:r>
          </w:p>
        </w:tc>
        <w:tc>
          <w:tcPr>
            <w:tcW w:w="6662" w:type="dxa"/>
            <w:vAlign w:val="center"/>
          </w:tcPr>
          <w:p w14:paraId="17D9FE6E"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feel ‘very limited’ by the money available when thinking about purchase of clothes or shoes for self (options were: not at all, a little, quite limited, and very limited)</w:t>
            </w:r>
          </w:p>
        </w:tc>
      </w:tr>
      <w:tr w:rsidR="00711FE4" w:rsidRPr="00711FE4" w14:paraId="3EA0A6D3" w14:textId="77777777" w:rsidTr="00366F04">
        <w:trPr>
          <w:jc w:val="center"/>
        </w:trPr>
        <w:tc>
          <w:tcPr>
            <w:tcW w:w="279" w:type="dxa"/>
            <w:tcBorders>
              <w:right w:val="nil"/>
            </w:tcBorders>
          </w:tcPr>
          <w:p w14:paraId="78FDDD39" w14:textId="77777777" w:rsidR="00711FE4" w:rsidRPr="00711FE4" w:rsidRDefault="00711FE4" w:rsidP="00711FE4">
            <w:pPr>
              <w:spacing w:before="30" w:after="30" w:line="240" w:lineRule="auto"/>
              <w:jc w:val="center"/>
              <w:rPr>
                <w:rFonts w:ascii="Arial" w:hAnsi="Arial"/>
                <w:color w:val="000000"/>
                <w:sz w:val="14"/>
                <w:szCs w:val="14"/>
              </w:rPr>
            </w:pPr>
          </w:p>
        </w:tc>
        <w:tc>
          <w:tcPr>
            <w:tcW w:w="1134" w:type="dxa"/>
            <w:tcBorders>
              <w:left w:val="nil"/>
            </w:tcBorders>
            <w:vAlign w:val="center"/>
          </w:tcPr>
          <w:p w14:paraId="3E1CD256" w14:textId="77777777" w:rsidR="00711FE4" w:rsidRPr="00711FE4" w:rsidRDefault="00711FE4" w:rsidP="00711FE4">
            <w:pPr>
              <w:spacing w:before="30" w:after="30" w:line="240" w:lineRule="auto"/>
              <w:rPr>
                <w:rFonts w:ascii="Arial" w:hAnsi="Arial"/>
                <w:color w:val="000000" w:themeColor="text1"/>
                <w:sz w:val="14"/>
                <w:szCs w:val="16"/>
              </w:rPr>
            </w:pPr>
            <w:r w:rsidRPr="00711FE4">
              <w:rPr>
                <w:rFonts w:ascii="Arial" w:hAnsi="Arial"/>
                <w:color w:val="000000"/>
                <w:sz w:val="14"/>
                <w:szCs w:val="14"/>
              </w:rPr>
              <w:t>$500 bill</w:t>
            </w:r>
          </w:p>
        </w:tc>
        <w:tc>
          <w:tcPr>
            <w:tcW w:w="567" w:type="dxa"/>
            <w:vAlign w:val="center"/>
          </w:tcPr>
          <w:p w14:paraId="72BE062E" w14:textId="77777777" w:rsidR="00711FE4" w:rsidRPr="00711FE4" w:rsidRDefault="00711FE4" w:rsidP="00711FE4">
            <w:pPr>
              <w:spacing w:before="30" w:after="30" w:line="240" w:lineRule="auto"/>
              <w:jc w:val="center"/>
              <w:rPr>
                <w:rFonts w:ascii="Arial" w:hAnsi="Arial"/>
                <w:color w:val="000000" w:themeColor="text1"/>
                <w:sz w:val="14"/>
                <w:szCs w:val="16"/>
              </w:rPr>
            </w:pPr>
            <w:r w:rsidRPr="00711FE4">
              <w:rPr>
                <w:rFonts w:ascii="Arial" w:hAnsi="Arial"/>
                <w:color w:val="000000" w:themeColor="text1"/>
                <w:sz w:val="14"/>
                <w:szCs w:val="16"/>
              </w:rPr>
              <w:t>H</w:t>
            </w:r>
          </w:p>
        </w:tc>
        <w:tc>
          <w:tcPr>
            <w:tcW w:w="6662" w:type="dxa"/>
            <w:vAlign w:val="center"/>
          </w:tcPr>
          <w:p w14:paraId="7F0003D9" w14:textId="77777777" w:rsidR="00711FE4" w:rsidRPr="00711FE4" w:rsidRDefault="00711FE4" w:rsidP="00711FE4">
            <w:pPr>
              <w:spacing w:before="30" w:after="30" w:line="240" w:lineRule="auto"/>
              <w:ind w:left="144"/>
              <w:rPr>
                <w:rFonts w:ascii="Arial" w:hAnsi="Arial"/>
                <w:color w:val="000000" w:themeColor="text1"/>
                <w:sz w:val="14"/>
                <w:szCs w:val="16"/>
              </w:rPr>
            </w:pPr>
            <w:r w:rsidRPr="00711FE4">
              <w:rPr>
                <w:rFonts w:ascii="Arial" w:hAnsi="Arial"/>
                <w:color w:val="000000" w:themeColor="text1"/>
                <w:sz w:val="14"/>
                <w:szCs w:val="16"/>
              </w:rPr>
              <w:t>could not pay an unexpected and unavoidable bill of $500 within a month without borrowing</w:t>
            </w:r>
          </w:p>
        </w:tc>
      </w:tr>
    </w:tbl>
    <w:p w14:paraId="342CC465" w14:textId="77777777" w:rsidR="00711FE4" w:rsidRPr="00711FE4" w:rsidRDefault="00711FE4" w:rsidP="00711FE4">
      <w:pPr>
        <w:spacing w:before="120" w:after="60" w:line="240" w:lineRule="auto"/>
        <w:ind w:left="142" w:right="96"/>
        <w:jc w:val="both"/>
        <w:rPr>
          <w:rFonts w:ascii="Arial" w:eastAsia="Times New Roman" w:hAnsi="Arial"/>
          <w:color w:val="000000" w:themeColor="text1"/>
          <w:sz w:val="16"/>
          <w:szCs w:val="16"/>
        </w:rPr>
      </w:pPr>
      <w:r w:rsidRPr="00711FE4">
        <w:rPr>
          <w:rFonts w:ascii="Arial" w:eastAsia="Times New Roman" w:hAnsi="Arial"/>
          <w:color w:val="000000" w:themeColor="text1"/>
          <w:sz w:val="16"/>
          <w:szCs w:val="16"/>
          <w:u w:val="single"/>
        </w:rPr>
        <w:t>Reading note for tables</w:t>
      </w:r>
      <w:r w:rsidRPr="00711FE4">
        <w:rPr>
          <w:rFonts w:ascii="Arial" w:eastAsia="Times New Roman" w:hAnsi="Arial"/>
          <w:color w:val="000000" w:themeColor="text1"/>
          <w:sz w:val="16"/>
          <w:szCs w:val="16"/>
        </w:rPr>
        <w:t xml:space="preserve">: </w:t>
      </w:r>
    </w:p>
    <w:p w14:paraId="34772511" w14:textId="77777777" w:rsidR="00711FE4" w:rsidRPr="00711FE4" w:rsidRDefault="00711FE4" w:rsidP="00711FE4">
      <w:pPr>
        <w:spacing w:after="0" w:line="240" w:lineRule="auto"/>
        <w:ind w:left="142" w:right="95"/>
        <w:jc w:val="both"/>
        <w:rPr>
          <w:rFonts w:ascii="Arial" w:eastAsia="Times New Roman" w:hAnsi="Arial"/>
          <w:color w:val="000000" w:themeColor="text1"/>
          <w:sz w:val="16"/>
          <w:szCs w:val="16"/>
        </w:rPr>
      </w:pPr>
      <w:r w:rsidRPr="00711FE4">
        <w:rPr>
          <w:rFonts w:ascii="Arial" w:eastAsia="Times New Roman" w:hAnsi="Arial"/>
          <w:color w:val="000000" w:themeColor="text1"/>
          <w:sz w:val="16"/>
          <w:szCs w:val="16"/>
        </w:rPr>
        <w:t xml:space="preserve">The reported figures are based on the information provided by the household’s respondent. For example, in the fresh fruit and vegetables row for ‘ALL’ in 17-18, 4% of the population were in households where the respondent said they (or their partner) went without or cut back ‘a lot’ (rather than ‘a little’ or ‘not at all’). In the lower table, the second from left column indicates whether the item is respondent-focussed (R) or household-focussed (H). Though for most items the R/H distinction is clear, a few could be either. </w:t>
      </w:r>
      <w:r w:rsidRPr="00711FE4">
        <w:rPr>
          <w:rFonts w:ascii="Arial" w:hAnsi="Arial"/>
          <w:color w:val="000000"/>
          <w:sz w:val="16"/>
          <w:szCs w:val="16"/>
        </w:rPr>
        <w:t>This uncertainty has been addressed in the 2024-25 Household Incomes and Living Survey (HILS)</w:t>
      </w:r>
      <w:r w:rsidRPr="00711FE4">
        <w:rPr>
          <w:rFonts w:ascii="Arial" w:eastAsia="Times New Roman" w:hAnsi="Arial"/>
          <w:color w:val="000000" w:themeColor="text1"/>
          <w:sz w:val="16"/>
          <w:szCs w:val="16"/>
        </w:rPr>
        <w:t>.</w:t>
      </w:r>
    </w:p>
    <w:p w14:paraId="59D5D6DD" w14:textId="77777777" w:rsidR="00711FE4" w:rsidRPr="00711FE4" w:rsidRDefault="00711FE4" w:rsidP="00711FE4">
      <w:pPr>
        <w:spacing w:line="240" w:lineRule="auto"/>
        <w:rPr>
          <w:rFonts w:ascii="Arial" w:hAnsi="Arial"/>
          <w:b/>
          <w:bCs/>
          <w:color w:val="000000"/>
          <w:sz w:val="28"/>
          <w:szCs w:val="28"/>
        </w:rPr>
      </w:pPr>
      <w:r w:rsidRPr="00711FE4">
        <w:rPr>
          <w:rFonts w:ascii="Arial" w:hAnsi="Arial"/>
          <w:b/>
          <w:bCs/>
          <w:color w:val="000000"/>
          <w:sz w:val="28"/>
          <w:szCs w:val="28"/>
        </w:rPr>
        <w:lastRenderedPageBreak/>
        <w:t>Appendix 6</w:t>
      </w:r>
    </w:p>
    <w:p w14:paraId="7BA0C661" w14:textId="77777777" w:rsidR="00711FE4" w:rsidRPr="00711FE4" w:rsidRDefault="00711FE4" w:rsidP="00711FE4">
      <w:pPr>
        <w:spacing w:after="0" w:line="240" w:lineRule="auto"/>
        <w:rPr>
          <w:rFonts w:ascii="Arial" w:hAnsi="Arial"/>
          <w:b/>
          <w:bCs/>
          <w:color w:val="000000"/>
          <w:sz w:val="22"/>
        </w:rPr>
      </w:pPr>
      <w:r w:rsidRPr="00711FE4">
        <w:rPr>
          <w:rFonts w:ascii="Arial" w:hAnsi="Arial"/>
          <w:b/>
          <w:bCs/>
          <w:color w:val="000000"/>
          <w:sz w:val="22"/>
        </w:rPr>
        <w:t>Analysis by main source of income using an 80% threshold compared with using a 50% threshold</w:t>
      </w:r>
    </w:p>
    <w:p w14:paraId="61E77F3B" w14:textId="77777777" w:rsidR="00711FE4" w:rsidRPr="00711FE4" w:rsidRDefault="00711FE4" w:rsidP="00711FE4">
      <w:pPr>
        <w:spacing w:after="0" w:line="240" w:lineRule="auto"/>
        <w:jc w:val="center"/>
        <w:rPr>
          <w:rFonts w:ascii="Arial Mäori" w:hAnsi="Arial Mäori"/>
          <w:b/>
          <w:bCs/>
          <w:sz w:val="18"/>
          <w:szCs w:val="18"/>
        </w:rPr>
      </w:pPr>
    </w:p>
    <w:p w14:paraId="0908EE5A" w14:textId="77777777" w:rsidR="00711FE4" w:rsidRPr="00711FE4" w:rsidRDefault="00711FE4" w:rsidP="00711FE4">
      <w:pPr>
        <w:spacing w:after="0" w:line="240" w:lineRule="auto"/>
        <w:rPr>
          <w:rFonts w:ascii="Arial" w:hAnsi="Arial"/>
          <w:szCs w:val="20"/>
        </w:rPr>
      </w:pPr>
      <w:r w:rsidRPr="00711FE4">
        <w:rPr>
          <w:rFonts w:ascii="Arial" w:eastAsia="Times New Roman" w:hAnsi="Arial"/>
          <w:color w:val="000000" w:themeColor="text1"/>
          <w:szCs w:val="20"/>
          <w:lang w:val="en-US"/>
        </w:rPr>
        <w:t xml:space="preserve">For some analysis households are divided into two groups according to the main source of household income, market or government. Market income is income from salaries and wages, self-employment and investment.  Government income is income from </w:t>
      </w:r>
      <w:r w:rsidRPr="00711FE4">
        <w:rPr>
          <w:rFonts w:ascii="Arial" w:eastAsia="Times New Roman" w:hAnsi="Arial"/>
          <w:color w:val="000000" w:themeColor="text1"/>
          <w:szCs w:val="20"/>
        </w:rPr>
        <w:t>social welfare benefits, NZS/VP, AS, WFF tax credits, student bursaries, and so on. T</w:t>
      </w:r>
      <w:r w:rsidRPr="00711FE4">
        <w:rPr>
          <w:rFonts w:ascii="Arial" w:hAnsi="Arial"/>
          <w:szCs w:val="20"/>
        </w:rPr>
        <w:t xml:space="preserve">he standard approach in this report is to simply compare the dollar value of the two sources and allocate according to where the most income is from, market or government. This is in effect setting the threshold at 50% of total income from all sources (after paying income tax and ACC earner levies). </w:t>
      </w:r>
      <w:r w:rsidRPr="00711FE4">
        <w:rPr>
          <w:rFonts w:ascii="Arial" w:hAnsi="Arial"/>
          <w:b/>
          <w:bCs/>
          <w:szCs w:val="20"/>
        </w:rPr>
        <w:t>Table 6.1</w:t>
      </w:r>
      <w:r w:rsidRPr="00711FE4">
        <w:rPr>
          <w:rFonts w:ascii="Arial" w:hAnsi="Arial"/>
          <w:szCs w:val="20"/>
        </w:rPr>
        <w:t xml:space="preserve"> sets the threshold higher at 80%+ to assess how sensitive the findings are to using ‘tighter’ definitions: </w:t>
      </w:r>
    </w:p>
    <w:p w14:paraId="36ACA619" w14:textId="77777777" w:rsidR="00711FE4" w:rsidRPr="00711FE4" w:rsidRDefault="00711FE4">
      <w:pPr>
        <w:numPr>
          <w:ilvl w:val="0"/>
          <w:numId w:val="111"/>
        </w:numPr>
        <w:spacing w:before="80" w:after="0" w:line="240" w:lineRule="auto"/>
        <w:ind w:left="567" w:hanging="210"/>
        <w:rPr>
          <w:rFonts w:ascii="Arial" w:hAnsi="Arial"/>
          <w:sz w:val="18"/>
          <w:szCs w:val="18"/>
        </w:rPr>
      </w:pPr>
      <w:r w:rsidRPr="00711FE4">
        <w:rPr>
          <w:rFonts w:ascii="Arial" w:hAnsi="Arial"/>
          <w:sz w:val="18"/>
          <w:szCs w:val="18"/>
        </w:rPr>
        <w:t>For ‘main source market’, when using the 80% threshold and compared with using the 50% threshold:</w:t>
      </w:r>
    </w:p>
    <w:p w14:paraId="186CD7CA" w14:textId="77777777" w:rsidR="00711FE4" w:rsidRPr="00711FE4" w:rsidRDefault="00711FE4">
      <w:pPr>
        <w:numPr>
          <w:ilvl w:val="0"/>
          <w:numId w:val="112"/>
        </w:numPr>
        <w:spacing w:after="0" w:line="240" w:lineRule="auto"/>
        <w:ind w:left="1134"/>
        <w:contextualSpacing/>
        <w:rPr>
          <w:rFonts w:ascii="Arial" w:hAnsi="Arial"/>
          <w:sz w:val="18"/>
          <w:szCs w:val="18"/>
        </w:rPr>
      </w:pPr>
      <w:r w:rsidRPr="00711FE4">
        <w:rPr>
          <w:rFonts w:ascii="Arial" w:hAnsi="Arial"/>
          <w:sz w:val="18"/>
          <w:szCs w:val="18"/>
        </w:rPr>
        <w:t>The material hardship rate drops a little from 8% to 5%;</w:t>
      </w:r>
    </w:p>
    <w:p w14:paraId="229F1788" w14:textId="77777777" w:rsidR="00711FE4" w:rsidRPr="00711FE4" w:rsidRDefault="00711FE4">
      <w:pPr>
        <w:numPr>
          <w:ilvl w:val="0"/>
          <w:numId w:val="112"/>
        </w:numPr>
        <w:spacing w:after="0" w:line="240" w:lineRule="auto"/>
        <w:ind w:left="1134"/>
        <w:contextualSpacing/>
        <w:rPr>
          <w:rFonts w:ascii="Arial" w:hAnsi="Arial"/>
          <w:sz w:val="18"/>
          <w:szCs w:val="18"/>
        </w:rPr>
      </w:pPr>
      <w:r w:rsidRPr="00711FE4">
        <w:rPr>
          <w:rFonts w:ascii="Arial" w:hAnsi="Arial"/>
          <w:sz w:val="18"/>
          <w:szCs w:val="18"/>
        </w:rPr>
        <w:t>Children are a little more likely to come from two parent rather than sole parent households, and from owned rather than rented accommodation (with AS);</w:t>
      </w:r>
    </w:p>
    <w:p w14:paraId="4C568A42" w14:textId="77777777" w:rsidR="00711FE4" w:rsidRPr="00711FE4" w:rsidRDefault="00711FE4">
      <w:pPr>
        <w:numPr>
          <w:ilvl w:val="0"/>
          <w:numId w:val="112"/>
        </w:numPr>
        <w:spacing w:after="0" w:line="240" w:lineRule="auto"/>
        <w:ind w:left="1134"/>
        <w:contextualSpacing/>
        <w:rPr>
          <w:rFonts w:ascii="Arial" w:hAnsi="Arial"/>
          <w:sz w:val="18"/>
          <w:szCs w:val="18"/>
        </w:rPr>
      </w:pPr>
      <w:r w:rsidRPr="00711FE4">
        <w:rPr>
          <w:rFonts w:ascii="Arial" w:hAnsi="Arial"/>
          <w:sz w:val="18"/>
          <w:szCs w:val="18"/>
        </w:rPr>
        <w:t>Household incomes are a little higher for both BHC and AHC.</w:t>
      </w:r>
    </w:p>
    <w:p w14:paraId="2F02D541" w14:textId="77777777" w:rsidR="00711FE4" w:rsidRPr="00711FE4" w:rsidRDefault="00711FE4">
      <w:pPr>
        <w:numPr>
          <w:ilvl w:val="0"/>
          <w:numId w:val="111"/>
        </w:numPr>
        <w:spacing w:before="80" w:after="0" w:line="240" w:lineRule="auto"/>
        <w:ind w:left="567" w:hanging="210"/>
        <w:rPr>
          <w:rFonts w:ascii="Arial" w:hAnsi="Arial"/>
          <w:sz w:val="18"/>
          <w:szCs w:val="18"/>
        </w:rPr>
      </w:pPr>
      <w:r w:rsidRPr="00711FE4">
        <w:rPr>
          <w:rFonts w:ascii="Arial" w:hAnsi="Arial"/>
          <w:sz w:val="18"/>
          <w:szCs w:val="18"/>
        </w:rPr>
        <w:t>For ‘main source government’, the changes are the mirror image, except in the tenure comparison the proportion of owners is unchanged (18%).</w:t>
      </w:r>
    </w:p>
    <w:p w14:paraId="1ABBD8D6" w14:textId="77777777" w:rsidR="00711FE4" w:rsidRPr="00711FE4" w:rsidRDefault="00711FE4" w:rsidP="00711FE4">
      <w:pPr>
        <w:spacing w:after="0" w:line="240" w:lineRule="auto"/>
        <w:rPr>
          <w:rFonts w:ascii="Arial" w:hAnsi="Arial"/>
          <w:sz w:val="18"/>
          <w:szCs w:val="18"/>
        </w:rPr>
      </w:pPr>
    </w:p>
    <w:p w14:paraId="337A4264" w14:textId="77777777" w:rsidR="00711FE4" w:rsidRPr="00711FE4" w:rsidRDefault="00711FE4" w:rsidP="00711FE4">
      <w:pPr>
        <w:spacing w:after="0" w:line="240" w:lineRule="auto"/>
        <w:rPr>
          <w:rFonts w:ascii="Arial" w:hAnsi="Arial"/>
          <w:szCs w:val="20"/>
        </w:rPr>
      </w:pPr>
      <w:r w:rsidRPr="00711FE4">
        <w:rPr>
          <w:rFonts w:ascii="Arial" w:hAnsi="Arial"/>
          <w:szCs w:val="20"/>
        </w:rPr>
        <w:t>The overall conclusion is that using 80% rather than 50% has no reportable impact on the findings about the differences between the two groups.</w:t>
      </w:r>
    </w:p>
    <w:p w14:paraId="7451B617" w14:textId="77777777" w:rsidR="00711FE4" w:rsidRPr="00711FE4" w:rsidRDefault="00711FE4" w:rsidP="00711FE4">
      <w:pPr>
        <w:spacing w:after="0" w:line="240" w:lineRule="auto"/>
        <w:jc w:val="center"/>
        <w:rPr>
          <w:rFonts w:ascii="Arial Mäori" w:hAnsi="Arial Mäori"/>
          <w:b/>
          <w:bCs/>
          <w:sz w:val="16"/>
          <w:szCs w:val="16"/>
        </w:rPr>
      </w:pPr>
    </w:p>
    <w:p w14:paraId="7DC3804B" w14:textId="77777777" w:rsidR="00711FE4" w:rsidRPr="00711FE4" w:rsidRDefault="00711FE4" w:rsidP="00711FE4">
      <w:pPr>
        <w:spacing w:after="0" w:line="240" w:lineRule="auto"/>
        <w:jc w:val="center"/>
        <w:rPr>
          <w:rFonts w:ascii="Arial Mäori" w:hAnsi="Arial Mäori"/>
          <w:b/>
          <w:bCs/>
          <w:sz w:val="18"/>
          <w:szCs w:val="18"/>
        </w:rPr>
      </w:pPr>
      <w:r w:rsidRPr="00711FE4">
        <w:rPr>
          <w:rFonts w:ascii="Arial Mäori" w:hAnsi="Arial Mäori"/>
          <w:b/>
          <w:bCs/>
          <w:sz w:val="18"/>
          <w:szCs w:val="18"/>
        </w:rPr>
        <w:t>Table 6.1</w:t>
      </w:r>
    </w:p>
    <w:p w14:paraId="501DCBD5" w14:textId="77777777" w:rsidR="00711FE4" w:rsidRPr="00711FE4" w:rsidRDefault="00711FE4" w:rsidP="00711FE4">
      <w:pPr>
        <w:spacing w:line="240" w:lineRule="auto"/>
        <w:jc w:val="center"/>
        <w:rPr>
          <w:rFonts w:ascii="Arial Mäori" w:hAnsi="Arial Mäori"/>
          <w:b/>
          <w:bCs/>
          <w:sz w:val="18"/>
          <w:szCs w:val="18"/>
        </w:rPr>
      </w:pPr>
      <w:r w:rsidRPr="00711FE4">
        <w:rPr>
          <w:rFonts w:ascii="Arial Mäori" w:hAnsi="Arial Mäori"/>
          <w:b/>
          <w:bCs/>
          <w:sz w:val="18"/>
          <w:szCs w:val="18"/>
        </w:rPr>
        <w:t>Comparing selected characteristics for children in their households using three thresholds for source of income (government / market)</w:t>
      </w:r>
    </w:p>
    <w:tbl>
      <w:tblPr>
        <w:tblW w:w="8788" w:type="dxa"/>
        <w:jc w:val="center"/>
        <w:tblLook w:val="04A0" w:firstRow="1" w:lastRow="0" w:firstColumn="1" w:lastColumn="0" w:noHBand="0" w:noVBand="1"/>
      </w:tblPr>
      <w:tblGrid>
        <w:gridCol w:w="2268"/>
        <w:gridCol w:w="706"/>
        <w:gridCol w:w="839"/>
        <w:gridCol w:w="845"/>
        <w:gridCol w:w="851"/>
        <w:gridCol w:w="850"/>
        <w:gridCol w:w="851"/>
        <w:gridCol w:w="855"/>
        <w:gridCol w:w="723"/>
      </w:tblGrid>
      <w:tr w:rsidR="00711FE4" w:rsidRPr="00711FE4" w14:paraId="140F57AC" w14:textId="77777777" w:rsidTr="00366F04">
        <w:trPr>
          <w:trHeight w:val="280"/>
          <w:jc w:val="center"/>
        </w:trPr>
        <w:tc>
          <w:tcPr>
            <w:tcW w:w="2974"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22219DB2" w14:textId="77777777" w:rsidR="00711FE4" w:rsidRPr="00711FE4" w:rsidRDefault="00711FE4" w:rsidP="00711FE4">
            <w:pPr>
              <w:spacing w:after="0" w:line="240" w:lineRule="auto"/>
              <w:jc w:val="center"/>
              <w:rPr>
                <w:rFonts w:ascii="Arial Mäori" w:eastAsia="Times New Roman" w:hAnsi="Arial Mäori" w:cs="Times New Roman"/>
                <w:b/>
                <w:bCs/>
                <w:color w:val="000000"/>
                <w:sz w:val="16"/>
                <w:szCs w:val="16"/>
                <w:lang w:eastAsia="en-NZ"/>
              </w:rPr>
            </w:pPr>
            <w:r w:rsidRPr="00711FE4">
              <w:rPr>
                <w:rFonts w:ascii="Arial Mäori" w:eastAsia="Times New Roman" w:hAnsi="Arial Mäori" w:cs="Times New Roman"/>
                <w:b/>
                <w:bCs/>
                <w:color w:val="000000"/>
                <w:sz w:val="16"/>
                <w:szCs w:val="16"/>
                <w:lang w:eastAsia="en-NZ"/>
              </w:rPr>
              <w:t>HILS 2024-25</w:t>
            </w:r>
          </w:p>
        </w:tc>
        <w:tc>
          <w:tcPr>
            <w:tcW w:w="5814" w:type="dxa"/>
            <w:gridSpan w:val="7"/>
            <w:tcBorders>
              <w:top w:val="single" w:sz="4" w:space="0" w:color="auto"/>
              <w:left w:val="single" w:sz="4" w:space="0" w:color="auto"/>
              <w:bottom w:val="single" w:sz="4" w:space="0" w:color="auto"/>
              <w:right w:val="single" w:sz="4" w:space="0" w:color="auto"/>
            </w:tcBorders>
            <w:vAlign w:val="center"/>
            <w:hideMark/>
          </w:tcPr>
          <w:p w14:paraId="7EAB7E0B"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Age 0-17s</w:t>
            </w:r>
          </w:p>
        </w:tc>
      </w:tr>
      <w:tr w:rsidR="00711FE4" w:rsidRPr="00711FE4" w14:paraId="0FEDA1D1" w14:textId="77777777" w:rsidTr="00366F04">
        <w:trPr>
          <w:trHeight w:val="280"/>
          <w:jc w:val="center"/>
        </w:trPr>
        <w:tc>
          <w:tcPr>
            <w:tcW w:w="2974" w:type="dxa"/>
            <w:gridSpan w:val="2"/>
            <w:vMerge/>
            <w:tcBorders>
              <w:top w:val="single" w:sz="4" w:space="0" w:color="auto"/>
              <w:left w:val="single" w:sz="4" w:space="0" w:color="auto"/>
              <w:bottom w:val="single" w:sz="4" w:space="0" w:color="000000"/>
              <w:right w:val="single" w:sz="4" w:space="0" w:color="auto"/>
            </w:tcBorders>
            <w:vAlign w:val="center"/>
            <w:hideMark/>
          </w:tcPr>
          <w:p w14:paraId="2BA315B6" w14:textId="77777777" w:rsidR="00711FE4" w:rsidRPr="00711FE4" w:rsidRDefault="00711FE4" w:rsidP="00711FE4">
            <w:pPr>
              <w:spacing w:after="0" w:line="240" w:lineRule="auto"/>
              <w:rPr>
                <w:rFonts w:ascii="Arial Mäori" w:eastAsia="Times New Roman" w:hAnsi="Arial Mäori" w:cs="Times New Roman"/>
                <w:b/>
                <w:bCs/>
                <w:color w:val="000000"/>
                <w:sz w:val="16"/>
                <w:szCs w:val="16"/>
                <w:lang w:eastAsia="en-NZ"/>
              </w:rPr>
            </w:pPr>
          </w:p>
        </w:tc>
        <w:tc>
          <w:tcPr>
            <w:tcW w:w="839" w:type="dxa"/>
            <w:vMerge w:val="restart"/>
            <w:tcBorders>
              <w:top w:val="single" w:sz="4" w:space="0" w:color="auto"/>
              <w:left w:val="single" w:sz="4" w:space="0" w:color="auto"/>
              <w:bottom w:val="single" w:sz="4" w:space="0" w:color="auto"/>
              <w:right w:val="single" w:sz="4" w:space="0" w:color="auto"/>
            </w:tcBorders>
            <w:shd w:val="clear" w:color="000000" w:fill="DAF2D0"/>
            <w:vAlign w:val="center"/>
            <w:hideMark/>
          </w:tcPr>
          <w:p w14:paraId="2A84B1BF"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xml:space="preserve">All </w:t>
            </w:r>
          </w:p>
          <w:p w14:paraId="3FA3C2EE"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0-17s</w:t>
            </w:r>
          </w:p>
        </w:tc>
        <w:tc>
          <w:tcPr>
            <w:tcW w:w="2546" w:type="dxa"/>
            <w:gridSpan w:val="3"/>
            <w:tcBorders>
              <w:top w:val="single" w:sz="4" w:space="0" w:color="auto"/>
              <w:left w:val="single" w:sz="4" w:space="0" w:color="auto"/>
              <w:bottom w:val="single" w:sz="4" w:space="0" w:color="auto"/>
              <w:right w:val="single" w:sz="4" w:space="0" w:color="auto"/>
            </w:tcBorders>
            <w:vAlign w:val="center"/>
            <w:hideMark/>
          </w:tcPr>
          <w:p w14:paraId="0879F67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govt source (tightest to loosest)</w:t>
            </w:r>
          </w:p>
        </w:tc>
        <w:tc>
          <w:tcPr>
            <w:tcW w:w="2429" w:type="dxa"/>
            <w:gridSpan w:val="3"/>
            <w:tcBorders>
              <w:top w:val="single" w:sz="4" w:space="0" w:color="auto"/>
              <w:left w:val="single" w:sz="4" w:space="0" w:color="auto"/>
              <w:bottom w:val="single" w:sz="4" w:space="0" w:color="auto"/>
              <w:right w:val="single" w:sz="4" w:space="0" w:color="auto"/>
            </w:tcBorders>
            <w:vAlign w:val="center"/>
            <w:hideMark/>
          </w:tcPr>
          <w:p w14:paraId="49EFCF39"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mkt source (loosest to tightest)</w:t>
            </w:r>
          </w:p>
        </w:tc>
      </w:tr>
      <w:tr w:rsidR="00711FE4" w:rsidRPr="00711FE4" w14:paraId="12DFC359" w14:textId="77777777" w:rsidTr="00366F04">
        <w:trPr>
          <w:trHeight w:val="939"/>
          <w:jc w:val="center"/>
        </w:trPr>
        <w:tc>
          <w:tcPr>
            <w:tcW w:w="2974" w:type="dxa"/>
            <w:gridSpan w:val="2"/>
            <w:vMerge/>
            <w:tcBorders>
              <w:top w:val="single" w:sz="8" w:space="0" w:color="auto"/>
              <w:left w:val="single" w:sz="4" w:space="0" w:color="auto"/>
              <w:bottom w:val="single" w:sz="4" w:space="0" w:color="000000"/>
              <w:right w:val="single" w:sz="4" w:space="0" w:color="auto"/>
            </w:tcBorders>
            <w:vAlign w:val="center"/>
            <w:hideMark/>
          </w:tcPr>
          <w:p w14:paraId="2A6575D1" w14:textId="77777777" w:rsidR="00711FE4" w:rsidRPr="00711FE4" w:rsidRDefault="00711FE4" w:rsidP="00711FE4">
            <w:pPr>
              <w:spacing w:after="0" w:line="240" w:lineRule="auto"/>
              <w:rPr>
                <w:rFonts w:ascii="Arial Mäori" w:eastAsia="Times New Roman" w:hAnsi="Arial Mäori" w:cs="Times New Roman"/>
                <w:b/>
                <w:bCs/>
                <w:color w:val="000000"/>
                <w:sz w:val="16"/>
                <w:szCs w:val="16"/>
                <w:lang w:eastAsia="en-NZ"/>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14:paraId="116590D2" w14:textId="77777777" w:rsidR="00711FE4" w:rsidRPr="00711FE4" w:rsidRDefault="00711FE4" w:rsidP="00711FE4">
            <w:pPr>
              <w:spacing w:after="0" w:line="240" w:lineRule="auto"/>
              <w:rPr>
                <w:rFonts w:ascii="Arial Mäori" w:eastAsia="Times New Roman" w:hAnsi="Arial Mäori" w:cs="Times New Roman"/>
                <w:b/>
                <w:bCs/>
                <w:color w:val="000000"/>
                <w:sz w:val="14"/>
                <w:szCs w:val="14"/>
                <w:lang w:eastAsia="en-NZ"/>
              </w:rPr>
            </w:pPr>
          </w:p>
        </w:tc>
        <w:tc>
          <w:tcPr>
            <w:tcW w:w="845" w:type="dxa"/>
            <w:tcBorders>
              <w:top w:val="single" w:sz="4" w:space="0" w:color="auto"/>
              <w:left w:val="nil"/>
              <w:bottom w:val="single" w:sz="4" w:space="0" w:color="auto"/>
              <w:right w:val="single" w:sz="4" w:space="0" w:color="auto"/>
            </w:tcBorders>
            <w:vAlign w:val="center"/>
            <w:hideMark/>
          </w:tcPr>
          <w:p w14:paraId="00717D1E"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80%+ govt source income HHs</w:t>
            </w:r>
          </w:p>
        </w:tc>
        <w:tc>
          <w:tcPr>
            <w:tcW w:w="851" w:type="dxa"/>
            <w:tcBorders>
              <w:top w:val="single" w:sz="4" w:space="0" w:color="auto"/>
              <w:left w:val="nil"/>
              <w:bottom w:val="single" w:sz="4" w:space="0" w:color="auto"/>
              <w:right w:val="single" w:sz="4" w:space="0" w:color="auto"/>
            </w:tcBorders>
            <w:shd w:val="clear" w:color="000000" w:fill="DAE9F8"/>
            <w:vAlign w:val="center"/>
            <w:hideMark/>
          </w:tcPr>
          <w:p w14:paraId="1CD99D8D"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50%+ govt source income HHs</w:t>
            </w:r>
          </w:p>
        </w:tc>
        <w:tc>
          <w:tcPr>
            <w:tcW w:w="850" w:type="dxa"/>
            <w:tcBorders>
              <w:top w:val="single" w:sz="4" w:space="0" w:color="auto"/>
              <w:left w:val="nil"/>
              <w:bottom w:val="single" w:sz="4" w:space="0" w:color="auto"/>
              <w:right w:val="single" w:sz="4" w:space="0" w:color="auto"/>
            </w:tcBorders>
            <w:vAlign w:val="center"/>
            <w:hideMark/>
          </w:tcPr>
          <w:p w14:paraId="637DDFCC"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20%+ govt source income HHs</w:t>
            </w:r>
          </w:p>
        </w:tc>
        <w:tc>
          <w:tcPr>
            <w:tcW w:w="851" w:type="dxa"/>
            <w:tcBorders>
              <w:top w:val="single" w:sz="4" w:space="0" w:color="auto"/>
              <w:left w:val="nil"/>
              <w:bottom w:val="single" w:sz="4" w:space="0" w:color="auto"/>
              <w:right w:val="single" w:sz="4" w:space="0" w:color="auto"/>
            </w:tcBorders>
            <w:vAlign w:val="center"/>
            <w:hideMark/>
          </w:tcPr>
          <w:p w14:paraId="6EFF759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20%+ market source income HHs</w:t>
            </w:r>
          </w:p>
        </w:tc>
        <w:tc>
          <w:tcPr>
            <w:tcW w:w="855" w:type="dxa"/>
            <w:tcBorders>
              <w:top w:val="single" w:sz="4" w:space="0" w:color="auto"/>
              <w:left w:val="nil"/>
              <w:bottom w:val="single" w:sz="4" w:space="0" w:color="auto"/>
              <w:right w:val="single" w:sz="4" w:space="0" w:color="auto"/>
            </w:tcBorders>
            <w:shd w:val="clear" w:color="000000" w:fill="DAE9F8"/>
            <w:vAlign w:val="center"/>
            <w:hideMark/>
          </w:tcPr>
          <w:p w14:paraId="594E967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50%+ market source income HHs</w:t>
            </w:r>
          </w:p>
        </w:tc>
        <w:tc>
          <w:tcPr>
            <w:tcW w:w="723" w:type="dxa"/>
            <w:tcBorders>
              <w:top w:val="single" w:sz="4" w:space="0" w:color="auto"/>
              <w:left w:val="nil"/>
              <w:bottom w:val="single" w:sz="4" w:space="0" w:color="auto"/>
              <w:right w:val="single" w:sz="4" w:space="0" w:color="auto"/>
            </w:tcBorders>
            <w:vAlign w:val="center"/>
            <w:hideMark/>
          </w:tcPr>
          <w:p w14:paraId="36EF3C0E"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80%+ market source income HHs</w:t>
            </w:r>
          </w:p>
        </w:tc>
      </w:tr>
      <w:tr w:rsidR="00711FE4" w:rsidRPr="00711FE4" w14:paraId="2D526673" w14:textId="77777777" w:rsidTr="00366F04">
        <w:trPr>
          <w:trHeight w:val="249"/>
          <w:jc w:val="center"/>
        </w:trPr>
        <w:tc>
          <w:tcPr>
            <w:tcW w:w="2974" w:type="dxa"/>
            <w:gridSpan w:val="2"/>
            <w:tcBorders>
              <w:top w:val="nil"/>
              <w:left w:val="single" w:sz="4" w:space="0" w:color="auto"/>
              <w:bottom w:val="single" w:sz="4" w:space="0" w:color="auto"/>
              <w:right w:val="single" w:sz="4" w:space="0" w:color="auto"/>
            </w:tcBorders>
            <w:vAlign w:val="center"/>
            <w:hideMark/>
          </w:tcPr>
          <w:p w14:paraId="2D55F424"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Individuals 0-17 (000s)</w:t>
            </w:r>
          </w:p>
        </w:tc>
        <w:tc>
          <w:tcPr>
            <w:tcW w:w="839" w:type="dxa"/>
            <w:tcBorders>
              <w:top w:val="single" w:sz="4" w:space="0" w:color="auto"/>
              <w:left w:val="nil"/>
              <w:bottom w:val="single" w:sz="4" w:space="0" w:color="auto"/>
              <w:right w:val="single" w:sz="4" w:space="0" w:color="auto"/>
            </w:tcBorders>
            <w:shd w:val="clear" w:color="000000" w:fill="DAF2D0"/>
            <w:noWrap/>
            <w:vAlign w:val="center"/>
            <w:hideMark/>
          </w:tcPr>
          <w:p w14:paraId="5583D58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1,183,000</w:t>
            </w:r>
          </w:p>
        </w:tc>
        <w:tc>
          <w:tcPr>
            <w:tcW w:w="845" w:type="dxa"/>
            <w:tcBorders>
              <w:top w:val="single" w:sz="4" w:space="0" w:color="auto"/>
              <w:left w:val="nil"/>
              <w:bottom w:val="single" w:sz="4" w:space="0" w:color="auto"/>
              <w:right w:val="single" w:sz="4" w:space="0" w:color="auto"/>
            </w:tcBorders>
            <w:noWrap/>
            <w:vAlign w:val="center"/>
            <w:hideMark/>
          </w:tcPr>
          <w:p w14:paraId="3DA29A3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84,000</w:t>
            </w:r>
          </w:p>
        </w:tc>
        <w:tc>
          <w:tcPr>
            <w:tcW w:w="851" w:type="dxa"/>
            <w:tcBorders>
              <w:top w:val="single" w:sz="4" w:space="0" w:color="auto"/>
              <w:left w:val="nil"/>
              <w:bottom w:val="single" w:sz="4" w:space="0" w:color="auto"/>
              <w:right w:val="single" w:sz="4" w:space="0" w:color="auto"/>
            </w:tcBorders>
            <w:shd w:val="clear" w:color="000000" w:fill="DAE9F8"/>
            <w:noWrap/>
            <w:vAlign w:val="center"/>
            <w:hideMark/>
          </w:tcPr>
          <w:p w14:paraId="22022BF6"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186,000</w:t>
            </w:r>
          </w:p>
        </w:tc>
        <w:tc>
          <w:tcPr>
            <w:tcW w:w="850" w:type="dxa"/>
            <w:tcBorders>
              <w:top w:val="single" w:sz="4" w:space="0" w:color="auto"/>
              <w:left w:val="nil"/>
              <w:bottom w:val="single" w:sz="4" w:space="0" w:color="auto"/>
              <w:right w:val="single" w:sz="4" w:space="0" w:color="auto"/>
            </w:tcBorders>
            <w:noWrap/>
            <w:vAlign w:val="center"/>
            <w:hideMark/>
          </w:tcPr>
          <w:p w14:paraId="485D2DE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331,000</w:t>
            </w:r>
          </w:p>
        </w:tc>
        <w:tc>
          <w:tcPr>
            <w:tcW w:w="851" w:type="dxa"/>
            <w:tcBorders>
              <w:top w:val="single" w:sz="4" w:space="0" w:color="auto"/>
              <w:left w:val="nil"/>
              <w:bottom w:val="single" w:sz="4" w:space="0" w:color="auto"/>
              <w:right w:val="single" w:sz="4" w:space="0" w:color="auto"/>
            </w:tcBorders>
            <w:noWrap/>
            <w:vAlign w:val="center"/>
            <w:hideMark/>
          </w:tcPr>
          <w:p w14:paraId="39B6868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1,096,000</w:t>
            </w:r>
          </w:p>
        </w:tc>
        <w:tc>
          <w:tcPr>
            <w:tcW w:w="855" w:type="dxa"/>
            <w:tcBorders>
              <w:top w:val="single" w:sz="4" w:space="0" w:color="auto"/>
              <w:left w:val="nil"/>
              <w:bottom w:val="single" w:sz="4" w:space="0" w:color="auto"/>
              <w:right w:val="single" w:sz="4" w:space="0" w:color="auto"/>
            </w:tcBorders>
            <w:shd w:val="clear" w:color="000000" w:fill="DAE9F8"/>
            <w:noWrap/>
            <w:vAlign w:val="center"/>
            <w:hideMark/>
          </w:tcPr>
          <w:p w14:paraId="2A52D45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996,000</w:t>
            </w:r>
          </w:p>
        </w:tc>
        <w:tc>
          <w:tcPr>
            <w:tcW w:w="723" w:type="dxa"/>
            <w:tcBorders>
              <w:top w:val="single" w:sz="4" w:space="0" w:color="auto"/>
              <w:left w:val="nil"/>
              <w:bottom w:val="single" w:sz="4" w:space="0" w:color="auto"/>
              <w:right w:val="single" w:sz="4" w:space="0" w:color="auto"/>
            </w:tcBorders>
            <w:noWrap/>
            <w:vAlign w:val="center"/>
            <w:hideMark/>
          </w:tcPr>
          <w:p w14:paraId="46A7C58C"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849,000</w:t>
            </w:r>
          </w:p>
        </w:tc>
      </w:tr>
      <w:tr w:rsidR="00711FE4" w:rsidRPr="00711FE4" w14:paraId="39B09F04" w14:textId="77777777" w:rsidTr="00366F04">
        <w:trPr>
          <w:trHeight w:val="249"/>
          <w:jc w:val="center"/>
        </w:trPr>
        <w:tc>
          <w:tcPr>
            <w:tcW w:w="2974" w:type="dxa"/>
            <w:gridSpan w:val="2"/>
            <w:tcBorders>
              <w:top w:val="nil"/>
              <w:left w:val="single" w:sz="4" w:space="0" w:color="auto"/>
              <w:bottom w:val="single" w:sz="4" w:space="0" w:color="auto"/>
              <w:right w:val="single" w:sz="4" w:space="0" w:color="auto"/>
            </w:tcBorders>
            <w:vAlign w:val="center"/>
            <w:hideMark/>
          </w:tcPr>
          <w:p w14:paraId="4D311468"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Households with 0-17s (000s)</w:t>
            </w:r>
          </w:p>
        </w:tc>
        <w:tc>
          <w:tcPr>
            <w:tcW w:w="839" w:type="dxa"/>
            <w:tcBorders>
              <w:top w:val="nil"/>
              <w:left w:val="nil"/>
              <w:bottom w:val="single" w:sz="4" w:space="0" w:color="auto"/>
              <w:right w:val="single" w:sz="4" w:space="0" w:color="auto"/>
            </w:tcBorders>
            <w:shd w:val="clear" w:color="000000" w:fill="DAF2D0"/>
            <w:noWrap/>
            <w:vAlign w:val="center"/>
            <w:hideMark/>
          </w:tcPr>
          <w:p w14:paraId="6EE8B052"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656,000</w:t>
            </w:r>
          </w:p>
        </w:tc>
        <w:tc>
          <w:tcPr>
            <w:tcW w:w="845" w:type="dxa"/>
            <w:tcBorders>
              <w:top w:val="nil"/>
              <w:left w:val="nil"/>
              <w:bottom w:val="single" w:sz="4" w:space="0" w:color="auto"/>
              <w:right w:val="single" w:sz="4" w:space="0" w:color="auto"/>
            </w:tcBorders>
            <w:noWrap/>
            <w:vAlign w:val="center"/>
            <w:hideMark/>
          </w:tcPr>
          <w:p w14:paraId="6FC1321F"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43,000</w:t>
            </w:r>
          </w:p>
        </w:tc>
        <w:tc>
          <w:tcPr>
            <w:tcW w:w="851" w:type="dxa"/>
            <w:tcBorders>
              <w:top w:val="nil"/>
              <w:left w:val="nil"/>
              <w:bottom w:val="single" w:sz="4" w:space="0" w:color="auto"/>
              <w:right w:val="single" w:sz="4" w:space="0" w:color="auto"/>
            </w:tcBorders>
            <w:shd w:val="clear" w:color="000000" w:fill="DAE9F8"/>
            <w:noWrap/>
            <w:vAlign w:val="center"/>
            <w:hideMark/>
          </w:tcPr>
          <w:p w14:paraId="61ACC4AC"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89,000</w:t>
            </w:r>
          </w:p>
        </w:tc>
        <w:tc>
          <w:tcPr>
            <w:tcW w:w="850" w:type="dxa"/>
            <w:tcBorders>
              <w:top w:val="nil"/>
              <w:left w:val="nil"/>
              <w:bottom w:val="single" w:sz="4" w:space="0" w:color="auto"/>
              <w:right w:val="single" w:sz="4" w:space="0" w:color="auto"/>
            </w:tcBorders>
            <w:noWrap/>
            <w:vAlign w:val="center"/>
            <w:hideMark/>
          </w:tcPr>
          <w:p w14:paraId="3C01EC9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162,000</w:t>
            </w:r>
          </w:p>
        </w:tc>
        <w:tc>
          <w:tcPr>
            <w:tcW w:w="851" w:type="dxa"/>
            <w:tcBorders>
              <w:top w:val="nil"/>
              <w:left w:val="nil"/>
              <w:bottom w:val="single" w:sz="4" w:space="0" w:color="auto"/>
              <w:right w:val="single" w:sz="4" w:space="0" w:color="auto"/>
            </w:tcBorders>
            <w:noWrap/>
            <w:vAlign w:val="center"/>
            <w:hideMark/>
          </w:tcPr>
          <w:p w14:paraId="30DE9BE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611,000</w:t>
            </w:r>
          </w:p>
        </w:tc>
        <w:tc>
          <w:tcPr>
            <w:tcW w:w="855" w:type="dxa"/>
            <w:tcBorders>
              <w:top w:val="nil"/>
              <w:left w:val="nil"/>
              <w:bottom w:val="single" w:sz="4" w:space="0" w:color="auto"/>
              <w:right w:val="single" w:sz="4" w:space="0" w:color="auto"/>
            </w:tcBorders>
            <w:shd w:val="clear" w:color="000000" w:fill="DAE9F8"/>
            <w:noWrap/>
            <w:vAlign w:val="center"/>
            <w:hideMark/>
          </w:tcPr>
          <w:p w14:paraId="67108D9D"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567,000</w:t>
            </w:r>
          </w:p>
        </w:tc>
        <w:tc>
          <w:tcPr>
            <w:tcW w:w="723" w:type="dxa"/>
            <w:tcBorders>
              <w:top w:val="nil"/>
              <w:left w:val="nil"/>
              <w:bottom w:val="single" w:sz="4" w:space="0" w:color="auto"/>
              <w:right w:val="single" w:sz="4" w:space="0" w:color="auto"/>
            </w:tcBorders>
            <w:noWrap/>
            <w:vAlign w:val="center"/>
            <w:hideMark/>
          </w:tcPr>
          <w:p w14:paraId="0115BAEC"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493,000</w:t>
            </w:r>
          </w:p>
        </w:tc>
      </w:tr>
      <w:tr w:rsidR="00711FE4" w:rsidRPr="00711FE4" w14:paraId="3061B4A8" w14:textId="77777777" w:rsidTr="00366F04">
        <w:trPr>
          <w:trHeight w:val="249"/>
          <w:jc w:val="center"/>
        </w:trPr>
        <w:tc>
          <w:tcPr>
            <w:tcW w:w="2974" w:type="dxa"/>
            <w:gridSpan w:val="2"/>
            <w:tcBorders>
              <w:top w:val="nil"/>
              <w:left w:val="single" w:sz="4" w:space="0" w:color="auto"/>
              <w:bottom w:val="single" w:sz="4" w:space="0" w:color="auto"/>
              <w:right w:val="single" w:sz="4" w:space="0" w:color="auto"/>
            </w:tcBorders>
            <w:vAlign w:val="center"/>
            <w:hideMark/>
          </w:tcPr>
          <w:p w14:paraId="47D12788"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of all 0-17s</w:t>
            </w:r>
          </w:p>
        </w:tc>
        <w:tc>
          <w:tcPr>
            <w:tcW w:w="839" w:type="dxa"/>
            <w:tcBorders>
              <w:top w:val="nil"/>
              <w:left w:val="nil"/>
              <w:bottom w:val="single" w:sz="4" w:space="0" w:color="auto"/>
              <w:right w:val="single" w:sz="4" w:space="0" w:color="auto"/>
            </w:tcBorders>
            <w:shd w:val="clear" w:color="000000" w:fill="DAF2D0"/>
            <w:noWrap/>
            <w:vAlign w:val="center"/>
            <w:hideMark/>
          </w:tcPr>
          <w:p w14:paraId="3DE671DC"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845" w:type="dxa"/>
            <w:tcBorders>
              <w:top w:val="nil"/>
              <w:left w:val="nil"/>
              <w:bottom w:val="single" w:sz="4" w:space="0" w:color="auto"/>
              <w:right w:val="single" w:sz="4" w:space="0" w:color="auto"/>
            </w:tcBorders>
            <w:noWrap/>
            <w:vAlign w:val="center"/>
            <w:hideMark/>
          </w:tcPr>
          <w:p w14:paraId="4CAADC83"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7</w:t>
            </w:r>
          </w:p>
        </w:tc>
        <w:tc>
          <w:tcPr>
            <w:tcW w:w="851" w:type="dxa"/>
            <w:tcBorders>
              <w:top w:val="nil"/>
              <w:left w:val="nil"/>
              <w:bottom w:val="single" w:sz="4" w:space="0" w:color="auto"/>
              <w:right w:val="single" w:sz="4" w:space="0" w:color="auto"/>
            </w:tcBorders>
            <w:shd w:val="clear" w:color="000000" w:fill="DAE9F8"/>
            <w:noWrap/>
            <w:vAlign w:val="center"/>
            <w:hideMark/>
          </w:tcPr>
          <w:p w14:paraId="51DA746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16</w:t>
            </w:r>
          </w:p>
        </w:tc>
        <w:tc>
          <w:tcPr>
            <w:tcW w:w="850" w:type="dxa"/>
            <w:tcBorders>
              <w:top w:val="nil"/>
              <w:left w:val="nil"/>
              <w:bottom w:val="single" w:sz="4" w:space="0" w:color="auto"/>
              <w:right w:val="single" w:sz="4" w:space="0" w:color="auto"/>
            </w:tcBorders>
            <w:noWrap/>
            <w:vAlign w:val="center"/>
            <w:hideMark/>
          </w:tcPr>
          <w:p w14:paraId="44B00242"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28</w:t>
            </w:r>
          </w:p>
        </w:tc>
        <w:tc>
          <w:tcPr>
            <w:tcW w:w="851" w:type="dxa"/>
            <w:tcBorders>
              <w:top w:val="nil"/>
              <w:left w:val="nil"/>
              <w:bottom w:val="single" w:sz="4" w:space="0" w:color="auto"/>
              <w:right w:val="single" w:sz="4" w:space="0" w:color="auto"/>
            </w:tcBorders>
            <w:noWrap/>
            <w:vAlign w:val="center"/>
            <w:hideMark/>
          </w:tcPr>
          <w:p w14:paraId="2F53875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93</w:t>
            </w:r>
          </w:p>
        </w:tc>
        <w:tc>
          <w:tcPr>
            <w:tcW w:w="855" w:type="dxa"/>
            <w:tcBorders>
              <w:top w:val="nil"/>
              <w:left w:val="nil"/>
              <w:bottom w:val="single" w:sz="4" w:space="0" w:color="auto"/>
              <w:right w:val="single" w:sz="4" w:space="0" w:color="auto"/>
            </w:tcBorders>
            <w:shd w:val="clear" w:color="000000" w:fill="DAE9F8"/>
            <w:noWrap/>
            <w:vAlign w:val="center"/>
            <w:hideMark/>
          </w:tcPr>
          <w:p w14:paraId="327B63D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84</w:t>
            </w:r>
          </w:p>
        </w:tc>
        <w:tc>
          <w:tcPr>
            <w:tcW w:w="723" w:type="dxa"/>
            <w:tcBorders>
              <w:top w:val="nil"/>
              <w:left w:val="nil"/>
              <w:bottom w:val="single" w:sz="4" w:space="0" w:color="auto"/>
              <w:right w:val="single" w:sz="4" w:space="0" w:color="auto"/>
            </w:tcBorders>
            <w:noWrap/>
            <w:vAlign w:val="center"/>
            <w:hideMark/>
          </w:tcPr>
          <w:p w14:paraId="42B18C5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72</w:t>
            </w:r>
          </w:p>
        </w:tc>
      </w:tr>
      <w:tr w:rsidR="00711FE4" w:rsidRPr="00711FE4" w14:paraId="63E8523F" w14:textId="77777777" w:rsidTr="00366F04">
        <w:trPr>
          <w:trHeight w:val="249"/>
          <w:jc w:val="center"/>
        </w:trPr>
        <w:tc>
          <w:tcPr>
            <w:tcW w:w="2974" w:type="dxa"/>
            <w:gridSpan w:val="2"/>
            <w:tcBorders>
              <w:top w:val="nil"/>
              <w:left w:val="single" w:sz="4" w:space="0" w:color="auto"/>
              <w:bottom w:val="single" w:sz="4" w:space="0" w:color="auto"/>
              <w:right w:val="single" w:sz="4" w:space="0" w:color="auto"/>
            </w:tcBorders>
            <w:vAlign w:val="center"/>
            <w:hideMark/>
          </w:tcPr>
          <w:p w14:paraId="2F5C5CB6" w14:textId="77777777" w:rsidR="00711FE4" w:rsidRPr="00711FE4" w:rsidRDefault="00711FE4" w:rsidP="00711FE4">
            <w:pPr>
              <w:spacing w:after="0" w:line="240" w:lineRule="auto"/>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Material hardship rate (7+/18 for MH-18)</w:t>
            </w:r>
          </w:p>
        </w:tc>
        <w:tc>
          <w:tcPr>
            <w:tcW w:w="839" w:type="dxa"/>
            <w:tcBorders>
              <w:top w:val="nil"/>
              <w:left w:val="nil"/>
              <w:bottom w:val="single" w:sz="4" w:space="0" w:color="auto"/>
              <w:right w:val="single" w:sz="4" w:space="0" w:color="auto"/>
            </w:tcBorders>
            <w:shd w:val="clear" w:color="000000" w:fill="DAF2D0"/>
            <w:noWrap/>
            <w:vAlign w:val="center"/>
            <w:hideMark/>
          </w:tcPr>
          <w:p w14:paraId="055D772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14</w:t>
            </w:r>
          </w:p>
        </w:tc>
        <w:tc>
          <w:tcPr>
            <w:tcW w:w="845" w:type="dxa"/>
            <w:tcBorders>
              <w:top w:val="nil"/>
              <w:left w:val="nil"/>
              <w:bottom w:val="single" w:sz="4" w:space="0" w:color="auto"/>
              <w:right w:val="single" w:sz="4" w:space="0" w:color="auto"/>
            </w:tcBorders>
            <w:noWrap/>
            <w:vAlign w:val="center"/>
            <w:hideMark/>
          </w:tcPr>
          <w:p w14:paraId="6DAFEBA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49</w:t>
            </w:r>
          </w:p>
        </w:tc>
        <w:tc>
          <w:tcPr>
            <w:tcW w:w="851" w:type="dxa"/>
            <w:tcBorders>
              <w:top w:val="nil"/>
              <w:left w:val="nil"/>
              <w:bottom w:val="single" w:sz="4" w:space="0" w:color="auto"/>
              <w:right w:val="single" w:sz="4" w:space="0" w:color="auto"/>
            </w:tcBorders>
            <w:shd w:val="clear" w:color="000000" w:fill="DAE9F8"/>
            <w:noWrap/>
            <w:vAlign w:val="center"/>
            <w:hideMark/>
          </w:tcPr>
          <w:p w14:paraId="10EF53A3"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47</w:t>
            </w:r>
          </w:p>
        </w:tc>
        <w:tc>
          <w:tcPr>
            <w:tcW w:w="850" w:type="dxa"/>
            <w:tcBorders>
              <w:top w:val="nil"/>
              <w:left w:val="nil"/>
              <w:bottom w:val="single" w:sz="4" w:space="0" w:color="auto"/>
              <w:right w:val="single" w:sz="4" w:space="0" w:color="auto"/>
            </w:tcBorders>
            <w:noWrap/>
            <w:vAlign w:val="center"/>
            <w:hideMark/>
          </w:tcPr>
          <w:p w14:paraId="4868471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38</w:t>
            </w:r>
          </w:p>
        </w:tc>
        <w:tc>
          <w:tcPr>
            <w:tcW w:w="851" w:type="dxa"/>
            <w:tcBorders>
              <w:top w:val="nil"/>
              <w:left w:val="nil"/>
              <w:bottom w:val="single" w:sz="4" w:space="0" w:color="auto"/>
              <w:right w:val="single" w:sz="4" w:space="0" w:color="auto"/>
            </w:tcBorders>
            <w:noWrap/>
            <w:vAlign w:val="center"/>
            <w:hideMark/>
          </w:tcPr>
          <w:p w14:paraId="637C240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12</w:t>
            </w:r>
          </w:p>
        </w:tc>
        <w:tc>
          <w:tcPr>
            <w:tcW w:w="855" w:type="dxa"/>
            <w:tcBorders>
              <w:top w:val="nil"/>
              <w:left w:val="nil"/>
              <w:bottom w:val="single" w:sz="4" w:space="0" w:color="auto"/>
              <w:right w:val="single" w:sz="4" w:space="0" w:color="auto"/>
            </w:tcBorders>
            <w:shd w:val="clear" w:color="000000" w:fill="DAE9F8"/>
            <w:noWrap/>
            <w:vAlign w:val="center"/>
            <w:hideMark/>
          </w:tcPr>
          <w:p w14:paraId="2C7E34B9"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8</w:t>
            </w:r>
          </w:p>
        </w:tc>
        <w:tc>
          <w:tcPr>
            <w:tcW w:w="723" w:type="dxa"/>
            <w:tcBorders>
              <w:top w:val="nil"/>
              <w:left w:val="nil"/>
              <w:bottom w:val="single" w:sz="4" w:space="0" w:color="auto"/>
              <w:right w:val="single" w:sz="4" w:space="0" w:color="auto"/>
            </w:tcBorders>
            <w:noWrap/>
            <w:vAlign w:val="center"/>
            <w:hideMark/>
          </w:tcPr>
          <w:p w14:paraId="00B9687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5</w:t>
            </w:r>
          </w:p>
        </w:tc>
      </w:tr>
      <w:tr w:rsidR="00711FE4" w:rsidRPr="00711FE4" w14:paraId="7B636012" w14:textId="77777777" w:rsidTr="00366F04">
        <w:trPr>
          <w:trHeight w:val="249"/>
          <w:jc w:val="center"/>
        </w:trPr>
        <w:tc>
          <w:tcPr>
            <w:tcW w:w="2974" w:type="dxa"/>
            <w:gridSpan w:val="2"/>
            <w:tcBorders>
              <w:top w:val="nil"/>
              <w:left w:val="single" w:sz="4" w:space="0" w:color="auto"/>
              <w:bottom w:val="single" w:sz="4" w:space="0" w:color="auto"/>
              <w:right w:val="single" w:sz="4" w:space="0" w:color="auto"/>
            </w:tcBorders>
            <w:vAlign w:val="center"/>
            <w:hideMark/>
          </w:tcPr>
          <w:p w14:paraId="62A8389E"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Severe MH rate (10+/18 for MH-18)</w:t>
            </w:r>
          </w:p>
        </w:tc>
        <w:tc>
          <w:tcPr>
            <w:tcW w:w="839" w:type="dxa"/>
            <w:tcBorders>
              <w:top w:val="nil"/>
              <w:left w:val="nil"/>
              <w:bottom w:val="single" w:sz="4" w:space="0" w:color="auto"/>
              <w:right w:val="single" w:sz="4" w:space="0" w:color="auto"/>
            </w:tcBorders>
            <w:shd w:val="clear" w:color="000000" w:fill="DAF2D0"/>
            <w:noWrap/>
            <w:vAlign w:val="center"/>
            <w:hideMark/>
          </w:tcPr>
          <w:p w14:paraId="6A90E2C2"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6</w:t>
            </w:r>
          </w:p>
        </w:tc>
        <w:tc>
          <w:tcPr>
            <w:tcW w:w="845" w:type="dxa"/>
            <w:tcBorders>
              <w:top w:val="nil"/>
              <w:left w:val="nil"/>
              <w:bottom w:val="single" w:sz="4" w:space="0" w:color="auto"/>
              <w:right w:val="single" w:sz="4" w:space="0" w:color="auto"/>
            </w:tcBorders>
            <w:noWrap/>
            <w:vAlign w:val="center"/>
            <w:hideMark/>
          </w:tcPr>
          <w:p w14:paraId="535812C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26</w:t>
            </w:r>
          </w:p>
        </w:tc>
        <w:tc>
          <w:tcPr>
            <w:tcW w:w="851" w:type="dxa"/>
            <w:tcBorders>
              <w:top w:val="nil"/>
              <w:left w:val="nil"/>
              <w:bottom w:val="single" w:sz="4" w:space="0" w:color="auto"/>
              <w:right w:val="single" w:sz="4" w:space="0" w:color="auto"/>
            </w:tcBorders>
            <w:shd w:val="clear" w:color="000000" w:fill="DAE9F8"/>
            <w:noWrap/>
            <w:vAlign w:val="center"/>
            <w:hideMark/>
          </w:tcPr>
          <w:p w14:paraId="74D44DA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25</w:t>
            </w:r>
          </w:p>
        </w:tc>
        <w:tc>
          <w:tcPr>
            <w:tcW w:w="850" w:type="dxa"/>
            <w:tcBorders>
              <w:top w:val="nil"/>
              <w:left w:val="nil"/>
              <w:bottom w:val="single" w:sz="4" w:space="0" w:color="auto"/>
              <w:right w:val="single" w:sz="4" w:space="0" w:color="auto"/>
            </w:tcBorders>
            <w:noWrap/>
            <w:vAlign w:val="center"/>
            <w:hideMark/>
          </w:tcPr>
          <w:p w14:paraId="0FB2F953"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17</w:t>
            </w:r>
          </w:p>
        </w:tc>
        <w:tc>
          <w:tcPr>
            <w:tcW w:w="851" w:type="dxa"/>
            <w:tcBorders>
              <w:top w:val="nil"/>
              <w:left w:val="nil"/>
              <w:bottom w:val="single" w:sz="4" w:space="0" w:color="auto"/>
              <w:right w:val="single" w:sz="4" w:space="0" w:color="auto"/>
            </w:tcBorders>
            <w:noWrap/>
            <w:vAlign w:val="center"/>
            <w:hideMark/>
          </w:tcPr>
          <w:p w14:paraId="6013A4E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w:t>
            </w:r>
          </w:p>
        </w:tc>
        <w:tc>
          <w:tcPr>
            <w:tcW w:w="855" w:type="dxa"/>
            <w:tcBorders>
              <w:top w:val="nil"/>
              <w:left w:val="nil"/>
              <w:bottom w:val="single" w:sz="4" w:space="0" w:color="auto"/>
              <w:right w:val="single" w:sz="4" w:space="0" w:color="auto"/>
            </w:tcBorders>
            <w:shd w:val="clear" w:color="000000" w:fill="DAE9F8"/>
            <w:noWrap/>
            <w:vAlign w:val="center"/>
            <w:hideMark/>
          </w:tcPr>
          <w:p w14:paraId="6CAA94F3"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w:t>
            </w:r>
          </w:p>
        </w:tc>
        <w:tc>
          <w:tcPr>
            <w:tcW w:w="723" w:type="dxa"/>
            <w:tcBorders>
              <w:top w:val="nil"/>
              <w:left w:val="nil"/>
              <w:bottom w:val="single" w:sz="4" w:space="0" w:color="auto"/>
              <w:right w:val="single" w:sz="4" w:space="0" w:color="auto"/>
            </w:tcBorders>
            <w:noWrap/>
            <w:vAlign w:val="center"/>
            <w:hideMark/>
          </w:tcPr>
          <w:p w14:paraId="6721165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w:t>
            </w:r>
          </w:p>
        </w:tc>
      </w:tr>
      <w:tr w:rsidR="00711FE4" w:rsidRPr="00711FE4" w14:paraId="45E48732"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2E698987" w14:textId="77777777" w:rsidR="00711FE4" w:rsidRPr="00711FE4" w:rsidRDefault="00711FE4" w:rsidP="00711FE4">
            <w:pPr>
              <w:spacing w:after="0" w:line="240" w:lineRule="auto"/>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Household type</w:t>
            </w:r>
          </w:p>
        </w:tc>
        <w:tc>
          <w:tcPr>
            <w:tcW w:w="706" w:type="dxa"/>
            <w:tcBorders>
              <w:top w:val="nil"/>
              <w:left w:val="nil"/>
              <w:bottom w:val="single" w:sz="4" w:space="0" w:color="auto"/>
              <w:right w:val="single" w:sz="4" w:space="0" w:color="auto"/>
            </w:tcBorders>
            <w:vAlign w:val="center"/>
            <w:hideMark/>
          </w:tcPr>
          <w:p w14:paraId="21CDC49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39" w:type="dxa"/>
            <w:tcBorders>
              <w:top w:val="nil"/>
              <w:left w:val="nil"/>
              <w:bottom w:val="single" w:sz="4" w:space="0" w:color="auto"/>
              <w:right w:val="single" w:sz="4" w:space="0" w:color="auto"/>
            </w:tcBorders>
            <w:shd w:val="clear" w:color="000000" w:fill="DAF2D0"/>
            <w:noWrap/>
            <w:vAlign w:val="center"/>
            <w:hideMark/>
          </w:tcPr>
          <w:p w14:paraId="6DFC298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845" w:type="dxa"/>
            <w:tcBorders>
              <w:top w:val="nil"/>
              <w:left w:val="nil"/>
              <w:bottom w:val="single" w:sz="4" w:space="0" w:color="auto"/>
              <w:right w:val="single" w:sz="4" w:space="0" w:color="auto"/>
            </w:tcBorders>
            <w:noWrap/>
            <w:vAlign w:val="center"/>
            <w:hideMark/>
          </w:tcPr>
          <w:p w14:paraId="7DD1005E"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1" w:type="dxa"/>
            <w:tcBorders>
              <w:top w:val="nil"/>
              <w:left w:val="nil"/>
              <w:bottom w:val="single" w:sz="4" w:space="0" w:color="auto"/>
              <w:right w:val="single" w:sz="4" w:space="0" w:color="auto"/>
            </w:tcBorders>
            <w:shd w:val="clear" w:color="000000" w:fill="DAE9F8"/>
            <w:noWrap/>
            <w:vAlign w:val="center"/>
            <w:hideMark/>
          </w:tcPr>
          <w:p w14:paraId="5608138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850" w:type="dxa"/>
            <w:tcBorders>
              <w:top w:val="nil"/>
              <w:left w:val="nil"/>
              <w:bottom w:val="single" w:sz="4" w:space="0" w:color="auto"/>
              <w:right w:val="single" w:sz="4" w:space="0" w:color="auto"/>
            </w:tcBorders>
            <w:noWrap/>
            <w:vAlign w:val="center"/>
            <w:hideMark/>
          </w:tcPr>
          <w:p w14:paraId="0EE1115C"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1" w:type="dxa"/>
            <w:tcBorders>
              <w:top w:val="nil"/>
              <w:left w:val="nil"/>
              <w:bottom w:val="single" w:sz="4" w:space="0" w:color="auto"/>
              <w:right w:val="single" w:sz="4" w:space="0" w:color="auto"/>
            </w:tcBorders>
            <w:noWrap/>
            <w:vAlign w:val="center"/>
            <w:hideMark/>
          </w:tcPr>
          <w:p w14:paraId="6B63B39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5" w:type="dxa"/>
            <w:tcBorders>
              <w:top w:val="nil"/>
              <w:left w:val="nil"/>
              <w:bottom w:val="single" w:sz="4" w:space="0" w:color="auto"/>
              <w:right w:val="single" w:sz="4" w:space="0" w:color="auto"/>
            </w:tcBorders>
            <w:shd w:val="clear" w:color="000000" w:fill="DAE9F8"/>
            <w:noWrap/>
            <w:vAlign w:val="center"/>
            <w:hideMark/>
          </w:tcPr>
          <w:p w14:paraId="6AEC7D8B"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723" w:type="dxa"/>
            <w:tcBorders>
              <w:top w:val="nil"/>
              <w:left w:val="nil"/>
              <w:bottom w:val="single" w:sz="4" w:space="0" w:color="auto"/>
              <w:right w:val="single" w:sz="4" w:space="0" w:color="auto"/>
            </w:tcBorders>
            <w:noWrap/>
            <w:vAlign w:val="center"/>
            <w:hideMark/>
          </w:tcPr>
          <w:p w14:paraId="0D991C6F"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r>
      <w:tr w:rsidR="00711FE4" w:rsidRPr="00711FE4" w14:paraId="6369346E"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6B235DD5"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SP HH with any deps</w:t>
            </w:r>
          </w:p>
        </w:tc>
        <w:tc>
          <w:tcPr>
            <w:tcW w:w="706" w:type="dxa"/>
            <w:tcBorders>
              <w:top w:val="nil"/>
              <w:left w:val="nil"/>
              <w:bottom w:val="single" w:sz="4" w:space="0" w:color="auto"/>
              <w:right w:val="single" w:sz="4" w:space="0" w:color="auto"/>
            </w:tcBorders>
            <w:vAlign w:val="center"/>
            <w:hideMark/>
          </w:tcPr>
          <w:p w14:paraId="46D397F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3E797B4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18</w:t>
            </w:r>
          </w:p>
        </w:tc>
        <w:tc>
          <w:tcPr>
            <w:tcW w:w="845" w:type="dxa"/>
            <w:tcBorders>
              <w:top w:val="nil"/>
              <w:left w:val="nil"/>
              <w:bottom w:val="single" w:sz="4" w:space="0" w:color="auto"/>
              <w:right w:val="single" w:sz="4" w:space="0" w:color="auto"/>
            </w:tcBorders>
            <w:noWrap/>
            <w:vAlign w:val="center"/>
            <w:hideMark/>
          </w:tcPr>
          <w:p w14:paraId="557B348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59</w:t>
            </w:r>
          </w:p>
        </w:tc>
        <w:tc>
          <w:tcPr>
            <w:tcW w:w="851" w:type="dxa"/>
            <w:tcBorders>
              <w:top w:val="nil"/>
              <w:left w:val="nil"/>
              <w:bottom w:val="single" w:sz="4" w:space="0" w:color="auto"/>
              <w:right w:val="single" w:sz="4" w:space="0" w:color="auto"/>
            </w:tcBorders>
            <w:shd w:val="clear" w:color="000000" w:fill="DAE9F8"/>
            <w:noWrap/>
            <w:vAlign w:val="center"/>
            <w:hideMark/>
          </w:tcPr>
          <w:p w14:paraId="7299E6F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57</w:t>
            </w:r>
          </w:p>
        </w:tc>
        <w:tc>
          <w:tcPr>
            <w:tcW w:w="850" w:type="dxa"/>
            <w:tcBorders>
              <w:top w:val="nil"/>
              <w:left w:val="nil"/>
              <w:bottom w:val="single" w:sz="4" w:space="0" w:color="auto"/>
              <w:right w:val="single" w:sz="4" w:space="0" w:color="auto"/>
            </w:tcBorders>
            <w:noWrap/>
            <w:vAlign w:val="center"/>
            <w:hideMark/>
          </w:tcPr>
          <w:p w14:paraId="153DA09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41</w:t>
            </w:r>
          </w:p>
        </w:tc>
        <w:tc>
          <w:tcPr>
            <w:tcW w:w="851" w:type="dxa"/>
            <w:tcBorders>
              <w:top w:val="nil"/>
              <w:left w:val="nil"/>
              <w:bottom w:val="single" w:sz="4" w:space="0" w:color="auto"/>
              <w:right w:val="single" w:sz="4" w:space="0" w:color="auto"/>
            </w:tcBorders>
            <w:noWrap/>
            <w:vAlign w:val="center"/>
            <w:hideMark/>
          </w:tcPr>
          <w:p w14:paraId="7846903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15</w:t>
            </w:r>
          </w:p>
        </w:tc>
        <w:tc>
          <w:tcPr>
            <w:tcW w:w="855" w:type="dxa"/>
            <w:tcBorders>
              <w:top w:val="nil"/>
              <w:left w:val="nil"/>
              <w:bottom w:val="single" w:sz="4" w:space="0" w:color="auto"/>
              <w:right w:val="single" w:sz="4" w:space="0" w:color="auto"/>
            </w:tcBorders>
            <w:shd w:val="clear" w:color="000000" w:fill="DAE9F8"/>
            <w:noWrap/>
            <w:vAlign w:val="center"/>
            <w:hideMark/>
          </w:tcPr>
          <w:p w14:paraId="4617027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11</w:t>
            </w:r>
          </w:p>
        </w:tc>
        <w:tc>
          <w:tcPr>
            <w:tcW w:w="723" w:type="dxa"/>
            <w:tcBorders>
              <w:top w:val="nil"/>
              <w:left w:val="nil"/>
              <w:bottom w:val="single" w:sz="4" w:space="0" w:color="auto"/>
              <w:right w:val="single" w:sz="4" w:space="0" w:color="auto"/>
            </w:tcBorders>
            <w:noWrap/>
            <w:vAlign w:val="center"/>
            <w:hideMark/>
          </w:tcPr>
          <w:p w14:paraId="7BC5841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9</w:t>
            </w:r>
          </w:p>
        </w:tc>
      </w:tr>
      <w:tr w:rsidR="00711FE4" w:rsidRPr="00711FE4" w14:paraId="23A81855"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560D444A"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2P HH with any deps</w:t>
            </w:r>
          </w:p>
        </w:tc>
        <w:tc>
          <w:tcPr>
            <w:tcW w:w="706" w:type="dxa"/>
            <w:tcBorders>
              <w:top w:val="nil"/>
              <w:left w:val="nil"/>
              <w:bottom w:val="single" w:sz="4" w:space="0" w:color="auto"/>
              <w:right w:val="single" w:sz="4" w:space="0" w:color="auto"/>
            </w:tcBorders>
            <w:vAlign w:val="center"/>
            <w:hideMark/>
          </w:tcPr>
          <w:p w14:paraId="5601AD0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1958308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68</w:t>
            </w:r>
          </w:p>
        </w:tc>
        <w:tc>
          <w:tcPr>
            <w:tcW w:w="845" w:type="dxa"/>
            <w:tcBorders>
              <w:top w:val="nil"/>
              <w:left w:val="nil"/>
              <w:bottom w:val="single" w:sz="4" w:space="0" w:color="auto"/>
              <w:right w:val="single" w:sz="4" w:space="0" w:color="auto"/>
            </w:tcBorders>
            <w:noWrap/>
            <w:vAlign w:val="center"/>
            <w:hideMark/>
          </w:tcPr>
          <w:p w14:paraId="674A60F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22</w:t>
            </w:r>
          </w:p>
        </w:tc>
        <w:tc>
          <w:tcPr>
            <w:tcW w:w="851" w:type="dxa"/>
            <w:tcBorders>
              <w:top w:val="nil"/>
              <w:left w:val="nil"/>
              <w:bottom w:val="single" w:sz="4" w:space="0" w:color="auto"/>
              <w:right w:val="single" w:sz="4" w:space="0" w:color="auto"/>
            </w:tcBorders>
            <w:shd w:val="clear" w:color="000000" w:fill="DAE9F8"/>
            <w:noWrap/>
            <w:vAlign w:val="center"/>
            <w:hideMark/>
          </w:tcPr>
          <w:p w14:paraId="2B77C1B9"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24</w:t>
            </w:r>
          </w:p>
        </w:tc>
        <w:tc>
          <w:tcPr>
            <w:tcW w:w="850" w:type="dxa"/>
            <w:tcBorders>
              <w:top w:val="nil"/>
              <w:left w:val="nil"/>
              <w:bottom w:val="single" w:sz="4" w:space="0" w:color="auto"/>
              <w:right w:val="single" w:sz="4" w:space="0" w:color="auto"/>
            </w:tcBorders>
            <w:noWrap/>
            <w:vAlign w:val="center"/>
            <w:hideMark/>
          </w:tcPr>
          <w:p w14:paraId="2C4F9AB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35</w:t>
            </w:r>
          </w:p>
        </w:tc>
        <w:tc>
          <w:tcPr>
            <w:tcW w:w="851" w:type="dxa"/>
            <w:tcBorders>
              <w:top w:val="nil"/>
              <w:left w:val="nil"/>
              <w:bottom w:val="single" w:sz="4" w:space="0" w:color="auto"/>
              <w:right w:val="single" w:sz="4" w:space="0" w:color="auto"/>
            </w:tcBorders>
            <w:noWrap/>
            <w:vAlign w:val="center"/>
            <w:hideMark/>
          </w:tcPr>
          <w:p w14:paraId="04EE52E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72</w:t>
            </w:r>
          </w:p>
        </w:tc>
        <w:tc>
          <w:tcPr>
            <w:tcW w:w="855" w:type="dxa"/>
            <w:tcBorders>
              <w:top w:val="nil"/>
              <w:left w:val="nil"/>
              <w:bottom w:val="single" w:sz="4" w:space="0" w:color="auto"/>
              <w:right w:val="single" w:sz="4" w:space="0" w:color="auto"/>
            </w:tcBorders>
            <w:shd w:val="clear" w:color="000000" w:fill="DAE9F8"/>
            <w:noWrap/>
            <w:vAlign w:val="center"/>
            <w:hideMark/>
          </w:tcPr>
          <w:p w14:paraId="45EEBF75"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76</w:t>
            </w:r>
          </w:p>
        </w:tc>
        <w:tc>
          <w:tcPr>
            <w:tcW w:w="723" w:type="dxa"/>
            <w:tcBorders>
              <w:top w:val="nil"/>
              <w:left w:val="nil"/>
              <w:bottom w:val="single" w:sz="4" w:space="0" w:color="auto"/>
              <w:right w:val="single" w:sz="4" w:space="0" w:color="auto"/>
            </w:tcBorders>
            <w:noWrap/>
            <w:vAlign w:val="center"/>
            <w:hideMark/>
          </w:tcPr>
          <w:p w14:paraId="7333C20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81</w:t>
            </w:r>
          </w:p>
        </w:tc>
      </w:tr>
      <w:tr w:rsidR="00711FE4" w:rsidRPr="00711FE4" w14:paraId="73FB6F7A"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02BA43EF"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Other fam HHs with any deps</w:t>
            </w:r>
          </w:p>
        </w:tc>
        <w:tc>
          <w:tcPr>
            <w:tcW w:w="706" w:type="dxa"/>
            <w:tcBorders>
              <w:top w:val="nil"/>
              <w:left w:val="nil"/>
              <w:bottom w:val="single" w:sz="4" w:space="0" w:color="auto"/>
              <w:right w:val="single" w:sz="4" w:space="0" w:color="auto"/>
            </w:tcBorders>
            <w:vAlign w:val="center"/>
            <w:hideMark/>
          </w:tcPr>
          <w:p w14:paraId="3ECCCD2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51E6A31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13</w:t>
            </w:r>
          </w:p>
        </w:tc>
        <w:tc>
          <w:tcPr>
            <w:tcW w:w="845" w:type="dxa"/>
            <w:tcBorders>
              <w:top w:val="nil"/>
              <w:left w:val="nil"/>
              <w:bottom w:val="single" w:sz="4" w:space="0" w:color="auto"/>
              <w:right w:val="single" w:sz="4" w:space="0" w:color="auto"/>
            </w:tcBorders>
            <w:noWrap/>
            <w:vAlign w:val="center"/>
            <w:hideMark/>
          </w:tcPr>
          <w:p w14:paraId="180B7F0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17</w:t>
            </w:r>
          </w:p>
        </w:tc>
        <w:tc>
          <w:tcPr>
            <w:tcW w:w="851" w:type="dxa"/>
            <w:tcBorders>
              <w:top w:val="nil"/>
              <w:left w:val="nil"/>
              <w:bottom w:val="single" w:sz="4" w:space="0" w:color="auto"/>
              <w:right w:val="single" w:sz="4" w:space="0" w:color="auto"/>
            </w:tcBorders>
            <w:shd w:val="clear" w:color="000000" w:fill="DAE9F8"/>
            <w:noWrap/>
            <w:vAlign w:val="center"/>
            <w:hideMark/>
          </w:tcPr>
          <w:p w14:paraId="0C13EE15"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18</w:t>
            </w:r>
          </w:p>
        </w:tc>
        <w:tc>
          <w:tcPr>
            <w:tcW w:w="850" w:type="dxa"/>
            <w:tcBorders>
              <w:top w:val="nil"/>
              <w:left w:val="nil"/>
              <w:bottom w:val="single" w:sz="4" w:space="0" w:color="auto"/>
              <w:right w:val="single" w:sz="4" w:space="0" w:color="auto"/>
            </w:tcBorders>
            <w:noWrap/>
            <w:vAlign w:val="center"/>
            <w:hideMark/>
          </w:tcPr>
          <w:p w14:paraId="73A14F4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23</w:t>
            </w:r>
          </w:p>
        </w:tc>
        <w:tc>
          <w:tcPr>
            <w:tcW w:w="851" w:type="dxa"/>
            <w:tcBorders>
              <w:top w:val="nil"/>
              <w:left w:val="nil"/>
              <w:bottom w:val="single" w:sz="4" w:space="0" w:color="auto"/>
              <w:right w:val="single" w:sz="4" w:space="0" w:color="auto"/>
            </w:tcBorders>
            <w:noWrap/>
            <w:vAlign w:val="center"/>
            <w:hideMark/>
          </w:tcPr>
          <w:p w14:paraId="0E6A503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13</w:t>
            </w:r>
          </w:p>
        </w:tc>
        <w:tc>
          <w:tcPr>
            <w:tcW w:w="855" w:type="dxa"/>
            <w:tcBorders>
              <w:top w:val="nil"/>
              <w:left w:val="nil"/>
              <w:bottom w:val="single" w:sz="4" w:space="0" w:color="auto"/>
              <w:right w:val="single" w:sz="4" w:space="0" w:color="auto"/>
            </w:tcBorders>
            <w:shd w:val="clear" w:color="000000" w:fill="DAE9F8"/>
            <w:noWrap/>
            <w:vAlign w:val="center"/>
            <w:hideMark/>
          </w:tcPr>
          <w:p w14:paraId="1F946BDB"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13</w:t>
            </w:r>
          </w:p>
        </w:tc>
        <w:tc>
          <w:tcPr>
            <w:tcW w:w="723" w:type="dxa"/>
            <w:tcBorders>
              <w:top w:val="nil"/>
              <w:left w:val="nil"/>
              <w:bottom w:val="single" w:sz="4" w:space="0" w:color="auto"/>
              <w:right w:val="single" w:sz="4" w:space="0" w:color="auto"/>
            </w:tcBorders>
            <w:noWrap/>
            <w:vAlign w:val="center"/>
            <w:hideMark/>
          </w:tcPr>
          <w:p w14:paraId="1BFA7F8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w:t>
            </w:r>
          </w:p>
        </w:tc>
      </w:tr>
      <w:tr w:rsidR="00711FE4" w:rsidRPr="00711FE4" w14:paraId="314F712F"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0FF08AD1"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Other</w:t>
            </w:r>
          </w:p>
        </w:tc>
        <w:tc>
          <w:tcPr>
            <w:tcW w:w="706" w:type="dxa"/>
            <w:tcBorders>
              <w:top w:val="nil"/>
              <w:left w:val="nil"/>
              <w:bottom w:val="single" w:sz="4" w:space="0" w:color="auto"/>
              <w:right w:val="single" w:sz="4" w:space="0" w:color="auto"/>
            </w:tcBorders>
            <w:vAlign w:val="center"/>
            <w:hideMark/>
          </w:tcPr>
          <w:p w14:paraId="1A0A3232"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14345978" w14:textId="77777777" w:rsidR="00711FE4" w:rsidRPr="00711FE4" w:rsidRDefault="00711FE4" w:rsidP="00711FE4">
            <w:pPr>
              <w:spacing w:after="0" w:line="240" w:lineRule="auto"/>
              <w:jc w:val="center"/>
              <w:rPr>
                <w:rFonts w:ascii="Arial Mäori" w:eastAsia="Times New Roman" w:hAnsi="Arial Mäori" w:cs="Times New Roman"/>
                <w:b/>
                <w:bCs/>
                <w:i/>
                <w:iCs/>
                <w:color w:val="000000"/>
                <w:sz w:val="14"/>
                <w:szCs w:val="14"/>
                <w:lang w:eastAsia="en-NZ"/>
              </w:rPr>
            </w:pPr>
            <w:r w:rsidRPr="00711FE4">
              <w:rPr>
                <w:rFonts w:ascii="Arial Mäori" w:eastAsia="Times New Roman" w:hAnsi="Arial Mäori" w:cs="Times New Roman"/>
                <w:b/>
                <w:bCs/>
                <w:i/>
                <w:iCs/>
                <w:color w:val="000000"/>
                <w:sz w:val="14"/>
                <w:szCs w:val="14"/>
                <w:lang w:eastAsia="en-NZ"/>
              </w:rPr>
              <w:t>1</w:t>
            </w:r>
          </w:p>
        </w:tc>
        <w:tc>
          <w:tcPr>
            <w:tcW w:w="845" w:type="dxa"/>
            <w:tcBorders>
              <w:top w:val="nil"/>
              <w:left w:val="nil"/>
              <w:bottom w:val="single" w:sz="4" w:space="0" w:color="auto"/>
              <w:right w:val="single" w:sz="4" w:space="0" w:color="auto"/>
            </w:tcBorders>
            <w:noWrap/>
            <w:vAlign w:val="center"/>
            <w:hideMark/>
          </w:tcPr>
          <w:p w14:paraId="37591800"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2</w:t>
            </w:r>
          </w:p>
        </w:tc>
        <w:tc>
          <w:tcPr>
            <w:tcW w:w="851" w:type="dxa"/>
            <w:tcBorders>
              <w:top w:val="nil"/>
              <w:left w:val="nil"/>
              <w:bottom w:val="single" w:sz="4" w:space="0" w:color="auto"/>
              <w:right w:val="single" w:sz="4" w:space="0" w:color="auto"/>
            </w:tcBorders>
            <w:shd w:val="clear" w:color="000000" w:fill="DAE9F8"/>
            <w:noWrap/>
            <w:vAlign w:val="center"/>
            <w:hideMark/>
          </w:tcPr>
          <w:p w14:paraId="6FFA95CF" w14:textId="77777777" w:rsidR="00711FE4" w:rsidRPr="00711FE4" w:rsidRDefault="00711FE4" w:rsidP="00711FE4">
            <w:pPr>
              <w:spacing w:after="0" w:line="240" w:lineRule="auto"/>
              <w:jc w:val="center"/>
              <w:rPr>
                <w:rFonts w:ascii="Arial Mäori" w:eastAsia="Times New Roman" w:hAnsi="Arial Mäori" w:cs="Times New Roman"/>
                <w:b/>
                <w:bCs/>
                <w:i/>
                <w:iCs/>
                <w:color w:val="000000"/>
                <w:sz w:val="14"/>
                <w:szCs w:val="14"/>
                <w:lang w:eastAsia="en-NZ"/>
              </w:rPr>
            </w:pPr>
            <w:r w:rsidRPr="00711FE4">
              <w:rPr>
                <w:rFonts w:ascii="Arial Mäori" w:eastAsia="Times New Roman" w:hAnsi="Arial Mäori" w:cs="Times New Roman"/>
                <w:b/>
                <w:bCs/>
                <w:i/>
                <w:iCs/>
                <w:color w:val="000000"/>
                <w:sz w:val="14"/>
                <w:szCs w:val="14"/>
                <w:lang w:eastAsia="en-NZ"/>
              </w:rPr>
              <w:t>1</w:t>
            </w:r>
          </w:p>
        </w:tc>
        <w:tc>
          <w:tcPr>
            <w:tcW w:w="850" w:type="dxa"/>
            <w:tcBorders>
              <w:top w:val="nil"/>
              <w:left w:val="nil"/>
              <w:bottom w:val="single" w:sz="4" w:space="0" w:color="auto"/>
              <w:right w:val="single" w:sz="4" w:space="0" w:color="auto"/>
            </w:tcBorders>
            <w:noWrap/>
            <w:vAlign w:val="center"/>
            <w:hideMark/>
          </w:tcPr>
          <w:p w14:paraId="7B520FEB"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1</w:t>
            </w:r>
          </w:p>
        </w:tc>
        <w:tc>
          <w:tcPr>
            <w:tcW w:w="851" w:type="dxa"/>
            <w:tcBorders>
              <w:top w:val="nil"/>
              <w:left w:val="nil"/>
              <w:bottom w:val="single" w:sz="4" w:space="0" w:color="auto"/>
              <w:right w:val="single" w:sz="4" w:space="0" w:color="auto"/>
            </w:tcBorders>
            <w:noWrap/>
            <w:vAlign w:val="center"/>
            <w:hideMark/>
          </w:tcPr>
          <w:p w14:paraId="1639B5F7"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1</w:t>
            </w:r>
          </w:p>
        </w:tc>
        <w:tc>
          <w:tcPr>
            <w:tcW w:w="855" w:type="dxa"/>
            <w:tcBorders>
              <w:top w:val="nil"/>
              <w:left w:val="nil"/>
              <w:bottom w:val="single" w:sz="4" w:space="0" w:color="auto"/>
              <w:right w:val="single" w:sz="4" w:space="0" w:color="auto"/>
            </w:tcBorders>
            <w:shd w:val="clear" w:color="000000" w:fill="DAE9F8"/>
            <w:noWrap/>
            <w:vAlign w:val="center"/>
            <w:hideMark/>
          </w:tcPr>
          <w:p w14:paraId="3F06877E" w14:textId="77777777" w:rsidR="00711FE4" w:rsidRPr="00711FE4" w:rsidRDefault="00711FE4" w:rsidP="00711FE4">
            <w:pPr>
              <w:spacing w:after="0" w:line="240" w:lineRule="auto"/>
              <w:jc w:val="center"/>
              <w:rPr>
                <w:rFonts w:ascii="Arial Mäori" w:eastAsia="Times New Roman" w:hAnsi="Arial Mäori" w:cs="Times New Roman"/>
                <w:b/>
                <w:bCs/>
                <w:i/>
                <w:iCs/>
                <w:color w:val="000000"/>
                <w:sz w:val="14"/>
                <w:szCs w:val="14"/>
                <w:lang w:eastAsia="en-NZ"/>
              </w:rPr>
            </w:pPr>
            <w:r w:rsidRPr="00711FE4">
              <w:rPr>
                <w:rFonts w:ascii="Arial Mäori" w:eastAsia="Times New Roman" w:hAnsi="Arial Mäori" w:cs="Times New Roman"/>
                <w:b/>
                <w:bCs/>
                <w:i/>
                <w:iCs/>
                <w:color w:val="000000"/>
                <w:sz w:val="14"/>
                <w:szCs w:val="14"/>
                <w:lang w:eastAsia="en-NZ"/>
              </w:rPr>
              <w:t>1</w:t>
            </w:r>
          </w:p>
        </w:tc>
        <w:tc>
          <w:tcPr>
            <w:tcW w:w="723" w:type="dxa"/>
            <w:tcBorders>
              <w:top w:val="nil"/>
              <w:left w:val="nil"/>
              <w:bottom w:val="single" w:sz="4" w:space="0" w:color="auto"/>
              <w:right w:val="single" w:sz="4" w:space="0" w:color="auto"/>
            </w:tcBorders>
            <w:noWrap/>
            <w:vAlign w:val="center"/>
            <w:hideMark/>
          </w:tcPr>
          <w:p w14:paraId="7888C08A"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1</w:t>
            </w:r>
          </w:p>
        </w:tc>
      </w:tr>
      <w:tr w:rsidR="00711FE4" w:rsidRPr="00711FE4" w14:paraId="5CC77A94"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4FB5E613"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TOTAL</w:t>
            </w:r>
          </w:p>
        </w:tc>
        <w:tc>
          <w:tcPr>
            <w:tcW w:w="706" w:type="dxa"/>
            <w:tcBorders>
              <w:top w:val="nil"/>
              <w:left w:val="nil"/>
              <w:bottom w:val="single" w:sz="4" w:space="0" w:color="auto"/>
              <w:right w:val="single" w:sz="4" w:space="0" w:color="auto"/>
            </w:tcBorders>
            <w:vAlign w:val="center"/>
            <w:hideMark/>
          </w:tcPr>
          <w:p w14:paraId="1048441E"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3F69E4E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845" w:type="dxa"/>
            <w:tcBorders>
              <w:top w:val="nil"/>
              <w:left w:val="nil"/>
              <w:bottom w:val="single" w:sz="4" w:space="0" w:color="auto"/>
              <w:right w:val="single" w:sz="4" w:space="0" w:color="auto"/>
            </w:tcBorders>
            <w:noWrap/>
            <w:vAlign w:val="center"/>
            <w:hideMark/>
          </w:tcPr>
          <w:p w14:paraId="5C7E4522"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c>
          <w:tcPr>
            <w:tcW w:w="851" w:type="dxa"/>
            <w:tcBorders>
              <w:top w:val="nil"/>
              <w:left w:val="nil"/>
              <w:bottom w:val="single" w:sz="4" w:space="0" w:color="auto"/>
              <w:right w:val="single" w:sz="4" w:space="0" w:color="auto"/>
            </w:tcBorders>
            <w:shd w:val="clear" w:color="000000" w:fill="DAE9F8"/>
            <w:noWrap/>
            <w:vAlign w:val="center"/>
            <w:hideMark/>
          </w:tcPr>
          <w:p w14:paraId="732F086F"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850" w:type="dxa"/>
            <w:tcBorders>
              <w:top w:val="nil"/>
              <w:left w:val="nil"/>
              <w:bottom w:val="single" w:sz="4" w:space="0" w:color="auto"/>
              <w:right w:val="single" w:sz="4" w:space="0" w:color="auto"/>
            </w:tcBorders>
            <w:noWrap/>
            <w:vAlign w:val="center"/>
            <w:hideMark/>
          </w:tcPr>
          <w:p w14:paraId="6E63776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c>
          <w:tcPr>
            <w:tcW w:w="851" w:type="dxa"/>
            <w:tcBorders>
              <w:top w:val="nil"/>
              <w:left w:val="nil"/>
              <w:bottom w:val="single" w:sz="4" w:space="0" w:color="auto"/>
              <w:right w:val="single" w:sz="4" w:space="0" w:color="auto"/>
            </w:tcBorders>
            <w:noWrap/>
            <w:vAlign w:val="center"/>
            <w:hideMark/>
          </w:tcPr>
          <w:p w14:paraId="78E92FB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c>
          <w:tcPr>
            <w:tcW w:w="855" w:type="dxa"/>
            <w:tcBorders>
              <w:top w:val="nil"/>
              <w:left w:val="nil"/>
              <w:bottom w:val="single" w:sz="4" w:space="0" w:color="auto"/>
              <w:right w:val="single" w:sz="4" w:space="0" w:color="auto"/>
            </w:tcBorders>
            <w:shd w:val="clear" w:color="000000" w:fill="DAE9F8"/>
            <w:noWrap/>
            <w:vAlign w:val="center"/>
            <w:hideMark/>
          </w:tcPr>
          <w:p w14:paraId="24D781D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723" w:type="dxa"/>
            <w:tcBorders>
              <w:top w:val="nil"/>
              <w:left w:val="nil"/>
              <w:bottom w:val="single" w:sz="4" w:space="0" w:color="auto"/>
              <w:right w:val="single" w:sz="4" w:space="0" w:color="auto"/>
            </w:tcBorders>
            <w:noWrap/>
            <w:vAlign w:val="center"/>
            <w:hideMark/>
          </w:tcPr>
          <w:p w14:paraId="7A9C647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r>
      <w:tr w:rsidR="00711FE4" w:rsidRPr="00711FE4" w14:paraId="1DA5E28E"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6BB66D15" w14:textId="77777777" w:rsidR="00711FE4" w:rsidRPr="00711FE4" w:rsidRDefault="00711FE4" w:rsidP="00711FE4">
            <w:pPr>
              <w:spacing w:after="0" w:line="240" w:lineRule="auto"/>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Tenure</w:t>
            </w:r>
          </w:p>
        </w:tc>
        <w:tc>
          <w:tcPr>
            <w:tcW w:w="706" w:type="dxa"/>
            <w:tcBorders>
              <w:top w:val="nil"/>
              <w:left w:val="nil"/>
              <w:bottom w:val="single" w:sz="4" w:space="0" w:color="auto"/>
              <w:right w:val="single" w:sz="4" w:space="0" w:color="auto"/>
            </w:tcBorders>
            <w:noWrap/>
            <w:vAlign w:val="bottom"/>
            <w:hideMark/>
          </w:tcPr>
          <w:p w14:paraId="5083BF5B" w14:textId="77777777" w:rsidR="00711FE4" w:rsidRPr="00711FE4" w:rsidRDefault="00711FE4" w:rsidP="00711FE4">
            <w:pPr>
              <w:spacing w:after="0" w:line="240" w:lineRule="auto"/>
              <w:rPr>
                <w:rFonts w:ascii="Arial Mäori" w:eastAsia="Times New Roman" w:hAnsi="Arial Mäori" w:cs="Times New Roman"/>
                <w:color w:val="000000"/>
                <w:sz w:val="22"/>
                <w:lang w:eastAsia="en-NZ"/>
              </w:rPr>
            </w:pPr>
            <w:r w:rsidRPr="00711FE4">
              <w:rPr>
                <w:rFonts w:ascii="Arial Mäori" w:eastAsia="Times New Roman" w:hAnsi="Arial Mäori" w:cs="Times New Roman"/>
                <w:color w:val="000000"/>
                <w:sz w:val="22"/>
                <w:lang w:eastAsia="en-NZ"/>
              </w:rPr>
              <w:t> </w:t>
            </w:r>
          </w:p>
        </w:tc>
        <w:tc>
          <w:tcPr>
            <w:tcW w:w="839" w:type="dxa"/>
            <w:tcBorders>
              <w:top w:val="nil"/>
              <w:left w:val="nil"/>
              <w:bottom w:val="single" w:sz="4" w:space="0" w:color="auto"/>
              <w:right w:val="single" w:sz="4" w:space="0" w:color="auto"/>
            </w:tcBorders>
            <w:shd w:val="clear" w:color="000000" w:fill="DAF2D0"/>
            <w:noWrap/>
            <w:vAlign w:val="center"/>
            <w:hideMark/>
          </w:tcPr>
          <w:p w14:paraId="6950E24B"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845" w:type="dxa"/>
            <w:tcBorders>
              <w:top w:val="nil"/>
              <w:left w:val="nil"/>
              <w:bottom w:val="single" w:sz="4" w:space="0" w:color="auto"/>
              <w:right w:val="single" w:sz="4" w:space="0" w:color="auto"/>
            </w:tcBorders>
            <w:noWrap/>
            <w:vAlign w:val="center"/>
            <w:hideMark/>
          </w:tcPr>
          <w:p w14:paraId="5F06481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1" w:type="dxa"/>
            <w:tcBorders>
              <w:top w:val="nil"/>
              <w:left w:val="nil"/>
              <w:bottom w:val="single" w:sz="4" w:space="0" w:color="auto"/>
              <w:right w:val="single" w:sz="4" w:space="0" w:color="auto"/>
            </w:tcBorders>
            <w:shd w:val="clear" w:color="000000" w:fill="DAE9F8"/>
            <w:noWrap/>
            <w:vAlign w:val="center"/>
            <w:hideMark/>
          </w:tcPr>
          <w:p w14:paraId="0F0862F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850" w:type="dxa"/>
            <w:tcBorders>
              <w:top w:val="nil"/>
              <w:left w:val="nil"/>
              <w:bottom w:val="single" w:sz="4" w:space="0" w:color="auto"/>
              <w:right w:val="single" w:sz="4" w:space="0" w:color="auto"/>
            </w:tcBorders>
            <w:noWrap/>
            <w:vAlign w:val="center"/>
            <w:hideMark/>
          </w:tcPr>
          <w:p w14:paraId="4FC9519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1" w:type="dxa"/>
            <w:tcBorders>
              <w:top w:val="nil"/>
              <w:left w:val="nil"/>
              <w:bottom w:val="single" w:sz="4" w:space="0" w:color="auto"/>
              <w:right w:val="single" w:sz="4" w:space="0" w:color="auto"/>
            </w:tcBorders>
            <w:noWrap/>
            <w:vAlign w:val="center"/>
            <w:hideMark/>
          </w:tcPr>
          <w:p w14:paraId="794B8F4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5" w:type="dxa"/>
            <w:tcBorders>
              <w:top w:val="nil"/>
              <w:left w:val="nil"/>
              <w:bottom w:val="single" w:sz="4" w:space="0" w:color="auto"/>
              <w:right w:val="single" w:sz="4" w:space="0" w:color="auto"/>
            </w:tcBorders>
            <w:shd w:val="clear" w:color="000000" w:fill="DAE9F8"/>
            <w:noWrap/>
            <w:vAlign w:val="center"/>
            <w:hideMark/>
          </w:tcPr>
          <w:p w14:paraId="62C481F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723" w:type="dxa"/>
            <w:tcBorders>
              <w:top w:val="nil"/>
              <w:left w:val="nil"/>
              <w:bottom w:val="single" w:sz="4" w:space="0" w:color="auto"/>
              <w:right w:val="single" w:sz="4" w:space="0" w:color="auto"/>
            </w:tcBorders>
            <w:noWrap/>
            <w:vAlign w:val="center"/>
            <w:hideMark/>
          </w:tcPr>
          <w:p w14:paraId="27B9CAC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r>
      <w:tr w:rsidR="00711FE4" w:rsidRPr="00711FE4" w14:paraId="0198C8F0"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7FF13162"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Owned (any)</w:t>
            </w:r>
          </w:p>
        </w:tc>
        <w:tc>
          <w:tcPr>
            <w:tcW w:w="706" w:type="dxa"/>
            <w:tcBorders>
              <w:top w:val="nil"/>
              <w:left w:val="nil"/>
              <w:bottom w:val="single" w:sz="4" w:space="0" w:color="auto"/>
              <w:right w:val="single" w:sz="4" w:space="0" w:color="auto"/>
            </w:tcBorders>
            <w:vAlign w:val="center"/>
            <w:hideMark/>
          </w:tcPr>
          <w:p w14:paraId="6300679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2193411C"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57</w:t>
            </w:r>
          </w:p>
        </w:tc>
        <w:tc>
          <w:tcPr>
            <w:tcW w:w="845" w:type="dxa"/>
            <w:tcBorders>
              <w:top w:val="nil"/>
              <w:left w:val="nil"/>
              <w:bottom w:val="single" w:sz="4" w:space="0" w:color="auto"/>
              <w:right w:val="single" w:sz="4" w:space="0" w:color="auto"/>
            </w:tcBorders>
            <w:noWrap/>
            <w:vAlign w:val="center"/>
            <w:hideMark/>
          </w:tcPr>
          <w:p w14:paraId="2935918F"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18</w:t>
            </w:r>
          </w:p>
        </w:tc>
        <w:tc>
          <w:tcPr>
            <w:tcW w:w="851" w:type="dxa"/>
            <w:tcBorders>
              <w:top w:val="nil"/>
              <w:left w:val="nil"/>
              <w:bottom w:val="single" w:sz="4" w:space="0" w:color="auto"/>
              <w:right w:val="single" w:sz="4" w:space="0" w:color="auto"/>
            </w:tcBorders>
            <w:shd w:val="clear" w:color="000000" w:fill="DAE9F8"/>
            <w:noWrap/>
            <w:vAlign w:val="center"/>
            <w:hideMark/>
          </w:tcPr>
          <w:p w14:paraId="071DF23F"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18</w:t>
            </w:r>
          </w:p>
        </w:tc>
        <w:tc>
          <w:tcPr>
            <w:tcW w:w="850" w:type="dxa"/>
            <w:tcBorders>
              <w:top w:val="nil"/>
              <w:left w:val="nil"/>
              <w:bottom w:val="single" w:sz="4" w:space="0" w:color="auto"/>
              <w:right w:val="single" w:sz="4" w:space="0" w:color="auto"/>
            </w:tcBorders>
            <w:noWrap/>
            <w:vAlign w:val="center"/>
            <w:hideMark/>
          </w:tcPr>
          <w:p w14:paraId="22E2FF7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26</w:t>
            </w:r>
          </w:p>
        </w:tc>
        <w:tc>
          <w:tcPr>
            <w:tcW w:w="851" w:type="dxa"/>
            <w:tcBorders>
              <w:top w:val="nil"/>
              <w:left w:val="nil"/>
              <w:bottom w:val="single" w:sz="4" w:space="0" w:color="auto"/>
              <w:right w:val="single" w:sz="4" w:space="0" w:color="auto"/>
            </w:tcBorders>
            <w:noWrap/>
            <w:vAlign w:val="center"/>
            <w:hideMark/>
          </w:tcPr>
          <w:p w14:paraId="796ED13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60</w:t>
            </w:r>
          </w:p>
        </w:tc>
        <w:tc>
          <w:tcPr>
            <w:tcW w:w="855" w:type="dxa"/>
            <w:tcBorders>
              <w:top w:val="nil"/>
              <w:left w:val="nil"/>
              <w:bottom w:val="single" w:sz="4" w:space="0" w:color="auto"/>
              <w:right w:val="single" w:sz="4" w:space="0" w:color="auto"/>
            </w:tcBorders>
            <w:shd w:val="clear" w:color="000000" w:fill="DAE9F8"/>
            <w:noWrap/>
            <w:vAlign w:val="center"/>
            <w:hideMark/>
          </w:tcPr>
          <w:p w14:paraId="2B5C2CA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64</w:t>
            </w:r>
          </w:p>
        </w:tc>
        <w:tc>
          <w:tcPr>
            <w:tcW w:w="723" w:type="dxa"/>
            <w:tcBorders>
              <w:top w:val="nil"/>
              <w:left w:val="nil"/>
              <w:bottom w:val="single" w:sz="4" w:space="0" w:color="auto"/>
              <w:right w:val="single" w:sz="4" w:space="0" w:color="auto"/>
            </w:tcBorders>
            <w:noWrap/>
            <w:vAlign w:val="center"/>
            <w:hideMark/>
          </w:tcPr>
          <w:p w14:paraId="0A29D33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69</w:t>
            </w:r>
          </w:p>
        </w:tc>
      </w:tr>
      <w:tr w:rsidR="00711FE4" w:rsidRPr="00711FE4" w14:paraId="748D2E08"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5D615E80"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Rent private - no AS</w:t>
            </w:r>
          </w:p>
        </w:tc>
        <w:tc>
          <w:tcPr>
            <w:tcW w:w="706" w:type="dxa"/>
            <w:tcBorders>
              <w:top w:val="nil"/>
              <w:left w:val="nil"/>
              <w:bottom w:val="single" w:sz="4" w:space="0" w:color="auto"/>
              <w:right w:val="single" w:sz="4" w:space="0" w:color="auto"/>
            </w:tcBorders>
            <w:vAlign w:val="center"/>
            <w:hideMark/>
          </w:tcPr>
          <w:p w14:paraId="7B7340FE"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0F915C8B"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18</w:t>
            </w:r>
          </w:p>
        </w:tc>
        <w:tc>
          <w:tcPr>
            <w:tcW w:w="845" w:type="dxa"/>
            <w:tcBorders>
              <w:top w:val="nil"/>
              <w:left w:val="nil"/>
              <w:bottom w:val="single" w:sz="4" w:space="0" w:color="auto"/>
              <w:right w:val="single" w:sz="4" w:space="0" w:color="auto"/>
            </w:tcBorders>
            <w:noWrap/>
            <w:vAlign w:val="center"/>
            <w:hideMark/>
          </w:tcPr>
          <w:p w14:paraId="5697F52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w:t>
            </w:r>
          </w:p>
        </w:tc>
        <w:tc>
          <w:tcPr>
            <w:tcW w:w="851" w:type="dxa"/>
            <w:tcBorders>
              <w:top w:val="nil"/>
              <w:left w:val="nil"/>
              <w:bottom w:val="single" w:sz="4" w:space="0" w:color="auto"/>
              <w:right w:val="single" w:sz="4" w:space="0" w:color="auto"/>
            </w:tcBorders>
            <w:shd w:val="clear" w:color="000000" w:fill="DAE9F8"/>
            <w:noWrap/>
            <w:vAlign w:val="center"/>
            <w:hideMark/>
          </w:tcPr>
          <w:p w14:paraId="1EA5671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4</w:t>
            </w:r>
          </w:p>
        </w:tc>
        <w:tc>
          <w:tcPr>
            <w:tcW w:w="850" w:type="dxa"/>
            <w:tcBorders>
              <w:top w:val="nil"/>
              <w:left w:val="nil"/>
              <w:bottom w:val="single" w:sz="4" w:space="0" w:color="auto"/>
              <w:right w:val="single" w:sz="4" w:space="0" w:color="auto"/>
            </w:tcBorders>
            <w:noWrap/>
            <w:vAlign w:val="center"/>
            <w:hideMark/>
          </w:tcPr>
          <w:p w14:paraId="4A6F8EA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6</w:t>
            </w:r>
          </w:p>
        </w:tc>
        <w:tc>
          <w:tcPr>
            <w:tcW w:w="851" w:type="dxa"/>
            <w:tcBorders>
              <w:top w:val="nil"/>
              <w:left w:val="nil"/>
              <w:bottom w:val="single" w:sz="4" w:space="0" w:color="auto"/>
              <w:right w:val="single" w:sz="4" w:space="0" w:color="auto"/>
            </w:tcBorders>
            <w:noWrap/>
            <w:vAlign w:val="center"/>
            <w:hideMark/>
          </w:tcPr>
          <w:p w14:paraId="34BF8AB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19</w:t>
            </w:r>
          </w:p>
        </w:tc>
        <w:tc>
          <w:tcPr>
            <w:tcW w:w="855" w:type="dxa"/>
            <w:tcBorders>
              <w:top w:val="nil"/>
              <w:left w:val="nil"/>
              <w:bottom w:val="single" w:sz="4" w:space="0" w:color="auto"/>
              <w:right w:val="single" w:sz="4" w:space="0" w:color="auto"/>
            </w:tcBorders>
            <w:shd w:val="clear" w:color="000000" w:fill="DAE9F8"/>
            <w:noWrap/>
            <w:vAlign w:val="center"/>
            <w:hideMark/>
          </w:tcPr>
          <w:p w14:paraId="333921E3"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21</w:t>
            </w:r>
          </w:p>
        </w:tc>
        <w:tc>
          <w:tcPr>
            <w:tcW w:w="723" w:type="dxa"/>
            <w:tcBorders>
              <w:top w:val="nil"/>
              <w:left w:val="nil"/>
              <w:bottom w:val="single" w:sz="4" w:space="0" w:color="auto"/>
              <w:right w:val="single" w:sz="4" w:space="0" w:color="auto"/>
            </w:tcBorders>
            <w:noWrap/>
            <w:vAlign w:val="center"/>
            <w:hideMark/>
          </w:tcPr>
          <w:p w14:paraId="31D5DD0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22</w:t>
            </w:r>
          </w:p>
        </w:tc>
      </w:tr>
      <w:tr w:rsidR="00711FE4" w:rsidRPr="00711FE4" w14:paraId="2065CE34"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672BD699"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Rent private - AS</w:t>
            </w:r>
          </w:p>
        </w:tc>
        <w:tc>
          <w:tcPr>
            <w:tcW w:w="706" w:type="dxa"/>
            <w:tcBorders>
              <w:top w:val="nil"/>
              <w:left w:val="nil"/>
              <w:bottom w:val="single" w:sz="4" w:space="0" w:color="auto"/>
              <w:right w:val="single" w:sz="4" w:space="0" w:color="auto"/>
            </w:tcBorders>
            <w:vAlign w:val="center"/>
            <w:hideMark/>
          </w:tcPr>
          <w:p w14:paraId="17D4A8C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545C14DD"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17</w:t>
            </w:r>
          </w:p>
        </w:tc>
        <w:tc>
          <w:tcPr>
            <w:tcW w:w="845" w:type="dxa"/>
            <w:tcBorders>
              <w:top w:val="nil"/>
              <w:left w:val="nil"/>
              <w:bottom w:val="single" w:sz="4" w:space="0" w:color="auto"/>
              <w:right w:val="single" w:sz="4" w:space="0" w:color="auto"/>
            </w:tcBorders>
            <w:noWrap/>
            <w:vAlign w:val="center"/>
            <w:hideMark/>
          </w:tcPr>
          <w:p w14:paraId="6B99471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53</w:t>
            </w:r>
          </w:p>
        </w:tc>
        <w:tc>
          <w:tcPr>
            <w:tcW w:w="851" w:type="dxa"/>
            <w:tcBorders>
              <w:top w:val="nil"/>
              <w:left w:val="nil"/>
              <w:bottom w:val="single" w:sz="4" w:space="0" w:color="auto"/>
              <w:right w:val="single" w:sz="4" w:space="0" w:color="auto"/>
            </w:tcBorders>
            <w:shd w:val="clear" w:color="000000" w:fill="DAE9F8"/>
            <w:noWrap/>
            <w:vAlign w:val="center"/>
            <w:hideMark/>
          </w:tcPr>
          <w:p w14:paraId="7248166A"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49</w:t>
            </w:r>
          </w:p>
        </w:tc>
        <w:tc>
          <w:tcPr>
            <w:tcW w:w="850" w:type="dxa"/>
            <w:tcBorders>
              <w:top w:val="nil"/>
              <w:left w:val="nil"/>
              <w:bottom w:val="single" w:sz="4" w:space="0" w:color="auto"/>
              <w:right w:val="single" w:sz="4" w:space="0" w:color="auto"/>
            </w:tcBorders>
            <w:noWrap/>
            <w:vAlign w:val="center"/>
            <w:hideMark/>
          </w:tcPr>
          <w:p w14:paraId="5290C60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45</w:t>
            </w:r>
          </w:p>
        </w:tc>
        <w:tc>
          <w:tcPr>
            <w:tcW w:w="851" w:type="dxa"/>
            <w:tcBorders>
              <w:top w:val="nil"/>
              <w:left w:val="nil"/>
              <w:bottom w:val="single" w:sz="4" w:space="0" w:color="auto"/>
              <w:right w:val="single" w:sz="4" w:space="0" w:color="auto"/>
            </w:tcBorders>
            <w:noWrap/>
            <w:vAlign w:val="center"/>
            <w:hideMark/>
          </w:tcPr>
          <w:p w14:paraId="170A25E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14</w:t>
            </w:r>
          </w:p>
        </w:tc>
        <w:tc>
          <w:tcPr>
            <w:tcW w:w="855" w:type="dxa"/>
            <w:tcBorders>
              <w:top w:val="nil"/>
              <w:left w:val="nil"/>
              <w:bottom w:val="single" w:sz="4" w:space="0" w:color="auto"/>
              <w:right w:val="single" w:sz="4" w:space="0" w:color="auto"/>
            </w:tcBorders>
            <w:shd w:val="clear" w:color="000000" w:fill="DAE9F8"/>
            <w:noWrap/>
            <w:vAlign w:val="center"/>
            <w:hideMark/>
          </w:tcPr>
          <w:p w14:paraId="7B5CF89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w:t>
            </w:r>
          </w:p>
        </w:tc>
        <w:tc>
          <w:tcPr>
            <w:tcW w:w="723" w:type="dxa"/>
            <w:tcBorders>
              <w:top w:val="nil"/>
              <w:left w:val="nil"/>
              <w:bottom w:val="single" w:sz="4" w:space="0" w:color="auto"/>
              <w:right w:val="single" w:sz="4" w:space="0" w:color="auto"/>
            </w:tcBorders>
            <w:noWrap/>
            <w:vAlign w:val="center"/>
            <w:hideMark/>
          </w:tcPr>
          <w:p w14:paraId="38B8B0D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5</w:t>
            </w:r>
          </w:p>
        </w:tc>
      </w:tr>
      <w:tr w:rsidR="00711FE4" w:rsidRPr="00711FE4" w14:paraId="753BC692"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7CA4520A"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Rent - Social</w:t>
            </w:r>
          </w:p>
        </w:tc>
        <w:tc>
          <w:tcPr>
            <w:tcW w:w="706" w:type="dxa"/>
            <w:tcBorders>
              <w:top w:val="nil"/>
              <w:left w:val="nil"/>
              <w:bottom w:val="single" w:sz="4" w:space="0" w:color="auto"/>
              <w:right w:val="single" w:sz="4" w:space="0" w:color="auto"/>
            </w:tcBorders>
            <w:vAlign w:val="center"/>
            <w:hideMark/>
          </w:tcPr>
          <w:p w14:paraId="46EC4FD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72BF5E2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6</w:t>
            </w:r>
          </w:p>
        </w:tc>
        <w:tc>
          <w:tcPr>
            <w:tcW w:w="845" w:type="dxa"/>
            <w:tcBorders>
              <w:top w:val="nil"/>
              <w:left w:val="nil"/>
              <w:bottom w:val="single" w:sz="4" w:space="0" w:color="auto"/>
              <w:right w:val="single" w:sz="4" w:space="0" w:color="auto"/>
            </w:tcBorders>
            <w:noWrap/>
            <w:vAlign w:val="center"/>
            <w:hideMark/>
          </w:tcPr>
          <w:p w14:paraId="328B7B0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25</w:t>
            </w:r>
          </w:p>
        </w:tc>
        <w:tc>
          <w:tcPr>
            <w:tcW w:w="851" w:type="dxa"/>
            <w:tcBorders>
              <w:top w:val="nil"/>
              <w:left w:val="nil"/>
              <w:bottom w:val="single" w:sz="4" w:space="0" w:color="auto"/>
              <w:right w:val="single" w:sz="4" w:space="0" w:color="auto"/>
            </w:tcBorders>
            <w:shd w:val="clear" w:color="000000" w:fill="DAE9F8"/>
            <w:noWrap/>
            <w:vAlign w:val="center"/>
            <w:hideMark/>
          </w:tcPr>
          <w:p w14:paraId="2BFB570B"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27</w:t>
            </w:r>
          </w:p>
        </w:tc>
        <w:tc>
          <w:tcPr>
            <w:tcW w:w="850" w:type="dxa"/>
            <w:tcBorders>
              <w:top w:val="nil"/>
              <w:left w:val="nil"/>
              <w:bottom w:val="single" w:sz="4" w:space="0" w:color="auto"/>
              <w:right w:val="single" w:sz="4" w:space="0" w:color="auto"/>
            </w:tcBorders>
            <w:noWrap/>
            <w:vAlign w:val="center"/>
            <w:hideMark/>
          </w:tcPr>
          <w:p w14:paraId="64470DDF"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20</w:t>
            </w:r>
          </w:p>
        </w:tc>
        <w:tc>
          <w:tcPr>
            <w:tcW w:w="851" w:type="dxa"/>
            <w:tcBorders>
              <w:top w:val="nil"/>
              <w:left w:val="nil"/>
              <w:bottom w:val="single" w:sz="4" w:space="0" w:color="auto"/>
              <w:right w:val="single" w:sz="4" w:space="0" w:color="auto"/>
            </w:tcBorders>
            <w:noWrap/>
            <w:vAlign w:val="center"/>
            <w:hideMark/>
          </w:tcPr>
          <w:p w14:paraId="14EC0BC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5</w:t>
            </w:r>
          </w:p>
        </w:tc>
        <w:tc>
          <w:tcPr>
            <w:tcW w:w="855" w:type="dxa"/>
            <w:tcBorders>
              <w:top w:val="nil"/>
              <w:left w:val="nil"/>
              <w:bottom w:val="single" w:sz="4" w:space="0" w:color="auto"/>
              <w:right w:val="single" w:sz="4" w:space="0" w:color="auto"/>
            </w:tcBorders>
            <w:shd w:val="clear" w:color="000000" w:fill="DAE9F8"/>
            <w:noWrap/>
            <w:vAlign w:val="center"/>
            <w:hideMark/>
          </w:tcPr>
          <w:p w14:paraId="3E8D0DD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w:t>
            </w:r>
          </w:p>
        </w:tc>
        <w:tc>
          <w:tcPr>
            <w:tcW w:w="723" w:type="dxa"/>
            <w:tcBorders>
              <w:top w:val="nil"/>
              <w:left w:val="nil"/>
              <w:bottom w:val="single" w:sz="4" w:space="0" w:color="auto"/>
              <w:right w:val="single" w:sz="4" w:space="0" w:color="auto"/>
            </w:tcBorders>
            <w:noWrap/>
            <w:vAlign w:val="center"/>
            <w:hideMark/>
          </w:tcPr>
          <w:p w14:paraId="4457BEB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w:t>
            </w:r>
          </w:p>
        </w:tc>
      </w:tr>
      <w:tr w:rsidR="00711FE4" w:rsidRPr="00711FE4" w14:paraId="1782651B"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113DBE50"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Other</w:t>
            </w:r>
          </w:p>
        </w:tc>
        <w:tc>
          <w:tcPr>
            <w:tcW w:w="706" w:type="dxa"/>
            <w:tcBorders>
              <w:top w:val="nil"/>
              <w:left w:val="nil"/>
              <w:bottom w:val="single" w:sz="4" w:space="0" w:color="auto"/>
              <w:right w:val="single" w:sz="4" w:space="0" w:color="auto"/>
            </w:tcBorders>
            <w:vAlign w:val="center"/>
            <w:hideMark/>
          </w:tcPr>
          <w:p w14:paraId="08BAAC8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7C786F22" w14:textId="77777777" w:rsidR="00711FE4" w:rsidRPr="00711FE4" w:rsidRDefault="00711FE4" w:rsidP="00711FE4">
            <w:pPr>
              <w:spacing w:after="0" w:line="240" w:lineRule="auto"/>
              <w:jc w:val="center"/>
              <w:rPr>
                <w:rFonts w:ascii="Arial Mäori" w:eastAsia="Times New Roman" w:hAnsi="Arial Mäori" w:cs="Times New Roman"/>
                <w:b/>
                <w:bCs/>
                <w:i/>
                <w:iCs/>
                <w:color w:val="000000"/>
                <w:sz w:val="14"/>
                <w:szCs w:val="14"/>
                <w:lang w:eastAsia="en-NZ"/>
              </w:rPr>
            </w:pPr>
            <w:r w:rsidRPr="00711FE4">
              <w:rPr>
                <w:rFonts w:ascii="Arial Mäori" w:eastAsia="Times New Roman" w:hAnsi="Arial Mäori" w:cs="Times New Roman"/>
                <w:b/>
                <w:bCs/>
                <w:i/>
                <w:iCs/>
                <w:color w:val="000000"/>
                <w:sz w:val="14"/>
                <w:szCs w:val="14"/>
                <w:lang w:eastAsia="en-NZ"/>
              </w:rPr>
              <w:t>3</w:t>
            </w:r>
          </w:p>
        </w:tc>
        <w:tc>
          <w:tcPr>
            <w:tcW w:w="845" w:type="dxa"/>
            <w:tcBorders>
              <w:top w:val="nil"/>
              <w:left w:val="nil"/>
              <w:bottom w:val="single" w:sz="4" w:space="0" w:color="auto"/>
              <w:right w:val="single" w:sz="4" w:space="0" w:color="auto"/>
            </w:tcBorders>
            <w:noWrap/>
            <w:vAlign w:val="center"/>
            <w:hideMark/>
          </w:tcPr>
          <w:p w14:paraId="334C53E1"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3</w:t>
            </w:r>
          </w:p>
        </w:tc>
        <w:tc>
          <w:tcPr>
            <w:tcW w:w="851" w:type="dxa"/>
            <w:tcBorders>
              <w:top w:val="nil"/>
              <w:left w:val="nil"/>
              <w:bottom w:val="single" w:sz="4" w:space="0" w:color="auto"/>
              <w:right w:val="single" w:sz="4" w:space="0" w:color="auto"/>
            </w:tcBorders>
            <w:shd w:val="clear" w:color="000000" w:fill="DAE9F8"/>
            <w:noWrap/>
            <w:vAlign w:val="center"/>
            <w:hideMark/>
          </w:tcPr>
          <w:p w14:paraId="123AA134" w14:textId="77777777" w:rsidR="00711FE4" w:rsidRPr="00711FE4" w:rsidRDefault="00711FE4" w:rsidP="00711FE4">
            <w:pPr>
              <w:spacing w:after="0" w:line="240" w:lineRule="auto"/>
              <w:jc w:val="center"/>
              <w:rPr>
                <w:rFonts w:ascii="Arial Mäori" w:eastAsia="Times New Roman" w:hAnsi="Arial Mäori" w:cs="Times New Roman"/>
                <w:b/>
                <w:bCs/>
                <w:i/>
                <w:iCs/>
                <w:color w:val="000000"/>
                <w:sz w:val="14"/>
                <w:szCs w:val="14"/>
                <w:lang w:eastAsia="en-NZ"/>
              </w:rPr>
            </w:pPr>
            <w:r w:rsidRPr="00711FE4">
              <w:rPr>
                <w:rFonts w:ascii="Arial Mäori" w:eastAsia="Times New Roman" w:hAnsi="Arial Mäori" w:cs="Times New Roman"/>
                <w:b/>
                <w:bCs/>
                <w:i/>
                <w:iCs/>
                <w:color w:val="000000"/>
                <w:sz w:val="14"/>
                <w:szCs w:val="14"/>
                <w:lang w:eastAsia="en-NZ"/>
              </w:rPr>
              <w:t>2</w:t>
            </w:r>
          </w:p>
        </w:tc>
        <w:tc>
          <w:tcPr>
            <w:tcW w:w="850" w:type="dxa"/>
            <w:tcBorders>
              <w:top w:val="nil"/>
              <w:left w:val="nil"/>
              <w:bottom w:val="single" w:sz="4" w:space="0" w:color="auto"/>
              <w:right w:val="single" w:sz="4" w:space="0" w:color="auto"/>
            </w:tcBorders>
            <w:noWrap/>
            <w:vAlign w:val="center"/>
            <w:hideMark/>
          </w:tcPr>
          <w:p w14:paraId="6E46FFC9"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3</w:t>
            </w:r>
          </w:p>
        </w:tc>
        <w:tc>
          <w:tcPr>
            <w:tcW w:w="851" w:type="dxa"/>
            <w:tcBorders>
              <w:top w:val="nil"/>
              <w:left w:val="nil"/>
              <w:bottom w:val="single" w:sz="4" w:space="0" w:color="auto"/>
              <w:right w:val="single" w:sz="4" w:space="0" w:color="auto"/>
            </w:tcBorders>
            <w:noWrap/>
            <w:vAlign w:val="center"/>
            <w:hideMark/>
          </w:tcPr>
          <w:p w14:paraId="34CFAF31"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3</w:t>
            </w:r>
          </w:p>
        </w:tc>
        <w:tc>
          <w:tcPr>
            <w:tcW w:w="855" w:type="dxa"/>
            <w:tcBorders>
              <w:top w:val="nil"/>
              <w:left w:val="nil"/>
              <w:bottom w:val="single" w:sz="4" w:space="0" w:color="auto"/>
              <w:right w:val="single" w:sz="4" w:space="0" w:color="auto"/>
            </w:tcBorders>
            <w:shd w:val="clear" w:color="000000" w:fill="DAE9F8"/>
            <w:noWrap/>
            <w:vAlign w:val="center"/>
            <w:hideMark/>
          </w:tcPr>
          <w:p w14:paraId="1E80B74E" w14:textId="77777777" w:rsidR="00711FE4" w:rsidRPr="00711FE4" w:rsidRDefault="00711FE4" w:rsidP="00711FE4">
            <w:pPr>
              <w:spacing w:after="0" w:line="240" w:lineRule="auto"/>
              <w:jc w:val="center"/>
              <w:rPr>
                <w:rFonts w:ascii="Arial Mäori" w:eastAsia="Times New Roman" w:hAnsi="Arial Mäori" w:cs="Times New Roman"/>
                <w:b/>
                <w:bCs/>
                <w:i/>
                <w:iCs/>
                <w:color w:val="000000"/>
                <w:sz w:val="14"/>
                <w:szCs w:val="14"/>
                <w:lang w:eastAsia="en-NZ"/>
              </w:rPr>
            </w:pPr>
            <w:r w:rsidRPr="00711FE4">
              <w:rPr>
                <w:rFonts w:ascii="Arial Mäori" w:eastAsia="Times New Roman" w:hAnsi="Arial Mäori" w:cs="Times New Roman"/>
                <w:b/>
                <w:bCs/>
                <w:i/>
                <w:iCs/>
                <w:color w:val="000000"/>
                <w:sz w:val="14"/>
                <w:szCs w:val="14"/>
                <w:lang w:eastAsia="en-NZ"/>
              </w:rPr>
              <w:t>3</w:t>
            </w:r>
          </w:p>
        </w:tc>
        <w:tc>
          <w:tcPr>
            <w:tcW w:w="723" w:type="dxa"/>
            <w:tcBorders>
              <w:top w:val="nil"/>
              <w:left w:val="nil"/>
              <w:bottom w:val="single" w:sz="4" w:space="0" w:color="auto"/>
              <w:right w:val="single" w:sz="4" w:space="0" w:color="auto"/>
            </w:tcBorders>
            <w:noWrap/>
            <w:vAlign w:val="center"/>
            <w:hideMark/>
          </w:tcPr>
          <w:p w14:paraId="4B04F045" w14:textId="77777777" w:rsidR="00711FE4" w:rsidRPr="00711FE4" w:rsidRDefault="00711FE4" w:rsidP="00711FE4">
            <w:pPr>
              <w:spacing w:after="0" w:line="240" w:lineRule="auto"/>
              <w:jc w:val="center"/>
              <w:rPr>
                <w:rFonts w:ascii="Arial Mäori" w:eastAsia="Times New Roman" w:hAnsi="Arial Mäori" w:cs="Times New Roman"/>
                <w:i/>
                <w:iCs/>
                <w:color w:val="000000"/>
                <w:sz w:val="14"/>
                <w:szCs w:val="14"/>
                <w:lang w:eastAsia="en-NZ"/>
              </w:rPr>
            </w:pPr>
            <w:r w:rsidRPr="00711FE4">
              <w:rPr>
                <w:rFonts w:ascii="Arial Mäori" w:eastAsia="Times New Roman" w:hAnsi="Arial Mäori" w:cs="Times New Roman"/>
                <w:i/>
                <w:iCs/>
                <w:color w:val="000000"/>
                <w:sz w:val="14"/>
                <w:szCs w:val="14"/>
                <w:lang w:eastAsia="en-NZ"/>
              </w:rPr>
              <w:t>3</w:t>
            </w:r>
          </w:p>
        </w:tc>
      </w:tr>
      <w:tr w:rsidR="00711FE4" w:rsidRPr="00711FE4" w14:paraId="7409DDDE"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006D6EB7" w14:textId="77777777" w:rsidR="00711FE4" w:rsidRPr="00711FE4" w:rsidRDefault="00711FE4" w:rsidP="00711FE4">
            <w:pPr>
              <w:spacing w:after="0" w:line="240" w:lineRule="auto"/>
              <w:ind w:firstLineChars="100" w:firstLine="140"/>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TOTAL</w:t>
            </w:r>
          </w:p>
        </w:tc>
        <w:tc>
          <w:tcPr>
            <w:tcW w:w="706" w:type="dxa"/>
            <w:tcBorders>
              <w:top w:val="nil"/>
              <w:left w:val="nil"/>
              <w:bottom w:val="single" w:sz="4" w:space="0" w:color="auto"/>
              <w:right w:val="single" w:sz="4" w:space="0" w:color="auto"/>
            </w:tcBorders>
            <w:vAlign w:val="center"/>
            <w:hideMark/>
          </w:tcPr>
          <w:p w14:paraId="013D14E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w:t>
            </w:r>
          </w:p>
        </w:tc>
        <w:tc>
          <w:tcPr>
            <w:tcW w:w="839" w:type="dxa"/>
            <w:tcBorders>
              <w:top w:val="nil"/>
              <w:left w:val="nil"/>
              <w:bottom w:val="single" w:sz="4" w:space="0" w:color="auto"/>
              <w:right w:val="single" w:sz="4" w:space="0" w:color="auto"/>
            </w:tcBorders>
            <w:shd w:val="clear" w:color="000000" w:fill="DAF2D0"/>
            <w:noWrap/>
            <w:vAlign w:val="center"/>
            <w:hideMark/>
          </w:tcPr>
          <w:p w14:paraId="1F57EB7D"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845" w:type="dxa"/>
            <w:tcBorders>
              <w:top w:val="nil"/>
              <w:left w:val="nil"/>
              <w:bottom w:val="single" w:sz="4" w:space="0" w:color="auto"/>
              <w:right w:val="single" w:sz="4" w:space="0" w:color="auto"/>
            </w:tcBorders>
            <w:noWrap/>
            <w:vAlign w:val="center"/>
            <w:hideMark/>
          </w:tcPr>
          <w:p w14:paraId="0AF1EC4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c>
          <w:tcPr>
            <w:tcW w:w="851" w:type="dxa"/>
            <w:tcBorders>
              <w:top w:val="nil"/>
              <w:left w:val="nil"/>
              <w:bottom w:val="single" w:sz="4" w:space="0" w:color="auto"/>
              <w:right w:val="single" w:sz="4" w:space="0" w:color="auto"/>
            </w:tcBorders>
            <w:shd w:val="clear" w:color="000000" w:fill="DAE9F8"/>
            <w:noWrap/>
            <w:vAlign w:val="center"/>
            <w:hideMark/>
          </w:tcPr>
          <w:p w14:paraId="7E01D3B0"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850" w:type="dxa"/>
            <w:tcBorders>
              <w:top w:val="nil"/>
              <w:left w:val="nil"/>
              <w:bottom w:val="single" w:sz="4" w:space="0" w:color="auto"/>
              <w:right w:val="single" w:sz="4" w:space="0" w:color="auto"/>
            </w:tcBorders>
            <w:noWrap/>
            <w:vAlign w:val="center"/>
            <w:hideMark/>
          </w:tcPr>
          <w:p w14:paraId="27230D7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c>
          <w:tcPr>
            <w:tcW w:w="851" w:type="dxa"/>
            <w:tcBorders>
              <w:top w:val="nil"/>
              <w:left w:val="nil"/>
              <w:bottom w:val="single" w:sz="4" w:space="0" w:color="auto"/>
              <w:right w:val="single" w:sz="4" w:space="0" w:color="auto"/>
            </w:tcBorders>
            <w:noWrap/>
            <w:vAlign w:val="center"/>
            <w:hideMark/>
          </w:tcPr>
          <w:p w14:paraId="06C8A6D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c>
          <w:tcPr>
            <w:tcW w:w="855" w:type="dxa"/>
            <w:tcBorders>
              <w:top w:val="nil"/>
              <w:left w:val="nil"/>
              <w:bottom w:val="single" w:sz="4" w:space="0" w:color="auto"/>
              <w:right w:val="single" w:sz="4" w:space="0" w:color="auto"/>
            </w:tcBorders>
            <w:shd w:val="clear" w:color="000000" w:fill="DAE9F8"/>
            <w:noWrap/>
            <w:vAlign w:val="center"/>
            <w:hideMark/>
          </w:tcPr>
          <w:p w14:paraId="5AB61FD6"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100</w:t>
            </w:r>
          </w:p>
        </w:tc>
        <w:tc>
          <w:tcPr>
            <w:tcW w:w="723" w:type="dxa"/>
            <w:tcBorders>
              <w:top w:val="nil"/>
              <w:left w:val="nil"/>
              <w:bottom w:val="single" w:sz="4" w:space="0" w:color="auto"/>
              <w:right w:val="single" w:sz="4" w:space="0" w:color="auto"/>
            </w:tcBorders>
            <w:noWrap/>
            <w:vAlign w:val="center"/>
            <w:hideMark/>
          </w:tcPr>
          <w:p w14:paraId="17F02D63"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100</w:t>
            </w:r>
          </w:p>
        </w:tc>
      </w:tr>
      <w:tr w:rsidR="00711FE4" w:rsidRPr="00711FE4" w14:paraId="0887CB68"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3991829D" w14:textId="77777777" w:rsidR="00711FE4" w:rsidRPr="00711FE4" w:rsidRDefault="00711FE4" w:rsidP="00711FE4">
            <w:pPr>
              <w:spacing w:after="0" w:line="240" w:lineRule="auto"/>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Incomes and housing costs</w:t>
            </w:r>
          </w:p>
        </w:tc>
        <w:tc>
          <w:tcPr>
            <w:tcW w:w="706" w:type="dxa"/>
            <w:tcBorders>
              <w:top w:val="nil"/>
              <w:left w:val="nil"/>
              <w:bottom w:val="single" w:sz="4" w:space="0" w:color="auto"/>
              <w:right w:val="single" w:sz="4" w:space="0" w:color="auto"/>
            </w:tcBorders>
            <w:vAlign w:val="center"/>
            <w:hideMark/>
          </w:tcPr>
          <w:p w14:paraId="1E4C895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39" w:type="dxa"/>
            <w:tcBorders>
              <w:top w:val="nil"/>
              <w:left w:val="nil"/>
              <w:bottom w:val="single" w:sz="4" w:space="0" w:color="auto"/>
              <w:right w:val="single" w:sz="4" w:space="0" w:color="auto"/>
            </w:tcBorders>
            <w:shd w:val="clear" w:color="000000" w:fill="DAF2D0"/>
            <w:noWrap/>
            <w:vAlign w:val="center"/>
            <w:hideMark/>
          </w:tcPr>
          <w:p w14:paraId="793DB34E"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845" w:type="dxa"/>
            <w:tcBorders>
              <w:top w:val="nil"/>
              <w:left w:val="nil"/>
              <w:bottom w:val="single" w:sz="4" w:space="0" w:color="auto"/>
              <w:right w:val="single" w:sz="4" w:space="0" w:color="auto"/>
            </w:tcBorders>
            <w:noWrap/>
            <w:vAlign w:val="center"/>
            <w:hideMark/>
          </w:tcPr>
          <w:p w14:paraId="4F14BC5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1" w:type="dxa"/>
            <w:tcBorders>
              <w:top w:val="nil"/>
              <w:left w:val="nil"/>
              <w:bottom w:val="single" w:sz="4" w:space="0" w:color="auto"/>
              <w:right w:val="single" w:sz="4" w:space="0" w:color="auto"/>
            </w:tcBorders>
            <w:shd w:val="clear" w:color="000000" w:fill="DAE9F8"/>
            <w:noWrap/>
            <w:vAlign w:val="center"/>
            <w:hideMark/>
          </w:tcPr>
          <w:p w14:paraId="6989F29A"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850" w:type="dxa"/>
            <w:tcBorders>
              <w:top w:val="nil"/>
              <w:left w:val="nil"/>
              <w:bottom w:val="single" w:sz="4" w:space="0" w:color="auto"/>
              <w:right w:val="single" w:sz="4" w:space="0" w:color="auto"/>
            </w:tcBorders>
            <w:noWrap/>
            <w:vAlign w:val="center"/>
            <w:hideMark/>
          </w:tcPr>
          <w:p w14:paraId="6C2CE31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1" w:type="dxa"/>
            <w:tcBorders>
              <w:top w:val="nil"/>
              <w:left w:val="nil"/>
              <w:bottom w:val="single" w:sz="4" w:space="0" w:color="auto"/>
              <w:right w:val="single" w:sz="4" w:space="0" w:color="auto"/>
            </w:tcBorders>
            <w:noWrap/>
            <w:vAlign w:val="center"/>
            <w:hideMark/>
          </w:tcPr>
          <w:p w14:paraId="1111182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c>
          <w:tcPr>
            <w:tcW w:w="855" w:type="dxa"/>
            <w:tcBorders>
              <w:top w:val="nil"/>
              <w:left w:val="nil"/>
              <w:bottom w:val="single" w:sz="4" w:space="0" w:color="auto"/>
              <w:right w:val="single" w:sz="4" w:space="0" w:color="auto"/>
            </w:tcBorders>
            <w:shd w:val="clear" w:color="000000" w:fill="DAE9F8"/>
            <w:noWrap/>
            <w:vAlign w:val="center"/>
            <w:hideMark/>
          </w:tcPr>
          <w:p w14:paraId="57D8D44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 </w:t>
            </w:r>
          </w:p>
        </w:tc>
        <w:tc>
          <w:tcPr>
            <w:tcW w:w="723" w:type="dxa"/>
            <w:tcBorders>
              <w:top w:val="nil"/>
              <w:left w:val="nil"/>
              <w:bottom w:val="single" w:sz="4" w:space="0" w:color="auto"/>
              <w:right w:val="single" w:sz="4" w:space="0" w:color="auto"/>
            </w:tcBorders>
            <w:noWrap/>
            <w:vAlign w:val="center"/>
            <w:hideMark/>
          </w:tcPr>
          <w:p w14:paraId="3453A90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 </w:t>
            </w:r>
          </w:p>
        </w:tc>
      </w:tr>
      <w:tr w:rsidR="00711FE4" w:rsidRPr="00711FE4" w14:paraId="763693CA"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5C931D29"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AHC income (equivalised)</w:t>
            </w:r>
          </w:p>
        </w:tc>
        <w:tc>
          <w:tcPr>
            <w:tcW w:w="706" w:type="dxa"/>
            <w:tcBorders>
              <w:top w:val="nil"/>
              <w:left w:val="nil"/>
              <w:bottom w:val="single" w:sz="4" w:space="0" w:color="auto"/>
              <w:right w:val="single" w:sz="4" w:space="0" w:color="auto"/>
            </w:tcBorders>
            <w:vAlign w:val="center"/>
            <w:hideMark/>
          </w:tcPr>
          <w:p w14:paraId="12D29992"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Mean</w:t>
            </w:r>
          </w:p>
        </w:tc>
        <w:tc>
          <w:tcPr>
            <w:tcW w:w="839" w:type="dxa"/>
            <w:tcBorders>
              <w:top w:val="nil"/>
              <w:left w:val="nil"/>
              <w:bottom w:val="single" w:sz="4" w:space="0" w:color="auto"/>
              <w:right w:val="single" w:sz="4" w:space="0" w:color="auto"/>
            </w:tcBorders>
            <w:shd w:val="clear" w:color="000000" w:fill="DAF2D0"/>
            <w:noWrap/>
            <w:vAlign w:val="center"/>
            <w:hideMark/>
          </w:tcPr>
          <w:p w14:paraId="345A2A3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42,500</w:t>
            </w:r>
          </w:p>
        </w:tc>
        <w:tc>
          <w:tcPr>
            <w:tcW w:w="845" w:type="dxa"/>
            <w:tcBorders>
              <w:top w:val="nil"/>
              <w:left w:val="nil"/>
              <w:bottom w:val="single" w:sz="4" w:space="0" w:color="auto"/>
              <w:right w:val="single" w:sz="4" w:space="0" w:color="auto"/>
            </w:tcBorders>
            <w:noWrap/>
            <w:vAlign w:val="center"/>
            <w:hideMark/>
          </w:tcPr>
          <w:p w14:paraId="02115D7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17,800</w:t>
            </w:r>
          </w:p>
        </w:tc>
        <w:tc>
          <w:tcPr>
            <w:tcW w:w="851" w:type="dxa"/>
            <w:tcBorders>
              <w:top w:val="nil"/>
              <w:left w:val="nil"/>
              <w:bottom w:val="single" w:sz="4" w:space="0" w:color="auto"/>
              <w:right w:val="single" w:sz="4" w:space="0" w:color="auto"/>
            </w:tcBorders>
            <w:shd w:val="clear" w:color="000000" w:fill="DAE9F8"/>
            <w:noWrap/>
            <w:vAlign w:val="center"/>
            <w:hideMark/>
          </w:tcPr>
          <w:p w14:paraId="6F3B5287"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19,900</w:t>
            </w:r>
          </w:p>
        </w:tc>
        <w:tc>
          <w:tcPr>
            <w:tcW w:w="850" w:type="dxa"/>
            <w:tcBorders>
              <w:top w:val="nil"/>
              <w:left w:val="nil"/>
              <w:bottom w:val="single" w:sz="4" w:space="0" w:color="auto"/>
              <w:right w:val="single" w:sz="4" w:space="0" w:color="auto"/>
            </w:tcBorders>
            <w:noWrap/>
            <w:vAlign w:val="center"/>
            <w:hideMark/>
          </w:tcPr>
          <w:p w14:paraId="51D9FD0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24,300</w:t>
            </w:r>
          </w:p>
        </w:tc>
        <w:tc>
          <w:tcPr>
            <w:tcW w:w="851" w:type="dxa"/>
            <w:tcBorders>
              <w:top w:val="nil"/>
              <w:left w:val="nil"/>
              <w:bottom w:val="single" w:sz="4" w:space="0" w:color="auto"/>
              <w:right w:val="single" w:sz="4" w:space="0" w:color="auto"/>
            </w:tcBorders>
            <w:noWrap/>
            <w:vAlign w:val="center"/>
            <w:hideMark/>
          </w:tcPr>
          <w:p w14:paraId="32CBF8C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44,500</w:t>
            </w:r>
          </w:p>
        </w:tc>
        <w:tc>
          <w:tcPr>
            <w:tcW w:w="855" w:type="dxa"/>
            <w:tcBorders>
              <w:top w:val="nil"/>
              <w:left w:val="nil"/>
              <w:bottom w:val="single" w:sz="4" w:space="0" w:color="auto"/>
              <w:right w:val="single" w:sz="4" w:space="0" w:color="auto"/>
            </w:tcBorders>
            <w:shd w:val="clear" w:color="000000" w:fill="DAE9F8"/>
            <w:noWrap/>
            <w:vAlign w:val="center"/>
            <w:hideMark/>
          </w:tcPr>
          <w:p w14:paraId="561426A9"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46,700</w:t>
            </w:r>
          </w:p>
        </w:tc>
        <w:tc>
          <w:tcPr>
            <w:tcW w:w="723" w:type="dxa"/>
            <w:tcBorders>
              <w:top w:val="nil"/>
              <w:left w:val="nil"/>
              <w:bottom w:val="single" w:sz="4" w:space="0" w:color="auto"/>
              <w:right w:val="single" w:sz="4" w:space="0" w:color="auto"/>
            </w:tcBorders>
            <w:noWrap/>
            <w:vAlign w:val="center"/>
            <w:hideMark/>
          </w:tcPr>
          <w:p w14:paraId="5E1C13F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49,700</w:t>
            </w:r>
          </w:p>
        </w:tc>
      </w:tr>
      <w:tr w:rsidR="00711FE4" w:rsidRPr="00711FE4" w14:paraId="532A0F85"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26D09AE7"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BHC income (equivalised)</w:t>
            </w:r>
          </w:p>
        </w:tc>
        <w:tc>
          <w:tcPr>
            <w:tcW w:w="706" w:type="dxa"/>
            <w:tcBorders>
              <w:top w:val="nil"/>
              <w:left w:val="nil"/>
              <w:bottom w:val="single" w:sz="4" w:space="0" w:color="auto"/>
              <w:right w:val="single" w:sz="4" w:space="0" w:color="auto"/>
            </w:tcBorders>
            <w:vAlign w:val="center"/>
            <w:hideMark/>
          </w:tcPr>
          <w:p w14:paraId="2BD366C3"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Mean</w:t>
            </w:r>
          </w:p>
        </w:tc>
        <w:tc>
          <w:tcPr>
            <w:tcW w:w="839" w:type="dxa"/>
            <w:tcBorders>
              <w:top w:val="nil"/>
              <w:left w:val="nil"/>
              <w:bottom w:val="single" w:sz="4" w:space="0" w:color="auto"/>
              <w:right w:val="single" w:sz="4" w:space="0" w:color="auto"/>
            </w:tcBorders>
            <w:shd w:val="clear" w:color="000000" w:fill="DAF2D0"/>
            <w:noWrap/>
            <w:vAlign w:val="center"/>
            <w:hideMark/>
          </w:tcPr>
          <w:p w14:paraId="681A0E52"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56,900</w:t>
            </w:r>
          </w:p>
        </w:tc>
        <w:tc>
          <w:tcPr>
            <w:tcW w:w="845" w:type="dxa"/>
            <w:tcBorders>
              <w:top w:val="nil"/>
              <w:left w:val="nil"/>
              <w:bottom w:val="single" w:sz="4" w:space="0" w:color="auto"/>
              <w:right w:val="single" w:sz="4" w:space="0" w:color="auto"/>
            </w:tcBorders>
            <w:noWrap/>
            <w:vAlign w:val="center"/>
            <w:hideMark/>
          </w:tcPr>
          <w:p w14:paraId="4AA4449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28,600</w:t>
            </w:r>
          </w:p>
        </w:tc>
        <w:tc>
          <w:tcPr>
            <w:tcW w:w="851" w:type="dxa"/>
            <w:tcBorders>
              <w:top w:val="nil"/>
              <w:left w:val="nil"/>
              <w:bottom w:val="single" w:sz="4" w:space="0" w:color="auto"/>
              <w:right w:val="single" w:sz="4" w:space="0" w:color="auto"/>
            </w:tcBorders>
            <w:shd w:val="clear" w:color="000000" w:fill="DAE9F8"/>
            <w:noWrap/>
            <w:vAlign w:val="center"/>
            <w:hideMark/>
          </w:tcPr>
          <w:p w14:paraId="1AE75448"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30,400</w:t>
            </w:r>
          </w:p>
        </w:tc>
        <w:tc>
          <w:tcPr>
            <w:tcW w:w="850" w:type="dxa"/>
            <w:tcBorders>
              <w:top w:val="nil"/>
              <w:left w:val="nil"/>
              <w:bottom w:val="single" w:sz="4" w:space="0" w:color="auto"/>
              <w:right w:val="single" w:sz="4" w:space="0" w:color="auto"/>
            </w:tcBorders>
            <w:noWrap/>
            <w:vAlign w:val="center"/>
            <w:hideMark/>
          </w:tcPr>
          <w:p w14:paraId="37990D52"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34,900</w:t>
            </w:r>
          </w:p>
        </w:tc>
        <w:tc>
          <w:tcPr>
            <w:tcW w:w="851" w:type="dxa"/>
            <w:tcBorders>
              <w:top w:val="nil"/>
              <w:left w:val="nil"/>
              <w:bottom w:val="single" w:sz="4" w:space="0" w:color="auto"/>
              <w:right w:val="single" w:sz="4" w:space="0" w:color="auto"/>
            </w:tcBorders>
            <w:noWrap/>
            <w:vAlign w:val="center"/>
            <w:hideMark/>
          </w:tcPr>
          <w:p w14:paraId="05A0E15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59,200</w:t>
            </w:r>
          </w:p>
        </w:tc>
        <w:tc>
          <w:tcPr>
            <w:tcW w:w="855" w:type="dxa"/>
            <w:tcBorders>
              <w:top w:val="nil"/>
              <w:left w:val="nil"/>
              <w:bottom w:val="single" w:sz="4" w:space="0" w:color="auto"/>
              <w:right w:val="single" w:sz="4" w:space="0" w:color="auto"/>
            </w:tcBorders>
            <w:shd w:val="clear" w:color="000000" w:fill="DAE9F8"/>
            <w:noWrap/>
            <w:vAlign w:val="center"/>
            <w:hideMark/>
          </w:tcPr>
          <w:p w14:paraId="07F1F60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61,800</w:t>
            </w:r>
          </w:p>
        </w:tc>
        <w:tc>
          <w:tcPr>
            <w:tcW w:w="723" w:type="dxa"/>
            <w:tcBorders>
              <w:top w:val="nil"/>
              <w:left w:val="nil"/>
              <w:bottom w:val="single" w:sz="4" w:space="0" w:color="auto"/>
              <w:right w:val="single" w:sz="4" w:space="0" w:color="auto"/>
            </w:tcBorders>
            <w:noWrap/>
            <w:vAlign w:val="center"/>
            <w:hideMark/>
          </w:tcPr>
          <w:p w14:paraId="6877B365"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65,600</w:t>
            </w:r>
          </w:p>
        </w:tc>
      </w:tr>
      <w:tr w:rsidR="00711FE4" w:rsidRPr="00711FE4" w14:paraId="2B10769A" w14:textId="77777777" w:rsidTr="00366F04">
        <w:trPr>
          <w:trHeight w:val="249"/>
          <w:jc w:val="center"/>
        </w:trPr>
        <w:tc>
          <w:tcPr>
            <w:tcW w:w="2268" w:type="dxa"/>
            <w:tcBorders>
              <w:top w:val="nil"/>
              <w:left w:val="single" w:sz="4" w:space="0" w:color="auto"/>
              <w:bottom w:val="single" w:sz="4" w:space="0" w:color="auto"/>
              <w:right w:val="single" w:sz="4" w:space="0" w:color="auto"/>
            </w:tcBorders>
            <w:vAlign w:val="center"/>
            <w:hideMark/>
          </w:tcPr>
          <w:p w14:paraId="0FA23564" w14:textId="77777777" w:rsidR="00711FE4" w:rsidRPr="00711FE4" w:rsidRDefault="00711FE4" w:rsidP="00711FE4">
            <w:pPr>
              <w:spacing w:after="0" w:line="240" w:lineRule="auto"/>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Housing costs (unequivalised)</w:t>
            </w:r>
          </w:p>
        </w:tc>
        <w:tc>
          <w:tcPr>
            <w:tcW w:w="706" w:type="dxa"/>
            <w:tcBorders>
              <w:top w:val="nil"/>
              <w:left w:val="nil"/>
              <w:bottom w:val="single" w:sz="4" w:space="0" w:color="auto"/>
              <w:right w:val="single" w:sz="4" w:space="0" w:color="auto"/>
            </w:tcBorders>
            <w:vAlign w:val="center"/>
            <w:hideMark/>
          </w:tcPr>
          <w:p w14:paraId="5CE6E92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Mean</w:t>
            </w:r>
          </w:p>
        </w:tc>
        <w:tc>
          <w:tcPr>
            <w:tcW w:w="839" w:type="dxa"/>
            <w:tcBorders>
              <w:top w:val="nil"/>
              <w:left w:val="nil"/>
              <w:bottom w:val="single" w:sz="4" w:space="0" w:color="auto"/>
              <w:right w:val="single" w:sz="4" w:space="0" w:color="auto"/>
            </w:tcBorders>
            <w:shd w:val="clear" w:color="000000" w:fill="DAF2D0"/>
            <w:noWrap/>
            <w:vAlign w:val="center"/>
            <w:hideMark/>
          </w:tcPr>
          <w:p w14:paraId="218BADB4"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32,600</w:t>
            </w:r>
          </w:p>
        </w:tc>
        <w:tc>
          <w:tcPr>
            <w:tcW w:w="845" w:type="dxa"/>
            <w:tcBorders>
              <w:top w:val="nil"/>
              <w:left w:val="nil"/>
              <w:bottom w:val="single" w:sz="4" w:space="0" w:color="auto"/>
              <w:right w:val="single" w:sz="4" w:space="0" w:color="auto"/>
            </w:tcBorders>
            <w:noWrap/>
            <w:vAlign w:val="center"/>
            <w:hideMark/>
          </w:tcPr>
          <w:p w14:paraId="069383C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22,000</w:t>
            </w:r>
          </w:p>
        </w:tc>
        <w:tc>
          <w:tcPr>
            <w:tcW w:w="851" w:type="dxa"/>
            <w:tcBorders>
              <w:top w:val="nil"/>
              <w:left w:val="nil"/>
              <w:bottom w:val="single" w:sz="4" w:space="0" w:color="auto"/>
              <w:right w:val="single" w:sz="4" w:space="0" w:color="auto"/>
            </w:tcBorders>
            <w:shd w:val="clear" w:color="000000" w:fill="DAE9F8"/>
            <w:noWrap/>
            <w:vAlign w:val="center"/>
            <w:hideMark/>
          </w:tcPr>
          <w:p w14:paraId="6432EAF1"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22,700</w:t>
            </w:r>
          </w:p>
        </w:tc>
        <w:tc>
          <w:tcPr>
            <w:tcW w:w="850" w:type="dxa"/>
            <w:tcBorders>
              <w:top w:val="nil"/>
              <w:left w:val="nil"/>
              <w:bottom w:val="single" w:sz="4" w:space="0" w:color="auto"/>
              <w:right w:val="single" w:sz="4" w:space="0" w:color="auto"/>
            </w:tcBorders>
            <w:noWrap/>
            <w:vAlign w:val="center"/>
            <w:hideMark/>
          </w:tcPr>
          <w:p w14:paraId="106BF93E"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23,800</w:t>
            </w:r>
          </w:p>
        </w:tc>
        <w:tc>
          <w:tcPr>
            <w:tcW w:w="851" w:type="dxa"/>
            <w:tcBorders>
              <w:top w:val="nil"/>
              <w:left w:val="nil"/>
              <w:bottom w:val="single" w:sz="4" w:space="0" w:color="auto"/>
              <w:right w:val="single" w:sz="4" w:space="0" w:color="auto"/>
            </w:tcBorders>
            <w:noWrap/>
            <w:vAlign w:val="center"/>
            <w:hideMark/>
          </w:tcPr>
          <w:p w14:paraId="19458343"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33,400</w:t>
            </w:r>
          </w:p>
        </w:tc>
        <w:tc>
          <w:tcPr>
            <w:tcW w:w="855" w:type="dxa"/>
            <w:tcBorders>
              <w:top w:val="nil"/>
              <w:left w:val="nil"/>
              <w:bottom w:val="single" w:sz="4" w:space="0" w:color="auto"/>
              <w:right w:val="single" w:sz="4" w:space="0" w:color="auto"/>
            </w:tcBorders>
            <w:shd w:val="clear" w:color="000000" w:fill="DAE9F8"/>
            <w:noWrap/>
            <w:vAlign w:val="center"/>
            <w:hideMark/>
          </w:tcPr>
          <w:p w14:paraId="1AC95C9C" w14:textId="77777777" w:rsidR="00711FE4" w:rsidRPr="00711FE4" w:rsidRDefault="00711FE4" w:rsidP="00711FE4">
            <w:pPr>
              <w:spacing w:after="0" w:line="240" w:lineRule="auto"/>
              <w:jc w:val="center"/>
              <w:rPr>
                <w:rFonts w:ascii="Arial Mäori" w:eastAsia="Times New Roman" w:hAnsi="Arial Mäori" w:cs="Times New Roman"/>
                <w:b/>
                <w:bCs/>
                <w:color w:val="000000"/>
                <w:sz w:val="14"/>
                <w:szCs w:val="14"/>
                <w:lang w:eastAsia="en-NZ"/>
              </w:rPr>
            </w:pPr>
            <w:r w:rsidRPr="00711FE4">
              <w:rPr>
                <w:rFonts w:ascii="Arial Mäori" w:eastAsia="Times New Roman" w:hAnsi="Arial Mäori" w:cs="Times New Roman"/>
                <w:b/>
                <w:bCs/>
                <w:color w:val="000000"/>
                <w:sz w:val="14"/>
                <w:szCs w:val="14"/>
                <w:lang w:eastAsia="en-NZ"/>
              </w:rPr>
              <w:t>34,500</w:t>
            </w:r>
          </w:p>
        </w:tc>
        <w:tc>
          <w:tcPr>
            <w:tcW w:w="723" w:type="dxa"/>
            <w:tcBorders>
              <w:top w:val="nil"/>
              <w:left w:val="nil"/>
              <w:bottom w:val="single" w:sz="4" w:space="0" w:color="auto"/>
              <w:right w:val="single" w:sz="4" w:space="0" w:color="auto"/>
            </w:tcBorders>
            <w:noWrap/>
            <w:vAlign w:val="center"/>
            <w:hideMark/>
          </w:tcPr>
          <w:p w14:paraId="39F29A2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eastAsia="en-NZ"/>
              </w:rPr>
            </w:pPr>
            <w:r w:rsidRPr="00711FE4">
              <w:rPr>
                <w:rFonts w:ascii="Arial Mäori" w:eastAsia="Times New Roman" w:hAnsi="Arial Mäori" w:cs="Times New Roman"/>
                <w:color w:val="000000"/>
                <w:sz w:val="14"/>
                <w:szCs w:val="14"/>
                <w:lang w:eastAsia="en-NZ"/>
              </w:rPr>
              <w:t>36,000</w:t>
            </w:r>
          </w:p>
        </w:tc>
      </w:tr>
    </w:tbl>
    <w:p w14:paraId="31A2C0C5" w14:textId="77777777" w:rsidR="00711FE4" w:rsidRPr="00711FE4" w:rsidRDefault="00711FE4" w:rsidP="00711FE4">
      <w:pPr>
        <w:spacing w:after="60"/>
        <w:rPr>
          <w:rFonts w:ascii="Arial" w:hAnsi="Arial"/>
          <w:b/>
          <w:bCs/>
          <w:color w:val="FF0000"/>
          <w:sz w:val="28"/>
          <w:szCs w:val="28"/>
        </w:rPr>
      </w:pPr>
      <w:r w:rsidRPr="00711FE4">
        <w:rPr>
          <w:rFonts w:ascii="Arial" w:hAnsi="Arial"/>
          <w:b/>
          <w:bCs/>
          <w:color w:val="000000"/>
          <w:sz w:val="28"/>
          <w:szCs w:val="28"/>
        </w:rPr>
        <w:br w:type="page"/>
      </w:r>
      <w:r w:rsidRPr="00711FE4">
        <w:rPr>
          <w:rFonts w:ascii="Arial" w:hAnsi="Arial"/>
          <w:b/>
          <w:bCs/>
          <w:color w:val="000000"/>
          <w:sz w:val="28"/>
          <w:szCs w:val="28"/>
        </w:rPr>
        <w:lastRenderedPageBreak/>
        <w:t xml:space="preserve">Appendix 7 </w:t>
      </w:r>
    </w:p>
    <w:p w14:paraId="4BCA22B4" w14:textId="77777777" w:rsidR="00711FE4" w:rsidRPr="00711FE4" w:rsidRDefault="00711FE4" w:rsidP="00711FE4">
      <w:pPr>
        <w:spacing w:after="60"/>
        <w:rPr>
          <w:rFonts w:ascii="Arial" w:hAnsi="Arial"/>
          <w:b/>
          <w:bCs/>
          <w:color w:val="000000" w:themeColor="text1"/>
          <w:sz w:val="24"/>
          <w:szCs w:val="24"/>
        </w:rPr>
      </w:pPr>
      <w:r w:rsidRPr="00711FE4">
        <w:rPr>
          <w:rFonts w:ascii="Arial" w:hAnsi="Arial"/>
          <w:b/>
          <w:bCs/>
          <w:color w:val="000000" w:themeColor="text1"/>
          <w:sz w:val="24"/>
          <w:szCs w:val="24"/>
        </w:rPr>
        <w:t>CPI inflation</w:t>
      </w:r>
    </w:p>
    <w:p w14:paraId="24A224C4" w14:textId="77777777" w:rsidR="00711FE4" w:rsidRPr="00711FE4" w:rsidRDefault="00711FE4" w:rsidP="00711FE4">
      <w:pPr>
        <w:spacing w:after="0" w:line="240" w:lineRule="auto"/>
        <w:jc w:val="center"/>
        <w:rPr>
          <w:rFonts w:ascii="Arial" w:hAnsi="Arial"/>
          <w:b/>
          <w:bCs/>
          <w:szCs w:val="20"/>
        </w:rPr>
      </w:pPr>
    </w:p>
    <w:p w14:paraId="7B6930B7" w14:textId="77777777" w:rsidR="00711FE4" w:rsidRPr="00711FE4" w:rsidRDefault="00711FE4" w:rsidP="00711FE4">
      <w:pPr>
        <w:spacing w:after="0" w:line="240" w:lineRule="auto"/>
        <w:rPr>
          <w:rFonts w:ascii="Arial" w:hAnsi="Arial"/>
          <w:color w:val="000000" w:themeColor="text1"/>
          <w:szCs w:val="20"/>
        </w:rPr>
      </w:pPr>
      <w:r w:rsidRPr="00711FE4">
        <w:rPr>
          <w:rFonts w:ascii="Arial" w:hAnsi="Arial"/>
          <w:b/>
          <w:bCs/>
          <w:color w:val="000000" w:themeColor="text1"/>
          <w:szCs w:val="20"/>
        </w:rPr>
        <w:t>Figure 7.1</w:t>
      </w:r>
      <w:r w:rsidRPr="00711FE4">
        <w:rPr>
          <w:rFonts w:ascii="Arial" w:hAnsi="Arial"/>
          <w:color w:val="000000" w:themeColor="text1"/>
          <w:szCs w:val="20"/>
        </w:rPr>
        <w:t xml:space="preserve"> shows the annual % change in the CPI from the same quarter in the previous year, for each quarter up to December 2025. The latest income data used in the report is from June 2025 </w:t>
      </w:r>
      <w:r w:rsidRPr="00711FE4">
        <w:rPr>
          <w:rFonts w:ascii="Arial" w:eastAsia="Times New Roman" w:hAnsi="Arial"/>
          <w:iCs/>
          <w:color w:val="000000"/>
          <w:kern w:val="32"/>
          <w:szCs w:val="20"/>
        </w:rPr>
        <w:t>–</w:t>
      </w:r>
      <w:r w:rsidRPr="00711FE4">
        <w:rPr>
          <w:rFonts w:ascii="Arial" w:hAnsi="Arial"/>
          <w:color w:val="000000" w:themeColor="text1"/>
          <w:szCs w:val="20"/>
        </w:rPr>
        <w:t xml:space="preserve"> the CPI information in the chart goes beyond that end point.</w:t>
      </w:r>
    </w:p>
    <w:p w14:paraId="0D7EE18E" w14:textId="77777777" w:rsidR="00711FE4" w:rsidRPr="00711FE4" w:rsidRDefault="00711FE4" w:rsidP="00711FE4">
      <w:pPr>
        <w:spacing w:after="0" w:line="240" w:lineRule="auto"/>
        <w:rPr>
          <w:rFonts w:ascii="Arial" w:hAnsi="Arial"/>
          <w:color w:val="FF0000"/>
          <w:szCs w:val="20"/>
        </w:rPr>
      </w:pPr>
    </w:p>
    <w:p w14:paraId="579FCED7" w14:textId="77777777" w:rsidR="00711FE4" w:rsidRPr="00711FE4" w:rsidRDefault="00711FE4" w:rsidP="00711FE4">
      <w:pPr>
        <w:spacing w:after="0" w:line="240" w:lineRule="auto"/>
        <w:jc w:val="center"/>
        <w:rPr>
          <w:rFonts w:ascii="Arial" w:hAnsi="Arial"/>
          <w:b/>
          <w:bCs/>
          <w:color w:val="000000" w:themeColor="text1"/>
          <w:sz w:val="18"/>
          <w:szCs w:val="18"/>
        </w:rPr>
      </w:pPr>
      <w:r w:rsidRPr="00711FE4">
        <w:rPr>
          <w:rFonts w:ascii="Arial" w:hAnsi="Arial"/>
          <w:b/>
          <w:bCs/>
          <w:color w:val="000000" w:themeColor="text1"/>
          <w:sz w:val="18"/>
          <w:szCs w:val="18"/>
        </w:rPr>
        <w:t>Figure 7.1</w:t>
      </w:r>
    </w:p>
    <w:p w14:paraId="28CEE82C" w14:textId="77777777" w:rsidR="00711FE4" w:rsidRPr="00711FE4" w:rsidRDefault="00711FE4" w:rsidP="00711FE4">
      <w:pPr>
        <w:spacing w:after="0" w:line="240" w:lineRule="auto"/>
        <w:jc w:val="center"/>
        <w:rPr>
          <w:rFonts w:ascii="Arial" w:hAnsi="Arial"/>
          <w:b/>
          <w:bCs/>
          <w:color w:val="000000" w:themeColor="text1"/>
          <w:sz w:val="18"/>
          <w:szCs w:val="18"/>
        </w:rPr>
      </w:pPr>
      <w:r w:rsidRPr="00711FE4">
        <w:rPr>
          <w:noProof/>
        </w:rPr>
        <w:drawing>
          <wp:anchor distT="0" distB="0" distL="114300" distR="114300" simplePos="0" relativeHeight="253187072" behindDoc="0" locked="0" layoutInCell="1" allowOverlap="1" wp14:anchorId="3C189CFF" wp14:editId="174BA98F">
            <wp:simplePos x="0" y="0"/>
            <wp:positionH relativeFrom="margin">
              <wp:align>center</wp:align>
            </wp:positionH>
            <wp:positionV relativeFrom="paragraph">
              <wp:posOffset>212725</wp:posOffset>
            </wp:positionV>
            <wp:extent cx="3119755" cy="2035810"/>
            <wp:effectExtent l="0" t="0" r="4445" b="2540"/>
            <wp:wrapTopAndBottom/>
            <wp:docPr id="55899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91003"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119755" cy="2035810"/>
                    </a:xfrm>
                    <a:prstGeom prst="rect">
                      <a:avLst/>
                    </a:prstGeom>
                  </pic:spPr>
                </pic:pic>
              </a:graphicData>
            </a:graphic>
            <wp14:sizeRelH relativeFrom="page">
              <wp14:pctWidth>0</wp14:pctWidth>
            </wp14:sizeRelH>
            <wp14:sizeRelV relativeFrom="page">
              <wp14:pctHeight>0</wp14:pctHeight>
            </wp14:sizeRelV>
          </wp:anchor>
        </w:drawing>
      </w:r>
      <w:r w:rsidRPr="00711FE4">
        <w:rPr>
          <w:rFonts w:ascii="Arial" w:hAnsi="Arial"/>
          <w:b/>
          <w:bCs/>
          <w:color w:val="000000" w:themeColor="text1"/>
          <w:sz w:val="18"/>
          <w:szCs w:val="18"/>
        </w:rPr>
        <w:t>Annual % change in CPI (All Groups) from the same quarter in the previous year, 2004 to 2025</w:t>
      </w:r>
    </w:p>
    <w:p w14:paraId="24ADA033" w14:textId="77777777" w:rsidR="00711FE4" w:rsidRPr="00711FE4" w:rsidRDefault="00711FE4" w:rsidP="00711FE4">
      <w:pPr>
        <w:spacing w:before="120" w:after="0" w:line="240" w:lineRule="auto"/>
        <w:ind w:left="2126"/>
        <w:rPr>
          <w:rFonts w:ascii="Arial" w:hAnsi="Arial"/>
          <w:color w:val="000000" w:themeColor="text1"/>
          <w:sz w:val="16"/>
          <w:szCs w:val="16"/>
        </w:rPr>
      </w:pPr>
      <w:r w:rsidRPr="00711FE4">
        <w:rPr>
          <w:rFonts w:ascii="Arial" w:hAnsi="Arial"/>
          <w:color w:val="000000" w:themeColor="text1"/>
          <w:sz w:val="16"/>
          <w:szCs w:val="16"/>
        </w:rPr>
        <w:t>Source: Stats NZ CPIQ-SE9A</w:t>
      </w:r>
    </w:p>
    <w:p w14:paraId="33E7918E" w14:textId="77777777" w:rsidR="00711FE4" w:rsidRPr="00711FE4" w:rsidRDefault="00711FE4" w:rsidP="00711FE4">
      <w:pPr>
        <w:spacing w:after="0" w:line="240" w:lineRule="auto"/>
        <w:jc w:val="center"/>
        <w:rPr>
          <w:rFonts w:ascii="Arial" w:hAnsi="Arial"/>
          <w:b/>
          <w:bCs/>
          <w:sz w:val="18"/>
          <w:szCs w:val="18"/>
        </w:rPr>
      </w:pPr>
    </w:p>
    <w:p w14:paraId="55C7C3EF" w14:textId="77777777" w:rsidR="00711FE4" w:rsidRPr="00711FE4" w:rsidRDefault="00711FE4" w:rsidP="00711FE4">
      <w:pPr>
        <w:spacing w:line="240" w:lineRule="auto"/>
        <w:rPr>
          <w:rFonts w:ascii="Arial" w:hAnsi="Arial"/>
          <w:color w:val="000000" w:themeColor="text1"/>
          <w:szCs w:val="20"/>
        </w:rPr>
      </w:pPr>
      <w:r w:rsidRPr="00711FE4">
        <w:rPr>
          <w:rFonts w:ascii="Arial" w:hAnsi="Arial"/>
          <w:color w:val="000000" w:themeColor="text1"/>
          <w:szCs w:val="20"/>
        </w:rPr>
        <w:t xml:space="preserve">Even when overall CPI inflation falls to a lower 3-4% pa rate, inflation for core essentials such as food and energy can still remain high or be rising quickly in the short-term (see </w:t>
      </w:r>
      <w:r w:rsidRPr="00711FE4">
        <w:rPr>
          <w:rFonts w:ascii="Arial" w:hAnsi="Arial"/>
          <w:b/>
          <w:bCs/>
          <w:color w:val="000000" w:themeColor="text1"/>
          <w:szCs w:val="20"/>
        </w:rPr>
        <w:t>Figure 7.2</w:t>
      </w:r>
      <w:r w:rsidRPr="00711FE4">
        <w:rPr>
          <w:rFonts w:ascii="Arial" w:hAnsi="Arial"/>
          <w:color w:val="000000" w:themeColor="text1"/>
          <w:szCs w:val="20"/>
        </w:rPr>
        <w:t xml:space="preserve">). This means that trends in real CPI-adjusted incomes can under-estimate the short-run impact of inflation on lower-income households compared with middle-to-higher-income households as the former spend a higher proportion of their income on essentials. </w:t>
      </w:r>
    </w:p>
    <w:p w14:paraId="6BB48F5F" w14:textId="5728F0BA" w:rsidR="00711FE4" w:rsidRPr="00711FE4" w:rsidRDefault="00711FE4" w:rsidP="00711FE4">
      <w:pPr>
        <w:spacing w:after="0" w:line="240" w:lineRule="auto"/>
        <w:jc w:val="center"/>
        <w:rPr>
          <w:rFonts w:ascii="Arial" w:hAnsi="Arial"/>
          <w:b/>
          <w:bCs/>
          <w:sz w:val="18"/>
          <w:szCs w:val="18"/>
        </w:rPr>
      </w:pPr>
      <w:r w:rsidRPr="00711FE4">
        <w:rPr>
          <w:rFonts w:ascii="Arial" w:hAnsi="Arial"/>
          <w:b/>
          <w:bCs/>
          <w:sz w:val="18"/>
          <w:szCs w:val="18"/>
        </w:rPr>
        <w:t>Figure 7.2</w:t>
      </w:r>
    </w:p>
    <w:p w14:paraId="08ED30C4" w14:textId="77777777" w:rsidR="00711FE4" w:rsidRPr="00711FE4" w:rsidRDefault="00711FE4" w:rsidP="00711FE4">
      <w:pPr>
        <w:spacing w:after="0" w:line="240" w:lineRule="auto"/>
        <w:jc w:val="center"/>
        <w:rPr>
          <w:rFonts w:ascii="Arial" w:hAnsi="Arial"/>
          <w:b/>
          <w:bCs/>
          <w:color w:val="000000" w:themeColor="text1"/>
          <w:sz w:val="18"/>
          <w:szCs w:val="18"/>
        </w:rPr>
      </w:pPr>
      <w:r w:rsidRPr="00711FE4">
        <w:rPr>
          <w:rFonts w:ascii="Arial" w:hAnsi="Arial"/>
          <w:b/>
          <w:bCs/>
          <w:color w:val="000000" w:themeColor="text1"/>
          <w:sz w:val="18"/>
          <w:szCs w:val="18"/>
        </w:rPr>
        <w:t>Annual % change in CPI from the same quarter in the previous year, 2018 to 2025</w:t>
      </w:r>
    </w:p>
    <w:p w14:paraId="0E748F6C" w14:textId="77777777" w:rsidR="00711FE4" w:rsidRPr="00711FE4" w:rsidRDefault="00711FE4" w:rsidP="00711FE4">
      <w:pPr>
        <w:spacing w:after="0" w:line="240" w:lineRule="auto"/>
        <w:jc w:val="center"/>
        <w:rPr>
          <w:rFonts w:ascii="Arial" w:hAnsi="Arial"/>
          <w:b/>
          <w:bCs/>
          <w:sz w:val="18"/>
          <w:szCs w:val="18"/>
        </w:rPr>
      </w:pPr>
      <w:r w:rsidRPr="00711FE4">
        <w:rPr>
          <w:noProof/>
        </w:rPr>
        <w:drawing>
          <wp:anchor distT="0" distB="0" distL="114300" distR="114300" simplePos="0" relativeHeight="253185024" behindDoc="0" locked="0" layoutInCell="1" allowOverlap="1" wp14:anchorId="4CB496AF" wp14:editId="5799ECDD">
            <wp:simplePos x="0" y="0"/>
            <wp:positionH relativeFrom="margin">
              <wp:posOffset>1104900</wp:posOffset>
            </wp:positionH>
            <wp:positionV relativeFrom="paragraph">
              <wp:posOffset>187325</wp:posOffset>
            </wp:positionV>
            <wp:extent cx="3302000" cy="1999615"/>
            <wp:effectExtent l="0" t="0" r="0" b="635"/>
            <wp:wrapTopAndBottom/>
            <wp:docPr id="1445101448" name="Picture 1" descr="A graph of 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01448" name="Picture 1" descr="A graph of a graph with numbers and a line&#10;&#10;AI-generated content may be incorrect."/>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302000" cy="1999615"/>
                    </a:xfrm>
                    <a:prstGeom prst="rect">
                      <a:avLst/>
                    </a:prstGeom>
                  </pic:spPr>
                </pic:pic>
              </a:graphicData>
            </a:graphic>
            <wp14:sizeRelH relativeFrom="page">
              <wp14:pctWidth>0</wp14:pctWidth>
            </wp14:sizeRelH>
            <wp14:sizeRelV relativeFrom="page">
              <wp14:pctHeight>0</wp14:pctHeight>
            </wp14:sizeRelV>
          </wp:anchor>
        </w:drawing>
      </w:r>
      <w:r w:rsidRPr="00711FE4">
        <w:rPr>
          <w:rFonts w:ascii="Arial" w:hAnsi="Arial"/>
          <w:b/>
          <w:bCs/>
          <w:sz w:val="18"/>
          <w:szCs w:val="18"/>
        </w:rPr>
        <w:t>All Groups, food and electricity</w:t>
      </w:r>
    </w:p>
    <w:p w14:paraId="28AEC8E6" w14:textId="77777777" w:rsidR="00711FE4" w:rsidRPr="00711FE4" w:rsidRDefault="00711FE4" w:rsidP="00711FE4">
      <w:pPr>
        <w:spacing w:after="0" w:line="240" w:lineRule="auto"/>
        <w:jc w:val="center"/>
        <w:rPr>
          <w:rFonts w:ascii="Arial" w:hAnsi="Arial"/>
          <w:b/>
          <w:bCs/>
          <w:sz w:val="18"/>
          <w:szCs w:val="18"/>
        </w:rPr>
      </w:pPr>
    </w:p>
    <w:p w14:paraId="545DEEE7" w14:textId="77777777" w:rsidR="00711FE4" w:rsidRPr="00711FE4" w:rsidRDefault="00711FE4" w:rsidP="00711FE4">
      <w:pPr>
        <w:spacing w:after="0" w:line="240" w:lineRule="auto"/>
        <w:rPr>
          <w:rFonts w:ascii="Arial" w:hAnsi="Arial"/>
          <w:color w:val="000000" w:themeColor="text1"/>
          <w:szCs w:val="20"/>
        </w:rPr>
      </w:pPr>
      <w:r w:rsidRPr="00711FE4">
        <w:rPr>
          <w:rFonts w:ascii="Arial" w:hAnsi="Arial"/>
          <w:color w:val="000000" w:themeColor="text1"/>
          <w:szCs w:val="20"/>
        </w:rPr>
        <w:t xml:space="preserve">There are many households that are ‘just getting by’ (low financial resilience) … and who do not appear in the material hardship or in the low-income groups we normally report on. It only takes a modest unexpected / unplanned-for expense or rapid increase in costs for basics to put such households into a ‘not making ends meet’ group. This can happen for both ‘working’ and ‘beneficiary’ households. </w:t>
      </w:r>
    </w:p>
    <w:p w14:paraId="32A2FB78" w14:textId="77777777" w:rsidR="00711FE4" w:rsidRPr="00711FE4" w:rsidRDefault="00711FE4" w:rsidP="00711FE4">
      <w:pPr>
        <w:spacing w:after="0" w:line="240" w:lineRule="auto"/>
        <w:rPr>
          <w:rFonts w:ascii="Arial" w:hAnsi="Arial"/>
          <w:b/>
          <w:color w:val="000000" w:themeColor="text1"/>
          <w:sz w:val="28"/>
          <w:szCs w:val="28"/>
        </w:rPr>
      </w:pPr>
    </w:p>
    <w:p w14:paraId="3196057C" w14:textId="77777777" w:rsidR="00711FE4" w:rsidRPr="00711FE4" w:rsidRDefault="00711FE4" w:rsidP="00711FE4">
      <w:pPr>
        <w:spacing w:after="0" w:line="240" w:lineRule="auto"/>
        <w:rPr>
          <w:rFonts w:ascii="Arial" w:hAnsi="Arial"/>
          <w:b/>
          <w:color w:val="000000" w:themeColor="text1"/>
          <w:sz w:val="28"/>
          <w:szCs w:val="28"/>
        </w:rPr>
      </w:pPr>
    </w:p>
    <w:p w14:paraId="635D262F" w14:textId="77777777" w:rsidR="00711FE4" w:rsidRPr="00711FE4" w:rsidRDefault="00711FE4" w:rsidP="00711FE4">
      <w:pPr>
        <w:spacing w:after="0" w:line="240" w:lineRule="auto"/>
        <w:rPr>
          <w:rFonts w:ascii="Arial" w:hAnsi="Arial"/>
          <w:b/>
          <w:color w:val="000000" w:themeColor="text1"/>
          <w:sz w:val="28"/>
          <w:szCs w:val="28"/>
        </w:rPr>
      </w:pPr>
      <w:r w:rsidRPr="00711FE4">
        <w:rPr>
          <w:rFonts w:ascii="Arial" w:hAnsi="Arial"/>
          <w:b/>
          <w:color w:val="000000" w:themeColor="text1"/>
          <w:sz w:val="28"/>
          <w:szCs w:val="28"/>
        </w:rPr>
        <w:br w:type="page"/>
      </w:r>
    </w:p>
    <w:p w14:paraId="078EC580" w14:textId="77777777" w:rsidR="00711FE4" w:rsidRPr="00711FE4" w:rsidRDefault="00711FE4" w:rsidP="00711FE4">
      <w:pPr>
        <w:spacing w:after="60" w:line="240" w:lineRule="auto"/>
        <w:rPr>
          <w:rFonts w:ascii="Arial" w:hAnsi="Arial"/>
          <w:b/>
          <w:color w:val="000000" w:themeColor="text1"/>
          <w:sz w:val="28"/>
          <w:szCs w:val="28"/>
        </w:rPr>
      </w:pPr>
      <w:r w:rsidRPr="00711FE4">
        <w:rPr>
          <w:rFonts w:ascii="Arial" w:hAnsi="Arial"/>
          <w:b/>
          <w:color w:val="000000" w:themeColor="text1"/>
          <w:sz w:val="28"/>
          <w:szCs w:val="28"/>
        </w:rPr>
        <w:lastRenderedPageBreak/>
        <w:t xml:space="preserve">Appendix 8 </w:t>
      </w:r>
    </w:p>
    <w:p w14:paraId="0B3B6C9C" w14:textId="3300D1D5" w:rsidR="00711FE4" w:rsidRPr="00711FE4" w:rsidRDefault="00711FE4" w:rsidP="00711FE4">
      <w:pPr>
        <w:spacing w:after="0" w:line="240" w:lineRule="auto"/>
        <w:rPr>
          <w:rFonts w:ascii="Arial" w:hAnsi="Arial"/>
          <w:b/>
          <w:color w:val="FF0000"/>
          <w:sz w:val="18"/>
          <w:szCs w:val="18"/>
        </w:rPr>
      </w:pPr>
      <w:r w:rsidRPr="00711FE4">
        <w:rPr>
          <w:rFonts w:ascii="Arial" w:hAnsi="Arial"/>
          <w:b/>
          <w:color w:val="000000" w:themeColor="text1"/>
          <w:sz w:val="24"/>
          <w:szCs w:val="24"/>
        </w:rPr>
        <w:t>Equivalised disposable household income</w:t>
      </w:r>
    </w:p>
    <w:p w14:paraId="01C25D7D" w14:textId="77777777" w:rsidR="00711FE4" w:rsidRPr="00711FE4" w:rsidRDefault="00711FE4" w:rsidP="00711FE4">
      <w:pPr>
        <w:spacing w:after="0" w:line="240" w:lineRule="auto"/>
        <w:jc w:val="both"/>
        <w:rPr>
          <w:rFonts w:ascii="Arial" w:eastAsia="Times New Roman" w:hAnsi="Arial"/>
          <w:lang w:val="en-GB"/>
        </w:rPr>
      </w:pPr>
    </w:p>
    <w:p w14:paraId="18893C76" w14:textId="77777777" w:rsidR="00711FE4" w:rsidRPr="00711FE4" w:rsidRDefault="00711FE4" w:rsidP="00711FE4">
      <w:pPr>
        <w:spacing w:after="0" w:line="240" w:lineRule="auto"/>
        <w:jc w:val="both"/>
        <w:rPr>
          <w:rFonts w:ascii="Arial" w:eastAsia="Times New Roman" w:hAnsi="Arial"/>
          <w:lang w:val="en-GB"/>
        </w:rPr>
      </w:pPr>
      <w:r w:rsidRPr="00711FE4">
        <w:rPr>
          <w:rFonts w:ascii="Arial" w:eastAsia="Times New Roman" w:hAnsi="Arial"/>
          <w:lang w:val="en-GB"/>
        </w:rPr>
        <w:t xml:space="preserve">Most of the income analysis in this report uses ‘equivalised disposable household income’. </w:t>
      </w:r>
    </w:p>
    <w:p w14:paraId="63E12940" w14:textId="77777777" w:rsidR="00711FE4" w:rsidRPr="00711FE4" w:rsidRDefault="00711FE4" w:rsidP="00711FE4">
      <w:pPr>
        <w:spacing w:after="0" w:line="240" w:lineRule="auto"/>
        <w:jc w:val="both"/>
        <w:rPr>
          <w:rFonts w:ascii="Arial" w:eastAsia="Times New Roman" w:hAnsi="Arial"/>
          <w:lang w:val="en-GB"/>
        </w:rPr>
      </w:pPr>
    </w:p>
    <w:p w14:paraId="4FF85770" w14:textId="77777777" w:rsidR="00711FE4" w:rsidRPr="00711FE4" w:rsidRDefault="00711FE4" w:rsidP="00711FE4">
      <w:pPr>
        <w:spacing w:after="0" w:line="240" w:lineRule="auto"/>
        <w:jc w:val="both"/>
        <w:rPr>
          <w:rFonts w:ascii="Arial" w:eastAsia="Times New Roman" w:hAnsi="Arial"/>
          <w:lang w:val="en-GB"/>
        </w:rPr>
      </w:pPr>
      <w:r w:rsidRPr="00711FE4">
        <w:rPr>
          <w:rFonts w:ascii="Arial" w:eastAsia="Times New Roman" w:hAnsi="Arial"/>
          <w:lang w:val="en-GB"/>
        </w:rPr>
        <w:t xml:space="preserve">Disposable household income is the total from all household members from all sources </w:t>
      </w:r>
      <w:r w:rsidRPr="00711FE4">
        <w:rPr>
          <w:rFonts w:ascii="Arial" w:eastAsia="Times New Roman" w:hAnsi="Arial"/>
          <w:i/>
          <w:iCs/>
          <w:lang w:val="en-GB"/>
        </w:rPr>
        <w:t>less</w:t>
      </w:r>
      <w:r w:rsidRPr="00711FE4">
        <w:rPr>
          <w:rFonts w:ascii="Arial" w:eastAsia="Times New Roman" w:hAnsi="Arial"/>
          <w:lang w:val="en-GB"/>
        </w:rPr>
        <w:t xml:space="preserve"> income tax. ‘Disposable’ does not mean ‘discretionary’ in this report.</w:t>
      </w:r>
    </w:p>
    <w:p w14:paraId="053F3FB4" w14:textId="77777777" w:rsidR="00711FE4" w:rsidRPr="00711FE4" w:rsidRDefault="00711FE4" w:rsidP="00711FE4">
      <w:pPr>
        <w:spacing w:after="0" w:line="240" w:lineRule="auto"/>
        <w:jc w:val="both"/>
        <w:rPr>
          <w:rFonts w:ascii="Arial" w:eastAsia="Times New Roman" w:hAnsi="Arial"/>
          <w:lang w:val="en-GB"/>
        </w:rPr>
      </w:pPr>
    </w:p>
    <w:p w14:paraId="667B91F6" w14:textId="77777777" w:rsidR="00711FE4" w:rsidRPr="00711FE4" w:rsidRDefault="00711FE4" w:rsidP="00711FE4">
      <w:pPr>
        <w:spacing w:after="0" w:line="240" w:lineRule="auto"/>
        <w:jc w:val="both"/>
        <w:rPr>
          <w:rFonts w:ascii="Arial" w:eastAsia="Times New Roman" w:hAnsi="Arial"/>
          <w:lang w:val="en-GB"/>
        </w:rPr>
      </w:pPr>
      <w:r w:rsidRPr="00711FE4">
        <w:rPr>
          <w:rFonts w:ascii="Arial" w:eastAsia="Times New Roman" w:hAnsi="Arial"/>
          <w:lang w:val="en-GB"/>
        </w:rPr>
        <w:t>Equivalisation reflects the two common sense notions that:</w:t>
      </w:r>
    </w:p>
    <w:p w14:paraId="2D9B85B3" w14:textId="77777777" w:rsidR="00711FE4" w:rsidRPr="00711FE4" w:rsidRDefault="00711FE4">
      <w:pPr>
        <w:numPr>
          <w:ilvl w:val="0"/>
          <w:numId w:val="105"/>
        </w:numPr>
        <w:tabs>
          <w:tab w:val="num" w:pos="630"/>
        </w:tabs>
        <w:spacing w:before="60" w:after="0" w:line="240" w:lineRule="auto"/>
        <w:ind w:left="630" w:hanging="270"/>
        <w:jc w:val="both"/>
        <w:rPr>
          <w:rFonts w:ascii="Arial" w:eastAsia="Times New Roman" w:hAnsi="Arial"/>
          <w:lang w:val="en-GB"/>
        </w:rPr>
      </w:pPr>
      <w:r w:rsidRPr="00711FE4">
        <w:rPr>
          <w:rFonts w:ascii="Arial" w:eastAsia="Times New Roman" w:hAnsi="Arial"/>
          <w:lang w:val="en-GB"/>
        </w:rPr>
        <w:t>a larger household needs more income than a smaller household for the two households to have similar standards of living (all else being equal)</w:t>
      </w:r>
    </w:p>
    <w:p w14:paraId="4264FD1E" w14:textId="77777777" w:rsidR="00711FE4" w:rsidRPr="00711FE4" w:rsidRDefault="00711FE4">
      <w:pPr>
        <w:numPr>
          <w:ilvl w:val="0"/>
          <w:numId w:val="105"/>
        </w:numPr>
        <w:tabs>
          <w:tab w:val="num" w:pos="630"/>
        </w:tabs>
        <w:spacing w:before="60" w:after="0" w:line="240" w:lineRule="auto"/>
        <w:ind w:left="630" w:hanging="270"/>
        <w:jc w:val="both"/>
        <w:rPr>
          <w:rFonts w:ascii="Arial" w:eastAsia="Times New Roman" w:hAnsi="Arial"/>
          <w:lang w:val="en-GB"/>
        </w:rPr>
      </w:pPr>
      <w:r w:rsidRPr="00711FE4">
        <w:rPr>
          <w:rFonts w:ascii="Arial" w:eastAsia="Times New Roman" w:hAnsi="Arial"/>
          <w:lang w:val="en-GB"/>
        </w:rPr>
        <w:t xml:space="preserve">there are economies of scale as household size increases.  </w:t>
      </w:r>
    </w:p>
    <w:p w14:paraId="374F409D" w14:textId="77777777" w:rsidR="00711FE4" w:rsidRPr="00711FE4" w:rsidRDefault="00711FE4" w:rsidP="00711FE4">
      <w:pPr>
        <w:spacing w:after="0" w:line="240" w:lineRule="auto"/>
        <w:jc w:val="both"/>
        <w:rPr>
          <w:rFonts w:ascii="Arial" w:eastAsia="Times New Roman" w:hAnsi="Arial"/>
          <w:lang w:val="en-GB"/>
        </w:rPr>
      </w:pPr>
    </w:p>
    <w:p w14:paraId="766EA345" w14:textId="77777777" w:rsidR="00711FE4" w:rsidRPr="00711FE4" w:rsidRDefault="00711FE4" w:rsidP="00711FE4">
      <w:pPr>
        <w:spacing w:after="0" w:line="240" w:lineRule="auto"/>
        <w:jc w:val="both"/>
        <w:rPr>
          <w:rFonts w:ascii="Arial" w:eastAsia="Times New Roman" w:hAnsi="Arial"/>
          <w:i/>
          <w:u w:val="single"/>
          <w:lang w:val="en-GB"/>
        </w:rPr>
      </w:pPr>
      <w:r w:rsidRPr="00711FE4">
        <w:rPr>
          <w:rFonts w:ascii="Arial" w:eastAsia="Times New Roman" w:hAnsi="Arial"/>
          <w:lang w:val="en-GB"/>
        </w:rPr>
        <w:t>Most sets of equivalence ratios also assume that children cost less than adults. This assumption is contestable, as to a large extent it requires setting aside any consideration of opportunity costs for the adult who provides child-care for the children.</w:t>
      </w:r>
    </w:p>
    <w:p w14:paraId="0D7A7EE9" w14:textId="77777777" w:rsidR="00711FE4" w:rsidRPr="00711FE4" w:rsidRDefault="00711FE4" w:rsidP="00711FE4">
      <w:pPr>
        <w:spacing w:after="0" w:line="240" w:lineRule="auto"/>
        <w:jc w:val="both"/>
        <w:rPr>
          <w:rFonts w:ascii="Arial" w:eastAsia="Times New Roman" w:hAnsi="Arial"/>
          <w:lang w:val="en-GB"/>
        </w:rPr>
      </w:pPr>
    </w:p>
    <w:p w14:paraId="2F637967" w14:textId="77777777" w:rsidR="00711FE4" w:rsidRPr="00711FE4" w:rsidRDefault="00711FE4" w:rsidP="00711FE4">
      <w:pPr>
        <w:spacing w:after="0" w:line="240" w:lineRule="auto"/>
        <w:jc w:val="both"/>
        <w:rPr>
          <w:rFonts w:ascii="Arial" w:eastAsia="Times New Roman" w:hAnsi="Arial"/>
          <w:lang w:val="en-GB"/>
        </w:rPr>
      </w:pPr>
      <w:r w:rsidRPr="00711FE4">
        <w:rPr>
          <w:rFonts w:ascii="Arial" w:eastAsia="Times New Roman" w:hAnsi="Arial"/>
          <w:lang w:val="en-GB"/>
        </w:rPr>
        <w:t>Equivalising is a means of standardising household incomes in terms of household size and composition so that the relative material well-being of households of different sizes and compositions can be analysed.  The adjustment also makes comparisons over time more realistic because it takes into account the changes over time in the composition and average size of households.</w:t>
      </w:r>
    </w:p>
    <w:p w14:paraId="16352635" w14:textId="77777777" w:rsidR="00711FE4" w:rsidRPr="00711FE4" w:rsidRDefault="00711FE4" w:rsidP="00711FE4">
      <w:pPr>
        <w:spacing w:after="0" w:line="240" w:lineRule="auto"/>
        <w:jc w:val="both"/>
        <w:rPr>
          <w:rFonts w:ascii="Arial" w:eastAsia="Times New Roman" w:hAnsi="Arial"/>
          <w:lang w:val="en-GB"/>
        </w:rPr>
      </w:pPr>
    </w:p>
    <w:p w14:paraId="1007852A" w14:textId="77777777" w:rsidR="00711FE4" w:rsidRPr="00711FE4" w:rsidRDefault="00711FE4" w:rsidP="00711FE4">
      <w:pPr>
        <w:spacing w:after="0" w:line="240" w:lineRule="auto"/>
        <w:jc w:val="both"/>
        <w:rPr>
          <w:rFonts w:ascii="Arial" w:eastAsia="Times New Roman" w:hAnsi="Arial"/>
          <w:lang w:val="en-GB"/>
        </w:rPr>
      </w:pPr>
      <w:r w:rsidRPr="00711FE4">
        <w:rPr>
          <w:rFonts w:ascii="Arial" w:eastAsia="Times New Roman" w:hAnsi="Arial"/>
          <w:lang w:val="en-GB"/>
        </w:rPr>
        <w:t xml:space="preserve">While considerable research has been undertaken to try to estimate appropriate values for equivalence scales, no universally accepted ‘correct’ set of equivalence ratios has emerged, even when household size and composition are the only factors being considered.  </w:t>
      </w:r>
    </w:p>
    <w:p w14:paraId="0B8C61CB" w14:textId="77777777" w:rsidR="00711FE4" w:rsidRPr="00711FE4" w:rsidRDefault="00711FE4" w:rsidP="00711FE4">
      <w:pPr>
        <w:spacing w:after="0" w:line="240" w:lineRule="auto"/>
        <w:jc w:val="both"/>
        <w:rPr>
          <w:rFonts w:ascii="Arial" w:eastAsia="Times New Roman" w:hAnsi="Arial" w:cs="Times New Roman"/>
          <w:lang w:val="en-GB"/>
        </w:rPr>
      </w:pPr>
    </w:p>
    <w:p w14:paraId="239071CE" w14:textId="77777777" w:rsidR="00711FE4" w:rsidRPr="00711FE4" w:rsidRDefault="00711FE4" w:rsidP="00711FE4">
      <w:pPr>
        <w:spacing w:after="0" w:line="240" w:lineRule="auto"/>
        <w:jc w:val="both"/>
        <w:rPr>
          <w:rFonts w:ascii="Arial" w:eastAsia="Times New Roman" w:hAnsi="Arial" w:cs="Times New Roman"/>
          <w:lang w:val="en-GB"/>
        </w:rPr>
      </w:pPr>
      <w:r w:rsidRPr="00711FE4">
        <w:rPr>
          <w:rFonts w:ascii="Arial" w:eastAsia="Times New Roman" w:hAnsi="Arial" w:cs="Times New Roman"/>
          <w:lang w:val="en-GB"/>
        </w:rPr>
        <w:t xml:space="preserve">Ideally, equivalence scales would also take into account other factors such as the age of children, employment-related costs, the extra costs of disability, the differing costs faced by people in different geographical locations, the different ratios needed for households of the same type but with different incomes, and so on. Such considerations further complicate an already fraught estimation process and the common practice is to settle for simpler scales as a rough-and-ready but better-than-nothing approximation.  </w:t>
      </w:r>
    </w:p>
    <w:p w14:paraId="776AA321" w14:textId="77777777" w:rsidR="00711FE4" w:rsidRPr="00711FE4" w:rsidRDefault="00711FE4" w:rsidP="00711FE4">
      <w:pPr>
        <w:spacing w:after="0" w:line="240" w:lineRule="auto"/>
        <w:jc w:val="both"/>
        <w:rPr>
          <w:rFonts w:ascii="Arial" w:eastAsia="Times New Roman" w:hAnsi="Arial" w:cs="Times New Roman"/>
          <w:lang w:val="en-GB"/>
        </w:rPr>
      </w:pPr>
    </w:p>
    <w:p w14:paraId="51012B23" w14:textId="77777777" w:rsidR="00711FE4" w:rsidRPr="00711FE4" w:rsidRDefault="00711FE4" w:rsidP="00711FE4">
      <w:pPr>
        <w:spacing w:after="60" w:line="240" w:lineRule="auto"/>
        <w:jc w:val="both"/>
        <w:rPr>
          <w:rFonts w:ascii="Arial" w:eastAsia="Times New Roman" w:hAnsi="Arial" w:cs="Times New Roman"/>
          <w:lang w:val="en-GB"/>
        </w:rPr>
      </w:pPr>
      <w:r w:rsidRPr="00711FE4">
        <w:rPr>
          <w:rFonts w:ascii="Arial" w:eastAsia="Times New Roman" w:hAnsi="Arial" w:cs="Times New Roman"/>
          <w:lang w:val="en-GB"/>
        </w:rPr>
        <w:t>This report uses what has come to be known as the ‘modified OECD scale’. It is used by Eurostat, the Australian Bureau of Statistics, Stats NZ and many others:</w:t>
      </w:r>
      <w:r w:rsidRPr="00711FE4">
        <w:rPr>
          <w:rFonts w:ascii="Arial" w:eastAsia="Times New Roman" w:hAnsi="Arial" w:cs="Times New Roman"/>
          <w:vertAlign w:val="superscript"/>
          <w:lang w:val="en-GB"/>
        </w:rPr>
        <w:footnoteReference w:id="100"/>
      </w:r>
    </w:p>
    <w:p w14:paraId="34E0CB30" w14:textId="77777777" w:rsidR="00711FE4" w:rsidRPr="00711FE4" w:rsidRDefault="00711FE4">
      <w:pPr>
        <w:numPr>
          <w:ilvl w:val="0"/>
          <w:numId w:val="106"/>
        </w:numPr>
        <w:spacing w:after="60" w:line="240" w:lineRule="auto"/>
        <w:ind w:left="357" w:hanging="274"/>
        <w:outlineLvl w:val="1"/>
        <w:rPr>
          <w:rFonts w:ascii="Arial" w:hAnsi="Arial"/>
          <w:color w:val="000000"/>
          <w:szCs w:val="20"/>
        </w:rPr>
      </w:pPr>
      <w:r w:rsidRPr="00711FE4">
        <w:rPr>
          <w:rFonts w:ascii="Arial" w:hAnsi="Arial"/>
          <w:color w:val="000000"/>
          <w:szCs w:val="20"/>
        </w:rPr>
        <w:t xml:space="preserve">this scale uses a weight of 1.0 for the first adult, 0.5 for other household members aged 14+, and 0.3 for those aged 0-13 years  </w:t>
      </w:r>
    </w:p>
    <w:p w14:paraId="2EDFB260" w14:textId="77777777" w:rsidR="00711FE4" w:rsidRPr="00711FE4" w:rsidRDefault="00711FE4">
      <w:pPr>
        <w:numPr>
          <w:ilvl w:val="0"/>
          <w:numId w:val="106"/>
        </w:numPr>
        <w:spacing w:after="0" w:line="240" w:lineRule="auto"/>
        <w:ind w:left="357" w:hanging="270"/>
        <w:outlineLvl w:val="1"/>
        <w:rPr>
          <w:rFonts w:ascii="Arial" w:hAnsi="Arial"/>
          <w:color w:val="000000"/>
          <w:szCs w:val="20"/>
        </w:rPr>
      </w:pPr>
      <w:r w:rsidRPr="00711FE4">
        <w:rPr>
          <w:rFonts w:ascii="Arial" w:hAnsi="Arial"/>
          <w:color w:val="000000"/>
          <w:szCs w:val="20"/>
        </w:rPr>
        <w:t>a (2,3) household comprising 2 adults and 3 children with one aged 17 and 2 aged under 14 is allocated a weighting or scale value of 2.6 (1.0+0.5+0.5+0.3+0.3).</w:t>
      </w:r>
    </w:p>
    <w:p w14:paraId="56CAE0B8" w14:textId="77777777" w:rsidR="00711FE4" w:rsidRPr="00711FE4" w:rsidRDefault="00711FE4" w:rsidP="00711FE4">
      <w:pPr>
        <w:spacing w:after="0" w:line="240" w:lineRule="auto"/>
        <w:rPr>
          <w:rFonts w:ascii="Arial" w:hAnsi="Arial"/>
          <w:b/>
          <w:color w:val="000000" w:themeColor="text1"/>
          <w:sz w:val="32"/>
          <w:szCs w:val="32"/>
        </w:rPr>
      </w:pPr>
    </w:p>
    <w:p w14:paraId="401BD680" w14:textId="77777777" w:rsidR="00711FE4" w:rsidRPr="00711FE4" w:rsidRDefault="00711FE4" w:rsidP="00711FE4">
      <w:pPr>
        <w:spacing w:after="60" w:line="240" w:lineRule="auto"/>
        <w:rPr>
          <w:rFonts w:ascii="Arial" w:hAnsi="Arial"/>
          <w:bCs/>
          <w:color w:val="000000" w:themeColor="text1"/>
          <w:szCs w:val="20"/>
        </w:rPr>
      </w:pPr>
      <w:r w:rsidRPr="00711FE4">
        <w:rPr>
          <w:rFonts w:ascii="Arial" w:hAnsi="Arial"/>
          <w:bCs/>
          <w:color w:val="000000" w:themeColor="text1"/>
          <w:szCs w:val="20"/>
        </w:rPr>
        <w:t xml:space="preserve">The tables that follow give information on </w:t>
      </w:r>
      <w:r w:rsidRPr="00711FE4">
        <w:rPr>
          <w:rFonts w:ascii="Arial" w:hAnsi="Arial"/>
          <w:color w:val="000000" w:themeColor="text1"/>
          <w:szCs w:val="14"/>
        </w:rPr>
        <w:t>the conversion of unequivalised (‘ordinary’) dollars to equivalised dollars across low to middle equivalised income deciles (</w:t>
      </w:r>
      <w:r w:rsidRPr="00711FE4">
        <w:rPr>
          <w:rFonts w:ascii="Arial" w:hAnsi="Arial"/>
          <w:b/>
          <w:bCs/>
          <w:color w:val="000000" w:themeColor="text1"/>
          <w:szCs w:val="14"/>
        </w:rPr>
        <w:t>Tables 8.1 and 8.2</w:t>
      </w:r>
      <w:r w:rsidRPr="00711FE4">
        <w:rPr>
          <w:rFonts w:ascii="Arial" w:hAnsi="Arial"/>
          <w:color w:val="000000" w:themeColor="text1"/>
          <w:szCs w:val="14"/>
        </w:rPr>
        <w:t>).</w:t>
      </w:r>
    </w:p>
    <w:p w14:paraId="0700B64F" w14:textId="77777777" w:rsidR="00711FE4" w:rsidRPr="00711FE4" w:rsidRDefault="00711FE4" w:rsidP="00711FE4"/>
    <w:p w14:paraId="415EA4F4" w14:textId="77777777" w:rsidR="00711FE4" w:rsidRPr="00711FE4" w:rsidRDefault="00711FE4" w:rsidP="00711FE4"/>
    <w:bookmarkEnd w:id="30"/>
    <w:p w14:paraId="66EAFD94" w14:textId="77777777" w:rsidR="00711FE4" w:rsidRPr="00711FE4" w:rsidRDefault="00711FE4">
      <w:pPr>
        <w:numPr>
          <w:ilvl w:val="0"/>
          <w:numId w:val="107"/>
        </w:numPr>
        <w:spacing w:after="0" w:line="240" w:lineRule="auto"/>
        <w:contextualSpacing/>
        <w:rPr>
          <w:rFonts w:ascii="Arial" w:eastAsia="Times New Roman" w:hAnsi="Arial"/>
          <w:b/>
          <w:color w:val="000000"/>
          <w:sz w:val="18"/>
          <w:szCs w:val="20"/>
          <w:lang w:val="en-GB"/>
        </w:rPr>
      </w:pPr>
      <w:r w:rsidRPr="00711FE4">
        <w:rPr>
          <w:rFonts w:ascii="Arial" w:eastAsia="Times New Roman" w:hAnsi="Arial"/>
          <w:b/>
          <w:color w:val="000000"/>
          <w:sz w:val="18"/>
          <w:szCs w:val="20"/>
          <w:lang w:val="en-GB"/>
        </w:rPr>
        <w:br w:type="page"/>
      </w:r>
    </w:p>
    <w:p w14:paraId="36FC1754" w14:textId="69BF6654" w:rsidR="007B5B9D" w:rsidRPr="00773007" w:rsidRDefault="007B5B9D" w:rsidP="00773007">
      <w:pPr>
        <w:spacing w:after="0" w:line="240" w:lineRule="auto"/>
        <w:jc w:val="both"/>
        <w:rPr>
          <w:rFonts w:ascii="Arial" w:eastAsia="Times New Roman" w:hAnsi="Arial"/>
          <w:color w:val="000000" w:themeColor="text1"/>
          <w:lang w:val="en-GB"/>
        </w:rPr>
      </w:pPr>
      <w:r w:rsidRPr="00773007">
        <w:rPr>
          <w:rFonts w:ascii="Arial" w:eastAsia="Times New Roman" w:hAnsi="Arial"/>
          <w:b/>
          <w:color w:val="000000" w:themeColor="text1"/>
          <w:lang w:val="en-GB"/>
        </w:rPr>
        <w:lastRenderedPageBreak/>
        <w:t xml:space="preserve">Table 8.1 </w:t>
      </w:r>
      <w:r w:rsidRPr="00773007">
        <w:rPr>
          <w:rFonts w:ascii="Arial" w:eastAsia="Times New Roman" w:hAnsi="Arial"/>
          <w:color w:val="000000" w:themeColor="text1"/>
          <w:lang w:val="en-GB"/>
        </w:rPr>
        <w:t>provides look-up charts to convert equivalised dollars (dollars per equivalent adult) to ordinary dollars and vice versa for selected households. As the same equivalence scale is used for BHC and AHC incomes in this report, the one chart covers both BHC and AHC conversions.</w:t>
      </w:r>
    </w:p>
    <w:p w14:paraId="2F9D74E5" w14:textId="77777777" w:rsidR="007B5B9D" w:rsidRPr="007B5B9D" w:rsidRDefault="007B5B9D" w:rsidP="00F81A40">
      <w:pPr>
        <w:pStyle w:val="ListParagraph"/>
        <w:spacing w:after="0" w:line="240" w:lineRule="auto"/>
        <w:jc w:val="both"/>
        <w:rPr>
          <w:rFonts w:ascii="Arial" w:eastAsia="Times New Roman" w:hAnsi="Arial"/>
          <w:color w:val="000000" w:themeColor="text1"/>
          <w:lang w:val="en-GB"/>
        </w:rPr>
      </w:pPr>
    </w:p>
    <w:p w14:paraId="0017CE48" w14:textId="77777777" w:rsidR="007B5B9D" w:rsidRPr="00773007" w:rsidRDefault="007B5B9D" w:rsidP="00773007">
      <w:pPr>
        <w:spacing w:after="0" w:line="240" w:lineRule="auto"/>
        <w:jc w:val="both"/>
        <w:rPr>
          <w:rFonts w:ascii="Arial" w:eastAsia="Times New Roman" w:hAnsi="Arial"/>
          <w:color w:val="000000" w:themeColor="text1"/>
          <w:lang w:val="en-GB"/>
        </w:rPr>
      </w:pPr>
      <w:r w:rsidRPr="00773007">
        <w:rPr>
          <w:rFonts w:ascii="Arial" w:eastAsia="Times New Roman" w:hAnsi="Arial"/>
          <w:color w:val="000000" w:themeColor="text1"/>
          <w:lang w:val="en-GB"/>
        </w:rPr>
        <w:t xml:space="preserve">The first row of figures identifies the family or household type: (1,2) is a one adult, two child household, and so on. The second row gives the values of the equivalence ratios used. The body of the tables indicates, for example, that a (2,2) household needs around $52,500 to have the same purchasing power as a (1,1) household with an income of around $32,500. Each has an equivalised income of $25,000 (or, to put it another way, each household has an income of $25,000 per equivalent adult). </w:t>
      </w:r>
    </w:p>
    <w:p w14:paraId="77E775AF" w14:textId="77777777" w:rsidR="00711FE4" w:rsidRPr="00711FE4" w:rsidRDefault="00711FE4" w:rsidP="00711FE4">
      <w:pPr>
        <w:spacing w:after="0" w:line="240" w:lineRule="auto"/>
        <w:jc w:val="center"/>
        <w:rPr>
          <w:rFonts w:ascii="Arial" w:eastAsia="Times New Roman" w:hAnsi="Arial"/>
          <w:b/>
          <w:color w:val="000000"/>
          <w:sz w:val="18"/>
          <w:szCs w:val="20"/>
          <w:lang w:val="en-GB"/>
        </w:rPr>
      </w:pPr>
    </w:p>
    <w:p w14:paraId="059ABE01" w14:textId="3BCBB2C3" w:rsidR="00711FE4" w:rsidRPr="00711FE4" w:rsidRDefault="00711FE4" w:rsidP="00711FE4">
      <w:pPr>
        <w:spacing w:after="0" w:line="240" w:lineRule="auto"/>
        <w:jc w:val="center"/>
        <w:rPr>
          <w:rFonts w:ascii="Arial" w:eastAsia="Times New Roman" w:hAnsi="Arial"/>
          <w:b/>
          <w:color w:val="000000"/>
          <w:sz w:val="18"/>
          <w:szCs w:val="20"/>
          <w:lang w:val="en-GB"/>
        </w:rPr>
      </w:pPr>
      <w:r w:rsidRPr="00711FE4">
        <w:rPr>
          <w:rFonts w:ascii="Arial" w:eastAsia="Times New Roman" w:hAnsi="Arial"/>
          <w:b/>
          <w:color w:val="000000"/>
          <w:sz w:val="18"/>
          <w:szCs w:val="20"/>
          <w:lang w:val="en-GB"/>
        </w:rPr>
        <w:t>Table 8.1</w:t>
      </w:r>
    </w:p>
    <w:p w14:paraId="1C77D08E" w14:textId="77777777" w:rsidR="00711FE4" w:rsidRPr="00711FE4" w:rsidRDefault="00711FE4" w:rsidP="00711FE4">
      <w:pPr>
        <w:spacing w:line="240" w:lineRule="auto"/>
        <w:jc w:val="center"/>
        <w:rPr>
          <w:rFonts w:ascii="Arial" w:eastAsia="Times New Roman" w:hAnsi="Arial"/>
          <w:b/>
          <w:color w:val="000000"/>
          <w:sz w:val="18"/>
          <w:szCs w:val="20"/>
          <w:lang w:val="en-GB"/>
        </w:rPr>
      </w:pPr>
      <w:r w:rsidRPr="00711FE4">
        <w:rPr>
          <w:rFonts w:ascii="Arial" w:eastAsia="Times New Roman" w:hAnsi="Arial"/>
          <w:b/>
          <w:color w:val="000000"/>
          <w:sz w:val="18"/>
          <w:szCs w:val="20"/>
          <w:lang w:val="en-GB"/>
        </w:rPr>
        <w:t xml:space="preserve">Conversion of equivalised dollars to ordinary </w:t>
      </w:r>
      <w:r w:rsidRPr="00773007">
        <w:rPr>
          <w:rFonts w:ascii="Arial" w:eastAsia="Times New Roman" w:hAnsi="Arial"/>
          <w:b/>
          <w:color w:val="000000" w:themeColor="text1"/>
          <w:sz w:val="18"/>
          <w:szCs w:val="20"/>
          <w:lang w:val="en-GB"/>
        </w:rPr>
        <w:t>dollars (BHC and AHC)</w:t>
      </w:r>
    </w:p>
    <w:tbl>
      <w:tblPr>
        <w:tblW w:w="8599" w:type="dxa"/>
        <w:jc w:val="center"/>
        <w:tblLayout w:type="fixed"/>
        <w:tblLook w:val="0000" w:firstRow="0" w:lastRow="0" w:firstColumn="0" w:lastColumn="0" w:noHBand="0" w:noVBand="0"/>
      </w:tblPr>
      <w:tblGrid>
        <w:gridCol w:w="922"/>
        <w:gridCol w:w="767"/>
        <w:gridCol w:w="768"/>
        <w:gridCol w:w="768"/>
        <w:gridCol w:w="767"/>
        <w:gridCol w:w="768"/>
        <w:gridCol w:w="768"/>
        <w:gridCol w:w="767"/>
        <w:gridCol w:w="768"/>
        <w:gridCol w:w="768"/>
        <w:gridCol w:w="768"/>
      </w:tblGrid>
      <w:tr w:rsidR="00711FE4" w:rsidRPr="00711FE4" w14:paraId="5F75EEF3" w14:textId="77777777" w:rsidTr="00366F04">
        <w:trPr>
          <w:trHeight w:val="585"/>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3B88A729" w14:textId="77777777" w:rsidR="00711FE4" w:rsidRPr="00711FE4" w:rsidRDefault="00711FE4" w:rsidP="00711FE4">
            <w:pPr>
              <w:spacing w:after="0" w:line="240" w:lineRule="auto"/>
              <w:jc w:val="center"/>
              <w:rPr>
                <w:rFonts w:ascii="Arial" w:eastAsia="Times New Roman" w:hAnsi="Arial"/>
                <w:b/>
                <w:bCs/>
                <w:color w:val="000000"/>
                <w:sz w:val="18"/>
                <w:szCs w:val="18"/>
                <w:lang w:val="en-US"/>
              </w:rPr>
            </w:pPr>
            <w:r w:rsidRPr="00711FE4">
              <w:rPr>
                <w:rFonts w:ascii="Arial" w:eastAsia="Times New Roman" w:hAnsi="Arial"/>
                <w:b/>
                <w:bCs/>
                <w:color w:val="000000"/>
                <w:sz w:val="18"/>
                <w:szCs w:val="18"/>
                <w:lang w:val="en-US"/>
              </w:rPr>
              <w:t>Equiv income</w:t>
            </w:r>
          </w:p>
        </w:tc>
        <w:tc>
          <w:tcPr>
            <w:tcW w:w="7677" w:type="dxa"/>
            <w:gridSpan w:val="10"/>
            <w:tcBorders>
              <w:top w:val="single" w:sz="4" w:space="0" w:color="auto"/>
              <w:left w:val="single" w:sz="4" w:space="0" w:color="auto"/>
              <w:bottom w:val="single" w:sz="4" w:space="0" w:color="auto"/>
              <w:right w:val="single" w:sz="4" w:space="0" w:color="auto"/>
            </w:tcBorders>
            <w:noWrap/>
            <w:vAlign w:val="center"/>
          </w:tcPr>
          <w:p w14:paraId="0481A5FE" w14:textId="77777777" w:rsidR="00711FE4" w:rsidRPr="00711FE4" w:rsidRDefault="00711FE4" w:rsidP="00711FE4">
            <w:pPr>
              <w:spacing w:after="0" w:line="240" w:lineRule="auto"/>
              <w:jc w:val="center"/>
              <w:rPr>
                <w:rFonts w:ascii="Arial" w:eastAsia="Times New Roman" w:hAnsi="Arial"/>
                <w:b/>
                <w:bCs/>
                <w:color w:val="000000"/>
                <w:sz w:val="18"/>
                <w:szCs w:val="18"/>
                <w:lang w:val="en-US"/>
              </w:rPr>
            </w:pPr>
            <w:r w:rsidRPr="00711FE4">
              <w:rPr>
                <w:rFonts w:ascii="Arial" w:eastAsia="Times New Roman" w:hAnsi="Arial"/>
                <w:b/>
                <w:bCs/>
                <w:color w:val="000000"/>
                <w:sz w:val="18"/>
                <w:szCs w:val="18"/>
                <w:lang w:val="en-US"/>
              </w:rPr>
              <w:t xml:space="preserve">Income for families and households of various types </w:t>
            </w:r>
          </w:p>
          <w:p w14:paraId="7CC9A96E" w14:textId="77777777" w:rsidR="00711FE4" w:rsidRPr="00711FE4" w:rsidRDefault="00711FE4" w:rsidP="00711FE4">
            <w:pPr>
              <w:spacing w:after="0" w:line="240" w:lineRule="auto"/>
              <w:jc w:val="center"/>
              <w:rPr>
                <w:rFonts w:ascii="Arial" w:eastAsia="Times New Roman" w:hAnsi="Arial"/>
                <w:b/>
                <w:bCs/>
                <w:color w:val="000000"/>
                <w:sz w:val="18"/>
                <w:szCs w:val="18"/>
                <w:lang w:val="en-US"/>
              </w:rPr>
            </w:pPr>
            <w:r w:rsidRPr="00711FE4">
              <w:rPr>
                <w:rFonts w:ascii="Arial" w:eastAsia="Times New Roman" w:hAnsi="Arial"/>
                <w:b/>
                <w:bCs/>
                <w:color w:val="000000"/>
                <w:sz w:val="18"/>
                <w:szCs w:val="18"/>
                <w:lang w:val="en-US"/>
              </w:rPr>
              <w:t>in ‘ordinary dollars’</w:t>
            </w:r>
          </w:p>
        </w:tc>
      </w:tr>
      <w:tr w:rsidR="00711FE4" w:rsidRPr="00711FE4" w14:paraId="67BBD0D8" w14:textId="77777777" w:rsidTr="00366F04">
        <w:trPr>
          <w:trHeight w:val="395"/>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4A5CC23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w:t>
            </w:r>
          </w:p>
        </w:tc>
        <w:tc>
          <w:tcPr>
            <w:tcW w:w="767" w:type="dxa"/>
            <w:tcBorders>
              <w:top w:val="single" w:sz="4" w:space="0" w:color="auto"/>
              <w:left w:val="single" w:sz="4" w:space="0" w:color="auto"/>
              <w:bottom w:val="single" w:sz="4" w:space="0" w:color="auto"/>
              <w:right w:val="single" w:sz="4" w:space="0" w:color="auto"/>
            </w:tcBorders>
            <w:noWrap/>
            <w:vAlign w:val="center"/>
          </w:tcPr>
          <w:p w14:paraId="6393549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(1,0)</w:t>
            </w:r>
          </w:p>
        </w:tc>
        <w:tc>
          <w:tcPr>
            <w:tcW w:w="768" w:type="dxa"/>
            <w:tcBorders>
              <w:top w:val="single" w:sz="4" w:space="0" w:color="auto"/>
              <w:left w:val="single" w:sz="4" w:space="0" w:color="auto"/>
              <w:bottom w:val="single" w:sz="4" w:space="0" w:color="auto"/>
              <w:right w:val="single" w:sz="4" w:space="0" w:color="auto"/>
            </w:tcBorders>
            <w:noWrap/>
            <w:vAlign w:val="center"/>
          </w:tcPr>
          <w:p w14:paraId="2621809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(1,1)</w:t>
            </w:r>
          </w:p>
        </w:tc>
        <w:tc>
          <w:tcPr>
            <w:tcW w:w="768" w:type="dxa"/>
            <w:tcBorders>
              <w:top w:val="single" w:sz="4" w:space="0" w:color="auto"/>
              <w:left w:val="single" w:sz="4" w:space="0" w:color="auto"/>
              <w:bottom w:val="single" w:sz="4" w:space="0" w:color="auto"/>
              <w:right w:val="single" w:sz="4" w:space="0" w:color="auto"/>
            </w:tcBorders>
            <w:noWrap/>
            <w:vAlign w:val="center"/>
          </w:tcPr>
          <w:p w14:paraId="6E50241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(1,2)</w:t>
            </w:r>
          </w:p>
        </w:tc>
        <w:tc>
          <w:tcPr>
            <w:tcW w:w="767" w:type="dxa"/>
            <w:tcBorders>
              <w:top w:val="single" w:sz="4" w:space="0" w:color="auto"/>
              <w:left w:val="single" w:sz="4" w:space="0" w:color="auto"/>
              <w:bottom w:val="single" w:sz="4" w:space="0" w:color="auto"/>
              <w:right w:val="single" w:sz="4" w:space="0" w:color="auto"/>
            </w:tcBorders>
            <w:noWrap/>
            <w:vAlign w:val="center"/>
          </w:tcPr>
          <w:p w14:paraId="13852F0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(1,3)</w:t>
            </w:r>
          </w:p>
        </w:tc>
        <w:tc>
          <w:tcPr>
            <w:tcW w:w="768" w:type="dxa"/>
            <w:tcBorders>
              <w:top w:val="single" w:sz="4" w:space="0" w:color="auto"/>
              <w:left w:val="single" w:sz="4" w:space="0" w:color="auto"/>
              <w:bottom w:val="single" w:sz="4" w:space="0" w:color="auto"/>
              <w:right w:val="single" w:sz="4" w:space="0" w:color="auto"/>
            </w:tcBorders>
            <w:noWrap/>
            <w:vAlign w:val="center"/>
          </w:tcPr>
          <w:p w14:paraId="776A84B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w:t>
            </w:r>
          </w:p>
        </w:tc>
        <w:tc>
          <w:tcPr>
            <w:tcW w:w="768" w:type="dxa"/>
            <w:tcBorders>
              <w:top w:val="single" w:sz="4" w:space="0" w:color="auto"/>
              <w:left w:val="single" w:sz="4" w:space="0" w:color="auto"/>
              <w:bottom w:val="single" w:sz="4" w:space="0" w:color="auto"/>
              <w:right w:val="single" w:sz="4" w:space="0" w:color="auto"/>
            </w:tcBorders>
            <w:noWrap/>
            <w:vAlign w:val="center"/>
          </w:tcPr>
          <w:p w14:paraId="4C7385B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(2,1)</w:t>
            </w:r>
          </w:p>
        </w:tc>
        <w:tc>
          <w:tcPr>
            <w:tcW w:w="767" w:type="dxa"/>
            <w:tcBorders>
              <w:top w:val="single" w:sz="4" w:space="0" w:color="auto"/>
              <w:left w:val="single" w:sz="4" w:space="0" w:color="auto"/>
              <w:bottom w:val="single" w:sz="4" w:space="0" w:color="auto"/>
              <w:right w:val="single" w:sz="4" w:space="0" w:color="auto"/>
            </w:tcBorders>
            <w:noWrap/>
            <w:vAlign w:val="center"/>
          </w:tcPr>
          <w:p w14:paraId="06DE119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(2,2)</w:t>
            </w:r>
          </w:p>
        </w:tc>
        <w:tc>
          <w:tcPr>
            <w:tcW w:w="768" w:type="dxa"/>
            <w:tcBorders>
              <w:top w:val="single" w:sz="4" w:space="0" w:color="auto"/>
              <w:left w:val="single" w:sz="4" w:space="0" w:color="auto"/>
              <w:bottom w:val="single" w:sz="4" w:space="0" w:color="auto"/>
              <w:right w:val="single" w:sz="4" w:space="0" w:color="auto"/>
            </w:tcBorders>
            <w:noWrap/>
            <w:vAlign w:val="center"/>
          </w:tcPr>
          <w:p w14:paraId="1056236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(2,3)</w:t>
            </w:r>
          </w:p>
        </w:tc>
        <w:tc>
          <w:tcPr>
            <w:tcW w:w="768" w:type="dxa"/>
            <w:tcBorders>
              <w:top w:val="single" w:sz="4" w:space="0" w:color="auto"/>
              <w:left w:val="single" w:sz="4" w:space="0" w:color="auto"/>
              <w:bottom w:val="single" w:sz="4" w:space="0" w:color="auto"/>
              <w:right w:val="single" w:sz="4" w:space="0" w:color="auto"/>
            </w:tcBorders>
            <w:noWrap/>
            <w:vAlign w:val="center"/>
          </w:tcPr>
          <w:p w14:paraId="5398F3D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(2,4)</w:t>
            </w:r>
          </w:p>
        </w:tc>
        <w:tc>
          <w:tcPr>
            <w:tcW w:w="768" w:type="dxa"/>
            <w:tcBorders>
              <w:top w:val="single" w:sz="4" w:space="0" w:color="auto"/>
              <w:left w:val="single" w:sz="4" w:space="0" w:color="auto"/>
              <w:bottom w:val="single" w:sz="4" w:space="0" w:color="auto"/>
              <w:right w:val="single" w:sz="4" w:space="0" w:color="auto"/>
            </w:tcBorders>
            <w:vAlign w:val="center"/>
          </w:tcPr>
          <w:p w14:paraId="2DCE8B1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(3,0)</w:t>
            </w:r>
          </w:p>
        </w:tc>
      </w:tr>
      <w:tr w:rsidR="00711FE4" w:rsidRPr="00711FE4" w14:paraId="47491A0C" w14:textId="77777777" w:rsidTr="00366F04">
        <w:trPr>
          <w:trHeight w:val="323"/>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2B47CB3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w:t>
            </w:r>
          </w:p>
        </w:tc>
        <w:tc>
          <w:tcPr>
            <w:tcW w:w="767" w:type="dxa"/>
            <w:tcBorders>
              <w:top w:val="single" w:sz="4" w:space="0" w:color="auto"/>
              <w:left w:val="single" w:sz="4" w:space="0" w:color="auto"/>
              <w:bottom w:val="single" w:sz="4" w:space="0" w:color="auto"/>
              <w:right w:val="single" w:sz="4" w:space="0" w:color="auto"/>
            </w:tcBorders>
            <w:noWrap/>
            <w:vAlign w:val="center"/>
          </w:tcPr>
          <w:p w14:paraId="7C4C6B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1.00</w:t>
            </w:r>
          </w:p>
        </w:tc>
        <w:tc>
          <w:tcPr>
            <w:tcW w:w="768" w:type="dxa"/>
            <w:tcBorders>
              <w:top w:val="single" w:sz="4" w:space="0" w:color="auto"/>
              <w:left w:val="single" w:sz="4" w:space="0" w:color="auto"/>
              <w:bottom w:val="single" w:sz="4" w:space="0" w:color="auto"/>
              <w:right w:val="single" w:sz="4" w:space="0" w:color="auto"/>
            </w:tcBorders>
            <w:noWrap/>
            <w:vAlign w:val="center"/>
          </w:tcPr>
          <w:p w14:paraId="1ABE47A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1.30</w:t>
            </w:r>
          </w:p>
        </w:tc>
        <w:tc>
          <w:tcPr>
            <w:tcW w:w="768" w:type="dxa"/>
            <w:tcBorders>
              <w:top w:val="single" w:sz="4" w:space="0" w:color="auto"/>
              <w:left w:val="single" w:sz="4" w:space="0" w:color="auto"/>
              <w:bottom w:val="single" w:sz="4" w:space="0" w:color="auto"/>
              <w:right w:val="single" w:sz="4" w:space="0" w:color="auto"/>
            </w:tcBorders>
            <w:noWrap/>
            <w:vAlign w:val="center"/>
          </w:tcPr>
          <w:p w14:paraId="10CF150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1.60</w:t>
            </w:r>
          </w:p>
        </w:tc>
        <w:tc>
          <w:tcPr>
            <w:tcW w:w="767" w:type="dxa"/>
            <w:tcBorders>
              <w:top w:val="single" w:sz="4" w:space="0" w:color="auto"/>
              <w:left w:val="single" w:sz="4" w:space="0" w:color="auto"/>
              <w:bottom w:val="single" w:sz="4" w:space="0" w:color="auto"/>
              <w:right w:val="single" w:sz="4" w:space="0" w:color="auto"/>
            </w:tcBorders>
            <w:noWrap/>
            <w:vAlign w:val="center"/>
          </w:tcPr>
          <w:p w14:paraId="73676F9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1.90</w:t>
            </w:r>
          </w:p>
        </w:tc>
        <w:tc>
          <w:tcPr>
            <w:tcW w:w="768" w:type="dxa"/>
            <w:tcBorders>
              <w:top w:val="single" w:sz="4" w:space="0" w:color="auto"/>
              <w:left w:val="single" w:sz="4" w:space="0" w:color="auto"/>
              <w:bottom w:val="single" w:sz="4" w:space="0" w:color="auto"/>
              <w:right w:val="single" w:sz="4" w:space="0" w:color="auto"/>
            </w:tcBorders>
            <w:noWrap/>
            <w:vAlign w:val="center"/>
          </w:tcPr>
          <w:p w14:paraId="62309B7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1.50</w:t>
            </w:r>
          </w:p>
        </w:tc>
        <w:tc>
          <w:tcPr>
            <w:tcW w:w="768" w:type="dxa"/>
            <w:tcBorders>
              <w:top w:val="single" w:sz="4" w:space="0" w:color="auto"/>
              <w:left w:val="single" w:sz="4" w:space="0" w:color="auto"/>
              <w:bottom w:val="single" w:sz="4" w:space="0" w:color="auto"/>
              <w:right w:val="single" w:sz="4" w:space="0" w:color="auto"/>
            </w:tcBorders>
            <w:noWrap/>
            <w:vAlign w:val="center"/>
          </w:tcPr>
          <w:p w14:paraId="7DCA0E0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1.80</w:t>
            </w:r>
          </w:p>
        </w:tc>
        <w:tc>
          <w:tcPr>
            <w:tcW w:w="767" w:type="dxa"/>
            <w:tcBorders>
              <w:top w:val="single" w:sz="4" w:space="0" w:color="auto"/>
              <w:left w:val="single" w:sz="4" w:space="0" w:color="auto"/>
              <w:bottom w:val="single" w:sz="4" w:space="0" w:color="auto"/>
              <w:right w:val="single" w:sz="4" w:space="0" w:color="auto"/>
            </w:tcBorders>
            <w:noWrap/>
            <w:vAlign w:val="center"/>
          </w:tcPr>
          <w:p w14:paraId="4B8A34C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2.10</w:t>
            </w:r>
          </w:p>
        </w:tc>
        <w:tc>
          <w:tcPr>
            <w:tcW w:w="768" w:type="dxa"/>
            <w:tcBorders>
              <w:top w:val="single" w:sz="4" w:space="0" w:color="auto"/>
              <w:left w:val="single" w:sz="4" w:space="0" w:color="auto"/>
              <w:bottom w:val="single" w:sz="4" w:space="0" w:color="auto"/>
              <w:right w:val="single" w:sz="4" w:space="0" w:color="auto"/>
            </w:tcBorders>
            <w:noWrap/>
            <w:vAlign w:val="center"/>
          </w:tcPr>
          <w:p w14:paraId="1016D21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2.40</w:t>
            </w:r>
          </w:p>
        </w:tc>
        <w:tc>
          <w:tcPr>
            <w:tcW w:w="768" w:type="dxa"/>
            <w:tcBorders>
              <w:top w:val="single" w:sz="4" w:space="0" w:color="auto"/>
              <w:left w:val="single" w:sz="4" w:space="0" w:color="auto"/>
              <w:bottom w:val="single" w:sz="4" w:space="0" w:color="auto"/>
              <w:right w:val="single" w:sz="4" w:space="0" w:color="auto"/>
            </w:tcBorders>
            <w:noWrap/>
            <w:vAlign w:val="center"/>
          </w:tcPr>
          <w:p w14:paraId="568781F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2.70</w:t>
            </w:r>
          </w:p>
        </w:tc>
        <w:tc>
          <w:tcPr>
            <w:tcW w:w="768" w:type="dxa"/>
            <w:tcBorders>
              <w:top w:val="single" w:sz="4" w:space="0" w:color="auto"/>
              <w:left w:val="single" w:sz="4" w:space="0" w:color="auto"/>
              <w:bottom w:val="single" w:sz="4" w:space="0" w:color="auto"/>
              <w:right w:val="single" w:sz="4" w:space="0" w:color="auto"/>
            </w:tcBorders>
            <w:vAlign w:val="center"/>
          </w:tcPr>
          <w:p w14:paraId="2792D6D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2.00</w:t>
            </w:r>
          </w:p>
        </w:tc>
      </w:tr>
      <w:tr w:rsidR="00711FE4" w:rsidRPr="00711FE4" w14:paraId="0A7FB352" w14:textId="77777777" w:rsidTr="00366F04">
        <w:trPr>
          <w:trHeight w:val="35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5A7928AE"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$10,000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51A91B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75633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13,000</w:t>
            </w:r>
          </w:p>
        </w:tc>
        <w:tc>
          <w:tcPr>
            <w:tcW w:w="768" w:type="dxa"/>
            <w:tcBorders>
              <w:top w:val="single" w:sz="4" w:space="0" w:color="auto"/>
              <w:left w:val="single" w:sz="4" w:space="0" w:color="auto"/>
              <w:bottom w:val="single" w:sz="4" w:space="0" w:color="auto"/>
              <w:right w:val="single" w:sz="4" w:space="0" w:color="auto"/>
            </w:tcBorders>
            <w:noWrap/>
            <w:vAlign w:val="center"/>
          </w:tcPr>
          <w:p w14:paraId="611079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16,000</w:t>
            </w:r>
          </w:p>
        </w:tc>
        <w:tc>
          <w:tcPr>
            <w:tcW w:w="767" w:type="dxa"/>
            <w:tcBorders>
              <w:top w:val="single" w:sz="4" w:space="0" w:color="auto"/>
              <w:left w:val="single" w:sz="4" w:space="0" w:color="auto"/>
              <w:bottom w:val="single" w:sz="4" w:space="0" w:color="auto"/>
              <w:right w:val="single" w:sz="4" w:space="0" w:color="auto"/>
            </w:tcBorders>
            <w:noWrap/>
            <w:vAlign w:val="center"/>
          </w:tcPr>
          <w:p w14:paraId="50098A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90EB98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64F0476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0F0590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21,000</w:t>
            </w:r>
          </w:p>
        </w:tc>
        <w:tc>
          <w:tcPr>
            <w:tcW w:w="768" w:type="dxa"/>
            <w:tcBorders>
              <w:top w:val="single" w:sz="4" w:space="0" w:color="auto"/>
              <w:left w:val="single" w:sz="4" w:space="0" w:color="auto"/>
              <w:bottom w:val="single" w:sz="4" w:space="0" w:color="auto"/>
              <w:right w:val="single" w:sz="4" w:space="0" w:color="auto"/>
            </w:tcBorders>
            <w:noWrap/>
            <w:vAlign w:val="center"/>
          </w:tcPr>
          <w:p w14:paraId="4F94C2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906E6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27,000</w:t>
            </w:r>
          </w:p>
        </w:tc>
        <w:tc>
          <w:tcPr>
            <w:tcW w:w="768" w:type="dxa"/>
            <w:tcBorders>
              <w:top w:val="single" w:sz="4" w:space="0" w:color="auto"/>
              <w:left w:val="single" w:sz="4" w:space="0" w:color="auto"/>
              <w:bottom w:val="single" w:sz="4" w:space="0" w:color="auto"/>
              <w:right w:val="single" w:sz="4" w:space="0" w:color="auto"/>
            </w:tcBorders>
            <w:vAlign w:val="center"/>
          </w:tcPr>
          <w:p w14:paraId="38BECB0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20,000</w:t>
            </w:r>
          </w:p>
        </w:tc>
      </w:tr>
      <w:tr w:rsidR="00711FE4" w:rsidRPr="00711FE4" w14:paraId="67928F23"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600F1A38"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$11,000</w:t>
            </w:r>
          </w:p>
        </w:tc>
        <w:tc>
          <w:tcPr>
            <w:tcW w:w="767" w:type="dxa"/>
            <w:tcBorders>
              <w:top w:val="single" w:sz="4" w:space="0" w:color="auto"/>
              <w:left w:val="single" w:sz="4" w:space="0" w:color="auto"/>
              <w:bottom w:val="single" w:sz="4" w:space="0" w:color="auto"/>
              <w:right w:val="single" w:sz="4" w:space="0" w:color="auto"/>
            </w:tcBorders>
            <w:noWrap/>
            <w:vAlign w:val="center"/>
          </w:tcPr>
          <w:p w14:paraId="3E6DB07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1184C3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14,300</w:t>
            </w:r>
          </w:p>
        </w:tc>
        <w:tc>
          <w:tcPr>
            <w:tcW w:w="768" w:type="dxa"/>
            <w:tcBorders>
              <w:top w:val="single" w:sz="4" w:space="0" w:color="auto"/>
              <w:left w:val="single" w:sz="4" w:space="0" w:color="auto"/>
              <w:bottom w:val="single" w:sz="4" w:space="0" w:color="auto"/>
              <w:right w:val="single" w:sz="4" w:space="0" w:color="auto"/>
            </w:tcBorders>
            <w:noWrap/>
            <w:vAlign w:val="center"/>
          </w:tcPr>
          <w:p w14:paraId="6C313C5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17,600</w:t>
            </w:r>
          </w:p>
        </w:tc>
        <w:tc>
          <w:tcPr>
            <w:tcW w:w="767" w:type="dxa"/>
            <w:tcBorders>
              <w:top w:val="single" w:sz="4" w:space="0" w:color="auto"/>
              <w:left w:val="single" w:sz="4" w:space="0" w:color="auto"/>
              <w:bottom w:val="single" w:sz="4" w:space="0" w:color="auto"/>
              <w:right w:val="single" w:sz="4" w:space="0" w:color="auto"/>
            </w:tcBorders>
            <w:noWrap/>
            <w:vAlign w:val="center"/>
          </w:tcPr>
          <w:p w14:paraId="37E4A55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20,900</w:t>
            </w:r>
          </w:p>
        </w:tc>
        <w:tc>
          <w:tcPr>
            <w:tcW w:w="768" w:type="dxa"/>
            <w:tcBorders>
              <w:top w:val="single" w:sz="4" w:space="0" w:color="auto"/>
              <w:left w:val="single" w:sz="4" w:space="0" w:color="auto"/>
              <w:bottom w:val="single" w:sz="4" w:space="0" w:color="auto"/>
              <w:right w:val="single" w:sz="4" w:space="0" w:color="auto"/>
            </w:tcBorders>
            <w:noWrap/>
            <w:vAlign w:val="center"/>
          </w:tcPr>
          <w:p w14:paraId="59A76B8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16,500</w:t>
            </w:r>
          </w:p>
        </w:tc>
        <w:tc>
          <w:tcPr>
            <w:tcW w:w="768" w:type="dxa"/>
            <w:tcBorders>
              <w:top w:val="single" w:sz="4" w:space="0" w:color="auto"/>
              <w:left w:val="single" w:sz="4" w:space="0" w:color="auto"/>
              <w:bottom w:val="single" w:sz="4" w:space="0" w:color="auto"/>
              <w:right w:val="single" w:sz="4" w:space="0" w:color="auto"/>
            </w:tcBorders>
            <w:noWrap/>
            <w:vAlign w:val="center"/>
          </w:tcPr>
          <w:p w14:paraId="06D5A02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19,800</w:t>
            </w:r>
          </w:p>
        </w:tc>
        <w:tc>
          <w:tcPr>
            <w:tcW w:w="767" w:type="dxa"/>
            <w:tcBorders>
              <w:top w:val="single" w:sz="4" w:space="0" w:color="auto"/>
              <w:left w:val="single" w:sz="4" w:space="0" w:color="auto"/>
              <w:bottom w:val="single" w:sz="4" w:space="0" w:color="auto"/>
              <w:right w:val="single" w:sz="4" w:space="0" w:color="auto"/>
            </w:tcBorders>
            <w:noWrap/>
            <w:vAlign w:val="center"/>
          </w:tcPr>
          <w:p w14:paraId="4C6D6D7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23,100</w:t>
            </w:r>
          </w:p>
        </w:tc>
        <w:tc>
          <w:tcPr>
            <w:tcW w:w="768" w:type="dxa"/>
            <w:tcBorders>
              <w:top w:val="single" w:sz="4" w:space="0" w:color="auto"/>
              <w:left w:val="single" w:sz="4" w:space="0" w:color="auto"/>
              <w:bottom w:val="single" w:sz="4" w:space="0" w:color="auto"/>
              <w:right w:val="single" w:sz="4" w:space="0" w:color="auto"/>
            </w:tcBorders>
            <w:noWrap/>
            <w:vAlign w:val="center"/>
          </w:tcPr>
          <w:p w14:paraId="1D0CD5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26,400</w:t>
            </w:r>
          </w:p>
        </w:tc>
        <w:tc>
          <w:tcPr>
            <w:tcW w:w="768" w:type="dxa"/>
            <w:tcBorders>
              <w:top w:val="single" w:sz="4" w:space="0" w:color="auto"/>
              <w:left w:val="single" w:sz="4" w:space="0" w:color="auto"/>
              <w:bottom w:val="single" w:sz="4" w:space="0" w:color="auto"/>
              <w:right w:val="single" w:sz="4" w:space="0" w:color="auto"/>
            </w:tcBorders>
            <w:noWrap/>
            <w:vAlign w:val="center"/>
          </w:tcPr>
          <w:p w14:paraId="1078D1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29,700</w:t>
            </w:r>
          </w:p>
        </w:tc>
        <w:tc>
          <w:tcPr>
            <w:tcW w:w="768" w:type="dxa"/>
            <w:tcBorders>
              <w:top w:val="single" w:sz="4" w:space="0" w:color="auto"/>
              <w:left w:val="single" w:sz="4" w:space="0" w:color="auto"/>
              <w:bottom w:val="single" w:sz="4" w:space="0" w:color="auto"/>
              <w:right w:val="single" w:sz="4" w:space="0" w:color="auto"/>
            </w:tcBorders>
            <w:vAlign w:val="center"/>
          </w:tcPr>
          <w:p w14:paraId="05FD758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22,000</w:t>
            </w:r>
          </w:p>
        </w:tc>
      </w:tr>
      <w:tr w:rsidR="00711FE4" w:rsidRPr="00711FE4" w14:paraId="6B2C17A0"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7C8A1C69"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$12,000</w:t>
            </w:r>
          </w:p>
        </w:tc>
        <w:tc>
          <w:tcPr>
            <w:tcW w:w="767" w:type="dxa"/>
            <w:tcBorders>
              <w:top w:val="single" w:sz="4" w:space="0" w:color="auto"/>
              <w:left w:val="single" w:sz="4" w:space="0" w:color="auto"/>
              <w:bottom w:val="single" w:sz="4" w:space="0" w:color="auto"/>
              <w:right w:val="single" w:sz="4" w:space="0" w:color="auto"/>
            </w:tcBorders>
            <w:noWrap/>
            <w:vAlign w:val="center"/>
          </w:tcPr>
          <w:p w14:paraId="5970DB2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99486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15,600</w:t>
            </w:r>
          </w:p>
        </w:tc>
        <w:tc>
          <w:tcPr>
            <w:tcW w:w="768" w:type="dxa"/>
            <w:tcBorders>
              <w:top w:val="single" w:sz="4" w:space="0" w:color="auto"/>
              <w:left w:val="single" w:sz="4" w:space="0" w:color="auto"/>
              <w:bottom w:val="single" w:sz="4" w:space="0" w:color="auto"/>
              <w:right w:val="single" w:sz="4" w:space="0" w:color="auto"/>
            </w:tcBorders>
            <w:noWrap/>
            <w:vAlign w:val="center"/>
          </w:tcPr>
          <w:p w14:paraId="3205C2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19,200</w:t>
            </w:r>
          </w:p>
        </w:tc>
        <w:tc>
          <w:tcPr>
            <w:tcW w:w="767" w:type="dxa"/>
            <w:tcBorders>
              <w:top w:val="single" w:sz="4" w:space="0" w:color="auto"/>
              <w:left w:val="single" w:sz="4" w:space="0" w:color="auto"/>
              <w:bottom w:val="single" w:sz="4" w:space="0" w:color="auto"/>
              <w:right w:val="single" w:sz="4" w:space="0" w:color="auto"/>
            </w:tcBorders>
            <w:noWrap/>
            <w:vAlign w:val="center"/>
          </w:tcPr>
          <w:p w14:paraId="2211938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22,800</w:t>
            </w:r>
          </w:p>
        </w:tc>
        <w:tc>
          <w:tcPr>
            <w:tcW w:w="768" w:type="dxa"/>
            <w:tcBorders>
              <w:top w:val="single" w:sz="4" w:space="0" w:color="auto"/>
              <w:left w:val="single" w:sz="4" w:space="0" w:color="auto"/>
              <w:bottom w:val="single" w:sz="4" w:space="0" w:color="auto"/>
              <w:right w:val="single" w:sz="4" w:space="0" w:color="auto"/>
            </w:tcBorders>
            <w:noWrap/>
            <w:vAlign w:val="center"/>
          </w:tcPr>
          <w:p w14:paraId="17560D9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B55433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21,600</w:t>
            </w:r>
          </w:p>
        </w:tc>
        <w:tc>
          <w:tcPr>
            <w:tcW w:w="767" w:type="dxa"/>
            <w:tcBorders>
              <w:top w:val="single" w:sz="4" w:space="0" w:color="auto"/>
              <w:left w:val="single" w:sz="4" w:space="0" w:color="auto"/>
              <w:bottom w:val="single" w:sz="4" w:space="0" w:color="auto"/>
              <w:right w:val="single" w:sz="4" w:space="0" w:color="auto"/>
            </w:tcBorders>
            <w:noWrap/>
            <w:vAlign w:val="center"/>
          </w:tcPr>
          <w:p w14:paraId="710130A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25,200</w:t>
            </w:r>
          </w:p>
        </w:tc>
        <w:tc>
          <w:tcPr>
            <w:tcW w:w="768" w:type="dxa"/>
            <w:tcBorders>
              <w:top w:val="single" w:sz="4" w:space="0" w:color="auto"/>
              <w:left w:val="single" w:sz="4" w:space="0" w:color="auto"/>
              <w:bottom w:val="single" w:sz="4" w:space="0" w:color="auto"/>
              <w:right w:val="single" w:sz="4" w:space="0" w:color="auto"/>
            </w:tcBorders>
            <w:noWrap/>
            <w:vAlign w:val="center"/>
          </w:tcPr>
          <w:p w14:paraId="55B4916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28,800</w:t>
            </w:r>
          </w:p>
        </w:tc>
        <w:tc>
          <w:tcPr>
            <w:tcW w:w="768" w:type="dxa"/>
            <w:tcBorders>
              <w:top w:val="single" w:sz="4" w:space="0" w:color="auto"/>
              <w:left w:val="single" w:sz="4" w:space="0" w:color="auto"/>
              <w:bottom w:val="single" w:sz="4" w:space="0" w:color="auto"/>
              <w:right w:val="single" w:sz="4" w:space="0" w:color="auto"/>
            </w:tcBorders>
            <w:noWrap/>
            <w:vAlign w:val="center"/>
          </w:tcPr>
          <w:p w14:paraId="0B3AACF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32,400</w:t>
            </w:r>
          </w:p>
        </w:tc>
        <w:tc>
          <w:tcPr>
            <w:tcW w:w="768" w:type="dxa"/>
            <w:tcBorders>
              <w:top w:val="single" w:sz="4" w:space="0" w:color="auto"/>
              <w:left w:val="single" w:sz="4" w:space="0" w:color="auto"/>
              <w:bottom w:val="single" w:sz="4" w:space="0" w:color="auto"/>
              <w:right w:val="single" w:sz="4" w:space="0" w:color="auto"/>
            </w:tcBorders>
            <w:vAlign w:val="center"/>
          </w:tcPr>
          <w:p w14:paraId="650AD22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24,000</w:t>
            </w:r>
          </w:p>
        </w:tc>
      </w:tr>
      <w:tr w:rsidR="00711FE4" w:rsidRPr="00711FE4" w14:paraId="34C209C4"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15933496"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$13,000</w:t>
            </w:r>
          </w:p>
        </w:tc>
        <w:tc>
          <w:tcPr>
            <w:tcW w:w="767" w:type="dxa"/>
            <w:tcBorders>
              <w:top w:val="single" w:sz="4" w:space="0" w:color="auto"/>
              <w:left w:val="single" w:sz="4" w:space="0" w:color="auto"/>
              <w:bottom w:val="single" w:sz="4" w:space="0" w:color="auto"/>
              <w:right w:val="single" w:sz="4" w:space="0" w:color="auto"/>
            </w:tcBorders>
            <w:noWrap/>
            <w:vAlign w:val="center"/>
          </w:tcPr>
          <w:p w14:paraId="4B5521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C008D5A" w14:textId="77777777" w:rsidR="00711FE4" w:rsidRPr="00711FE4" w:rsidRDefault="00711FE4" w:rsidP="00711FE4">
            <w:pPr>
              <w:spacing w:after="0" w:line="240" w:lineRule="auto"/>
              <w:jc w:val="center"/>
              <w:rPr>
                <w:rFonts w:ascii="Arial" w:eastAsia="Times New Roman" w:hAnsi="Arial"/>
                <w:bCs/>
                <w:color w:val="000000"/>
                <w:sz w:val="14"/>
                <w:szCs w:val="14"/>
                <w:lang w:val="en-GB"/>
              </w:rPr>
            </w:pPr>
            <w:r w:rsidRPr="00711FE4">
              <w:rPr>
                <w:rFonts w:ascii="Arial" w:eastAsia="Times New Roman" w:hAnsi="Arial"/>
                <w:bCs/>
                <w:color w:val="000000"/>
                <w:sz w:val="14"/>
                <w:szCs w:val="14"/>
                <w:lang w:val="en-GB"/>
              </w:rPr>
              <w:t>16,900</w:t>
            </w:r>
          </w:p>
        </w:tc>
        <w:tc>
          <w:tcPr>
            <w:tcW w:w="768" w:type="dxa"/>
            <w:tcBorders>
              <w:top w:val="single" w:sz="4" w:space="0" w:color="auto"/>
              <w:left w:val="single" w:sz="4" w:space="0" w:color="auto"/>
              <w:bottom w:val="single" w:sz="4" w:space="0" w:color="auto"/>
              <w:right w:val="single" w:sz="4" w:space="0" w:color="auto"/>
            </w:tcBorders>
            <w:noWrap/>
            <w:vAlign w:val="center"/>
          </w:tcPr>
          <w:p w14:paraId="5C3B716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20,800</w:t>
            </w:r>
          </w:p>
        </w:tc>
        <w:tc>
          <w:tcPr>
            <w:tcW w:w="767" w:type="dxa"/>
            <w:tcBorders>
              <w:top w:val="single" w:sz="4" w:space="0" w:color="auto"/>
              <w:left w:val="single" w:sz="4" w:space="0" w:color="auto"/>
              <w:bottom w:val="single" w:sz="4" w:space="0" w:color="auto"/>
              <w:right w:val="single" w:sz="4" w:space="0" w:color="auto"/>
            </w:tcBorders>
            <w:noWrap/>
            <w:vAlign w:val="center"/>
          </w:tcPr>
          <w:p w14:paraId="6F7AC06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24,700</w:t>
            </w:r>
          </w:p>
        </w:tc>
        <w:tc>
          <w:tcPr>
            <w:tcW w:w="768" w:type="dxa"/>
            <w:tcBorders>
              <w:top w:val="single" w:sz="4" w:space="0" w:color="auto"/>
              <w:left w:val="single" w:sz="4" w:space="0" w:color="auto"/>
              <w:bottom w:val="single" w:sz="4" w:space="0" w:color="auto"/>
              <w:right w:val="single" w:sz="4" w:space="0" w:color="auto"/>
            </w:tcBorders>
            <w:noWrap/>
            <w:vAlign w:val="center"/>
          </w:tcPr>
          <w:p w14:paraId="53351C6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19,500</w:t>
            </w:r>
          </w:p>
        </w:tc>
        <w:tc>
          <w:tcPr>
            <w:tcW w:w="768" w:type="dxa"/>
            <w:tcBorders>
              <w:top w:val="single" w:sz="4" w:space="0" w:color="auto"/>
              <w:left w:val="single" w:sz="4" w:space="0" w:color="auto"/>
              <w:bottom w:val="single" w:sz="4" w:space="0" w:color="auto"/>
              <w:right w:val="single" w:sz="4" w:space="0" w:color="auto"/>
            </w:tcBorders>
            <w:noWrap/>
            <w:vAlign w:val="center"/>
          </w:tcPr>
          <w:p w14:paraId="378F1F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23,400</w:t>
            </w:r>
          </w:p>
        </w:tc>
        <w:tc>
          <w:tcPr>
            <w:tcW w:w="767" w:type="dxa"/>
            <w:tcBorders>
              <w:top w:val="single" w:sz="4" w:space="0" w:color="auto"/>
              <w:left w:val="single" w:sz="4" w:space="0" w:color="auto"/>
              <w:bottom w:val="single" w:sz="4" w:space="0" w:color="auto"/>
              <w:right w:val="single" w:sz="4" w:space="0" w:color="auto"/>
            </w:tcBorders>
            <w:noWrap/>
            <w:vAlign w:val="center"/>
          </w:tcPr>
          <w:p w14:paraId="08C54A15" w14:textId="77777777" w:rsidR="00711FE4" w:rsidRPr="00711FE4" w:rsidRDefault="00711FE4" w:rsidP="00711FE4">
            <w:pPr>
              <w:spacing w:after="0" w:line="240" w:lineRule="auto"/>
              <w:jc w:val="center"/>
              <w:rPr>
                <w:rFonts w:ascii="Arial" w:eastAsia="Times New Roman" w:hAnsi="Arial"/>
                <w:bCs/>
                <w:color w:val="000000"/>
                <w:sz w:val="14"/>
                <w:szCs w:val="14"/>
                <w:lang w:val="en-GB"/>
              </w:rPr>
            </w:pPr>
            <w:r w:rsidRPr="00711FE4">
              <w:rPr>
                <w:rFonts w:ascii="Arial" w:eastAsia="Times New Roman" w:hAnsi="Arial"/>
                <w:bCs/>
                <w:color w:val="000000"/>
                <w:sz w:val="14"/>
                <w:szCs w:val="14"/>
                <w:lang w:val="en-GB"/>
              </w:rPr>
              <w:t>27,300</w:t>
            </w:r>
          </w:p>
        </w:tc>
        <w:tc>
          <w:tcPr>
            <w:tcW w:w="768" w:type="dxa"/>
            <w:tcBorders>
              <w:top w:val="single" w:sz="4" w:space="0" w:color="auto"/>
              <w:left w:val="single" w:sz="4" w:space="0" w:color="auto"/>
              <w:bottom w:val="single" w:sz="4" w:space="0" w:color="auto"/>
              <w:right w:val="single" w:sz="4" w:space="0" w:color="auto"/>
            </w:tcBorders>
            <w:noWrap/>
            <w:vAlign w:val="center"/>
          </w:tcPr>
          <w:p w14:paraId="13B7CC5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31,200</w:t>
            </w:r>
          </w:p>
        </w:tc>
        <w:tc>
          <w:tcPr>
            <w:tcW w:w="768" w:type="dxa"/>
            <w:tcBorders>
              <w:top w:val="single" w:sz="4" w:space="0" w:color="auto"/>
              <w:left w:val="single" w:sz="4" w:space="0" w:color="auto"/>
              <w:bottom w:val="single" w:sz="4" w:space="0" w:color="auto"/>
              <w:right w:val="single" w:sz="4" w:space="0" w:color="auto"/>
            </w:tcBorders>
            <w:noWrap/>
            <w:vAlign w:val="center"/>
          </w:tcPr>
          <w:p w14:paraId="0D26EEB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35,100</w:t>
            </w:r>
          </w:p>
        </w:tc>
        <w:tc>
          <w:tcPr>
            <w:tcW w:w="768" w:type="dxa"/>
            <w:tcBorders>
              <w:top w:val="single" w:sz="4" w:space="0" w:color="auto"/>
              <w:left w:val="single" w:sz="4" w:space="0" w:color="auto"/>
              <w:bottom w:val="single" w:sz="4" w:space="0" w:color="auto"/>
              <w:right w:val="single" w:sz="4" w:space="0" w:color="auto"/>
            </w:tcBorders>
            <w:vAlign w:val="center"/>
          </w:tcPr>
          <w:p w14:paraId="29A186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26,000</w:t>
            </w:r>
          </w:p>
        </w:tc>
      </w:tr>
      <w:tr w:rsidR="00711FE4" w:rsidRPr="00711FE4" w14:paraId="7DB5AF40"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12FD6B9D"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$14,000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F161D7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E75E16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18,200</w:t>
            </w:r>
          </w:p>
        </w:tc>
        <w:tc>
          <w:tcPr>
            <w:tcW w:w="768" w:type="dxa"/>
            <w:tcBorders>
              <w:top w:val="single" w:sz="4" w:space="0" w:color="auto"/>
              <w:left w:val="single" w:sz="4" w:space="0" w:color="auto"/>
              <w:bottom w:val="single" w:sz="4" w:space="0" w:color="auto"/>
              <w:right w:val="single" w:sz="4" w:space="0" w:color="auto"/>
            </w:tcBorders>
            <w:noWrap/>
            <w:vAlign w:val="center"/>
          </w:tcPr>
          <w:p w14:paraId="7B5537E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22,400</w:t>
            </w:r>
          </w:p>
        </w:tc>
        <w:tc>
          <w:tcPr>
            <w:tcW w:w="767" w:type="dxa"/>
            <w:tcBorders>
              <w:top w:val="single" w:sz="4" w:space="0" w:color="auto"/>
              <w:left w:val="single" w:sz="4" w:space="0" w:color="auto"/>
              <w:bottom w:val="single" w:sz="4" w:space="0" w:color="auto"/>
              <w:right w:val="single" w:sz="4" w:space="0" w:color="auto"/>
            </w:tcBorders>
            <w:noWrap/>
            <w:vAlign w:val="center"/>
          </w:tcPr>
          <w:p w14:paraId="0F4FADE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26,600</w:t>
            </w:r>
          </w:p>
        </w:tc>
        <w:tc>
          <w:tcPr>
            <w:tcW w:w="768" w:type="dxa"/>
            <w:tcBorders>
              <w:top w:val="single" w:sz="4" w:space="0" w:color="auto"/>
              <w:left w:val="single" w:sz="4" w:space="0" w:color="auto"/>
              <w:bottom w:val="single" w:sz="4" w:space="0" w:color="auto"/>
              <w:right w:val="single" w:sz="4" w:space="0" w:color="auto"/>
            </w:tcBorders>
            <w:noWrap/>
            <w:vAlign w:val="center"/>
          </w:tcPr>
          <w:p w14:paraId="7ECF6E4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21,000</w:t>
            </w:r>
          </w:p>
        </w:tc>
        <w:tc>
          <w:tcPr>
            <w:tcW w:w="768" w:type="dxa"/>
            <w:tcBorders>
              <w:top w:val="single" w:sz="4" w:space="0" w:color="auto"/>
              <w:left w:val="single" w:sz="4" w:space="0" w:color="auto"/>
              <w:bottom w:val="single" w:sz="4" w:space="0" w:color="auto"/>
              <w:right w:val="single" w:sz="4" w:space="0" w:color="auto"/>
            </w:tcBorders>
            <w:noWrap/>
            <w:vAlign w:val="center"/>
          </w:tcPr>
          <w:p w14:paraId="76C6813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25,200</w:t>
            </w:r>
          </w:p>
        </w:tc>
        <w:tc>
          <w:tcPr>
            <w:tcW w:w="767" w:type="dxa"/>
            <w:tcBorders>
              <w:top w:val="single" w:sz="4" w:space="0" w:color="auto"/>
              <w:left w:val="single" w:sz="4" w:space="0" w:color="auto"/>
              <w:bottom w:val="single" w:sz="4" w:space="0" w:color="auto"/>
              <w:right w:val="single" w:sz="4" w:space="0" w:color="auto"/>
            </w:tcBorders>
            <w:noWrap/>
            <w:vAlign w:val="center"/>
          </w:tcPr>
          <w:p w14:paraId="3857281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29,400</w:t>
            </w:r>
          </w:p>
        </w:tc>
        <w:tc>
          <w:tcPr>
            <w:tcW w:w="768" w:type="dxa"/>
            <w:tcBorders>
              <w:top w:val="single" w:sz="4" w:space="0" w:color="auto"/>
              <w:left w:val="single" w:sz="4" w:space="0" w:color="auto"/>
              <w:bottom w:val="single" w:sz="4" w:space="0" w:color="auto"/>
              <w:right w:val="single" w:sz="4" w:space="0" w:color="auto"/>
            </w:tcBorders>
            <w:noWrap/>
            <w:vAlign w:val="center"/>
          </w:tcPr>
          <w:p w14:paraId="02AACF5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33,600</w:t>
            </w:r>
          </w:p>
        </w:tc>
        <w:tc>
          <w:tcPr>
            <w:tcW w:w="768" w:type="dxa"/>
            <w:tcBorders>
              <w:top w:val="single" w:sz="4" w:space="0" w:color="auto"/>
              <w:left w:val="single" w:sz="4" w:space="0" w:color="auto"/>
              <w:bottom w:val="single" w:sz="4" w:space="0" w:color="auto"/>
              <w:right w:val="single" w:sz="4" w:space="0" w:color="auto"/>
            </w:tcBorders>
            <w:noWrap/>
            <w:vAlign w:val="center"/>
          </w:tcPr>
          <w:p w14:paraId="6DE1A25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37,800</w:t>
            </w:r>
          </w:p>
        </w:tc>
        <w:tc>
          <w:tcPr>
            <w:tcW w:w="768" w:type="dxa"/>
            <w:tcBorders>
              <w:top w:val="single" w:sz="4" w:space="0" w:color="auto"/>
              <w:left w:val="single" w:sz="4" w:space="0" w:color="auto"/>
              <w:bottom w:val="single" w:sz="4" w:space="0" w:color="auto"/>
              <w:right w:val="single" w:sz="4" w:space="0" w:color="auto"/>
            </w:tcBorders>
            <w:vAlign w:val="center"/>
          </w:tcPr>
          <w:p w14:paraId="041D93A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28,000</w:t>
            </w:r>
          </w:p>
        </w:tc>
      </w:tr>
      <w:tr w:rsidR="00711FE4" w:rsidRPr="00711FE4" w14:paraId="42A1E551"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3E111EB0"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$15,000</w:t>
            </w:r>
          </w:p>
        </w:tc>
        <w:tc>
          <w:tcPr>
            <w:tcW w:w="767" w:type="dxa"/>
            <w:tcBorders>
              <w:top w:val="single" w:sz="4" w:space="0" w:color="auto"/>
              <w:left w:val="single" w:sz="4" w:space="0" w:color="auto"/>
              <w:bottom w:val="single" w:sz="4" w:space="0" w:color="auto"/>
              <w:right w:val="single" w:sz="4" w:space="0" w:color="auto"/>
            </w:tcBorders>
            <w:noWrap/>
            <w:vAlign w:val="center"/>
          </w:tcPr>
          <w:p w14:paraId="31D32A4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0D0954D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19,500</w:t>
            </w:r>
          </w:p>
        </w:tc>
        <w:tc>
          <w:tcPr>
            <w:tcW w:w="768" w:type="dxa"/>
            <w:tcBorders>
              <w:top w:val="single" w:sz="4" w:space="0" w:color="auto"/>
              <w:left w:val="single" w:sz="4" w:space="0" w:color="auto"/>
              <w:bottom w:val="single" w:sz="4" w:space="0" w:color="auto"/>
              <w:right w:val="single" w:sz="4" w:space="0" w:color="auto"/>
            </w:tcBorders>
            <w:noWrap/>
            <w:vAlign w:val="center"/>
          </w:tcPr>
          <w:p w14:paraId="3A0953D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2E12E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28,500</w:t>
            </w:r>
          </w:p>
        </w:tc>
        <w:tc>
          <w:tcPr>
            <w:tcW w:w="768" w:type="dxa"/>
            <w:tcBorders>
              <w:top w:val="single" w:sz="4" w:space="0" w:color="auto"/>
              <w:left w:val="single" w:sz="4" w:space="0" w:color="auto"/>
              <w:bottom w:val="single" w:sz="4" w:space="0" w:color="auto"/>
              <w:right w:val="single" w:sz="4" w:space="0" w:color="auto"/>
            </w:tcBorders>
            <w:noWrap/>
            <w:vAlign w:val="center"/>
          </w:tcPr>
          <w:p w14:paraId="63D018D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22,500</w:t>
            </w:r>
          </w:p>
        </w:tc>
        <w:tc>
          <w:tcPr>
            <w:tcW w:w="768" w:type="dxa"/>
            <w:tcBorders>
              <w:top w:val="single" w:sz="4" w:space="0" w:color="auto"/>
              <w:left w:val="single" w:sz="4" w:space="0" w:color="auto"/>
              <w:bottom w:val="single" w:sz="4" w:space="0" w:color="auto"/>
              <w:right w:val="single" w:sz="4" w:space="0" w:color="auto"/>
            </w:tcBorders>
            <w:noWrap/>
            <w:vAlign w:val="center"/>
          </w:tcPr>
          <w:p w14:paraId="41551B2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8FEE84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31,500</w:t>
            </w:r>
          </w:p>
        </w:tc>
        <w:tc>
          <w:tcPr>
            <w:tcW w:w="768" w:type="dxa"/>
            <w:tcBorders>
              <w:top w:val="single" w:sz="4" w:space="0" w:color="auto"/>
              <w:left w:val="single" w:sz="4" w:space="0" w:color="auto"/>
              <w:bottom w:val="single" w:sz="4" w:space="0" w:color="auto"/>
              <w:right w:val="single" w:sz="4" w:space="0" w:color="auto"/>
            </w:tcBorders>
            <w:noWrap/>
            <w:vAlign w:val="center"/>
          </w:tcPr>
          <w:p w14:paraId="6622C2F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E9E544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40,500</w:t>
            </w:r>
          </w:p>
        </w:tc>
        <w:tc>
          <w:tcPr>
            <w:tcW w:w="768" w:type="dxa"/>
            <w:tcBorders>
              <w:top w:val="single" w:sz="4" w:space="0" w:color="auto"/>
              <w:left w:val="single" w:sz="4" w:space="0" w:color="auto"/>
              <w:bottom w:val="single" w:sz="4" w:space="0" w:color="auto"/>
              <w:right w:val="single" w:sz="4" w:space="0" w:color="auto"/>
            </w:tcBorders>
            <w:vAlign w:val="center"/>
          </w:tcPr>
          <w:p w14:paraId="7B13D36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30,000</w:t>
            </w:r>
          </w:p>
        </w:tc>
      </w:tr>
      <w:tr w:rsidR="00711FE4" w:rsidRPr="00711FE4" w14:paraId="3C27A4F6"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57E7389B"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$20,000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5C73668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23129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26,000</w:t>
            </w:r>
          </w:p>
        </w:tc>
        <w:tc>
          <w:tcPr>
            <w:tcW w:w="768" w:type="dxa"/>
            <w:tcBorders>
              <w:top w:val="single" w:sz="4" w:space="0" w:color="auto"/>
              <w:left w:val="single" w:sz="4" w:space="0" w:color="auto"/>
              <w:bottom w:val="single" w:sz="4" w:space="0" w:color="auto"/>
              <w:right w:val="single" w:sz="4" w:space="0" w:color="auto"/>
            </w:tcBorders>
            <w:noWrap/>
            <w:vAlign w:val="center"/>
          </w:tcPr>
          <w:p w14:paraId="43057EE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32,000</w:t>
            </w:r>
          </w:p>
        </w:tc>
        <w:tc>
          <w:tcPr>
            <w:tcW w:w="767" w:type="dxa"/>
            <w:tcBorders>
              <w:top w:val="single" w:sz="4" w:space="0" w:color="auto"/>
              <w:left w:val="single" w:sz="4" w:space="0" w:color="auto"/>
              <w:bottom w:val="single" w:sz="4" w:space="0" w:color="auto"/>
              <w:right w:val="single" w:sz="4" w:space="0" w:color="auto"/>
            </w:tcBorders>
            <w:noWrap/>
            <w:vAlign w:val="center"/>
          </w:tcPr>
          <w:p w14:paraId="44E2892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38,000</w:t>
            </w:r>
          </w:p>
        </w:tc>
        <w:tc>
          <w:tcPr>
            <w:tcW w:w="768" w:type="dxa"/>
            <w:tcBorders>
              <w:top w:val="single" w:sz="4" w:space="0" w:color="auto"/>
              <w:left w:val="single" w:sz="4" w:space="0" w:color="auto"/>
              <w:bottom w:val="single" w:sz="4" w:space="0" w:color="auto"/>
              <w:right w:val="single" w:sz="4" w:space="0" w:color="auto"/>
            </w:tcBorders>
            <w:noWrap/>
            <w:vAlign w:val="center"/>
          </w:tcPr>
          <w:p w14:paraId="41B3CB0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981623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36,000</w:t>
            </w:r>
          </w:p>
        </w:tc>
        <w:tc>
          <w:tcPr>
            <w:tcW w:w="767" w:type="dxa"/>
            <w:tcBorders>
              <w:top w:val="single" w:sz="4" w:space="0" w:color="auto"/>
              <w:left w:val="single" w:sz="4" w:space="0" w:color="auto"/>
              <w:bottom w:val="single" w:sz="4" w:space="0" w:color="auto"/>
              <w:right w:val="single" w:sz="4" w:space="0" w:color="auto"/>
            </w:tcBorders>
            <w:noWrap/>
            <w:vAlign w:val="center"/>
          </w:tcPr>
          <w:p w14:paraId="63A12C5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42,000</w:t>
            </w:r>
          </w:p>
        </w:tc>
        <w:tc>
          <w:tcPr>
            <w:tcW w:w="768" w:type="dxa"/>
            <w:tcBorders>
              <w:top w:val="single" w:sz="4" w:space="0" w:color="auto"/>
              <w:left w:val="single" w:sz="4" w:space="0" w:color="auto"/>
              <w:bottom w:val="single" w:sz="4" w:space="0" w:color="auto"/>
              <w:right w:val="single" w:sz="4" w:space="0" w:color="auto"/>
            </w:tcBorders>
            <w:noWrap/>
            <w:vAlign w:val="center"/>
          </w:tcPr>
          <w:p w14:paraId="39301D4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48,000</w:t>
            </w:r>
          </w:p>
        </w:tc>
        <w:tc>
          <w:tcPr>
            <w:tcW w:w="768" w:type="dxa"/>
            <w:tcBorders>
              <w:top w:val="single" w:sz="4" w:space="0" w:color="auto"/>
              <w:left w:val="single" w:sz="4" w:space="0" w:color="auto"/>
              <w:bottom w:val="single" w:sz="4" w:space="0" w:color="auto"/>
              <w:right w:val="single" w:sz="4" w:space="0" w:color="auto"/>
            </w:tcBorders>
            <w:noWrap/>
            <w:vAlign w:val="center"/>
          </w:tcPr>
          <w:p w14:paraId="05E0857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54,000</w:t>
            </w:r>
          </w:p>
        </w:tc>
        <w:tc>
          <w:tcPr>
            <w:tcW w:w="768" w:type="dxa"/>
            <w:tcBorders>
              <w:top w:val="single" w:sz="4" w:space="0" w:color="auto"/>
              <w:left w:val="single" w:sz="4" w:space="0" w:color="auto"/>
              <w:bottom w:val="single" w:sz="4" w:space="0" w:color="auto"/>
              <w:right w:val="single" w:sz="4" w:space="0" w:color="auto"/>
            </w:tcBorders>
            <w:vAlign w:val="center"/>
          </w:tcPr>
          <w:p w14:paraId="116DCB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40,000</w:t>
            </w:r>
          </w:p>
        </w:tc>
      </w:tr>
      <w:tr w:rsidR="00711FE4" w:rsidRPr="00711FE4" w14:paraId="3D124C73"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57F0540C"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$25,000</w:t>
            </w:r>
          </w:p>
        </w:tc>
        <w:tc>
          <w:tcPr>
            <w:tcW w:w="767" w:type="dxa"/>
            <w:tcBorders>
              <w:top w:val="single" w:sz="4" w:space="0" w:color="auto"/>
              <w:left w:val="single" w:sz="4" w:space="0" w:color="auto"/>
              <w:bottom w:val="single" w:sz="4" w:space="0" w:color="auto"/>
              <w:right w:val="single" w:sz="4" w:space="0" w:color="auto"/>
            </w:tcBorders>
            <w:noWrap/>
            <w:vAlign w:val="center"/>
          </w:tcPr>
          <w:p w14:paraId="39D532A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25,000</w:t>
            </w:r>
          </w:p>
        </w:tc>
        <w:tc>
          <w:tcPr>
            <w:tcW w:w="76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3058996" w14:textId="77777777" w:rsidR="00711FE4" w:rsidRPr="00711FE4" w:rsidRDefault="00711FE4" w:rsidP="00711FE4">
            <w:pPr>
              <w:spacing w:after="0" w:line="240" w:lineRule="auto"/>
              <w:jc w:val="center"/>
              <w:rPr>
                <w:rFonts w:ascii="Arial" w:eastAsia="Times New Roman" w:hAnsi="Arial"/>
                <w:b/>
                <w:color w:val="000000"/>
                <w:sz w:val="14"/>
                <w:szCs w:val="14"/>
                <w:lang w:val="en-GB"/>
              </w:rPr>
            </w:pPr>
            <w:r w:rsidRPr="00711FE4">
              <w:rPr>
                <w:rFonts w:ascii="Arial" w:eastAsia="Times New Roman" w:hAnsi="Arial"/>
                <w:b/>
                <w:color w:val="000000"/>
                <w:sz w:val="14"/>
                <w:szCs w:val="14"/>
                <w:lang w:val="en-GB"/>
              </w:rPr>
              <w:t>32,500</w:t>
            </w:r>
          </w:p>
        </w:tc>
        <w:tc>
          <w:tcPr>
            <w:tcW w:w="768" w:type="dxa"/>
            <w:tcBorders>
              <w:top w:val="single" w:sz="4" w:space="0" w:color="auto"/>
              <w:left w:val="single" w:sz="4" w:space="0" w:color="auto"/>
              <w:bottom w:val="single" w:sz="4" w:space="0" w:color="auto"/>
              <w:right w:val="single" w:sz="4" w:space="0" w:color="auto"/>
            </w:tcBorders>
            <w:noWrap/>
            <w:vAlign w:val="center"/>
          </w:tcPr>
          <w:p w14:paraId="467C139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21074D8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47,500</w:t>
            </w:r>
          </w:p>
        </w:tc>
        <w:tc>
          <w:tcPr>
            <w:tcW w:w="768" w:type="dxa"/>
            <w:tcBorders>
              <w:top w:val="single" w:sz="4" w:space="0" w:color="auto"/>
              <w:left w:val="single" w:sz="4" w:space="0" w:color="auto"/>
              <w:bottom w:val="single" w:sz="4" w:space="0" w:color="auto"/>
              <w:right w:val="single" w:sz="4" w:space="0" w:color="auto"/>
            </w:tcBorders>
            <w:noWrap/>
            <w:vAlign w:val="center"/>
          </w:tcPr>
          <w:p w14:paraId="3035580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37,500</w:t>
            </w:r>
          </w:p>
        </w:tc>
        <w:tc>
          <w:tcPr>
            <w:tcW w:w="768" w:type="dxa"/>
            <w:tcBorders>
              <w:top w:val="single" w:sz="4" w:space="0" w:color="auto"/>
              <w:left w:val="single" w:sz="4" w:space="0" w:color="auto"/>
              <w:bottom w:val="single" w:sz="4" w:space="0" w:color="auto"/>
              <w:right w:val="single" w:sz="4" w:space="0" w:color="auto"/>
            </w:tcBorders>
            <w:noWrap/>
            <w:vAlign w:val="center"/>
          </w:tcPr>
          <w:p w14:paraId="097F02A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45,000</w:t>
            </w:r>
          </w:p>
        </w:tc>
        <w:tc>
          <w:tcPr>
            <w:tcW w:w="76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89568AD" w14:textId="77777777" w:rsidR="00711FE4" w:rsidRPr="00711FE4" w:rsidRDefault="00711FE4" w:rsidP="00711FE4">
            <w:pPr>
              <w:spacing w:after="0" w:line="240" w:lineRule="auto"/>
              <w:jc w:val="center"/>
              <w:rPr>
                <w:rFonts w:ascii="Arial" w:eastAsia="Times New Roman" w:hAnsi="Arial"/>
                <w:b/>
                <w:color w:val="000000"/>
                <w:sz w:val="14"/>
                <w:szCs w:val="14"/>
                <w:lang w:val="en-GB"/>
              </w:rPr>
            </w:pPr>
            <w:r w:rsidRPr="00711FE4">
              <w:rPr>
                <w:rFonts w:ascii="Arial" w:eastAsia="Times New Roman" w:hAnsi="Arial"/>
                <w:b/>
                <w:color w:val="000000"/>
                <w:sz w:val="14"/>
                <w:szCs w:val="14"/>
                <w:lang w:val="en-GB"/>
              </w:rPr>
              <w:t>52,500</w:t>
            </w:r>
          </w:p>
        </w:tc>
        <w:tc>
          <w:tcPr>
            <w:tcW w:w="768" w:type="dxa"/>
            <w:tcBorders>
              <w:top w:val="single" w:sz="4" w:space="0" w:color="auto"/>
              <w:left w:val="single" w:sz="4" w:space="0" w:color="auto"/>
              <w:bottom w:val="single" w:sz="4" w:space="0" w:color="auto"/>
              <w:right w:val="single" w:sz="4" w:space="0" w:color="auto"/>
            </w:tcBorders>
            <w:noWrap/>
            <w:vAlign w:val="center"/>
          </w:tcPr>
          <w:p w14:paraId="46DDB4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4271C5A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67,500</w:t>
            </w:r>
          </w:p>
        </w:tc>
        <w:tc>
          <w:tcPr>
            <w:tcW w:w="768" w:type="dxa"/>
            <w:tcBorders>
              <w:top w:val="single" w:sz="4" w:space="0" w:color="auto"/>
              <w:left w:val="single" w:sz="4" w:space="0" w:color="auto"/>
              <w:bottom w:val="single" w:sz="4" w:space="0" w:color="auto"/>
              <w:right w:val="single" w:sz="4" w:space="0" w:color="auto"/>
            </w:tcBorders>
            <w:vAlign w:val="center"/>
          </w:tcPr>
          <w:p w14:paraId="21B8794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50,000</w:t>
            </w:r>
          </w:p>
        </w:tc>
      </w:tr>
      <w:tr w:rsidR="00711FE4" w:rsidRPr="00711FE4" w14:paraId="0028914D"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020BAA94"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$30,000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49B983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302BC63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A5FC7A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48,000</w:t>
            </w:r>
          </w:p>
        </w:tc>
        <w:tc>
          <w:tcPr>
            <w:tcW w:w="767" w:type="dxa"/>
            <w:tcBorders>
              <w:top w:val="single" w:sz="4" w:space="0" w:color="auto"/>
              <w:left w:val="single" w:sz="4" w:space="0" w:color="auto"/>
              <w:bottom w:val="single" w:sz="4" w:space="0" w:color="auto"/>
              <w:right w:val="single" w:sz="4" w:space="0" w:color="auto"/>
            </w:tcBorders>
            <w:noWrap/>
            <w:vAlign w:val="center"/>
          </w:tcPr>
          <w:p w14:paraId="677A464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8E7D78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143606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54,000</w:t>
            </w:r>
          </w:p>
        </w:tc>
        <w:tc>
          <w:tcPr>
            <w:tcW w:w="767" w:type="dxa"/>
            <w:tcBorders>
              <w:top w:val="single" w:sz="4" w:space="0" w:color="auto"/>
              <w:left w:val="single" w:sz="4" w:space="0" w:color="auto"/>
              <w:bottom w:val="single" w:sz="4" w:space="0" w:color="auto"/>
              <w:right w:val="single" w:sz="4" w:space="0" w:color="auto"/>
            </w:tcBorders>
            <w:noWrap/>
            <w:vAlign w:val="center"/>
          </w:tcPr>
          <w:p w14:paraId="20D648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7B6A41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4C1398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81,000</w:t>
            </w:r>
          </w:p>
        </w:tc>
        <w:tc>
          <w:tcPr>
            <w:tcW w:w="768" w:type="dxa"/>
            <w:tcBorders>
              <w:top w:val="single" w:sz="4" w:space="0" w:color="auto"/>
              <w:left w:val="single" w:sz="4" w:space="0" w:color="auto"/>
              <w:bottom w:val="single" w:sz="4" w:space="0" w:color="auto"/>
              <w:right w:val="single" w:sz="4" w:space="0" w:color="auto"/>
            </w:tcBorders>
            <w:vAlign w:val="center"/>
          </w:tcPr>
          <w:p w14:paraId="53C9CF7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60,000</w:t>
            </w:r>
          </w:p>
        </w:tc>
      </w:tr>
      <w:tr w:rsidR="00711FE4" w:rsidRPr="00711FE4" w14:paraId="291AA40F"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2F5AE9A0"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$35,000</w:t>
            </w:r>
          </w:p>
        </w:tc>
        <w:tc>
          <w:tcPr>
            <w:tcW w:w="767" w:type="dxa"/>
            <w:tcBorders>
              <w:top w:val="single" w:sz="4" w:space="0" w:color="auto"/>
              <w:left w:val="single" w:sz="4" w:space="0" w:color="auto"/>
              <w:bottom w:val="single" w:sz="4" w:space="0" w:color="auto"/>
              <w:right w:val="single" w:sz="4" w:space="0" w:color="auto"/>
            </w:tcBorders>
            <w:noWrap/>
            <w:vAlign w:val="center"/>
          </w:tcPr>
          <w:p w14:paraId="4DC170D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11409C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45,500</w:t>
            </w:r>
          </w:p>
        </w:tc>
        <w:tc>
          <w:tcPr>
            <w:tcW w:w="768" w:type="dxa"/>
            <w:tcBorders>
              <w:top w:val="single" w:sz="4" w:space="0" w:color="auto"/>
              <w:left w:val="single" w:sz="4" w:space="0" w:color="auto"/>
              <w:bottom w:val="single" w:sz="4" w:space="0" w:color="auto"/>
              <w:right w:val="single" w:sz="4" w:space="0" w:color="auto"/>
            </w:tcBorders>
            <w:noWrap/>
            <w:vAlign w:val="center"/>
          </w:tcPr>
          <w:p w14:paraId="48C71C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9A8258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66,500</w:t>
            </w:r>
          </w:p>
        </w:tc>
        <w:tc>
          <w:tcPr>
            <w:tcW w:w="768" w:type="dxa"/>
            <w:tcBorders>
              <w:top w:val="single" w:sz="4" w:space="0" w:color="auto"/>
              <w:left w:val="single" w:sz="4" w:space="0" w:color="auto"/>
              <w:bottom w:val="single" w:sz="4" w:space="0" w:color="auto"/>
              <w:right w:val="single" w:sz="4" w:space="0" w:color="auto"/>
            </w:tcBorders>
            <w:noWrap/>
            <w:vAlign w:val="center"/>
          </w:tcPr>
          <w:p w14:paraId="62B4BC6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52,500</w:t>
            </w:r>
          </w:p>
        </w:tc>
        <w:tc>
          <w:tcPr>
            <w:tcW w:w="768" w:type="dxa"/>
            <w:tcBorders>
              <w:top w:val="single" w:sz="4" w:space="0" w:color="auto"/>
              <w:left w:val="single" w:sz="4" w:space="0" w:color="auto"/>
              <w:bottom w:val="single" w:sz="4" w:space="0" w:color="auto"/>
              <w:right w:val="single" w:sz="4" w:space="0" w:color="auto"/>
            </w:tcBorders>
            <w:noWrap/>
            <w:vAlign w:val="center"/>
          </w:tcPr>
          <w:p w14:paraId="4AADA2A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63,000</w:t>
            </w:r>
          </w:p>
        </w:tc>
        <w:tc>
          <w:tcPr>
            <w:tcW w:w="767" w:type="dxa"/>
            <w:tcBorders>
              <w:top w:val="single" w:sz="4" w:space="0" w:color="auto"/>
              <w:left w:val="single" w:sz="4" w:space="0" w:color="auto"/>
              <w:bottom w:val="single" w:sz="4" w:space="0" w:color="auto"/>
              <w:right w:val="single" w:sz="4" w:space="0" w:color="auto"/>
            </w:tcBorders>
            <w:noWrap/>
            <w:vAlign w:val="center"/>
          </w:tcPr>
          <w:p w14:paraId="0244A5B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73,500</w:t>
            </w:r>
          </w:p>
        </w:tc>
        <w:tc>
          <w:tcPr>
            <w:tcW w:w="768" w:type="dxa"/>
            <w:tcBorders>
              <w:top w:val="single" w:sz="4" w:space="0" w:color="auto"/>
              <w:left w:val="single" w:sz="4" w:space="0" w:color="auto"/>
              <w:bottom w:val="single" w:sz="4" w:space="0" w:color="auto"/>
              <w:right w:val="single" w:sz="4" w:space="0" w:color="auto"/>
            </w:tcBorders>
            <w:noWrap/>
            <w:vAlign w:val="center"/>
          </w:tcPr>
          <w:p w14:paraId="1E967CA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84,000</w:t>
            </w:r>
          </w:p>
        </w:tc>
        <w:tc>
          <w:tcPr>
            <w:tcW w:w="768" w:type="dxa"/>
            <w:tcBorders>
              <w:top w:val="single" w:sz="4" w:space="0" w:color="auto"/>
              <w:left w:val="single" w:sz="4" w:space="0" w:color="auto"/>
              <w:bottom w:val="single" w:sz="4" w:space="0" w:color="auto"/>
              <w:right w:val="single" w:sz="4" w:space="0" w:color="auto"/>
            </w:tcBorders>
            <w:noWrap/>
            <w:vAlign w:val="center"/>
          </w:tcPr>
          <w:p w14:paraId="0E37FE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94,500</w:t>
            </w:r>
          </w:p>
        </w:tc>
        <w:tc>
          <w:tcPr>
            <w:tcW w:w="768" w:type="dxa"/>
            <w:tcBorders>
              <w:top w:val="single" w:sz="4" w:space="0" w:color="auto"/>
              <w:left w:val="single" w:sz="4" w:space="0" w:color="auto"/>
              <w:bottom w:val="single" w:sz="4" w:space="0" w:color="auto"/>
              <w:right w:val="single" w:sz="4" w:space="0" w:color="auto"/>
            </w:tcBorders>
            <w:vAlign w:val="center"/>
          </w:tcPr>
          <w:p w14:paraId="15383A2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70,000</w:t>
            </w:r>
          </w:p>
        </w:tc>
      </w:tr>
      <w:tr w:rsidR="00711FE4" w:rsidRPr="00711FE4" w14:paraId="3F79D235"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7E14A365"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$40,000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8CD529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77E7A4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52,000</w:t>
            </w:r>
          </w:p>
        </w:tc>
        <w:tc>
          <w:tcPr>
            <w:tcW w:w="768" w:type="dxa"/>
            <w:tcBorders>
              <w:top w:val="single" w:sz="4" w:space="0" w:color="auto"/>
              <w:left w:val="single" w:sz="4" w:space="0" w:color="auto"/>
              <w:bottom w:val="single" w:sz="4" w:space="0" w:color="auto"/>
              <w:right w:val="single" w:sz="4" w:space="0" w:color="auto"/>
            </w:tcBorders>
            <w:noWrap/>
            <w:vAlign w:val="center"/>
          </w:tcPr>
          <w:p w14:paraId="0CA0D31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0CF352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76,000</w:t>
            </w:r>
          </w:p>
        </w:tc>
        <w:tc>
          <w:tcPr>
            <w:tcW w:w="768" w:type="dxa"/>
            <w:tcBorders>
              <w:top w:val="single" w:sz="4" w:space="0" w:color="auto"/>
              <w:left w:val="single" w:sz="4" w:space="0" w:color="auto"/>
              <w:bottom w:val="single" w:sz="4" w:space="0" w:color="auto"/>
              <w:right w:val="single" w:sz="4" w:space="0" w:color="auto"/>
            </w:tcBorders>
            <w:noWrap/>
            <w:vAlign w:val="center"/>
          </w:tcPr>
          <w:p w14:paraId="7836250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503768E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8C0BE1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5492D1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96,000</w:t>
            </w:r>
          </w:p>
        </w:tc>
        <w:tc>
          <w:tcPr>
            <w:tcW w:w="768" w:type="dxa"/>
            <w:tcBorders>
              <w:top w:val="single" w:sz="4" w:space="0" w:color="auto"/>
              <w:left w:val="single" w:sz="4" w:space="0" w:color="auto"/>
              <w:bottom w:val="single" w:sz="4" w:space="0" w:color="auto"/>
              <w:right w:val="single" w:sz="4" w:space="0" w:color="auto"/>
            </w:tcBorders>
            <w:noWrap/>
            <w:vAlign w:val="center"/>
          </w:tcPr>
          <w:p w14:paraId="335439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108,000</w:t>
            </w:r>
          </w:p>
        </w:tc>
        <w:tc>
          <w:tcPr>
            <w:tcW w:w="768" w:type="dxa"/>
            <w:tcBorders>
              <w:top w:val="single" w:sz="4" w:space="0" w:color="auto"/>
              <w:left w:val="single" w:sz="4" w:space="0" w:color="auto"/>
              <w:bottom w:val="single" w:sz="4" w:space="0" w:color="auto"/>
              <w:right w:val="single" w:sz="4" w:space="0" w:color="auto"/>
            </w:tcBorders>
            <w:vAlign w:val="center"/>
          </w:tcPr>
          <w:p w14:paraId="413C404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80,000</w:t>
            </w:r>
          </w:p>
        </w:tc>
      </w:tr>
      <w:tr w:rsidR="00711FE4" w:rsidRPr="00711FE4" w14:paraId="7C8C8E1D"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3F8217DE"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$45,000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CDA669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619F22A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58,500</w:t>
            </w:r>
          </w:p>
        </w:tc>
        <w:tc>
          <w:tcPr>
            <w:tcW w:w="768" w:type="dxa"/>
            <w:tcBorders>
              <w:top w:val="single" w:sz="4" w:space="0" w:color="auto"/>
              <w:left w:val="single" w:sz="4" w:space="0" w:color="auto"/>
              <w:bottom w:val="single" w:sz="4" w:space="0" w:color="auto"/>
              <w:right w:val="single" w:sz="4" w:space="0" w:color="auto"/>
            </w:tcBorders>
            <w:noWrap/>
            <w:vAlign w:val="center"/>
          </w:tcPr>
          <w:p w14:paraId="3101FCB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72,000</w:t>
            </w:r>
          </w:p>
        </w:tc>
        <w:tc>
          <w:tcPr>
            <w:tcW w:w="767" w:type="dxa"/>
            <w:tcBorders>
              <w:top w:val="single" w:sz="4" w:space="0" w:color="auto"/>
              <w:left w:val="single" w:sz="4" w:space="0" w:color="auto"/>
              <w:bottom w:val="single" w:sz="4" w:space="0" w:color="auto"/>
              <w:right w:val="single" w:sz="4" w:space="0" w:color="auto"/>
            </w:tcBorders>
            <w:noWrap/>
            <w:vAlign w:val="center"/>
          </w:tcPr>
          <w:p w14:paraId="34490FB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85,500</w:t>
            </w:r>
          </w:p>
        </w:tc>
        <w:tc>
          <w:tcPr>
            <w:tcW w:w="768" w:type="dxa"/>
            <w:tcBorders>
              <w:top w:val="single" w:sz="4" w:space="0" w:color="auto"/>
              <w:left w:val="single" w:sz="4" w:space="0" w:color="auto"/>
              <w:bottom w:val="single" w:sz="4" w:space="0" w:color="auto"/>
              <w:right w:val="single" w:sz="4" w:space="0" w:color="auto"/>
            </w:tcBorders>
            <w:noWrap/>
            <w:vAlign w:val="center"/>
          </w:tcPr>
          <w:p w14:paraId="71EB9B8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67,500</w:t>
            </w:r>
          </w:p>
        </w:tc>
        <w:tc>
          <w:tcPr>
            <w:tcW w:w="768" w:type="dxa"/>
            <w:tcBorders>
              <w:top w:val="single" w:sz="4" w:space="0" w:color="auto"/>
              <w:left w:val="single" w:sz="4" w:space="0" w:color="auto"/>
              <w:bottom w:val="single" w:sz="4" w:space="0" w:color="auto"/>
              <w:right w:val="single" w:sz="4" w:space="0" w:color="auto"/>
            </w:tcBorders>
            <w:noWrap/>
            <w:vAlign w:val="center"/>
          </w:tcPr>
          <w:p w14:paraId="76BAFD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81,000</w:t>
            </w:r>
          </w:p>
        </w:tc>
        <w:tc>
          <w:tcPr>
            <w:tcW w:w="767" w:type="dxa"/>
            <w:tcBorders>
              <w:top w:val="single" w:sz="4" w:space="0" w:color="auto"/>
              <w:left w:val="single" w:sz="4" w:space="0" w:color="auto"/>
              <w:bottom w:val="single" w:sz="4" w:space="0" w:color="auto"/>
              <w:right w:val="single" w:sz="4" w:space="0" w:color="auto"/>
            </w:tcBorders>
            <w:noWrap/>
            <w:vAlign w:val="center"/>
          </w:tcPr>
          <w:p w14:paraId="7EA3FD4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94,500</w:t>
            </w:r>
          </w:p>
        </w:tc>
        <w:tc>
          <w:tcPr>
            <w:tcW w:w="768" w:type="dxa"/>
            <w:tcBorders>
              <w:top w:val="single" w:sz="4" w:space="0" w:color="auto"/>
              <w:left w:val="single" w:sz="4" w:space="0" w:color="auto"/>
              <w:bottom w:val="single" w:sz="4" w:space="0" w:color="auto"/>
              <w:right w:val="single" w:sz="4" w:space="0" w:color="auto"/>
            </w:tcBorders>
            <w:noWrap/>
            <w:vAlign w:val="center"/>
          </w:tcPr>
          <w:p w14:paraId="743804E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108,000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421CF3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121,500</w:t>
            </w:r>
          </w:p>
        </w:tc>
        <w:tc>
          <w:tcPr>
            <w:tcW w:w="768" w:type="dxa"/>
            <w:tcBorders>
              <w:top w:val="single" w:sz="4" w:space="0" w:color="auto"/>
              <w:left w:val="single" w:sz="4" w:space="0" w:color="auto"/>
              <w:bottom w:val="single" w:sz="4" w:space="0" w:color="auto"/>
              <w:right w:val="single" w:sz="4" w:space="0" w:color="auto"/>
            </w:tcBorders>
            <w:vAlign w:val="center"/>
          </w:tcPr>
          <w:p w14:paraId="40183A9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90,000</w:t>
            </w:r>
          </w:p>
        </w:tc>
      </w:tr>
      <w:tr w:rsidR="00711FE4" w:rsidRPr="00711FE4" w14:paraId="4F222561" w14:textId="77777777" w:rsidTr="00366F04">
        <w:trPr>
          <w:trHeight w:val="360"/>
          <w:jc w:val="center"/>
        </w:trPr>
        <w:tc>
          <w:tcPr>
            <w:tcW w:w="922" w:type="dxa"/>
            <w:tcBorders>
              <w:top w:val="single" w:sz="4" w:space="0" w:color="auto"/>
              <w:left w:val="single" w:sz="4" w:space="0" w:color="auto"/>
              <w:bottom w:val="single" w:sz="4" w:space="0" w:color="auto"/>
              <w:right w:val="single" w:sz="4" w:space="0" w:color="auto"/>
            </w:tcBorders>
            <w:noWrap/>
            <w:vAlign w:val="center"/>
          </w:tcPr>
          <w:p w14:paraId="3734F7E1" w14:textId="77777777" w:rsidR="00711FE4" w:rsidRPr="00711FE4" w:rsidRDefault="00711FE4" w:rsidP="00711FE4">
            <w:pPr>
              <w:spacing w:after="0" w:line="240" w:lineRule="auto"/>
              <w:jc w:val="center"/>
              <w:rPr>
                <w:rFonts w:ascii="Arial" w:eastAsia="Times New Roman" w:hAnsi="Arial"/>
                <w:b/>
                <w:bCs/>
                <w:color w:val="000000"/>
                <w:sz w:val="16"/>
                <w:szCs w:val="16"/>
                <w:lang w:val="en-GB"/>
              </w:rPr>
            </w:pPr>
            <w:r w:rsidRPr="00711FE4">
              <w:rPr>
                <w:rFonts w:ascii="Arial" w:eastAsia="Times New Roman" w:hAnsi="Arial"/>
                <w:b/>
                <w:bCs/>
                <w:color w:val="000000"/>
                <w:sz w:val="16"/>
                <w:szCs w:val="16"/>
                <w:lang w:val="en-GB"/>
              </w:rPr>
              <w:t>$50,000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06164AA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039DEC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67252FE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8AC353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1827F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672BE7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90,000</w:t>
            </w:r>
          </w:p>
        </w:tc>
        <w:tc>
          <w:tcPr>
            <w:tcW w:w="767" w:type="dxa"/>
            <w:tcBorders>
              <w:top w:val="single" w:sz="4" w:space="0" w:color="auto"/>
              <w:left w:val="single" w:sz="4" w:space="0" w:color="auto"/>
              <w:bottom w:val="single" w:sz="4" w:space="0" w:color="auto"/>
              <w:right w:val="single" w:sz="4" w:space="0" w:color="auto"/>
            </w:tcBorders>
            <w:noWrap/>
            <w:vAlign w:val="center"/>
          </w:tcPr>
          <w:p w14:paraId="1B013EA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105,000</w:t>
            </w:r>
          </w:p>
        </w:tc>
        <w:tc>
          <w:tcPr>
            <w:tcW w:w="768" w:type="dxa"/>
            <w:tcBorders>
              <w:top w:val="single" w:sz="4" w:space="0" w:color="auto"/>
              <w:left w:val="single" w:sz="4" w:space="0" w:color="auto"/>
              <w:bottom w:val="single" w:sz="4" w:space="0" w:color="auto"/>
              <w:right w:val="single" w:sz="4" w:space="0" w:color="auto"/>
            </w:tcBorders>
            <w:noWrap/>
            <w:vAlign w:val="center"/>
          </w:tcPr>
          <w:p w14:paraId="19CE918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120,000</w:t>
            </w:r>
          </w:p>
        </w:tc>
        <w:tc>
          <w:tcPr>
            <w:tcW w:w="768" w:type="dxa"/>
            <w:tcBorders>
              <w:top w:val="single" w:sz="4" w:space="0" w:color="auto"/>
              <w:left w:val="single" w:sz="4" w:space="0" w:color="auto"/>
              <w:bottom w:val="single" w:sz="4" w:space="0" w:color="auto"/>
              <w:right w:val="single" w:sz="4" w:space="0" w:color="auto"/>
            </w:tcBorders>
            <w:noWrap/>
            <w:vAlign w:val="center"/>
          </w:tcPr>
          <w:p w14:paraId="24B276C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135,000</w:t>
            </w:r>
          </w:p>
        </w:tc>
        <w:tc>
          <w:tcPr>
            <w:tcW w:w="768" w:type="dxa"/>
            <w:tcBorders>
              <w:top w:val="single" w:sz="4" w:space="0" w:color="auto"/>
              <w:left w:val="single" w:sz="4" w:space="0" w:color="auto"/>
              <w:bottom w:val="single" w:sz="4" w:space="0" w:color="auto"/>
              <w:right w:val="single" w:sz="4" w:space="0" w:color="auto"/>
            </w:tcBorders>
            <w:vAlign w:val="center"/>
          </w:tcPr>
          <w:p w14:paraId="6D82D4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100,000</w:t>
            </w:r>
          </w:p>
        </w:tc>
      </w:tr>
    </w:tbl>
    <w:p w14:paraId="6C00DE91" w14:textId="77777777" w:rsidR="00711FE4" w:rsidRPr="00711FE4" w:rsidRDefault="00711FE4">
      <w:pPr>
        <w:keepNext/>
        <w:numPr>
          <w:ilvl w:val="0"/>
          <w:numId w:val="106"/>
        </w:numPr>
        <w:tabs>
          <w:tab w:val="num" w:pos="360"/>
        </w:tabs>
        <w:spacing w:before="180" w:after="0" w:line="240" w:lineRule="auto"/>
        <w:ind w:left="360" w:hanging="274"/>
        <w:outlineLvl w:val="1"/>
        <w:rPr>
          <w:rFonts w:ascii="Arial" w:eastAsia="Times New Roman" w:hAnsi="Arial"/>
          <w:iCs/>
          <w:color w:val="000000"/>
          <w:kern w:val="32"/>
          <w:sz w:val="16"/>
          <w:szCs w:val="16"/>
        </w:rPr>
      </w:pPr>
      <w:r w:rsidRPr="00711FE4">
        <w:rPr>
          <w:rFonts w:ascii="Arial" w:eastAsia="Times New Roman" w:hAnsi="Arial"/>
          <w:iCs/>
          <w:color w:val="000000"/>
          <w:kern w:val="32"/>
          <w:sz w:val="16"/>
          <w:szCs w:val="16"/>
        </w:rPr>
        <w:t>This table applies the “modified OECD” equivalence scale which uses a weight of 1.0 for the first adult, 0.5 for other household members aged 14+, and 0.3 for those aged 0-13 years.  The rest of the report uses the same scale, except where it is stated otherwise.</w:t>
      </w:r>
    </w:p>
    <w:p w14:paraId="786742D4" w14:textId="77777777" w:rsidR="00711FE4" w:rsidRPr="00711FE4" w:rsidRDefault="00711FE4" w:rsidP="00711FE4">
      <w:pPr>
        <w:spacing w:after="0" w:line="240" w:lineRule="auto"/>
        <w:rPr>
          <w:rFonts w:ascii="Arial" w:eastAsia="Times New Roman" w:hAnsi="Arial"/>
          <w:sz w:val="22"/>
          <w:szCs w:val="20"/>
        </w:rPr>
      </w:pPr>
    </w:p>
    <w:p w14:paraId="2C7BBD6C" w14:textId="77777777" w:rsidR="00711FE4" w:rsidRPr="00711FE4" w:rsidRDefault="00711FE4" w:rsidP="00711FE4">
      <w:pPr>
        <w:spacing w:after="0" w:line="240" w:lineRule="auto"/>
        <w:rPr>
          <w:rFonts w:ascii="Arial" w:eastAsia="Times New Roman" w:hAnsi="Arial"/>
          <w:sz w:val="22"/>
          <w:szCs w:val="20"/>
        </w:rPr>
      </w:pPr>
    </w:p>
    <w:p w14:paraId="221E9C32" w14:textId="77777777" w:rsidR="00711FE4" w:rsidRPr="00711FE4" w:rsidRDefault="00711FE4" w:rsidP="00711FE4">
      <w:pPr>
        <w:spacing w:after="0" w:line="240" w:lineRule="auto"/>
        <w:rPr>
          <w:rFonts w:ascii="Arial" w:eastAsia="Times New Roman" w:hAnsi="Arial"/>
          <w:sz w:val="22"/>
          <w:szCs w:val="20"/>
        </w:rPr>
      </w:pPr>
    </w:p>
    <w:p w14:paraId="0B5AFA57" w14:textId="77777777" w:rsidR="00711FE4" w:rsidRPr="00711FE4" w:rsidRDefault="00711FE4" w:rsidP="00711FE4">
      <w:pPr>
        <w:spacing w:after="0" w:line="240" w:lineRule="auto"/>
        <w:rPr>
          <w:rFonts w:ascii="Arial" w:eastAsia="Times New Roman" w:hAnsi="Arial"/>
          <w:sz w:val="22"/>
          <w:szCs w:val="20"/>
        </w:rPr>
      </w:pPr>
    </w:p>
    <w:p w14:paraId="3C429CB8" w14:textId="77777777" w:rsidR="00711FE4" w:rsidRPr="00711FE4" w:rsidRDefault="00711FE4" w:rsidP="00711FE4">
      <w:pPr>
        <w:spacing w:after="0" w:line="240" w:lineRule="auto"/>
        <w:jc w:val="both"/>
        <w:rPr>
          <w:rFonts w:ascii="Arial" w:eastAsia="Times New Roman" w:hAnsi="Arial"/>
          <w:b/>
          <w:color w:val="000000"/>
          <w:sz w:val="18"/>
          <w:szCs w:val="20"/>
          <w:lang w:val="en-GB"/>
        </w:rPr>
      </w:pPr>
      <w:r w:rsidRPr="00711FE4">
        <w:rPr>
          <w:rFonts w:ascii="Arial" w:eastAsia="Times New Roman" w:hAnsi="Arial"/>
          <w:b/>
          <w:color w:val="FF0000"/>
          <w:sz w:val="18"/>
          <w:szCs w:val="20"/>
          <w:lang w:val="en-GB"/>
        </w:rPr>
        <w:br w:type="page"/>
      </w:r>
    </w:p>
    <w:p w14:paraId="628312C3" w14:textId="77777777" w:rsidR="00711FE4" w:rsidRPr="00711FE4" w:rsidRDefault="00711FE4" w:rsidP="00711FE4">
      <w:pPr>
        <w:spacing w:after="0" w:line="240" w:lineRule="auto"/>
        <w:rPr>
          <w:rFonts w:ascii="Arial" w:eastAsia="Times New Roman" w:hAnsi="Arial"/>
          <w:bCs/>
          <w:color w:val="000000"/>
          <w:szCs w:val="20"/>
          <w:lang w:val="en-GB"/>
        </w:rPr>
      </w:pPr>
      <w:r w:rsidRPr="00711FE4">
        <w:rPr>
          <w:rFonts w:ascii="Arial" w:eastAsia="Times New Roman" w:hAnsi="Arial"/>
        </w:rPr>
        <w:lastRenderedPageBreak/>
        <w:t>Many people do not have a realistic idea as to where they (and their household) fit in the income distribution.</w:t>
      </w:r>
      <w:r w:rsidRPr="00711FE4">
        <w:rPr>
          <w:rFonts w:ascii="Arial" w:eastAsia="Times New Roman" w:hAnsi="Arial"/>
          <w:vertAlign w:val="superscript"/>
        </w:rPr>
        <w:footnoteReference w:id="101"/>
      </w:r>
      <w:r w:rsidRPr="00711FE4">
        <w:rPr>
          <w:rFonts w:ascii="Arial" w:eastAsia="Times New Roman" w:hAnsi="Arial"/>
        </w:rPr>
        <w:t xml:space="preserve"> </w:t>
      </w:r>
      <w:r w:rsidRPr="00711FE4">
        <w:rPr>
          <w:rFonts w:ascii="Arial" w:eastAsia="Times New Roman" w:hAnsi="Arial"/>
          <w:b/>
          <w:color w:val="000000"/>
          <w:szCs w:val="20"/>
          <w:lang w:val="en-GB"/>
        </w:rPr>
        <w:t xml:space="preserve">Tables 8.2 </w:t>
      </w:r>
      <w:r w:rsidRPr="00711FE4">
        <w:rPr>
          <w:rFonts w:ascii="Arial" w:eastAsia="Times New Roman" w:hAnsi="Arial"/>
          <w:bCs/>
          <w:color w:val="000000"/>
          <w:szCs w:val="20"/>
          <w:lang w:val="en-GB"/>
        </w:rPr>
        <w:t xml:space="preserve">(BHC) and </w:t>
      </w:r>
      <w:r w:rsidRPr="00711FE4">
        <w:rPr>
          <w:rFonts w:ascii="Arial" w:eastAsia="Times New Roman" w:hAnsi="Arial"/>
          <w:b/>
          <w:color w:val="000000"/>
          <w:szCs w:val="20"/>
          <w:lang w:val="en-GB"/>
        </w:rPr>
        <w:t xml:space="preserve">8.3 (AHC) </w:t>
      </w:r>
      <w:r w:rsidRPr="00711FE4">
        <w:rPr>
          <w:rFonts w:ascii="Arial" w:eastAsia="Times New Roman" w:hAnsi="Arial"/>
          <w:bCs/>
          <w:color w:val="000000"/>
          <w:szCs w:val="20"/>
          <w:lang w:val="en-GB"/>
        </w:rPr>
        <w:t>give the annual (unequivalised) disposable income levels for different household types in each (equivalised) income decile. From these tables, most people will be able to locate where they and their households fit on the income distribution.</w:t>
      </w:r>
    </w:p>
    <w:p w14:paraId="5973AD76" w14:textId="77777777" w:rsidR="00711FE4" w:rsidRPr="00711FE4" w:rsidRDefault="00711FE4" w:rsidP="00711FE4">
      <w:pPr>
        <w:spacing w:after="0" w:line="240" w:lineRule="auto"/>
        <w:rPr>
          <w:rFonts w:ascii="Arial" w:eastAsia="Times New Roman" w:hAnsi="Arial"/>
          <w:bCs/>
          <w:color w:val="000000"/>
          <w:szCs w:val="20"/>
          <w:lang w:val="en-GB"/>
        </w:rPr>
      </w:pPr>
    </w:p>
    <w:p w14:paraId="45D273EA" w14:textId="77777777" w:rsidR="00711FE4" w:rsidRPr="00711FE4" w:rsidRDefault="00711FE4" w:rsidP="00711FE4">
      <w:pPr>
        <w:spacing w:after="0" w:line="240" w:lineRule="auto"/>
        <w:jc w:val="both"/>
        <w:rPr>
          <w:rFonts w:ascii="Arial" w:eastAsia="Times New Roman" w:hAnsi="Arial"/>
          <w:szCs w:val="20"/>
        </w:rPr>
      </w:pPr>
      <w:r w:rsidRPr="00711FE4">
        <w:rPr>
          <w:rFonts w:ascii="Arial" w:eastAsia="Times New Roman" w:hAnsi="Arial"/>
          <w:szCs w:val="20"/>
        </w:rPr>
        <w:t xml:space="preserve">To use these tables, select the column heading that best describes your household situation. Go down the column until you find your household’s disposable income range (ie annual </w:t>
      </w:r>
      <w:r w:rsidRPr="00711FE4">
        <w:rPr>
          <w:rFonts w:ascii="Arial" w:eastAsia="Times New Roman" w:hAnsi="Arial"/>
          <w:szCs w:val="20"/>
          <w:u w:val="single"/>
        </w:rPr>
        <w:t>after-tax</w:t>
      </w:r>
      <w:r w:rsidRPr="00711FE4">
        <w:rPr>
          <w:rFonts w:ascii="Arial" w:eastAsia="Times New Roman" w:hAnsi="Arial"/>
          <w:szCs w:val="20"/>
        </w:rPr>
        <w:t xml:space="preserve"> income, including all social assistance and tax credits from the state). The row gives the equivalised income decile for your household income. For example, a household comprising a sole parent with two children with a disposable income of $51,000 pa is in decile 2.</w:t>
      </w:r>
      <w:r w:rsidRPr="00711FE4">
        <w:rPr>
          <w:rFonts w:ascii="Arial" w:eastAsia="Times New Roman" w:hAnsi="Arial"/>
          <w:szCs w:val="20"/>
          <w:vertAlign w:val="superscript"/>
        </w:rPr>
        <w:footnoteReference w:id="102"/>
      </w:r>
    </w:p>
    <w:p w14:paraId="35B5AF00" w14:textId="77777777" w:rsidR="00711FE4" w:rsidRPr="00711FE4" w:rsidRDefault="00711FE4" w:rsidP="00711FE4">
      <w:pPr>
        <w:spacing w:after="0" w:line="240" w:lineRule="auto"/>
        <w:rPr>
          <w:rFonts w:ascii="Arial" w:eastAsia="Times New Roman" w:hAnsi="Arial"/>
          <w:bCs/>
          <w:color w:val="000000"/>
          <w:szCs w:val="20"/>
          <w:lang w:val="en-GB"/>
        </w:rPr>
      </w:pPr>
    </w:p>
    <w:p w14:paraId="1607686C" w14:textId="77777777" w:rsidR="00711FE4" w:rsidRPr="00711FE4" w:rsidRDefault="00711FE4" w:rsidP="00711FE4">
      <w:pPr>
        <w:tabs>
          <w:tab w:val="left" w:pos="180"/>
        </w:tabs>
        <w:spacing w:after="0" w:line="240" w:lineRule="auto"/>
        <w:ind w:left="187" w:hanging="187"/>
        <w:jc w:val="center"/>
        <w:rPr>
          <w:rFonts w:ascii="Arial" w:eastAsia="Times New Roman" w:hAnsi="Arial"/>
          <w:b/>
          <w:color w:val="000000"/>
          <w:sz w:val="18"/>
          <w:szCs w:val="20"/>
          <w:lang w:val="en-GB"/>
        </w:rPr>
      </w:pPr>
    </w:p>
    <w:p w14:paraId="353DAD69" w14:textId="77777777" w:rsidR="00711FE4" w:rsidRPr="00711FE4" w:rsidRDefault="00711FE4" w:rsidP="00711FE4">
      <w:pPr>
        <w:tabs>
          <w:tab w:val="left" w:pos="180"/>
        </w:tabs>
        <w:spacing w:after="0" w:line="240" w:lineRule="auto"/>
        <w:ind w:left="187" w:hanging="187"/>
        <w:jc w:val="center"/>
        <w:rPr>
          <w:rFonts w:ascii="Arial" w:eastAsia="Times New Roman" w:hAnsi="Arial"/>
          <w:b/>
          <w:color w:val="000000"/>
          <w:sz w:val="18"/>
          <w:szCs w:val="20"/>
          <w:lang w:val="en-GB"/>
        </w:rPr>
      </w:pPr>
      <w:r w:rsidRPr="00711FE4">
        <w:rPr>
          <w:rFonts w:ascii="Arial" w:eastAsia="Times New Roman" w:hAnsi="Arial"/>
          <w:b/>
          <w:color w:val="000000"/>
          <w:sz w:val="18"/>
          <w:szCs w:val="20"/>
          <w:lang w:val="en-GB"/>
        </w:rPr>
        <w:t>Table 8.2</w:t>
      </w:r>
    </w:p>
    <w:p w14:paraId="1A325523" w14:textId="77777777" w:rsidR="00711FE4" w:rsidRPr="00711FE4" w:rsidRDefault="00711FE4" w:rsidP="00711FE4">
      <w:pPr>
        <w:keepNext/>
        <w:spacing w:after="0" w:line="240" w:lineRule="auto"/>
        <w:jc w:val="center"/>
        <w:outlineLvl w:val="1"/>
        <w:rPr>
          <w:rFonts w:ascii="Arial" w:eastAsia="Times New Roman" w:hAnsi="Arial"/>
          <w:b/>
          <w:iCs/>
          <w:color w:val="000000"/>
          <w:kern w:val="32"/>
          <w:sz w:val="18"/>
          <w:szCs w:val="20"/>
        </w:rPr>
      </w:pPr>
      <w:bookmarkStart w:id="31" w:name="_Toc115142443"/>
      <w:r w:rsidRPr="00711FE4">
        <w:rPr>
          <w:rFonts w:ascii="Arial" w:eastAsia="Times New Roman" w:hAnsi="Arial"/>
          <w:b/>
          <w:iCs/>
          <w:color w:val="000000"/>
          <w:kern w:val="32"/>
          <w:sz w:val="18"/>
          <w:szCs w:val="20"/>
        </w:rPr>
        <w:t>Where does your household fit in the overall household income distribution (BHC)?</w:t>
      </w:r>
      <w:bookmarkEnd w:id="31"/>
    </w:p>
    <w:p w14:paraId="17F8D7D7" w14:textId="77777777" w:rsidR="00711FE4" w:rsidRPr="00711FE4" w:rsidRDefault="00711FE4" w:rsidP="00711FE4">
      <w:pPr>
        <w:spacing w:line="240" w:lineRule="auto"/>
        <w:jc w:val="center"/>
        <w:rPr>
          <w:rFonts w:ascii="Arial" w:eastAsia="Times New Roman" w:hAnsi="Arial" w:cs="Times New Roman"/>
          <w:color w:val="000000"/>
          <w:sz w:val="22"/>
          <w:szCs w:val="20"/>
          <w:lang w:val="en-GB"/>
        </w:rPr>
      </w:pPr>
      <w:r w:rsidRPr="00711FE4">
        <w:rPr>
          <w:rFonts w:ascii="Arial" w:eastAsia="Times New Roman" w:hAnsi="Arial"/>
          <w:b/>
          <w:color w:val="000000"/>
          <w:sz w:val="18"/>
          <w:szCs w:val="20"/>
          <w:lang w:val="en-GB"/>
        </w:rPr>
        <w:t>HILS 2024-25</w:t>
      </w: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8" w:type="dxa"/>
          <w:right w:w="115" w:type="dxa"/>
        </w:tblCellMar>
        <w:tblLook w:val="01E0" w:firstRow="1" w:lastRow="1" w:firstColumn="1" w:lastColumn="1" w:noHBand="0" w:noVBand="0"/>
      </w:tblPr>
      <w:tblGrid>
        <w:gridCol w:w="1153"/>
        <w:gridCol w:w="1473"/>
        <w:gridCol w:w="1439"/>
        <w:gridCol w:w="1439"/>
        <w:gridCol w:w="1632"/>
        <w:gridCol w:w="1547"/>
      </w:tblGrid>
      <w:tr w:rsidR="00711FE4" w:rsidRPr="00711FE4" w14:paraId="5CE61021" w14:textId="77777777" w:rsidTr="00366F04">
        <w:trPr>
          <w:trHeight w:hRule="exact" w:val="357"/>
          <w:jc w:val="center"/>
        </w:trPr>
        <w:tc>
          <w:tcPr>
            <w:tcW w:w="1153" w:type="dxa"/>
            <w:vMerge w:val="restart"/>
            <w:tcBorders>
              <w:right w:val="single" w:sz="4" w:space="0" w:color="auto"/>
            </w:tcBorders>
            <w:tcMar>
              <w:left w:w="58" w:type="dxa"/>
              <w:right w:w="58" w:type="dxa"/>
            </w:tcMar>
            <w:vAlign w:val="center"/>
          </w:tcPr>
          <w:p w14:paraId="407D0874" w14:textId="77777777" w:rsidR="00711FE4" w:rsidRPr="00711FE4" w:rsidRDefault="00711FE4" w:rsidP="00711FE4">
            <w:pPr>
              <w:keepNext/>
              <w:spacing w:after="0" w:line="240" w:lineRule="auto"/>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Equivalised income decile</w:t>
            </w:r>
          </w:p>
        </w:tc>
        <w:tc>
          <w:tcPr>
            <w:tcW w:w="7530" w:type="dxa"/>
            <w:gridSpan w:val="5"/>
            <w:tcBorders>
              <w:top w:val="single" w:sz="4" w:space="0" w:color="auto"/>
              <w:left w:val="single" w:sz="4" w:space="0" w:color="auto"/>
              <w:bottom w:val="single" w:sz="4" w:space="0" w:color="auto"/>
            </w:tcBorders>
            <w:tcMar>
              <w:left w:w="14" w:type="dxa"/>
              <w:right w:w="14" w:type="dxa"/>
            </w:tcMar>
            <w:vAlign w:val="center"/>
          </w:tcPr>
          <w:p w14:paraId="17BA3092"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Ordinary dollars (ie not equivalised)</w:t>
            </w:r>
          </w:p>
        </w:tc>
      </w:tr>
      <w:tr w:rsidR="00711FE4" w:rsidRPr="00711FE4" w14:paraId="10FBB382" w14:textId="77777777" w:rsidTr="00366F04">
        <w:trPr>
          <w:trHeight w:hRule="exact" w:val="739"/>
          <w:jc w:val="center"/>
        </w:trPr>
        <w:tc>
          <w:tcPr>
            <w:tcW w:w="1153" w:type="dxa"/>
            <w:vMerge/>
            <w:tcBorders>
              <w:bottom w:val="single" w:sz="4" w:space="0" w:color="auto"/>
              <w:right w:val="single" w:sz="4" w:space="0" w:color="auto"/>
            </w:tcBorders>
            <w:tcMar>
              <w:left w:w="58" w:type="dxa"/>
              <w:right w:w="58" w:type="dxa"/>
            </w:tcMar>
            <w:vAlign w:val="center"/>
          </w:tcPr>
          <w:p w14:paraId="01059995" w14:textId="77777777" w:rsidR="00711FE4" w:rsidRPr="00711FE4" w:rsidRDefault="00711FE4" w:rsidP="00711FE4">
            <w:pPr>
              <w:keepNext/>
              <w:spacing w:after="0" w:line="240" w:lineRule="auto"/>
              <w:jc w:val="center"/>
              <w:outlineLvl w:val="1"/>
              <w:rPr>
                <w:rFonts w:ascii="Arial" w:eastAsia="Times New Roman" w:hAnsi="Arial"/>
                <w:b/>
                <w:iCs/>
                <w:color w:val="000000"/>
                <w:kern w:val="32"/>
                <w:sz w:val="16"/>
                <w:szCs w:val="16"/>
              </w:rPr>
            </w:pPr>
          </w:p>
        </w:tc>
        <w:tc>
          <w:tcPr>
            <w:tcW w:w="1473" w:type="dxa"/>
            <w:tcBorders>
              <w:top w:val="single" w:sz="4" w:space="0" w:color="auto"/>
              <w:left w:val="single" w:sz="4" w:space="0" w:color="auto"/>
              <w:bottom w:val="single" w:sz="4" w:space="0" w:color="auto"/>
              <w:right w:val="single" w:sz="4" w:space="0" w:color="auto"/>
            </w:tcBorders>
            <w:tcMar>
              <w:left w:w="14" w:type="dxa"/>
              <w:right w:w="14" w:type="dxa"/>
            </w:tcMar>
            <w:vAlign w:val="center"/>
          </w:tcPr>
          <w:p w14:paraId="4EE1A991"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bookmarkStart w:id="32" w:name="_Toc115142444"/>
            <w:r w:rsidRPr="00711FE4">
              <w:rPr>
                <w:rFonts w:ascii="Arial" w:eastAsia="Times New Roman" w:hAnsi="Arial"/>
                <w:b/>
                <w:iCs/>
                <w:color w:val="000000"/>
                <w:kern w:val="32"/>
                <w:sz w:val="16"/>
                <w:szCs w:val="16"/>
              </w:rPr>
              <w:t>One person,</w:t>
            </w:r>
            <w:bookmarkEnd w:id="32"/>
          </w:p>
          <w:p w14:paraId="4233019C"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bookmarkStart w:id="33" w:name="_Toc115142445"/>
            <w:r w:rsidRPr="00711FE4">
              <w:rPr>
                <w:rFonts w:ascii="Arial" w:eastAsia="Times New Roman" w:hAnsi="Arial"/>
                <w:b/>
                <w:iCs/>
                <w:color w:val="000000"/>
                <w:kern w:val="32"/>
                <w:sz w:val="16"/>
                <w:szCs w:val="16"/>
              </w:rPr>
              <w:t>no children</w:t>
            </w:r>
            <w:bookmarkEnd w:id="33"/>
          </w:p>
          <w:p w14:paraId="39D18C1F" w14:textId="77777777" w:rsidR="00711FE4" w:rsidRPr="00711FE4" w:rsidRDefault="00711FE4" w:rsidP="00711FE4">
            <w:pPr>
              <w:spacing w:after="0" w:line="240" w:lineRule="auto"/>
              <w:ind w:left="-12" w:right="-14"/>
              <w:jc w:val="center"/>
              <w:rPr>
                <w:rFonts w:ascii="Arial" w:eastAsia="Times New Roman" w:hAnsi="Arial"/>
                <w:b/>
                <w:color w:val="000000"/>
                <w:sz w:val="16"/>
                <w:szCs w:val="16"/>
              </w:rPr>
            </w:pPr>
            <w:r w:rsidRPr="00711FE4">
              <w:rPr>
                <w:rFonts w:ascii="Arial" w:eastAsia="Times New Roman" w:hAnsi="Arial"/>
                <w:b/>
                <w:color w:val="000000"/>
                <w:sz w:val="16"/>
                <w:szCs w:val="16"/>
              </w:rPr>
              <w:t>(reference HH)</w:t>
            </w:r>
          </w:p>
        </w:tc>
        <w:tc>
          <w:tcPr>
            <w:tcW w:w="1439" w:type="dxa"/>
            <w:tcBorders>
              <w:top w:val="single" w:sz="4" w:space="0" w:color="auto"/>
              <w:left w:val="single" w:sz="4" w:space="0" w:color="auto"/>
              <w:bottom w:val="single" w:sz="4" w:space="0" w:color="auto"/>
              <w:right w:val="single" w:sz="4" w:space="0" w:color="auto"/>
            </w:tcBorders>
            <w:vAlign w:val="center"/>
          </w:tcPr>
          <w:p w14:paraId="36F961EC"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bookmarkStart w:id="34" w:name="_Toc115142446"/>
            <w:r w:rsidRPr="00711FE4">
              <w:rPr>
                <w:rFonts w:ascii="Arial" w:eastAsia="Times New Roman" w:hAnsi="Arial"/>
                <w:b/>
                <w:iCs/>
                <w:color w:val="000000"/>
                <w:kern w:val="32"/>
                <w:sz w:val="16"/>
                <w:szCs w:val="16"/>
              </w:rPr>
              <w:t>Sole parent, one chil</w:t>
            </w:r>
            <w:bookmarkEnd w:id="34"/>
            <w:r w:rsidRPr="00711FE4">
              <w:rPr>
                <w:rFonts w:ascii="Arial" w:eastAsia="Times New Roman" w:hAnsi="Arial"/>
                <w:b/>
                <w:iCs/>
                <w:color w:val="000000"/>
                <w:kern w:val="32"/>
                <w:sz w:val="16"/>
                <w:szCs w:val="16"/>
              </w:rPr>
              <w:t>d</w:t>
            </w:r>
          </w:p>
        </w:tc>
        <w:tc>
          <w:tcPr>
            <w:tcW w:w="1439" w:type="dxa"/>
            <w:tcBorders>
              <w:top w:val="single" w:sz="4" w:space="0" w:color="auto"/>
              <w:left w:val="single" w:sz="4" w:space="0" w:color="auto"/>
              <w:bottom w:val="single" w:sz="4" w:space="0" w:color="auto"/>
              <w:right w:val="single" w:sz="4" w:space="0" w:color="auto"/>
            </w:tcBorders>
            <w:vAlign w:val="center"/>
          </w:tcPr>
          <w:p w14:paraId="182E5A5A"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Sole parent, two children</w:t>
            </w:r>
          </w:p>
        </w:tc>
        <w:tc>
          <w:tcPr>
            <w:tcW w:w="1632" w:type="dxa"/>
            <w:tcBorders>
              <w:top w:val="single" w:sz="4" w:space="0" w:color="auto"/>
              <w:left w:val="single" w:sz="4" w:space="0" w:color="auto"/>
              <w:bottom w:val="single" w:sz="4" w:space="0" w:color="auto"/>
              <w:right w:val="single" w:sz="4" w:space="0" w:color="auto"/>
            </w:tcBorders>
            <w:vAlign w:val="center"/>
          </w:tcPr>
          <w:p w14:paraId="454CEA57"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Sole parent,   three children</w:t>
            </w:r>
          </w:p>
        </w:tc>
        <w:tc>
          <w:tcPr>
            <w:tcW w:w="1547" w:type="dxa"/>
            <w:tcBorders>
              <w:top w:val="single" w:sz="4" w:space="0" w:color="auto"/>
              <w:left w:val="single" w:sz="4" w:space="0" w:color="auto"/>
              <w:bottom w:val="single" w:sz="4" w:space="0" w:color="auto"/>
            </w:tcBorders>
            <w:tcMar>
              <w:left w:w="14" w:type="dxa"/>
              <w:right w:w="14" w:type="dxa"/>
            </w:tcMar>
            <w:vAlign w:val="center"/>
          </w:tcPr>
          <w:p w14:paraId="32C6D590"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Sole parent,        four children</w:t>
            </w:r>
          </w:p>
        </w:tc>
      </w:tr>
      <w:tr w:rsidR="00711FE4" w:rsidRPr="00711FE4" w14:paraId="17B9442F" w14:textId="77777777" w:rsidTr="00366F04">
        <w:trPr>
          <w:trHeight w:hRule="exact" w:val="432"/>
          <w:jc w:val="center"/>
        </w:trPr>
        <w:tc>
          <w:tcPr>
            <w:tcW w:w="1153" w:type="dxa"/>
            <w:tcBorders>
              <w:top w:val="single" w:sz="4" w:space="0" w:color="auto"/>
            </w:tcBorders>
            <w:tcMar>
              <w:left w:w="130" w:type="dxa"/>
              <w:right w:w="58" w:type="dxa"/>
            </w:tcMar>
            <w:vAlign w:val="center"/>
          </w:tcPr>
          <w:p w14:paraId="23222C90"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35" w:name="_Toc115142450"/>
            <w:r w:rsidRPr="00711FE4">
              <w:rPr>
                <w:rFonts w:ascii="Arial" w:eastAsia="Times New Roman" w:hAnsi="Arial"/>
                <w:b/>
                <w:iCs/>
                <w:color w:val="000000"/>
                <w:kern w:val="32"/>
                <w:sz w:val="16"/>
                <w:szCs w:val="16"/>
              </w:rPr>
              <w:t>Bottom decile</w:t>
            </w:r>
            <w:bookmarkEnd w:id="35"/>
          </w:p>
        </w:tc>
        <w:tc>
          <w:tcPr>
            <w:tcW w:w="1473" w:type="dxa"/>
            <w:tcBorders>
              <w:top w:val="single" w:sz="4" w:space="0" w:color="auto"/>
            </w:tcBorders>
            <w:vAlign w:val="center"/>
          </w:tcPr>
          <w:p w14:paraId="71145B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$28,200</w:t>
            </w:r>
          </w:p>
        </w:tc>
        <w:tc>
          <w:tcPr>
            <w:tcW w:w="1439" w:type="dxa"/>
            <w:tcBorders>
              <w:top w:val="single" w:sz="4" w:space="0" w:color="auto"/>
            </w:tcBorders>
            <w:vAlign w:val="center"/>
          </w:tcPr>
          <w:p w14:paraId="3514248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$36,600</w:t>
            </w:r>
          </w:p>
        </w:tc>
        <w:tc>
          <w:tcPr>
            <w:tcW w:w="1439" w:type="dxa"/>
            <w:tcBorders>
              <w:top w:val="single" w:sz="4" w:space="0" w:color="auto"/>
            </w:tcBorders>
            <w:vAlign w:val="center"/>
          </w:tcPr>
          <w:p w14:paraId="60CAAF7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$45,100</w:t>
            </w:r>
          </w:p>
        </w:tc>
        <w:tc>
          <w:tcPr>
            <w:tcW w:w="1632" w:type="dxa"/>
            <w:tcBorders>
              <w:top w:val="single" w:sz="4" w:space="0" w:color="auto"/>
            </w:tcBorders>
            <w:vAlign w:val="center"/>
          </w:tcPr>
          <w:p w14:paraId="5AB9CF8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$53,600</w:t>
            </w:r>
          </w:p>
        </w:tc>
        <w:tc>
          <w:tcPr>
            <w:tcW w:w="1547" w:type="dxa"/>
            <w:tcBorders>
              <w:top w:val="single" w:sz="4" w:space="0" w:color="auto"/>
            </w:tcBorders>
            <w:tcMar>
              <w:left w:w="0" w:type="dxa"/>
              <w:right w:w="0" w:type="dxa"/>
            </w:tcMar>
            <w:vAlign w:val="center"/>
          </w:tcPr>
          <w:p w14:paraId="255A63F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$62,000</w:t>
            </w:r>
          </w:p>
        </w:tc>
      </w:tr>
      <w:tr w:rsidR="00711FE4" w:rsidRPr="00711FE4" w14:paraId="4CC90490" w14:textId="77777777" w:rsidTr="00366F04">
        <w:trPr>
          <w:trHeight w:hRule="exact" w:val="432"/>
          <w:jc w:val="center"/>
        </w:trPr>
        <w:tc>
          <w:tcPr>
            <w:tcW w:w="1153" w:type="dxa"/>
            <w:tcMar>
              <w:left w:w="130" w:type="dxa"/>
            </w:tcMar>
            <w:vAlign w:val="center"/>
          </w:tcPr>
          <w:p w14:paraId="39798FEC"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36" w:name="_Toc115142455"/>
            <w:r w:rsidRPr="00711FE4">
              <w:rPr>
                <w:rFonts w:ascii="Arial" w:eastAsia="Times New Roman" w:hAnsi="Arial"/>
                <w:b/>
                <w:iCs/>
                <w:color w:val="000000"/>
                <w:kern w:val="32"/>
                <w:sz w:val="16"/>
                <w:szCs w:val="16"/>
              </w:rPr>
              <w:t>Decile 2</w:t>
            </w:r>
            <w:bookmarkEnd w:id="36"/>
          </w:p>
        </w:tc>
        <w:tc>
          <w:tcPr>
            <w:tcW w:w="1473" w:type="dxa"/>
            <w:vAlign w:val="center"/>
          </w:tcPr>
          <w:p w14:paraId="07932A3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28,200 - 34,400</w:t>
            </w:r>
          </w:p>
        </w:tc>
        <w:tc>
          <w:tcPr>
            <w:tcW w:w="1439" w:type="dxa"/>
            <w:vAlign w:val="center"/>
          </w:tcPr>
          <w:p w14:paraId="33C6BBB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36,600 - 44,700</w:t>
            </w:r>
          </w:p>
        </w:tc>
        <w:tc>
          <w:tcPr>
            <w:tcW w:w="1439" w:type="dxa"/>
            <w:vAlign w:val="center"/>
          </w:tcPr>
          <w:p w14:paraId="6A1C6F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45,100 - 55,000</w:t>
            </w:r>
          </w:p>
        </w:tc>
        <w:tc>
          <w:tcPr>
            <w:tcW w:w="1632" w:type="dxa"/>
            <w:vAlign w:val="center"/>
          </w:tcPr>
          <w:p w14:paraId="5FFB577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53,600 - 65,300</w:t>
            </w:r>
          </w:p>
        </w:tc>
        <w:tc>
          <w:tcPr>
            <w:tcW w:w="1547" w:type="dxa"/>
            <w:tcMar>
              <w:left w:w="0" w:type="dxa"/>
              <w:right w:w="0" w:type="dxa"/>
            </w:tcMar>
            <w:vAlign w:val="center"/>
          </w:tcPr>
          <w:p w14:paraId="485700D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62,000 - 75,600</w:t>
            </w:r>
          </w:p>
        </w:tc>
      </w:tr>
      <w:tr w:rsidR="00711FE4" w:rsidRPr="00711FE4" w14:paraId="756EF327" w14:textId="77777777" w:rsidTr="00366F04">
        <w:trPr>
          <w:trHeight w:hRule="exact" w:val="432"/>
          <w:jc w:val="center"/>
        </w:trPr>
        <w:tc>
          <w:tcPr>
            <w:tcW w:w="1153" w:type="dxa"/>
            <w:tcMar>
              <w:left w:w="130" w:type="dxa"/>
            </w:tcMar>
            <w:vAlign w:val="center"/>
          </w:tcPr>
          <w:p w14:paraId="56C0DFD4"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37" w:name="_Toc115142460"/>
            <w:r w:rsidRPr="00711FE4">
              <w:rPr>
                <w:rFonts w:ascii="Arial" w:eastAsia="Times New Roman" w:hAnsi="Arial"/>
                <w:b/>
                <w:iCs/>
                <w:color w:val="000000"/>
                <w:kern w:val="32"/>
                <w:sz w:val="16"/>
                <w:szCs w:val="16"/>
              </w:rPr>
              <w:t>Decile 3</w:t>
            </w:r>
            <w:bookmarkEnd w:id="37"/>
          </w:p>
        </w:tc>
        <w:tc>
          <w:tcPr>
            <w:tcW w:w="1473" w:type="dxa"/>
            <w:vAlign w:val="center"/>
          </w:tcPr>
          <w:p w14:paraId="4057A7D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34,400 - 41,100</w:t>
            </w:r>
          </w:p>
        </w:tc>
        <w:tc>
          <w:tcPr>
            <w:tcW w:w="1439" w:type="dxa"/>
            <w:vAlign w:val="center"/>
          </w:tcPr>
          <w:p w14:paraId="7DCF15E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44,700 - 53,500</w:t>
            </w:r>
          </w:p>
        </w:tc>
        <w:tc>
          <w:tcPr>
            <w:tcW w:w="1439" w:type="dxa"/>
            <w:vAlign w:val="center"/>
          </w:tcPr>
          <w:p w14:paraId="0C87681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55,000 - 65,800</w:t>
            </w:r>
          </w:p>
        </w:tc>
        <w:tc>
          <w:tcPr>
            <w:tcW w:w="1632" w:type="dxa"/>
            <w:vAlign w:val="center"/>
          </w:tcPr>
          <w:p w14:paraId="41B08D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65,300 - 78,100</w:t>
            </w:r>
          </w:p>
        </w:tc>
        <w:tc>
          <w:tcPr>
            <w:tcW w:w="1547" w:type="dxa"/>
            <w:tcBorders>
              <w:bottom w:val="single" w:sz="4" w:space="0" w:color="auto"/>
            </w:tcBorders>
            <w:tcMar>
              <w:left w:w="0" w:type="dxa"/>
              <w:right w:w="0" w:type="dxa"/>
            </w:tcMar>
            <w:vAlign w:val="center"/>
          </w:tcPr>
          <w:p w14:paraId="2D24BCE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75,600 - 90,500</w:t>
            </w:r>
          </w:p>
        </w:tc>
      </w:tr>
      <w:tr w:rsidR="00711FE4" w:rsidRPr="00711FE4" w14:paraId="32D81637" w14:textId="77777777" w:rsidTr="00366F04">
        <w:trPr>
          <w:trHeight w:hRule="exact" w:val="432"/>
          <w:jc w:val="center"/>
        </w:trPr>
        <w:tc>
          <w:tcPr>
            <w:tcW w:w="1153" w:type="dxa"/>
            <w:tcMar>
              <w:left w:w="130" w:type="dxa"/>
            </w:tcMar>
            <w:vAlign w:val="center"/>
          </w:tcPr>
          <w:p w14:paraId="3C732331"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38" w:name="_Toc115142465"/>
            <w:r w:rsidRPr="00711FE4">
              <w:rPr>
                <w:rFonts w:ascii="Arial" w:eastAsia="Times New Roman" w:hAnsi="Arial"/>
                <w:b/>
                <w:iCs/>
                <w:color w:val="000000"/>
                <w:kern w:val="32"/>
                <w:sz w:val="16"/>
                <w:szCs w:val="16"/>
              </w:rPr>
              <w:t>Decile 4</w:t>
            </w:r>
            <w:bookmarkEnd w:id="38"/>
          </w:p>
        </w:tc>
        <w:tc>
          <w:tcPr>
            <w:tcW w:w="1473" w:type="dxa"/>
            <w:vAlign w:val="center"/>
          </w:tcPr>
          <w:p w14:paraId="2819EAB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41,100 - 48,600</w:t>
            </w:r>
          </w:p>
        </w:tc>
        <w:tc>
          <w:tcPr>
            <w:tcW w:w="1439" w:type="dxa"/>
            <w:vAlign w:val="center"/>
          </w:tcPr>
          <w:p w14:paraId="054F29A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53,500 - 63,100</w:t>
            </w:r>
          </w:p>
        </w:tc>
        <w:tc>
          <w:tcPr>
            <w:tcW w:w="1439" w:type="dxa"/>
            <w:vAlign w:val="center"/>
          </w:tcPr>
          <w:p w14:paraId="48FCDE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65,800 - 77,700</w:t>
            </w:r>
          </w:p>
        </w:tc>
        <w:tc>
          <w:tcPr>
            <w:tcW w:w="1632" w:type="dxa"/>
            <w:vAlign w:val="center"/>
          </w:tcPr>
          <w:p w14:paraId="27F3AC7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78,100 - 92,300</w:t>
            </w:r>
          </w:p>
        </w:tc>
        <w:tc>
          <w:tcPr>
            <w:tcW w:w="1547" w:type="dxa"/>
            <w:tcMar>
              <w:left w:w="0" w:type="dxa"/>
              <w:right w:w="0" w:type="dxa"/>
            </w:tcMar>
            <w:vAlign w:val="center"/>
          </w:tcPr>
          <w:p w14:paraId="4A2CC6E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90,500 - 106,800</w:t>
            </w:r>
          </w:p>
        </w:tc>
      </w:tr>
      <w:tr w:rsidR="00711FE4" w:rsidRPr="00711FE4" w14:paraId="7582766E" w14:textId="77777777" w:rsidTr="00366F04">
        <w:trPr>
          <w:trHeight w:hRule="exact" w:val="432"/>
          <w:jc w:val="center"/>
        </w:trPr>
        <w:tc>
          <w:tcPr>
            <w:tcW w:w="1153" w:type="dxa"/>
            <w:tcMar>
              <w:left w:w="130" w:type="dxa"/>
            </w:tcMar>
            <w:vAlign w:val="center"/>
          </w:tcPr>
          <w:p w14:paraId="26D90496"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39" w:name="_Toc115142470"/>
            <w:r w:rsidRPr="00711FE4">
              <w:rPr>
                <w:rFonts w:ascii="Arial" w:eastAsia="Times New Roman" w:hAnsi="Arial"/>
                <w:b/>
                <w:iCs/>
                <w:color w:val="000000"/>
                <w:kern w:val="32"/>
                <w:sz w:val="16"/>
                <w:szCs w:val="16"/>
              </w:rPr>
              <w:t>Decile 5</w:t>
            </w:r>
            <w:bookmarkEnd w:id="39"/>
          </w:p>
        </w:tc>
        <w:tc>
          <w:tcPr>
            <w:tcW w:w="1473" w:type="dxa"/>
            <w:vAlign w:val="center"/>
          </w:tcPr>
          <w:p w14:paraId="6E91C8B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48,600 - 55,800</w:t>
            </w:r>
          </w:p>
        </w:tc>
        <w:tc>
          <w:tcPr>
            <w:tcW w:w="1439" w:type="dxa"/>
            <w:vAlign w:val="center"/>
          </w:tcPr>
          <w:p w14:paraId="69CD95E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63,100 - 72,500</w:t>
            </w:r>
          </w:p>
        </w:tc>
        <w:tc>
          <w:tcPr>
            <w:tcW w:w="1439" w:type="dxa"/>
            <w:vAlign w:val="center"/>
          </w:tcPr>
          <w:p w14:paraId="0EFCAA2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77,700 - 89,300</w:t>
            </w:r>
          </w:p>
        </w:tc>
        <w:tc>
          <w:tcPr>
            <w:tcW w:w="1632" w:type="dxa"/>
            <w:vAlign w:val="center"/>
          </w:tcPr>
          <w:p w14:paraId="0E17FE2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92,300 - 106,000</w:t>
            </w:r>
          </w:p>
        </w:tc>
        <w:tc>
          <w:tcPr>
            <w:tcW w:w="1547" w:type="dxa"/>
            <w:tcMar>
              <w:left w:w="0" w:type="dxa"/>
              <w:right w:w="0" w:type="dxa"/>
            </w:tcMar>
            <w:vAlign w:val="center"/>
          </w:tcPr>
          <w:p w14:paraId="497DADD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106,800 - 122,700</w:t>
            </w:r>
          </w:p>
        </w:tc>
      </w:tr>
      <w:tr w:rsidR="00711FE4" w:rsidRPr="00711FE4" w14:paraId="7DFB64E2" w14:textId="77777777" w:rsidTr="00366F04">
        <w:trPr>
          <w:trHeight w:hRule="exact" w:val="432"/>
          <w:jc w:val="center"/>
        </w:trPr>
        <w:tc>
          <w:tcPr>
            <w:tcW w:w="1153" w:type="dxa"/>
            <w:tcMar>
              <w:left w:w="130" w:type="dxa"/>
            </w:tcMar>
            <w:vAlign w:val="center"/>
          </w:tcPr>
          <w:p w14:paraId="290640B0"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40" w:name="_Toc115142475"/>
            <w:r w:rsidRPr="00711FE4">
              <w:rPr>
                <w:rFonts w:ascii="Arial" w:eastAsia="Times New Roman" w:hAnsi="Arial"/>
                <w:b/>
                <w:iCs/>
                <w:color w:val="000000"/>
                <w:kern w:val="32"/>
                <w:sz w:val="16"/>
                <w:szCs w:val="16"/>
              </w:rPr>
              <w:t>Decile 6</w:t>
            </w:r>
            <w:bookmarkEnd w:id="40"/>
          </w:p>
        </w:tc>
        <w:tc>
          <w:tcPr>
            <w:tcW w:w="1473" w:type="dxa"/>
            <w:vAlign w:val="center"/>
          </w:tcPr>
          <w:p w14:paraId="6FEC7AF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55,800 - 64,100</w:t>
            </w:r>
          </w:p>
        </w:tc>
        <w:tc>
          <w:tcPr>
            <w:tcW w:w="1439" w:type="dxa"/>
            <w:vAlign w:val="center"/>
          </w:tcPr>
          <w:p w14:paraId="5E3696E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72,500 - 83,300</w:t>
            </w:r>
          </w:p>
        </w:tc>
        <w:tc>
          <w:tcPr>
            <w:tcW w:w="1439" w:type="dxa"/>
            <w:vAlign w:val="center"/>
          </w:tcPr>
          <w:p w14:paraId="6F47B38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89,300 - 102,600</w:t>
            </w:r>
          </w:p>
        </w:tc>
        <w:tc>
          <w:tcPr>
            <w:tcW w:w="1632" w:type="dxa"/>
            <w:vAlign w:val="center"/>
          </w:tcPr>
          <w:p w14:paraId="2CBED77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106,000 - 121,800</w:t>
            </w:r>
          </w:p>
        </w:tc>
        <w:tc>
          <w:tcPr>
            <w:tcW w:w="1547" w:type="dxa"/>
            <w:tcMar>
              <w:left w:w="0" w:type="dxa"/>
              <w:right w:w="0" w:type="dxa"/>
            </w:tcMar>
            <w:vAlign w:val="center"/>
          </w:tcPr>
          <w:p w14:paraId="305D150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122,700 - 141,000</w:t>
            </w:r>
          </w:p>
        </w:tc>
      </w:tr>
      <w:tr w:rsidR="00711FE4" w:rsidRPr="00711FE4" w14:paraId="0474B23A" w14:textId="77777777" w:rsidTr="00366F04">
        <w:trPr>
          <w:trHeight w:hRule="exact" w:val="432"/>
          <w:jc w:val="center"/>
        </w:trPr>
        <w:tc>
          <w:tcPr>
            <w:tcW w:w="1153" w:type="dxa"/>
            <w:tcMar>
              <w:left w:w="130" w:type="dxa"/>
            </w:tcMar>
            <w:vAlign w:val="center"/>
          </w:tcPr>
          <w:p w14:paraId="305A21AC"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41" w:name="_Toc115142480"/>
            <w:r w:rsidRPr="00711FE4">
              <w:rPr>
                <w:rFonts w:ascii="Arial" w:eastAsia="Times New Roman" w:hAnsi="Arial"/>
                <w:b/>
                <w:iCs/>
                <w:color w:val="000000"/>
                <w:kern w:val="32"/>
                <w:sz w:val="16"/>
                <w:szCs w:val="16"/>
              </w:rPr>
              <w:t>Decile 7</w:t>
            </w:r>
            <w:bookmarkEnd w:id="41"/>
          </w:p>
        </w:tc>
        <w:tc>
          <w:tcPr>
            <w:tcW w:w="1473" w:type="dxa"/>
            <w:vAlign w:val="center"/>
          </w:tcPr>
          <w:p w14:paraId="0CCA88C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64,100 - 73,500</w:t>
            </w:r>
          </w:p>
        </w:tc>
        <w:tc>
          <w:tcPr>
            <w:tcW w:w="1439" w:type="dxa"/>
            <w:vAlign w:val="center"/>
          </w:tcPr>
          <w:p w14:paraId="50EEAE4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83,300 - 95,600</w:t>
            </w:r>
          </w:p>
        </w:tc>
        <w:tc>
          <w:tcPr>
            <w:tcW w:w="1439" w:type="dxa"/>
            <w:vAlign w:val="center"/>
          </w:tcPr>
          <w:p w14:paraId="6FA003F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102,600 - 117,600</w:t>
            </w:r>
          </w:p>
        </w:tc>
        <w:tc>
          <w:tcPr>
            <w:tcW w:w="1632" w:type="dxa"/>
            <w:vAlign w:val="center"/>
          </w:tcPr>
          <w:p w14:paraId="68C64EA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121,800 - 139,700</w:t>
            </w:r>
          </w:p>
        </w:tc>
        <w:tc>
          <w:tcPr>
            <w:tcW w:w="1547" w:type="dxa"/>
            <w:tcMar>
              <w:left w:w="0" w:type="dxa"/>
              <w:right w:w="0" w:type="dxa"/>
            </w:tcMar>
            <w:vAlign w:val="center"/>
          </w:tcPr>
          <w:p w14:paraId="1AC4A18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141,000 - 161,700</w:t>
            </w:r>
          </w:p>
        </w:tc>
      </w:tr>
      <w:tr w:rsidR="00711FE4" w:rsidRPr="00711FE4" w14:paraId="68D2937B" w14:textId="77777777" w:rsidTr="00366F04">
        <w:trPr>
          <w:trHeight w:hRule="exact" w:val="432"/>
          <w:jc w:val="center"/>
        </w:trPr>
        <w:tc>
          <w:tcPr>
            <w:tcW w:w="1153" w:type="dxa"/>
            <w:tcMar>
              <w:left w:w="130" w:type="dxa"/>
            </w:tcMar>
            <w:vAlign w:val="center"/>
          </w:tcPr>
          <w:p w14:paraId="0BE5FED1"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42" w:name="_Toc115142485"/>
            <w:r w:rsidRPr="00711FE4">
              <w:rPr>
                <w:rFonts w:ascii="Arial" w:eastAsia="Times New Roman" w:hAnsi="Arial"/>
                <w:b/>
                <w:iCs/>
                <w:color w:val="000000"/>
                <w:kern w:val="32"/>
                <w:sz w:val="16"/>
                <w:szCs w:val="16"/>
              </w:rPr>
              <w:t>Decile 8</w:t>
            </w:r>
            <w:bookmarkEnd w:id="42"/>
          </w:p>
        </w:tc>
        <w:tc>
          <w:tcPr>
            <w:tcW w:w="1473" w:type="dxa"/>
            <w:vAlign w:val="center"/>
          </w:tcPr>
          <w:p w14:paraId="116D3DB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73,500 - 85,600</w:t>
            </w:r>
          </w:p>
        </w:tc>
        <w:tc>
          <w:tcPr>
            <w:tcW w:w="1439" w:type="dxa"/>
            <w:vAlign w:val="center"/>
          </w:tcPr>
          <w:p w14:paraId="26E477C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95,600 - 111,200</w:t>
            </w:r>
          </w:p>
        </w:tc>
        <w:tc>
          <w:tcPr>
            <w:tcW w:w="1439" w:type="dxa"/>
            <w:vAlign w:val="center"/>
          </w:tcPr>
          <w:p w14:paraId="25D319C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117,600 - 136,900</w:t>
            </w:r>
          </w:p>
        </w:tc>
        <w:tc>
          <w:tcPr>
            <w:tcW w:w="1632" w:type="dxa"/>
            <w:vAlign w:val="center"/>
          </w:tcPr>
          <w:p w14:paraId="2E8FD78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139,700 - 162,600</w:t>
            </w:r>
          </w:p>
        </w:tc>
        <w:tc>
          <w:tcPr>
            <w:tcW w:w="1547" w:type="dxa"/>
            <w:tcMar>
              <w:left w:w="0" w:type="dxa"/>
              <w:right w:w="0" w:type="dxa"/>
            </w:tcMar>
            <w:vAlign w:val="center"/>
          </w:tcPr>
          <w:p w14:paraId="5F4B5A4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161,700 - 188,200</w:t>
            </w:r>
          </w:p>
        </w:tc>
      </w:tr>
      <w:tr w:rsidR="00711FE4" w:rsidRPr="00711FE4" w14:paraId="5CFB3751" w14:textId="77777777" w:rsidTr="00366F04">
        <w:trPr>
          <w:trHeight w:hRule="exact" w:val="432"/>
          <w:jc w:val="center"/>
        </w:trPr>
        <w:tc>
          <w:tcPr>
            <w:tcW w:w="1153" w:type="dxa"/>
            <w:tcMar>
              <w:left w:w="130" w:type="dxa"/>
            </w:tcMar>
            <w:vAlign w:val="center"/>
          </w:tcPr>
          <w:p w14:paraId="7170B909"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43" w:name="_Toc115142490"/>
            <w:r w:rsidRPr="00711FE4">
              <w:rPr>
                <w:rFonts w:ascii="Arial" w:eastAsia="Times New Roman" w:hAnsi="Arial"/>
                <w:b/>
                <w:iCs/>
                <w:color w:val="000000"/>
                <w:kern w:val="32"/>
                <w:sz w:val="16"/>
                <w:szCs w:val="16"/>
              </w:rPr>
              <w:t>Decile 9</w:t>
            </w:r>
            <w:bookmarkEnd w:id="43"/>
          </w:p>
        </w:tc>
        <w:tc>
          <w:tcPr>
            <w:tcW w:w="1473" w:type="dxa"/>
            <w:vAlign w:val="center"/>
          </w:tcPr>
          <w:p w14:paraId="0C7788E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85,600 - 107,400</w:t>
            </w:r>
          </w:p>
        </w:tc>
        <w:tc>
          <w:tcPr>
            <w:tcW w:w="1439" w:type="dxa"/>
            <w:vAlign w:val="center"/>
          </w:tcPr>
          <w:p w14:paraId="60CCD34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111,200 - 139,600</w:t>
            </w:r>
          </w:p>
        </w:tc>
        <w:tc>
          <w:tcPr>
            <w:tcW w:w="1439" w:type="dxa"/>
            <w:vAlign w:val="center"/>
          </w:tcPr>
          <w:p w14:paraId="2CD202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136,900 - 171,800</w:t>
            </w:r>
          </w:p>
        </w:tc>
        <w:tc>
          <w:tcPr>
            <w:tcW w:w="1632" w:type="dxa"/>
            <w:tcMar>
              <w:left w:w="173" w:type="dxa"/>
              <w:right w:w="173" w:type="dxa"/>
            </w:tcMar>
            <w:vAlign w:val="center"/>
          </w:tcPr>
          <w:p w14:paraId="0FC3C6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162,600 - 204,000</w:t>
            </w:r>
          </w:p>
        </w:tc>
        <w:tc>
          <w:tcPr>
            <w:tcW w:w="1547" w:type="dxa"/>
            <w:tcMar>
              <w:left w:w="173" w:type="dxa"/>
              <w:right w:w="173" w:type="dxa"/>
            </w:tcMar>
            <w:vAlign w:val="center"/>
          </w:tcPr>
          <w:p w14:paraId="64B05D6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188,200 - 236,200</w:t>
            </w:r>
          </w:p>
        </w:tc>
      </w:tr>
      <w:tr w:rsidR="00711FE4" w:rsidRPr="00711FE4" w14:paraId="36544983" w14:textId="77777777" w:rsidTr="00366F04">
        <w:trPr>
          <w:trHeight w:hRule="exact" w:val="432"/>
          <w:jc w:val="center"/>
        </w:trPr>
        <w:tc>
          <w:tcPr>
            <w:tcW w:w="1153" w:type="dxa"/>
            <w:tcMar>
              <w:left w:w="130" w:type="dxa"/>
            </w:tcMar>
            <w:vAlign w:val="center"/>
          </w:tcPr>
          <w:p w14:paraId="2C85F98A"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bookmarkStart w:id="44" w:name="_Toc115142495"/>
            <w:r w:rsidRPr="00711FE4">
              <w:rPr>
                <w:rFonts w:ascii="Arial" w:eastAsia="Times New Roman" w:hAnsi="Arial"/>
                <w:b/>
                <w:iCs/>
                <w:color w:val="000000"/>
                <w:kern w:val="32"/>
                <w:sz w:val="16"/>
                <w:szCs w:val="16"/>
              </w:rPr>
              <w:t>Top decile</w:t>
            </w:r>
            <w:bookmarkEnd w:id="44"/>
          </w:p>
        </w:tc>
        <w:tc>
          <w:tcPr>
            <w:tcW w:w="1473" w:type="dxa"/>
            <w:vAlign w:val="center"/>
          </w:tcPr>
          <w:p w14:paraId="2AC2F82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$107,400</w:t>
            </w:r>
          </w:p>
        </w:tc>
        <w:tc>
          <w:tcPr>
            <w:tcW w:w="1439" w:type="dxa"/>
            <w:vAlign w:val="center"/>
          </w:tcPr>
          <w:p w14:paraId="14B7B66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$139,600</w:t>
            </w:r>
          </w:p>
        </w:tc>
        <w:tc>
          <w:tcPr>
            <w:tcW w:w="1439" w:type="dxa"/>
            <w:vAlign w:val="center"/>
          </w:tcPr>
          <w:p w14:paraId="66DD886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$171,800</w:t>
            </w:r>
          </w:p>
        </w:tc>
        <w:tc>
          <w:tcPr>
            <w:tcW w:w="1632" w:type="dxa"/>
            <w:vAlign w:val="center"/>
          </w:tcPr>
          <w:p w14:paraId="5BC5A77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$204,000</w:t>
            </w:r>
          </w:p>
        </w:tc>
        <w:tc>
          <w:tcPr>
            <w:tcW w:w="1547" w:type="dxa"/>
            <w:tcMar>
              <w:left w:w="0" w:type="dxa"/>
              <w:right w:w="0" w:type="dxa"/>
            </w:tcMar>
            <w:vAlign w:val="center"/>
          </w:tcPr>
          <w:p w14:paraId="48B72D5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$236,200</w:t>
            </w:r>
          </w:p>
        </w:tc>
      </w:tr>
    </w:tbl>
    <w:p w14:paraId="5A9502AD" w14:textId="77777777" w:rsidR="00711FE4" w:rsidRPr="00711FE4" w:rsidRDefault="00711FE4" w:rsidP="00711FE4">
      <w:pPr>
        <w:keepNext/>
        <w:spacing w:before="120" w:after="0" w:line="240" w:lineRule="auto"/>
        <w:ind w:left="992" w:right="397" w:hanging="561"/>
        <w:jc w:val="both"/>
        <w:outlineLvl w:val="1"/>
        <w:rPr>
          <w:rFonts w:ascii="Arial" w:eastAsia="Times New Roman" w:hAnsi="Arial"/>
          <w:iCs/>
          <w:color w:val="000000"/>
          <w:kern w:val="32"/>
          <w:sz w:val="16"/>
          <w:szCs w:val="16"/>
        </w:rPr>
      </w:pPr>
      <w:r w:rsidRPr="00711FE4">
        <w:rPr>
          <w:rFonts w:ascii="Arial" w:eastAsia="Times New Roman" w:hAnsi="Arial"/>
          <w:iCs/>
          <w:color w:val="000000"/>
          <w:kern w:val="32"/>
          <w:sz w:val="16"/>
          <w:szCs w:val="16"/>
        </w:rPr>
        <w:t xml:space="preserve">Note: </w:t>
      </w:r>
      <w:r w:rsidRPr="00711FE4">
        <w:rPr>
          <w:rFonts w:ascii="Arial" w:eastAsia="Times New Roman" w:hAnsi="Arial"/>
          <w:iCs/>
          <w:color w:val="000000"/>
          <w:kern w:val="32"/>
          <w:sz w:val="16"/>
          <w:szCs w:val="16"/>
        </w:rPr>
        <w:tab/>
        <w:t>use disposable household income when using this table – that is, household income from all sources after paying personal income tax and after receiving all tax credits (from Working for Families) and other state transfers (eg NZS, AS, main benefits)</w:t>
      </w:r>
    </w:p>
    <w:p w14:paraId="219489C1" w14:textId="77777777" w:rsidR="00711FE4" w:rsidRPr="00711FE4" w:rsidRDefault="00711FE4" w:rsidP="00711FE4">
      <w:pPr>
        <w:spacing w:after="0" w:line="240" w:lineRule="auto"/>
        <w:rPr>
          <w:rFonts w:ascii="Arial" w:eastAsia="Times New Roman" w:hAnsi="Arial" w:cs="Times New Roman"/>
          <w:sz w:val="22"/>
          <w:szCs w:val="20"/>
          <w:lang w:val="en-GB"/>
        </w:rPr>
      </w:pPr>
    </w:p>
    <w:p w14:paraId="5A7581F6" w14:textId="77777777" w:rsidR="00711FE4" w:rsidRPr="00711FE4" w:rsidRDefault="00711FE4" w:rsidP="00711FE4">
      <w:pPr>
        <w:spacing w:after="0" w:line="240" w:lineRule="auto"/>
        <w:rPr>
          <w:rFonts w:ascii="Arial" w:eastAsia="Times New Roman" w:hAnsi="Arial"/>
          <w:b/>
          <w:color w:val="000000"/>
          <w:sz w:val="18"/>
          <w:szCs w:val="20"/>
          <w:lang w:val="en-GB"/>
        </w:rPr>
      </w:pPr>
      <w:r w:rsidRPr="00711FE4">
        <w:rPr>
          <w:rFonts w:ascii="Arial" w:eastAsia="Times New Roman" w:hAnsi="Arial"/>
          <w:b/>
          <w:color w:val="000000"/>
          <w:sz w:val="18"/>
          <w:szCs w:val="20"/>
          <w:lang w:val="en-GB"/>
        </w:rPr>
        <w:br w:type="page"/>
      </w:r>
    </w:p>
    <w:p w14:paraId="690793D4" w14:textId="77777777" w:rsidR="00711FE4" w:rsidRPr="00711FE4" w:rsidRDefault="00711FE4" w:rsidP="00711FE4">
      <w:pPr>
        <w:tabs>
          <w:tab w:val="left" w:pos="180"/>
        </w:tabs>
        <w:spacing w:after="0" w:line="240" w:lineRule="auto"/>
        <w:ind w:left="187" w:hanging="187"/>
        <w:jc w:val="center"/>
        <w:rPr>
          <w:rFonts w:ascii="Arial" w:eastAsia="Times New Roman" w:hAnsi="Arial"/>
          <w:b/>
          <w:color w:val="000000"/>
          <w:sz w:val="18"/>
          <w:szCs w:val="20"/>
          <w:lang w:val="en-GB"/>
        </w:rPr>
      </w:pPr>
      <w:r w:rsidRPr="00711FE4">
        <w:rPr>
          <w:rFonts w:ascii="Arial" w:eastAsia="Times New Roman" w:hAnsi="Arial"/>
          <w:b/>
          <w:color w:val="000000"/>
          <w:sz w:val="18"/>
          <w:szCs w:val="20"/>
          <w:lang w:val="en-GB"/>
        </w:rPr>
        <w:lastRenderedPageBreak/>
        <w:t>Table 8.3</w:t>
      </w:r>
    </w:p>
    <w:p w14:paraId="62BF2792" w14:textId="77777777" w:rsidR="00711FE4" w:rsidRPr="00711FE4" w:rsidRDefault="00711FE4" w:rsidP="00711FE4">
      <w:pPr>
        <w:keepNext/>
        <w:spacing w:after="0" w:line="240" w:lineRule="auto"/>
        <w:jc w:val="center"/>
        <w:outlineLvl w:val="1"/>
        <w:rPr>
          <w:rFonts w:ascii="Arial" w:eastAsia="Times New Roman" w:hAnsi="Arial"/>
          <w:b/>
          <w:iCs/>
          <w:color w:val="000000"/>
          <w:kern w:val="32"/>
          <w:sz w:val="18"/>
          <w:szCs w:val="20"/>
        </w:rPr>
      </w:pPr>
      <w:r w:rsidRPr="00711FE4">
        <w:rPr>
          <w:rFonts w:ascii="Arial" w:eastAsia="Times New Roman" w:hAnsi="Arial"/>
          <w:b/>
          <w:iCs/>
          <w:color w:val="000000"/>
          <w:kern w:val="32"/>
          <w:sz w:val="18"/>
          <w:szCs w:val="20"/>
        </w:rPr>
        <w:t>Where does your household fit in the overall household income distribution (BHC)?</w:t>
      </w:r>
    </w:p>
    <w:p w14:paraId="5A5DFA08" w14:textId="77777777" w:rsidR="00711FE4" w:rsidRPr="00711FE4" w:rsidRDefault="00711FE4" w:rsidP="00711FE4">
      <w:pPr>
        <w:tabs>
          <w:tab w:val="center" w:pos="4370"/>
          <w:tab w:val="left" w:pos="7455"/>
        </w:tabs>
        <w:spacing w:line="240" w:lineRule="auto"/>
        <w:rPr>
          <w:rFonts w:ascii="Arial" w:eastAsia="Times New Roman" w:hAnsi="Arial" w:cs="Times New Roman"/>
          <w:color w:val="000000"/>
          <w:sz w:val="22"/>
          <w:szCs w:val="20"/>
          <w:lang w:val="en-GB"/>
        </w:rPr>
      </w:pPr>
      <w:r w:rsidRPr="00711FE4">
        <w:rPr>
          <w:rFonts w:ascii="Arial" w:eastAsia="Times New Roman" w:hAnsi="Arial"/>
          <w:b/>
          <w:color w:val="000000"/>
          <w:sz w:val="18"/>
          <w:szCs w:val="20"/>
          <w:lang w:val="en-GB"/>
        </w:rPr>
        <w:tab/>
        <w:t>HILS 2024-25</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8" w:type="dxa"/>
          <w:right w:w="115" w:type="dxa"/>
        </w:tblCellMar>
        <w:tblLook w:val="01E0" w:firstRow="1" w:lastRow="1" w:firstColumn="1" w:lastColumn="1" w:noHBand="0" w:noVBand="0"/>
      </w:tblPr>
      <w:tblGrid>
        <w:gridCol w:w="1133"/>
        <w:gridCol w:w="1322"/>
        <w:gridCol w:w="1322"/>
        <w:gridCol w:w="1322"/>
        <w:gridCol w:w="1322"/>
        <w:gridCol w:w="1322"/>
        <w:gridCol w:w="1365"/>
      </w:tblGrid>
      <w:tr w:rsidR="00711FE4" w:rsidRPr="00711FE4" w14:paraId="713DC789" w14:textId="77777777" w:rsidTr="00366F04">
        <w:trPr>
          <w:trHeight w:hRule="exact" w:val="388"/>
          <w:jc w:val="center"/>
        </w:trPr>
        <w:tc>
          <w:tcPr>
            <w:tcW w:w="1133" w:type="dxa"/>
            <w:vMerge w:val="restart"/>
            <w:tcBorders>
              <w:top w:val="single" w:sz="4" w:space="0" w:color="auto"/>
              <w:right w:val="single" w:sz="4" w:space="0" w:color="auto"/>
            </w:tcBorders>
            <w:tcMar>
              <w:left w:w="58" w:type="dxa"/>
              <w:right w:w="58" w:type="dxa"/>
            </w:tcMar>
            <w:vAlign w:val="center"/>
          </w:tcPr>
          <w:p w14:paraId="624DF79F" w14:textId="77777777" w:rsidR="00711FE4" w:rsidRPr="00711FE4" w:rsidRDefault="00711FE4" w:rsidP="00711FE4">
            <w:pPr>
              <w:keepNext/>
              <w:spacing w:after="0" w:line="240" w:lineRule="auto"/>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Equivalised income decile</w:t>
            </w:r>
          </w:p>
        </w:tc>
        <w:tc>
          <w:tcPr>
            <w:tcW w:w="7975" w:type="dxa"/>
            <w:gridSpan w:val="6"/>
            <w:tcBorders>
              <w:top w:val="single" w:sz="4" w:space="0" w:color="auto"/>
              <w:left w:val="single" w:sz="4" w:space="0" w:color="auto"/>
              <w:bottom w:val="single" w:sz="4" w:space="0" w:color="auto"/>
            </w:tcBorders>
            <w:tcMar>
              <w:left w:w="14" w:type="dxa"/>
              <w:right w:w="14" w:type="dxa"/>
            </w:tcMar>
            <w:vAlign w:val="center"/>
          </w:tcPr>
          <w:p w14:paraId="64216C1F"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Ordinary dollars (ie not equivalised)</w:t>
            </w:r>
          </w:p>
        </w:tc>
      </w:tr>
      <w:tr w:rsidR="00711FE4" w:rsidRPr="00711FE4" w14:paraId="5877C09F" w14:textId="77777777" w:rsidTr="00366F04">
        <w:trPr>
          <w:trHeight w:hRule="exact" w:val="739"/>
          <w:jc w:val="center"/>
        </w:trPr>
        <w:tc>
          <w:tcPr>
            <w:tcW w:w="1133" w:type="dxa"/>
            <w:vMerge/>
            <w:tcBorders>
              <w:bottom w:val="single" w:sz="4" w:space="0" w:color="auto"/>
              <w:right w:val="single" w:sz="4" w:space="0" w:color="auto"/>
            </w:tcBorders>
            <w:tcMar>
              <w:left w:w="58" w:type="dxa"/>
              <w:right w:w="58" w:type="dxa"/>
            </w:tcMar>
            <w:vAlign w:val="center"/>
          </w:tcPr>
          <w:p w14:paraId="6A1CD0A6" w14:textId="77777777" w:rsidR="00711FE4" w:rsidRPr="00711FE4" w:rsidRDefault="00711FE4" w:rsidP="00711FE4">
            <w:pPr>
              <w:keepNext/>
              <w:spacing w:after="0" w:line="240" w:lineRule="auto"/>
              <w:jc w:val="center"/>
              <w:outlineLvl w:val="1"/>
              <w:rPr>
                <w:rFonts w:ascii="Arial" w:eastAsia="Times New Roman" w:hAnsi="Arial"/>
                <w:b/>
                <w:iCs/>
                <w:color w:val="000000"/>
                <w:kern w:val="32"/>
                <w:sz w:val="16"/>
                <w:szCs w:val="16"/>
              </w:rPr>
            </w:pPr>
          </w:p>
        </w:tc>
        <w:tc>
          <w:tcPr>
            <w:tcW w:w="1322" w:type="dxa"/>
            <w:tcBorders>
              <w:top w:val="single" w:sz="4" w:space="0" w:color="auto"/>
              <w:left w:val="single" w:sz="4" w:space="0" w:color="auto"/>
              <w:bottom w:val="single" w:sz="4" w:space="0" w:color="auto"/>
              <w:right w:val="single" w:sz="4" w:space="0" w:color="auto"/>
            </w:tcBorders>
            <w:noWrap/>
            <w:tcMar>
              <w:left w:w="14" w:type="dxa"/>
              <w:right w:w="14" w:type="dxa"/>
            </w:tcMar>
            <w:vAlign w:val="center"/>
          </w:tcPr>
          <w:p w14:paraId="6E7D5023"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sz w:val="16"/>
                <w:szCs w:val="16"/>
              </w:rPr>
              <w:t>Couple or 2 adults sharing</w:t>
            </w:r>
          </w:p>
        </w:tc>
        <w:tc>
          <w:tcPr>
            <w:tcW w:w="1322" w:type="dxa"/>
            <w:tcBorders>
              <w:top w:val="single" w:sz="4" w:space="0" w:color="auto"/>
              <w:left w:val="single" w:sz="4" w:space="0" w:color="auto"/>
              <w:bottom w:val="single" w:sz="4" w:space="0" w:color="auto"/>
              <w:right w:val="single" w:sz="4" w:space="0" w:color="auto"/>
            </w:tcBorders>
            <w:noWrap/>
            <w:vAlign w:val="center"/>
          </w:tcPr>
          <w:p w14:paraId="587834C4"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sz w:val="16"/>
                <w:szCs w:val="16"/>
              </w:rPr>
            </w:pPr>
            <w:r w:rsidRPr="00711FE4">
              <w:rPr>
                <w:rFonts w:ascii="Arial" w:eastAsia="Times New Roman" w:hAnsi="Arial"/>
                <w:b/>
                <w:iCs/>
                <w:color w:val="000000"/>
                <w:sz w:val="16"/>
                <w:szCs w:val="16"/>
              </w:rPr>
              <w:t>Couple,</w:t>
            </w:r>
          </w:p>
          <w:p w14:paraId="168D2C55"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sz w:val="16"/>
                <w:szCs w:val="16"/>
              </w:rPr>
              <w:t xml:space="preserve"> one child</w:t>
            </w:r>
          </w:p>
        </w:tc>
        <w:tc>
          <w:tcPr>
            <w:tcW w:w="1322" w:type="dxa"/>
            <w:tcBorders>
              <w:top w:val="single" w:sz="4" w:space="0" w:color="auto"/>
              <w:left w:val="single" w:sz="4" w:space="0" w:color="auto"/>
              <w:bottom w:val="single" w:sz="4" w:space="0" w:color="auto"/>
              <w:right w:val="single" w:sz="4" w:space="0" w:color="auto"/>
            </w:tcBorders>
            <w:noWrap/>
            <w:vAlign w:val="center"/>
          </w:tcPr>
          <w:p w14:paraId="40EA6649"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sz w:val="16"/>
                <w:szCs w:val="16"/>
              </w:rPr>
            </w:pPr>
            <w:r w:rsidRPr="00711FE4">
              <w:rPr>
                <w:rFonts w:ascii="Arial" w:eastAsia="Times New Roman" w:hAnsi="Arial"/>
                <w:b/>
                <w:iCs/>
                <w:color w:val="000000"/>
                <w:sz w:val="16"/>
                <w:szCs w:val="16"/>
              </w:rPr>
              <w:t>Couple,</w:t>
            </w:r>
          </w:p>
          <w:p w14:paraId="7B62DB34"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sz w:val="16"/>
                <w:szCs w:val="16"/>
              </w:rPr>
              <w:t xml:space="preserve"> two children</w:t>
            </w:r>
          </w:p>
        </w:tc>
        <w:tc>
          <w:tcPr>
            <w:tcW w:w="1322" w:type="dxa"/>
            <w:tcBorders>
              <w:top w:val="single" w:sz="4" w:space="0" w:color="auto"/>
              <w:left w:val="single" w:sz="4" w:space="0" w:color="auto"/>
              <w:bottom w:val="single" w:sz="4" w:space="0" w:color="auto"/>
              <w:right w:val="single" w:sz="4" w:space="0" w:color="auto"/>
            </w:tcBorders>
            <w:noWrap/>
            <w:vAlign w:val="center"/>
          </w:tcPr>
          <w:p w14:paraId="1A804E2F"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sz w:val="16"/>
                <w:szCs w:val="16"/>
              </w:rPr>
            </w:pPr>
            <w:r w:rsidRPr="00711FE4">
              <w:rPr>
                <w:rFonts w:ascii="Arial" w:eastAsia="Times New Roman" w:hAnsi="Arial"/>
                <w:b/>
                <w:iCs/>
                <w:color w:val="000000"/>
                <w:sz w:val="16"/>
                <w:szCs w:val="16"/>
              </w:rPr>
              <w:t>Couple,</w:t>
            </w:r>
          </w:p>
          <w:p w14:paraId="474410F4"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sz w:val="16"/>
                <w:szCs w:val="16"/>
              </w:rPr>
              <w:t xml:space="preserve"> three children</w:t>
            </w:r>
          </w:p>
        </w:tc>
        <w:tc>
          <w:tcPr>
            <w:tcW w:w="1322" w:type="dxa"/>
            <w:tcBorders>
              <w:top w:val="single" w:sz="4" w:space="0" w:color="auto"/>
              <w:left w:val="single" w:sz="4" w:space="0" w:color="auto"/>
              <w:bottom w:val="single" w:sz="4" w:space="0" w:color="auto"/>
            </w:tcBorders>
            <w:noWrap/>
            <w:tcMar>
              <w:left w:w="14" w:type="dxa"/>
              <w:right w:w="14" w:type="dxa"/>
            </w:tcMar>
            <w:vAlign w:val="center"/>
          </w:tcPr>
          <w:p w14:paraId="194B3D1B"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sz w:val="16"/>
                <w:szCs w:val="16"/>
              </w:rPr>
              <w:t>Couple, four children</w:t>
            </w:r>
          </w:p>
        </w:tc>
        <w:tc>
          <w:tcPr>
            <w:tcW w:w="1365" w:type="dxa"/>
            <w:tcBorders>
              <w:top w:val="single" w:sz="4" w:space="0" w:color="auto"/>
              <w:left w:val="single" w:sz="4" w:space="0" w:color="auto"/>
              <w:bottom w:val="single" w:sz="4" w:space="0" w:color="auto"/>
            </w:tcBorders>
            <w:noWrap/>
            <w:tcMar>
              <w:left w:w="29" w:type="dxa"/>
              <w:right w:w="29" w:type="dxa"/>
            </w:tcMar>
            <w:vAlign w:val="center"/>
          </w:tcPr>
          <w:p w14:paraId="7673EDD3" w14:textId="77777777" w:rsidR="00711FE4" w:rsidRPr="00711FE4" w:rsidRDefault="00711FE4" w:rsidP="00711FE4">
            <w:pPr>
              <w:keepNext/>
              <w:spacing w:after="0" w:line="240" w:lineRule="auto"/>
              <w:ind w:left="-12" w:right="-14"/>
              <w:jc w:val="center"/>
              <w:outlineLvl w:val="1"/>
              <w:rPr>
                <w:rFonts w:ascii="Arial" w:eastAsia="Times New Roman" w:hAnsi="Arial"/>
                <w:b/>
                <w:iCs/>
                <w:color w:val="000000"/>
                <w:kern w:val="32"/>
                <w:sz w:val="16"/>
                <w:szCs w:val="16"/>
              </w:rPr>
            </w:pPr>
            <w:r w:rsidRPr="00711FE4">
              <w:rPr>
                <w:rFonts w:ascii="Arial" w:eastAsia="Times New Roman" w:hAnsi="Arial"/>
                <w:b/>
                <w:iCs/>
                <w:color w:val="000000"/>
                <w:sz w:val="16"/>
                <w:szCs w:val="16"/>
              </w:rPr>
              <w:t>Three adults,   one child</w:t>
            </w:r>
          </w:p>
        </w:tc>
      </w:tr>
      <w:tr w:rsidR="00711FE4" w:rsidRPr="00711FE4" w14:paraId="15549D65" w14:textId="77777777" w:rsidTr="00366F04">
        <w:trPr>
          <w:trHeight w:hRule="exact" w:val="432"/>
          <w:jc w:val="center"/>
        </w:trPr>
        <w:tc>
          <w:tcPr>
            <w:tcW w:w="1133" w:type="dxa"/>
            <w:tcBorders>
              <w:top w:val="single" w:sz="4" w:space="0" w:color="auto"/>
            </w:tcBorders>
            <w:tcMar>
              <w:left w:w="130" w:type="dxa"/>
              <w:right w:w="58" w:type="dxa"/>
            </w:tcMar>
            <w:vAlign w:val="center"/>
          </w:tcPr>
          <w:p w14:paraId="05256F1A"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Bottom decile</w:t>
            </w:r>
          </w:p>
        </w:tc>
        <w:tc>
          <w:tcPr>
            <w:tcW w:w="1322" w:type="dxa"/>
            <w:tcBorders>
              <w:top w:val="single" w:sz="4" w:space="0" w:color="auto"/>
            </w:tcBorders>
            <w:noWrap/>
            <w:vAlign w:val="center"/>
          </w:tcPr>
          <w:p w14:paraId="0823FC0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$42,300</w:t>
            </w:r>
          </w:p>
        </w:tc>
        <w:tc>
          <w:tcPr>
            <w:tcW w:w="1322" w:type="dxa"/>
            <w:tcBorders>
              <w:top w:val="single" w:sz="4" w:space="0" w:color="auto"/>
            </w:tcBorders>
            <w:noWrap/>
            <w:vAlign w:val="center"/>
          </w:tcPr>
          <w:p w14:paraId="6788929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$50,700</w:t>
            </w:r>
          </w:p>
        </w:tc>
        <w:tc>
          <w:tcPr>
            <w:tcW w:w="1322" w:type="dxa"/>
            <w:tcBorders>
              <w:top w:val="single" w:sz="4" w:space="0" w:color="auto"/>
            </w:tcBorders>
            <w:noWrap/>
            <w:vAlign w:val="center"/>
          </w:tcPr>
          <w:p w14:paraId="7D6CF3A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$59,200</w:t>
            </w:r>
          </w:p>
        </w:tc>
        <w:tc>
          <w:tcPr>
            <w:tcW w:w="1322" w:type="dxa"/>
            <w:tcBorders>
              <w:top w:val="single" w:sz="4" w:space="0" w:color="auto"/>
            </w:tcBorders>
            <w:noWrap/>
            <w:vAlign w:val="center"/>
          </w:tcPr>
          <w:p w14:paraId="57CC92CE"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$67,700</w:t>
            </w:r>
          </w:p>
        </w:tc>
        <w:tc>
          <w:tcPr>
            <w:tcW w:w="1322" w:type="dxa"/>
            <w:tcBorders>
              <w:top w:val="single" w:sz="4" w:space="0" w:color="auto"/>
            </w:tcBorders>
            <w:noWrap/>
            <w:tcMar>
              <w:left w:w="0" w:type="dxa"/>
              <w:right w:w="0" w:type="dxa"/>
            </w:tcMar>
            <w:vAlign w:val="center"/>
          </w:tcPr>
          <w:p w14:paraId="5E28BEC7"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$76,100</w:t>
            </w:r>
          </w:p>
        </w:tc>
        <w:tc>
          <w:tcPr>
            <w:tcW w:w="1365" w:type="dxa"/>
            <w:tcBorders>
              <w:top w:val="single" w:sz="4" w:space="0" w:color="auto"/>
            </w:tcBorders>
            <w:noWrap/>
            <w:vAlign w:val="center"/>
          </w:tcPr>
          <w:p w14:paraId="5C2BBF3E"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&lt; $64,800</w:t>
            </w:r>
          </w:p>
        </w:tc>
      </w:tr>
      <w:tr w:rsidR="00711FE4" w:rsidRPr="00711FE4" w14:paraId="316B3B69" w14:textId="77777777" w:rsidTr="00366F04">
        <w:trPr>
          <w:trHeight w:hRule="exact" w:val="432"/>
          <w:jc w:val="center"/>
        </w:trPr>
        <w:tc>
          <w:tcPr>
            <w:tcW w:w="1133" w:type="dxa"/>
            <w:tcMar>
              <w:left w:w="130" w:type="dxa"/>
            </w:tcMar>
            <w:vAlign w:val="center"/>
          </w:tcPr>
          <w:p w14:paraId="6A26E66F"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2</w:t>
            </w:r>
          </w:p>
        </w:tc>
        <w:tc>
          <w:tcPr>
            <w:tcW w:w="1322" w:type="dxa"/>
            <w:noWrap/>
            <w:vAlign w:val="center"/>
          </w:tcPr>
          <w:p w14:paraId="716319BF"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42,300 - 51,500</w:t>
            </w:r>
          </w:p>
        </w:tc>
        <w:tc>
          <w:tcPr>
            <w:tcW w:w="1322" w:type="dxa"/>
            <w:noWrap/>
            <w:vAlign w:val="center"/>
          </w:tcPr>
          <w:p w14:paraId="01DFA40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50,700 - 61,900</w:t>
            </w:r>
          </w:p>
        </w:tc>
        <w:tc>
          <w:tcPr>
            <w:tcW w:w="1322" w:type="dxa"/>
            <w:noWrap/>
            <w:vAlign w:val="center"/>
          </w:tcPr>
          <w:p w14:paraId="7BA4934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59,200 - 72,200</w:t>
            </w:r>
          </w:p>
        </w:tc>
        <w:tc>
          <w:tcPr>
            <w:tcW w:w="1322" w:type="dxa"/>
            <w:noWrap/>
            <w:vAlign w:val="center"/>
          </w:tcPr>
          <w:p w14:paraId="73B22856"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67,700 - 82,500</w:t>
            </w:r>
          </w:p>
        </w:tc>
        <w:tc>
          <w:tcPr>
            <w:tcW w:w="1322" w:type="dxa"/>
            <w:noWrap/>
            <w:tcMar>
              <w:left w:w="0" w:type="dxa"/>
              <w:right w:w="0" w:type="dxa"/>
            </w:tcMar>
            <w:vAlign w:val="center"/>
          </w:tcPr>
          <w:p w14:paraId="14C2689A"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76,100 - 92,800</w:t>
            </w:r>
          </w:p>
        </w:tc>
        <w:tc>
          <w:tcPr>
            <w:tcW w:w="1365" w:type="dxa"/>
            <w:noWrap/>
            <w:vAlign w:val="center"/>
          </w:tcPr>
          <w:p w14:paraId="01338B14"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64,800 - 79,000</w:t>
            </w:r>
          </w:p>
        </w:tc>
      </w:tr>
      <w:tr w:rsidR="00711FE4" w:rsidRPr="00711FE4" w14:paraId="67B5EBE3" w14:textId="77777777" w:rsidTr="00366F04">
        <w:trPr>
          <w:trHeight w:hRule="exact" w:val="432"/>
          <w:jc w:val="center"/>
        </w:trPr>
        <w:tc>
          <w:tcPr>
            <w:tcW w:w="1133" w:type="dxa"/>
            <w:tcMar>
              <w:left w:w="130" w:type="dxa"/>
            </w:tcMar>
            <w:vAlign w:val="center"/>
          </w:tcPr>
          <w:p w14:paraId="79D2E703"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3</w:t>
            </w:r>
          </w:p>
        </w:tc>
        <w:tc>
          <w:tcPr>
            <w:tcW w:w="1322" w:type="dxa"/>
            <w:noWrap/>
            <w:vAlign w:val="center"/>
          </w:tcPr>
          <w:p w14:paraId="2AF54874"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51,500 - 61,700</w:t>
            </w:r>
          </w:p>
        </w:tc>
        <w:tc>
          <w:tcPr>
            <w:tcW w:w="1322" w:type="dxa"/>
            <w:noWrap/>
            <w:vAlign w:val="center"/>
          </w:tcPr>
          <w:p w14:paraId="1EE94AA8"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61,900 - 74,000</w:t>
            </w:r>
          </w:p>
        </w:tc>
        <w:tc>
          <w:tcPr>
            <w:tcW w:w="1322" w:type="dxa"/>
            <w:noWrap/>
            <w:vAlign w:val="center"/>
          </w:tcPr>
          <w:p w14:paraId="76E1D19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72,200 - 86,300</w:t>
            </w:r>
          </w:p>
        </w:tc>
        <w:tc>
          <w:tcPr>
            <w:tcW w:w="1322" w:type="dxa"/>
            <w:noWrap/>
            <w:vAlign w:val="center"/>
          </w:tcPr>
          <w:p w14:paraId="50318CE7"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82,500 - 98,700</w:t>
            </w:r>
          </w:p>
        </w:tc>
        <w:tc>
          <w:tcPr>
            <w:tcW w:w="1322" w:type="dxa"/>
            <w:tcBorders>
              <w:bottom w:val="single" w:sz="4" w:space="0" w:color="auto"/>
            </w:tcBorders>
            <w:noWrap/>
            <w:tcMar>
              <w:left w:w="0" w:type="dxa"/>
              <w:right w:w="0" w:type="dxa"/>
            </w:tcMar>
            <w:vAlign w:val="center"/>
          </w:tcPr>
          <w:p w14:paraId="17F7630C"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92,800 - 111,000</w:t>
            </w:r>
          </w:p>
        </w:tc>
        <w:tc>
          <w:tcPr>
            <w:tcW w:w="1365" w:type="dxa"/>
            <w:noWrap/>
            <w:vAlign w:val="center"/>
          </w:tcPr>
          <w:p w14:paraId="089F70C5"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79,000 - 94,600</w:t>
            </w:r>
          </w:p>
        </w:tc>
      </w:tr>
      <w:tr w:rsidR="00711FE4" w:rsidRPr="00711FE4" w14:paraId="1BB0B8AA" w14:textId="77777777" w:rsidTr="00366F04">
        <w:trPr>
          <w:trHeight w:hRule="exact" w:val="432"/>
          <w:jc w:val="center"/>
        </w:trPr>
        <w:tc>
          <w:tcPr>
            <w:tcW w:w="1133" w:type="dxa"/>
            <w:tcMar>
              <w:left w:w="130" w:type="dxa"/>
            </w:tcMar>
            <w:vAlign w:val="center"/>
          </w:tcPr>
          <w:p w14:paraId="492757C1"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4</w:t>
            </w:r>
          </w:p>
        </w:tc>
        <w:tc>
          <w:tcPr>
            <w:tcW w:w="1322" w:type="dxa"/>
            <w:noWrap/>
            <w:vAlign w:val="center"/>
          </w:tcPr>
          <w:p w14:paraId="055E5D5C"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61,700 - 72,800</w:t>
            </w:r>
          </w:p>
        </w:tc>
        <w:tc>
          <w:tcPr>
            <w:tcW w:w="1322" w:type="dxa"/>
            <w:noWrap/>
            <w:vAlign w:val="center"/>
          </w:tcPr>
          <w:p w14:paraId="10304886"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74,000 - 87,400</w:t>
            </w:r>
          </w:p>
        </w:tc>
        <w:tc>
          <w:tcPr>
            <w:tcW w:w="1322" w:type="dxa"/>
            <w:noWrap/>
            <w:vAlign w:val="center"/>
          </w:tcPr>
          <w:p w14:paraId="275AF5B4"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86,300 - 102,000</w:t>
            </w:r>
          </w:p>
        </w:tc>
        <w:tc>
          <w:tcPr>
            <w:tcW w:w="1322" w:type="dxa"/>
            <w:noWrap/>
            <w:vAlign w:val="center"/>
          </w:tcPr>
          <w:p w14:paraId="6790B6A2"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98,700 - 116,500</w:t>
            </w:r>
          </w:p>
        </w:tc>
        <w:tc>
          <w:tcPr>
            <w:tcW w:w="1322" w:type="dxa"/>
            <w:noWrap/>
            <w:tcMar>
              <w:left w:w="0" w:type="dxa"/>
              <w:right w:w="0" w:type="dxa"/>
            </w:tcMar>
            <w:vAlign w:val="center"/>
          </w:tcPr>
          <w:p w14:paraId="35BB403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111,000 - 131,100</w:t>
            </w:r>
          </w:p>
        </w:tc>
        <w:tc>
          <w:tcPr>
            <w:tcW w:w="1365" w:type="dxa"/>
            <w:noWrap/>
            <w:vAlign w:val="center"/>
          </w:tcPr>
          <w:p w14:paraId="6B9A5B62"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94,600 - 111,700</w:t>
            </w:r>
          </w:p>
        </w:tc>
      </w:tr>
      <w:tr w:rsidR="00711FE4" w:rsidRPr="00711FE4" w14:paraId="3E1CA57B" w14:textId="77777777" w:rsidTr="00366F04">
        <w:trPr>
          <w:trHeight w:hRule="exact" w:val="432"/>
          <w:jc w:val="center"/>
        </w:trPr>
        <w:tc>
          <w:tcPr>
            <w:tcW w:w="1133" w:type="dxa"/>
            <w:tcMar>
              <w:left w:w="130" w:type="dxa"/>
            </w:tcMar>
            <w:vAlign w:val="center"/>
          </w:tcPr>
          <w:p w14:paraId="65A9012F"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5</w:t>
            </w:r>
          </w:p>
        </w:tc>
        <w:tc>
          <w:tcPr>
            <w:tcW w:w="1322" w:type="dxa"/>
            <w:noWrap/>
            <w:vAlign w:val="center"/>
          </w:tcPr>
          <w:p w14:paraId="1F9F6774"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72,800 - 83,700</w:t>
            </w:r>
          </w:p>
        </w:tc>
        <w:tc>
          <w:tcPr>
            <w:tcW w:w="1322" w:type="dxa"/>
            <w:noWrap/>
            <w:vAlign w:val="center"/>
          </w:tcPr>
          <w:p w14:paraId="41509EE3"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87,400 - 100,400</w:t>
            </w:r>
          </w:p>
        </w:tc>
        <w:tc>
          <w:tcPr>
            <w:tcW w:w="1322" w:type="dxa"/>
            <w:noWrap/>
            <w:vAlign w:val="center"/>
          </w:tcPr>
          <w:p w14:paraId="4CEC4AD2"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102,000 - 117,200</w:t>
            </w:r>
          </w:p>
        </w:tc>
        <w:tc>
          <w:tcPr>
            <w:tcW w:w="1322" w:type="dxa"/>
            <w:noWrap/>
            <w:vAlign w:val="center"/>
          </w:tcPr>
          <w:p w14:paraId="1FFF4AC2"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116,500 - 133,900</w:t>
            </w:r>
          </w:p>
        </w:tc>
        <w:tc>
          <w:tcPr>
            <w:tcW w:w="1322" w:type="dxa"/>
            <w:noWrap/>
            <w:tcMar>
              <w:left w:w="0" w:type="dxa"/>
              <w:right w:w="0" w:type="dxa"/>
            </w:tcMar>
            <w:vAlign w:val="center"/>
          </w:tcPr>
          <w:p w14:paraId="1FE3C09B"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131,100 - 150,600</w:t>
            </w:r>
          </w:p>
        </w:tc>
        <w:tc>
          <w:tcPr>
            <w:tcW w:w="1365" w:type="dxa"/>
            <w:noWrap/>
            <w:vAlign w:val="center"/>
          </w:tcPr>
          <w:p w14:paraId="7F60C2C3"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111,700 - 128,300</w:t>
            </w:r>
          </w:p>
        </w:tc>
      </w:tr>
      <w:tr w:rsidR="00711FE4" w:rsidRPr="00711FE4" w14:paraId="36390C98" w14:textId="77777777" w:rsidTr="00366F04">
        <w:trPr>
          <w:trHeight w:hRule="exact" w:val="432"/>
          <w:jc w:val="center"/>
        </w:trPr>
        <w:tc>
          <w:tcPr>
            <w:tcW w:w="1133" w:type="dxa"/>
            <w:tcMar>
              <w:left w:w="130" w:type="dxa"/>
            </w:tcMar>
            <w:vAlign w:val="center"/>
          </w:tcPr>
          <w:p w14:paraId="6C053639"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6</w:t>
            </w:r>
          </w:p>
        </w:tc>
        <w:tc>
          <w:tcPr>
            <w:tcW w:w="1322" w:type="dxa"/>
            <w:noWrap/>
            <w:vAlign w:val="center"/>
          </w:tcPr>
          <w:p w14:paraId="1EFE210B"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83,700 - 96,200</w:t>
            </w:r>
          </w:p>
        </w:tc>
        <w:tc>
          <w:tcPr>
            <w:tcW w:w="1322" w:type="dxa"/>
            <w:noWrap/>
            <w:vAlign w:val="center"/>
          </w:tcPr>
          <w:p w14:paraId="1646720C"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100,400 - 115,400</w:t>
            </w:r>
          </w:p>
        </w:tc>
        <w:tc>
          <w:tcPr>
            <w:tcW w:w="1322" w:type="dxa"/>
            <w:noWrap/>
            <w:vAlign w:val="center"/>
          </w:tcPr>
          <w:p w14:paraId="2792020A"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117,200 - 134,600</w:t>
            </w:r>
          </w:p>
        </w:tc>
        <w:tc>
          <w:tcPr>
            <w:tcW w:w="1322" w:type="dxa"/>
            <w:noWrap/>
            <w:vAlign w:val="center"/>
          </w:tcPr>
          <w:p w14:paraId="2764FEA5"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133,900 - 153,800</w:t>
            </w:r>
          </w:p>
        </w:tc>
        <w:tc>
          <w:tcPr>
            <w:tcW w:w="1322" w:type="dxa"/>
            <w:noWrap/>
            <w:tcMar>
              <w:left w:w="0" w:type="dxa"/>
              <w:right w:w="0" w:type="dxa"/>
            </w:tcMar>
            <w:vAlign w:val="center"/>
          </w:tcPr>
          <w:p w14:paraId="6889BE94"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150,600 - 173,100</w:t>
            </w:r>
          </w:p>
        </w:tc>
        <w:tc>
          <w:tcPr>
            <w:tcW w:w="1365" w:type="dxa"/>
            <w:noWrap/>
            <w:vAlign w:val="center"/>
          </w:tcPr>
          <w:p w14:paraId="07612E47"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128,300 - 147,400</w:t>
            </w:r>
          </w:p>
        </w:tc>
      </w:tr>
      <w:tr w:rsidR="00711FE4" w:rsidRPr="00711FE4" w14:paraId="47D740A3" w14:textId="77777777" w:rsidTr="00366F04">
        <w:trPr>
          <w:trHeight w:hRule="exact" w:val="432"/>
          <w:jc w:val="center"/>
        </w:trPr>
        <w:tc>
          <w:tcPr>
            <w:tcW w:w="1133" w:type="dxa"/>
            <w:tcMar>
              <w:left w:w="130" w:type="dxa"/>
            </w:tcMar>
            <w:vAlign w:val="center"/>
          </w:tcPr>
          <w:p w14:paraId="45A502E7"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7</w:t>
            </w:r>
          </w:p>
        </w:tc>
        <w:tc>
          <w:tcPr>
            <w:tcW w:w="1322" w:type="dxa"/>
            <w:noWrap/>
            <w:vAlign w:val="center"/>
          </w:tcPr>
          <w:p w14:paraId="666D3008"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96,200 - 110,300</w:t>
            </w:r>
          </w:p>
        </w:tc>
        <w:tc>
          <w:tcPr>
            <w:tcW w:w="1322" w:type="dxa"/>
            <w:noWrap/>
            <w:vAlign w:val="center"/>
          </w:tcPr>
          <w:p w14:paraId="05D89420"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115,400 - 132,300</w:t>
            </w:r>
          </w:p>
        </w:tc>
        <w:tc>
          <w:tcPr>
            <w:tcW w:w="1322" w:type="dxa"/>
            <w:noWrap/>
            <w:vAlign w:val="center"/>
          </w:tcPr>
          <w:p w14:paraId="60B754B5"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134,600 - 154,400</w:t>
            </w:r>
          </w:p>
        </w:tc>
        <w:tc>
          <w:tcPr>
            <w:tcW w:w="1322" w:type="dxa"/>
            <w:noWrap/>
            <w:vAlign w:val="center"/>
          </w:tcPr>
          <w:p w14:paraId="74398FB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153,800 - 176,400</w:t>
            </w:r>
          </w:p>
        </w:tc>
        <w:tc>
          <w:tcPr>
            <w:tcW w:w="1322" w:type="dxa"/>
            <w:noWrap/>
            <w:tcMar>
              <w:left w:w="0" w:type="dxa"/>
              <w:right w:w="0" w:type="dxa"/>
            </w:tcMar>
            <w:vAlign w:val="center"/>
          </w:tcPr>
          <w:p w14:paraId="5F4BA298"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173,100 - 198,500</w:t>
            </w:r>
          </w:p>
        </w:tc>
        <w:tc>
          <w:tcPr>
            <w:tcW w:w="1365" w:type="dxa"/>
            <w:noWrap/>
            <w:vAlign w:val="center"/>
          </w:tcPr>
          <w:p w14:paraId="73A97AC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147,400 - 169,100</w:t>
            </w:r>
          </w:p>
        </w:tc>
      </w:tr>
      <w:tr w:rsidR="00711FE4" w:rsidRPr="00711FE4" w14:paraId="3B857B05" w14:textId="77777777" w:rsidTr="00366F04">
        <w:trPr>
          <w:trHeight w:hRule="exact" w:val="432"/>
          <w:jc w:val="center"/>
        </w:trPr>
        <w:tc>
          <w:tcPr>
            <w:tcW w:w="1133" w:type="dxa"/>
            <w:tcMar>
              <w:left w:w="130" w:type="dxa"/>
            </w:tcMar>
            <w:vAlign w:val="center"/>
          </w:tcPr>
          <w:p w14:paraId="27D7973D"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8</w:t>
            </w:r>
          </w:p>
        </w:tc>
        <w:tc>
          <w:tcPr>
            <w:tcW w:w="1322" w:type="dxa"/>
            <w:noWrap/>
            <w:vAlign w:val="center"/>
          </w:tcPr>
          <w:p w14:paraId="14D1D9D4"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110,300 - 128,400</w:t>
            </w:r>
          </w:p>
        </w:tc>
        <w:tc>
          <w:tcPr>
            <w:tcW w:w="1322" w:type="dxa"/>
            <w:noWrap/>
            <w:vAlign w:val="center"/>
          </w:tcPr>
          <w:p w14:paraId="519E4540"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132,300 - 154,000</w:t>
            </w:r>
          </w:p>
        </w:tc>
        <w:tc>
          <w:tcPr>
            <w:tcW w:w="1322" w:type="dxa"/>
            <w:noWrap/>
            <w:vAlign w:val="center"/>
          </w:tcPr>
          <w:p w14:paraId="3FD37AAC"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154,400 - 179,700</w:t>
            </w:r>
          </w:p>
        </w:tc>
        <w:tc>
          <w:tcPr>
            <w:tcW w:w="1322" w:type="dxa"/>
            <w:noWrap/>
            <w:vAlign w:val="center"/>
          </w:tcPr>
          <w:p w14:paraId="2F15EAD5"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176,400 - 205,400</w:t>
            </w:r>
          </w:p>
        </w:tc>
        <w:tc>
          <w:tcPr>
            <w:tcW w:w="1322" w:type="dxa"/>
            <w:noWrap/>
            <w:tcMar>
              <w:left w:w="0" w:type="dxa"/>
              <w:right w:w="0" w:type="dxa"/>
            </w:tcMar>
            <w:vAlign w:val="center"/>
          </w:tcPr>
          <w:p w14:paraId="76DEB8C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198,500 - 231,000</w:t>
            </w:r>
          </w:p>
        </w:tc>
        <w:tc>
          <w:tcPr>
            <w:tcW w:w="1365" w:type="dxa"/>
            <w:noWrap/>
            <w:vAlign w:val="center"/>
          </w:tcPr>
          <w:p w14:paraId="5962B9F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169,100 - 196,800</w:t>
            </w:r>
          </w:p>
        </w:tc>
      </w:tr>
      <w:tr w:rsidR="00711FE4" w:rsidRPr="00711FE4" w14:paraId="64FEA1C5" w14:textId="77777777" w:rsidTr="00366F04">
        <w:trPr>
          <w:trHeight w:hRule="exact" w:val="432"/>
          <w:jc w:val="center"/>
        </w:trPr>
        <w:tc>
          <w:tcPr>
            <w:tcW w:w="1133" w:type="dxa"/>
            <w:tcMar>
              <w:left w:w="130" w:type="dxa"/>
            </w:tcMar>
            <w:vAlign w:val="center"/>
          </w:tcPr>
          <w:p w14:paraId="0ACD486F"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Decile 9</w:t>
            </w:r>
          </w:p>
        </w:tc>
        <w:tc>
          <w:tcPr>
            <w:tcW w:w="1322" w:type="dxa"/>
            <w:noWrap/>
            <w:vAlign w:val="center"/>
          </w:tcPr>
          <w:p w14:paraId="00608718"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128,400 - 161,100</w:t>
            </w:r>
          </w:p>
        </w:tc>
        <w:tc>
          <w:tcPr>
            <w:tcW w:w="1322" w:type="dxa"/>
            <w:noWrap/>
            <w:vAlign w:val="center"/>
          </w:tcPr>
          <w:p w14:paraId="122B631C"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154,000 - 193,300</w:t>
            </w:r>
          </w:p>
        </w:tc>
        <w:tc>
          <w:tcPr>
            <w:tcW w:w="1322" w:type="dxa"/>
            <w:noWrap/>
            <w:vAlign w:val="center"/>
          </w:tcPr>
          <w:p w14:paraId="2585F647"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179,700 - 225,500</w:t>
            </w:r>
          </w:p>
        </w:tc>
        <w:tc>
          <w:tcPr>
            <w:tcW w:w="1322" w:type="dxa"/>
            <w:noWrap/>
            <w:tcMar>
              <w:left w:w="173" w:type="dxa"/>
              <w:right w:w="173" w:type="dxa"/>
            </w:tcMar>
            <w:vAlign w:val="center"/>
          </w:tcPr>
          <w:p w14:paraId="1F45C01E"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205,400 - 257,700</w:t>
            </w:r>
          </w:p>
        </w:tc>
        <w:tc>
          <w:tcPr>
            <w:tcW w:w="1322" w:type="dxa"/>
            <w:noWrap/>
            <w:tcMar>
              <w:left w:w="173" w:type="dxa"/>
              <w:right w:w="173" w:type="dxa"/>
            </w:tcMar>
            <w:vAlign w:val="center"/>
          </w:tcPr>
          <w:p w14:paraId="51E7FF0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231,000 - 289,900</w:t>
            </w:r>
          </w:p>
        </w:tc>
        <w:tc>
          <w:tcPr>
            <w:tcW w:w="1365" w:type="dxa"/>
            <w:noWrap/>
            <w:tcMar>
              <w:left w:w="173" w:type="dxa"/>
              <w:right w:w="173" w:type="dxa"/>
            </w:tcMar>
            <w:vAlign w:val="center"/>
          </w:tcPr>
          <w:p w14:paraId="4C2FE8B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196,800 - 247,000</w:t>
            </w:r>
          </w:p>
        </w:tc>
      </w:tr>
      <w:tr w:rsidR="00711FE4" w:rsidRPr="00711FE4" w14:paraId="105536A9" w14:textId="77777777" w:rsidTr="00366F04">
        <w:trPr>
          <w:trHeight w:hRule="exact" w:val="432"/>
          <w:jc w:val="center"/>
        </w:trPr>
        <w:tc>
          <w:tcPr>
            <w:tcW w:w="1133" w:type="dxa"/>
            <w:tcMar>
              <w:left w:w="130" w:type="dxa"/>
            </w:tcMar>
            <w:vAlign w:val="center"/>
          </w:tcPr>
          <w:p w14:paraId="1790E9BF" w14:textId="77777777" w:rsidR="00711FE4" w:rsidRPr="00711FE4" w:rsidRDefault="00711FE4" w:rsidP="00711FE4">
            <w:pPr>
              <w:keepNext/>
              <w:spacing w:after="0" w:line="240" w:lineRule="auto"/>
              <w:outlineLvl w:val="1"/>
              <w:rPr>
                <w:rFonts w:ascii="Arial" w:eastAsia="Times New Roman" w:hAnsi="Arial"/>
                <w:b/>
                <w:iCs/>
                <w:color w:val="000000"/>
                <w:kern w:val="32"/>
                <w:sz w:val="16"/>
                <w:szCs w:val="16"/>
              </w:rPr>
            </w:pPr>
            <w:r w:rsidRPr="00711FE4">
              <w:rPr>
                <w:rFonts w:ascii="Arial" w:eastAsia="Times New Roman" w:hAnsi="Arial"/>
                <w:b/>
                <w:iCs/>
                <w:color w:val="000000"/>
                <w:kern w:val="32"/>
                <w:sz w:val="16"/>
                <w:szCs w:val="16"/>
              </w:rPr>
              <w:t>Top decile</w:t>
            </w:r>
          </w:p>
        </w:tc>
        <w:tc>
          <w:tcPr>
            <w:tcW w:w="1322" w:type="dxa"/>
            <w:noWrap/>
            <w:vAlign w:val="center"/>
          </w:tcPr>
          <w:p w14:paraId="2D63FC6F"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$161,100</w:t>
            </w:r>
          </w:p>
        </w:tc>
        <w:tc>
          <w:tcPr>
            <w:tcW w:w="1322" w:type="dxa"/>
            <w:noWrap/>
            <w:vAlign w:val="center"/>
          </w:tcPr>
          <w:p w14:paraId="6FD80311"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$193,300</w:t>
            </w:r>
          </w:p>
        </w:tc>
        <w:tc>
          <w:tcPr>
            <w:tcW w:w="1322" w:type="dxa"/>
            <w:noWrap/>
            <w:vAlign w:val="center"/>
          </w:tcPr>
          <w:p w14:paraId="4CFA8DB9"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$225,500</w:t>
            </w:r>
          </w:p>
        </w:tc>
        <w:tc>
          <w:tcPr>
            <w:tcW w:w="1322" w:type="dxa"/>
            <w:noWrap/>
            <w:vAlign w:val="center"/>
          </w:tcPr>
          <w:p w14:paraId="431BD76F"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$257,700</w:t>
            </w:r>
          </w:p>
        </w:tc>
        <w:tc>
          <w:tcPr>
            <w:tcW w:w="1322" w:type="dxa"/>
            <w:noWrap/>
            <w:tcMar>
              <w:left w:w="0" w:type="dxa"/>
              <w:right w:w="0" w:type="dxa"/>
            </w:tcMar>
            <w:vAlign w:val="center"/>
          </w:tcPr>
          <w:p w14:paraId="1E24A660"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$289,900</w:t>
            </w:r>
          </w:p>
        </w:tc>
        <w:tc>
          <w:tcPr>
            <w:tcW w:w="1365" w:type="dxa"/>
            <w:noWrap/>
            <w:vAlign w:val="center"/>
          </w:tcPr>
          <w:p w14:paraId="7F0F7DAC" w14:textId="77777777" w:rsidR="00711FE4" w:rsidRPr="00711FE4" w:rsidRDefault="00711FE4" w:rsidP="00711FE4">
            <w:pPr>
              <w:spacing w:after="0" w:line="240" w:lineRule="auto"/>
              <w:ind w:left="-113" w:right="-113"/>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&gt; $247,000</w:t>
            </w:r>
          </w:p>
        </w:tc>
      </w:tr>
    </w:tbl>
    <w:p w14:paraId="301E9895" w14:textId="77777777" w:rsidR="00711FE4" w:rsidRPr="00711FE4" w:rsidRDefault="00711FE4" w:rsidP="00711FE4">
      <w:pPr>
        <w:keepNext/>
        <w:spacing w:before="120" w:after="0" w:line="252" w:lineRule="auto"/>
        <w:ind w:left="567" w:hanging="561"/>
        <w:jc w:val="both"/>
        <w:outlineLvl w:val="1"/>
        <w:rPr>
          <w:rFonts w:ascii="Arial" w:eastAsia="Times New Roman" w:hAnsi="Arial"/>
          <w:iCs/>
          <w:color w:val="000000"/>
          <w:kern w:val="32"/>
          <w:sz w:val="16"/>
          <w:szCs w:val="16"/>
        </w:rPr>
      </w:pPr>
      <w:r w:rsidRPr="00711FE4">
        <w:rPr>
          <w:rFonts w:ascii="Arial" w:eastAsia="Times New Roman" w:hAnsi="Arial"/>
          <w:iCs/>
          <w:color w:val="000000"/>
          <w:kern w:val="32"/>
          <w:sz w:val="16"/>
          <w:szCs w:val="16"/>
        </w:rPr>
        <w:t xml:space="preserve">Note: </w:t>
      </w:r>
      <w:r w:rsidRPr="00711FE4">
        <w:rPr>
          <w:rFonts w:ascii="Arial" w:eastAsia="Times New Roman" w:hAnsi="Arial"/>
          <w:iCs/>
          <w:color w:val="000000"/>
          <w:kern w:val="32"/>
          <w:sz w:val="16"/>
          <w:szCs w:val="16"/>
        </w:rPr>
        <w:tab/>
        <w:t>use disposable household income when using this table – that is, household income from all sources after paying personal income tax and after receiving all tax credits (from Working for Families) and other state transfers (eg NZS, AS, main benefits).</w:t>
      </w:r>
    </w:p>
    <w:p w14:paraId="20D065E5" w14:textId="77777777" w:rsidR="00711FE4" w:rsidRPr="00711FE4" w:rsidRDefault="00711FE4" w:rsidP="00711FE4">
      <w:pPr>
        <w:spacing w:line="252" w:lineRule="auto"/>
        <w:outlineLvl w:val="1"/>
        <w:rPr>
          <w:b/>
          <w:color w:val="000000"/>
          <w:kern w:val="2"/>
          <w:sz w:val="28"/>
          <w:szCs w:val="20"/>
          <w14:ligatures w14:val="standardContextual"/>
        </w:rPr>
      </w:pPr>
    </w:p>
    <w:p w14:paraId="75E1CCE4" w14:textId="77777777" w:rsidR="00711FE4" w:rsidRPr="00711FE4" w:rsidRDefault="00711FE4" w:rsidP="00711FE4">
      <w:pPr>
        <w:spacing w:after="0" w:line="240" w:lineRule="auto"/>
        <w:rPr>
          <w:rFonts w:ascii="Arial" w:eastAsia="Times New Roman" w:hAnsi="Arial" w:cs="Times New Roman"/>
          <w:sz w:val="22"/>
          <w:szCs w:val="20"/>
          <w:lang w:val="en-GB"/>
        </w:rPr>
      </w:pPr>
    </w:p>
    <w:p w14:paraId="727E4AB3" w14:textId="77777777" w:rsidR="00711FE4" w:rsidRPr="00711FE4" w:rsidRDefault="00711FE4" w:rsidP="00711FE4">
      <w:pPr>
        <w:spacing w:after="0" w:line="240" w:lineRule="auto"/>
        <w:rPr>
          <w:rFonts w:ascii="Arial" w:hAnsi="Arial"/>
          <w:b/>
          <w:color w:val="0000FF"/>
          <w:sz w:val="28"/>
          <w:szCs w:val="28"/>
        </w:rPr>
      </w:pPr>
    </w:p>
    <w:p w14:paraId="7204A93D" w14:textId="77777777" w:rsidR="00711FE4" w:rsidRPr="00711FE4" w:rsidRDefault="00711FE4" w:rsidP="00711FE4">
      <w:pPr>
        <w:spacing w:after="0" w:line="240" w:lineRule="auto"/>
        <w:rPr>
          <w:rFonts w:ascii="Arial" w:hAnsi="Arial"/>
          <w:b/>
          <w:color w:val="0000FF"/>
          <w:sz w:val="28"/>
          <w:szCs w:val="28"/>
        </w:rPr>
      </w:pPr>
      <w:r w:rsidRPr="00711FE4">
        <w:rPr>
          <w:rFonts w:ascii="Arial" w:hAnsi="Arial"/>
          <w:b/>
          <w:color w:val="0000FF"/>
          <w:sz w:val="28"/>
          <w:szCs w:val="28"/>
        </w:rPr>
        <w:br w:type="page"/>
      </w:r>
    </w:p>
    <w:p w14:paraId="37DD7EE0" w14:textId="77777777" w:rsidR="00711FE4" w:rsidRPr="00711FE4" w:rsidRDefault="00711FE4" w:rsidP="00711FE4">
      <w:pPr>
        <w:spacing w:after="60" w:line="240" w:lineRule="auto"/>
        <w:rPr>
          <w:rFonts w:ascii="Arial" w:hAnsi="Arial"/>
          <w:b/>
          <w:color w:val="000000" w:themeColor="text1"/>
          <w:sz w:val="28"/>
          <w:szCs w:val="28"/>
        </w:rPr>
      </w:pPr>
      <w:r w:rsidRPr="00711FE4">
        <w:rPr>
          <w:rFonts w:ascii="Arial" w:hAnsi="Arial"/>
          <w:b/>
          <w:color w:val="000000" w:themeColor="text1"/>
          <w:sz w:val="28"/>
          <w:szCs w:val="28"/>
        </w:rPr>
        <w:lastRenderedPageBreak/>
        <w:t>Appendix 9</w:t>
      </w:r>
    </w:p>
    <w:p w14:paraId="475918A3" w14:textId="77777777" w:rsidR="00711FE4" w:rsidRPr="00711FE4" w:rsidRDefault="00711FE4" w:rsidP="00711FE4">
      <w:pPr>
        <w:spacing w:after="0" w:line="240" w:lineRule="auto"/>
        <w:rPr>
          <w:rFonts w:ascii="Arial" w:hAnsi="Arial"/>
          <w:b/>
          <w:color w:val="000000" w:themeColor="text1"/>
          <w:sz w:val="24"/>
          <w:szCs w:val="24"/>
        </w:rPr>
      </w:pPr>
      <w:r w:rsidRPr="00711FE4">
        <w:rPr>
          <w:rFonts w:ascii="Arial" w:hAnsi="Arial"/>
          <w:b/>
          <w:color w:val="000000" w:themeColor="text1"/>
          <w:sz w:val="24"/>
          <w:szCs w:val="24"/>
        </w:rPr>
        <w:t>Low-income thresholds</w:t>
      </w:r>
    </w:p>
    <w:p w14:paraId="40130712" w14:textId="77777777" w:rsidR="00711FE4" w:rsidRPr="00711FE4" w:rsidRDefault="00711FE4" w:rsidP="00711FE4">
      <w:pPr>
        <w:spacing w:after="0" w:line="240" w:lineRule="auto"/>
        <w:rPr>
          <w:rFonts w:ascii="Arial" w:hAnsi="Arial"/>
          <w:b/>
          <w:color w:val="000000" w:themeColor="text1"/>
          <w:sz w:val="24"/>
          <w:szCs w:val="24"/>
        </w:rPr>
      </w:pPr>
    </w:p>
    <w:p w14:paraId="35031FEC" w14:textId="35885D96" w:rsidR="00711FE4" w:rsidRPr="00711FE4" w:rsidRDefault="00711FE4" w:rsidP="00711FE4">
      <w:pPr>
        <w:spacing w:after="0" w:line="240" w:lineRule="auto"/>
        <w:jc w:val="center"/>
        <w:outlineLvl w:val="1"/>
        <w:rPr>
          <w:rFonts w:ascii="Arial" w:eastAsia="Times New Roman" w:hAnsi="Arial" w:cs="Times New Roman"/>
          <w:b/>
          <w:color w:val="FF0000"/>
          <w:sz w:val="18"/>
          <w:szCs w:val="20"/>
          <w:lang w:val="en-GB"/>
        </w:rPr>
      </w:pPr>
      <w:bookmarkStart w:id="45" w:name="_Hlk73474179"/>
      <w:bookmarkStart w:id="46" w:name="_Hlk73310079"/>
      <w:r w:rsidRPr="00711FE4">
        <w:rPr>
          <w:rFonts w:ascii="Arial" w:eastAsia="Times New Roman" w:hAnsi="Arial" w:cs="Times New Roman"/>
          <w:b/>
          <w:color w:val="000000" w:themeColor="text1"/>
          <w:sz w:val="18"/>
          <w:szCs w:val="20"/>
          <w:lang w:val="en-GB"/>
        </w:rPr>
        <w:t>Table 9.1</w:t>
      </w:r>
    </w:p>
    <w:p w14:paraId="53EC672B" w14:textId="77777777" w:rsidR="00711FE4" w:rsidRPr="00711FE4" w:rsidRDefault="00711FE4" w:rsidP="00711FE4">
      <w:pPr>
        <w:spacing w:after="0" w:line="240" w:lineRule="auto"/>
        <w:jc w:val="center"/>
        <w:rPr>
          <w:rFonts w:ascii="Arial" w:eastAsia="Times New Roman" w:hAnsi="Arial" w:cs="Times New Roman"/>
          <w:b/>
          <w:color w:val="000000" w:themeColor="text1"/>
          <w:sz w:val="18"/>
          <w:szCs w:val="20"/>
          <w:lang w:val="en-GB"/>
        </w:rPr>
      </w:pPr>
      <w:r w:rsidRPr="00711FE4">
        <w:rPr>
          <w:rFonts w:ascii="Arial" w:eastAsia="Times New Roman" w:hAnsi="Arial" w:cs="Times New Roman"/>
          <w:b/>
          <w:color w:val="000000" w:themeColor="text1"/>
          <w:sz w:val="18"/>
          <w:szCs w:val="20"/>
          <w:lang w:val="en-GB"/>
        </w:rPr>
        <w:t>50% and 60% low-income thresholds or ‘poverty lines’ for various household types (BHC)</w:t>
      </w:r>
    </w:p>
    <w:p w14:paraId="2F3EAC92" w14:textId="77777777" w:rsidR="00711FE4" w:rsidRPr="00711FE4" w:rsidRDefault="00711FE4" w:rsidP="00711FE4">
      <w:pPr>
        <w:spacing w:line="240" w:lineRule="auto"/>
        <w:jc w:val="center"/>
        <w:rPr>
          <w:rFonts w:ascii="Arial" w:eastAsia="Times New Roman" w:hAnsi="Arial" w:cs="Times New Roman"/>
          <w:color w:val="000000" w:themeColor="text1"/>
          <w:szCs w:val="20"/>
          <w:lang w:val="en-GB"/>
        </w:rPr>
      </w:pPr>
      <w:r w:rsidRPr="00711FE4">
        <w:rPr>
          <w:rFonts w:ascii="Arial" w:eastAsia="Times New Roman" w:hAnsi="Arial" w:cs="Times New Roman"/>
          <w:b/>
          <w:color w:val="000000" w:themeColor="text1"/>
          <w:sz w:val="18"/>
          <w:szCs w:val="20"/>
          <w:lang w:val="en-GB"/>
        </w:rPr>
        <w:t xml:space="preserve">($2025, per week)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61"/>
        <w:gridCol w:w="1013"/>
        <w:gridCol w:w="1199"/>
        <w:gridCol w:w="1323"/>
        <w:gridCol w:w="1278"/>
        <w:gridCol w:w="1417"/>
      </w:tblGrid>
      <w:tr w:rsidR="00711FE4" w:rsidRPr="00711FE4" w14:paraId="4DE308AC" w14:textId="77777777" w:rsidTr="00366F04">
        <w:trPr>
          <w:jc w:val="center"/>
        </w:trPr>
        <w:tc>
          <w:tcPr>
            <w:tcW w:w="1461" w:type="dxa"/>
            <w:vAlign w:val="center"/>
          </w:tcPr>
          <w:p w14:paraId="126F2F9D" w14:textId="77777777" w:rsidR="00711FE4" w:rsidRPr="00711FE4" w:rsidRDefault="00711FE4" w:rsidP="00711FE4">
            <w:pPr>
              <w:spacing w:before="60" w:after="60" w:line="240" w:lineRule="auto"/>
              <w:ind w:right="-43"/>
              <w:jc w:val="both"/>
              <w:outlineLvl w:val="2"/>
              <w:rPr>
                <w:rFonts w:ascii="Arial" w:eastAsia="Times New Roman" w:hAnsi="Arial" w:cs="Times New Roman"/>
                <w:color w:val="000000" w:themeColor="text1"/>
                <w:sz w:val="14"/>
                <w:szCs w:val="16"/>
                <w:lang w:val="en-GB"/>
              </w:rPr>
            </w:pPr>
          </w:p>
        </w:tc>
        <w:tc>
          <w:tcPr>
            <w:tcW w:w="1013" w:type="dxa"/>
            <w:vAlign w:val="center"/>
          </w:tcPr>
          <w:p w14:paraId="4E8253F4" w14:textId="77777777" w:rsidR="00711FE4" w:rsidRPr="00711FE4" w:rsidRDefault="00711FE4" w:rsidP="00711FE4">
            <w:pPr>
              <w:spacing w:before="60" w:after="60" w:line="240" w:lineRule="auto"/>
              <w:ind w:right="-43"/>
              <w:jc w:val="center"/>
              <w:outlineLvl w:val="2"/>
              <w:rPr>
                <w:rFonts w:ascii="Arial" w:eastAsia="Times New Roman" w:hAnsi="Arial" w:cs="Times New Roman"/>
                <w:color w:val="000000" w:themeColor="text1"/>
                <w:sz w:val="14"/>
                <w:szCs w:val="16"/>
                <w:lang w:val="en-GB"/>
              </w:rPr>
            </w:pPr>
          </w:p>
        </w:tc>
        <w:tc>
          <w:tcPr>
            <w:tcW w:w="2522" w:type="dxa"/>
            <w:gridSpan w:val="2"/>
            <w:tcBorders>
              <w:right w:val="single" w:sz="12" w:space="0" w:color="auto"/>
            </w:tcBorders>
            <w:vAlign w:val="center"/>
          </w:tcPr>
          <w:p w14:paraId="78DBA123" w14:textId="77777777" w:rsidR="00711FE4" w:rsidRPr="00711FE4" w:rsidRDefault="00711FE4" w:rsidP="00711FE4">
            <w:pPr>
              <w:spacing w:before="60" w:after="60" w:line="240" w:lineRule="auto"/>
              <w:ind w:right="-43"/>
              <w:jc w:val="center"/>
              <w:outlineLvl w:val="2"/>
              <w:rPr>
                <w:rFonts w:ascii="Arial" w:eastAsia="Times New Roman" w:hAnsi="Arial" w:cs="Times New Roman"/>
                <w:color w:val="000000" w:themeColor="text1"/>
                <w:sz w:val="16"/>
                <w:szCs w:val="16"/>
                <w:lang w:val="en-GB"/>
              </w:rPr>
            </w:pPr>
            <w:r w:rsidRPr="00711FE4">
              <w:rPr>
                <w:rFonts w:ascii="Arial" w:eastAsia="Times New Roman" w:hAnsi="Arial" w:cs="Times New Roman"/>
                <w:b/>
                <w:color w:val="000000" w:themeColor="text1"/>
                <w:sz w:val="16"/>
                <w:szCs w:val="18"/>
                <w:lang w:val="en-GB"/>
              </w:rPr>
              <w:t xml:space="preserve">REL </w:t>
            </w:r>
            <w:r w:rsidRPr="00711FE4">
              <w:rPr>
                <w:rFonts w:ascii="Arial" w:eastAsia="Times New Roman" w:hAnsi="Arial" w:cs="Times New Roman"/>
                <w:color w:val="000000" w:themeColor="text1"/>
                <w:sz w:val="16"/>
                <w:szCs w:val="18"/>
                <w:lang w:val="en-GB"/>
              </w:rPr>
              <w:t>(‘moving’)</w:t>
            </w:r>
          </w:p>
        </w:tc>
        <w:tc>
          <w:tcPr>
            <w:tcW w:w="2695" w:type="dxa"/>
            <w:gridSpan w:val="2"/>
            <w:tcBorders>
              <w:left w:val="single" w:sz="12" w:space="0" w:color="auto"/>
            </w:tcBorders>
            <w:vAlign w:val="center"/>
          </w:tcPr>
          <w:p w14:paraId="1CC1B254" w14:textId="77777777" w:rsidR="00711FE4" w:rsidRPr="00711FE4" w:rsidRDefault="00711FE4" w:rsidP="00711FE4">
            <w:pPr>
              <w:spacing w:before="60" w:after="60" w:line="240" w:lineRule="auto"/>
              <w:ind w:right="-43"/>
              <w:jc w:val="center"/>
              <w:outlineLvl w:val="2"/>
              <w:rPr>
                <w:rFonts w:ascii="Arial" w:eastAsia="Times New Roman" w:hAnsi="Arial" w:cs="Times New Roman"/>
                <w:b/>
                <w:color w:val="000000" w:themeColor="text1"/>
                <w:sz w:val="16"/>
                <w:szCs w:val="18"/>
                <w:lang w:val="en-GB"/>
              </w:rPr>
            </w:pPr>
            <w:r w:rsidRPr="00711FE4">
              <w:rPr>
                <w:rFonts w:ascii="Arial" w:eastAsia="Times New Roman" w:hAnsi="Arial" w:cs="Times New Roman"/>
                <w:b/>
                <w:color w:val="000000" w:themeColor="text1"/>
                <w:sz w:val="16"/>
                <w:szCs w:val="18"/>
                <w:lang w:val="en-GB"/>
              </w:rPr>
              <w:t xml:space="preserve">CV </w:t>
            </w:r>
            <w:r w:rsidRPr="00711FE4">
              <w:rPr>
                <w:rFonts w:ascii="Arial" w:eastAsia="Times New Roman" w:hAnsi="Arial" w:cs="Times New Roman"/>
                <w:color w:val="000000" w:themeColor="text1"/>
                <w:sz w:val="16"/>
                <w:szCs w:val="18"/>
                <w:lang w:val="en-GB"/>
              </w:rPr>
              <w:t>(‘anchored’ / ‘fixed’)</w:t>
            </w:r>
          </w:p>
        </w:tc>
      </w:tr>
      <w:tr w:rsidR="00711FE4" w:rsidRPr="00711FE4" w14:paraId="60C5C1C2" w14:textId="77777777" w:rsidTr="00366F04">
        <w:trPr>
          <w:trHeight w:val="567"/>
          <w:jc w:val="center"/>
        </w:trPr>
        <w:tc>
          <w:tcPr>
            <w:tcW w:w="1461" w:type="dxa"/>
            <w:vAlign w:val="center"/>
          </w:tcPr>
          <w:p w14:paraId="19D08541"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Household type</w:t>
            </w:r>
          </w:p>
        </w:tc>
        <w:tc>
          <w:tcPr>
            <w:tcW w:w="1013" w:type="dxa"/>
            <w:vAlign w:val="center"/>
          </w:tcPr>
          <w:p w14:paraId="6F94CF2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Equiv ratio</w:t>
            </w:r>
          </w:p>
        </w:tc>
        <w:tc>
          <w:tcPr>
            <w:tcW w:w="1199" w:type="dxa"/>
            <w:vAlign w:val="center"/>
          </w:tcPr>
          <w:p w14:paraId="3ADAE78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50% of 2025 median</w:t>
            </w:r>
          </w:p>
        </w:tc>
        <w:tc>
          <w:tcPr>
            <w:tcW w:w="1323" w:type="dxa"/>
            <w:tcBorders>
              <w:right w:val="single" w:sz="12" w:space="0" w:color="auto"/>
            </w:tcBorders>
            <w:vAlign w:val="center"/>
          </w:tcPr>
          <w:p w14:paraId="7AF0E4E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60% of 2025 median</w:t>
            </w:r>
          </w:p>
        </w:tc>
        <w:tc>
          <w:tcPr>
            <w:tcW w:w="1278" w:type="dxa"/>
            <w:tcBorders>
              <w:left w:val="single" w:sz="12" w:space="0" w:color="auto"/>
              <w:right w:val="single" w:sz="4" w:space="0" w:color="auto"/>
            </w:tcBorders>
            <w:vAlign w:val="center"/>
          </w:tcPr>
          <w:p w14:paraId="068A815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 xml:space="preserve">50% of </w:t>
            </w:r>
            <w:r w:rsidRPr="00711FE4">
              <w:rPr>
                <w:rFonts w:ascii="Arial" w:eastAsia="Times New Roman" w:hAnsi="Arial"/>
                <w:b/>
                <w:bCs/>
                <w:color w:val="000000" w:themeColor="text1"/>
                <w:sz w:val="14"/>
                <w:szCs w:val="14"/>
                <w:lang w:val="en-GB"/>
              </w:rPr>
              <w:t>2007</w:t>
            </w:r>
            <w:r w:rsidRPr="00711FE4">
              <w:rPr>
                <w:rFonts w:ascii="Arial" w:eastAsia="Times New Roman" w:hAnsi="Arial"/>
                <w:color w:val="000000" w:themeColor="text1"/>
                <w:sz w:val="14"/>
                <w:szCs w:val="14"/>
                <w:lang w:val="en-GB"/>
              </w:rPr>
              <w:t xml:space="preserve"> median in $2025</w:t>
            </w:r>
          </w:p>
        </w:tc>
        <w:tc>
          <w:tcPr>
            <w:tcW w:w="1417" w:type="dxa"/>
            <w:tcBorders>
              <w:left w:val="single" w:sz="4" w:space="0" w:color="auto"/>
            </w:tcBorders>
            <w:vAlign w:val="center"/>
          </w:tcPr>
          <w:p w14:paraId="0A9066D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 xml:space="preserve">60% of </w:t>
            </w:r>
            <w:r w:rsidRPr="00711FE4">
              <w:rPr>
                <w:rFonts w:ascii="Arial" w:eastAsia="Times New Roman" w:hAnsi="Arial"/>
                <w:b/>
                <w:bCs/>
                <w:color w:val="000000" w:themeColor="text1"/>
                <w:sz w:val="14"/>
                <w:szCs w:val="14"/>
                <w:lang w:val="en-GB"/>
              </w:rPr>
              <w:t>2018</w:t>
            </w:r>
            <w:r w:rsidRPr="00711FE4">
              <w:rPr>
                <w:rFonts w:ascii="Arial" w:eastAsia="Times New Roman" w:hAnsi="Arial"/>
                <w:color w:val="000000" w:themeColor="text1"/>
                <w:sz w:val="14"/>
                <w:szCs w:val="14"/>
                <w:lang w:val="en-GB"/>
              </w:rPr>
              <w:t xml:space="preserve"> median in $2025</w:t>
            </w:r>
          </w:p>
        </w:tc>
      </w:tr>
      <w:tr w:rsidR="00711FE4" w:rsidRPr="00711FE4" w14:paraId="75A41991" w14:textId="77777777" w:rsidTr="00366F04">
        <w:trPr>
          <w:trHeight w:val="284"/>
          <w:jc w:val="center"/>
        </w:trPr>
        <w:tc>
          <w:tcPr>
            <w:tcW w:w="1461" w:type="dxa"/>
            <w:vAlign w:val="center"/>
          </w:tcPr>
          <w:p w14:paraId="1DA71B27"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One-person HH</w:t>
            </w:r>
          </w:p>
        </w:tc>
        <w:tc>
          <w:tcPr>
            <w:tcW w:w="1013" w:type="dxa"/>
            <w:vAlign w:val="center"/>
          </w:tcPr>
          <w:p w14:paraId="2EC95B5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w:t>
            </w:r>
          </w:p>
        </w:tc>
        <w:tc>
          <w:tcPr>
            <w:tcW w:w="1199" w:type="dxa"/>
            <w:vAlign w:val="center"/>
          </w:tcPr>
          <w:p w14:paraId="7DC11C7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535</w:t>
            </w:r>
          </w:p>
        </w:tc>
        <w:tc>
          <w:tcPr>
            <w:tcW w:w="1323" w:type="dxa"/>
            <w:tcBorders>
              <w:right w:val="single" w:sz="12" w:space="0" w:color="auto"/>
            </w:tcBorders>
            <w:vAlign w:val="center"/>
          </w:tcPr>
          <w:p w14:paraId="746D427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645</w:t>
            </w:r>
          </w:p>
        </w:tc>
        <w:tc>
          <w:tcPr>
            <w:tcW w:w="1278" w:type="dxa"/>
            <w:tcBorders>
              <w:left w:val="single" w:sz="12" w:space="0" w:color="auto"/>
              <w:right w:val="single" w:sz="4" w:space="0" w:color="auto"/>
            </w:tcBorders>
            <w:vAlign w:val="center"/>
          </w:tcPr>
          <w:p w14:paraId="1E9ABACD"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405</w:t>
            </w:r>
          </w:p>
        </w:tc>
        <w:tc>
          <w:tcPr>
            <w:tcW w:w="1417" w:type="dxa"/>
            <w:tcBorders>
              <w:left w:val="single" w:sz="4" w:space="0" w:color="auto"/>
            </w:tcBorders>
            <w:vAlign w:val="center"/>
          </w:tcPr>
          <w:p w14:paraId="30FD048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595</w:t>
            </w:r>
          </w:p>
        </w:tc>
      </w:tr>
      <w:tr w:rsidR="00711FE4" w:rsidRPr="00711FE4" w14:paraId="123BC35E" w14:textId="77777777" w:rsidTr="00366F04">
        <w:trPr>
          <w:trHeight w:val="284"/>
          <w:jc w:val="center"/>
        </w:trPr>
        <w:tc>
          <w:tcPr>
            <w:tcW w:w="1461" w:type="dxa"/>
            <w:vAlign w:val="center"/>
          </w:tcPr>
          <w:p w14:paraId="3375BE0C"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SP, 1 child &lt;14</w:t>
            </w:r>
          </w:p>
        </w:tc>
        <w:tc>
          <w:tcPr>
            <w:tcW w:w="1013" w:type="dxa"/>
            <w:vAlign w:val="center"/>
          </w:tcPr>
          <w:p w14:paraId="47089B4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1.3</w:t>
            </w:r>
          </w:p>
        </w:tc>
        <w:tc>
          <w:tcPr>
            <w:tcW w:w="1199" w:type="dxa"/>
            <w:vAlign w:val="center"/>
          </w:tcPr>
          <w:p w14:paraId="30394F6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695</w:t>
            </w:r>
          </w:p>
        </w:tc>
        <w:tc>
          <w:tcPr>
            <w:tcW w:w="1323" w:type="dxa"/>
            <w:tcBorders>
              <w:right w:val="single" w:sz="12" w:space="0" w:color="auto"/>
            </w:tcBorders>
            <w:vAlign w:val="center"/>
          </w:tcPr>
          <w:p w14:paraId="21A8ECA1"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835</w:t>
            </w:r>
          </w:p>
        </w:tc>
        <w:tc>
          <w:tcPr>
            <w:tcW w:w="1278" w:type="dxa"/>
            <w:tcBorders>
              <w:left w:val="single" w:sz="12" w:space="0" w:color="auto"/>
              <w:right w:val="single" w:sz="4" w:space="0" w:color="auto"/>
            </w:tcBorders>
            <w:vAlign w:val="center"/>
          </w:tcPr>
          <w:p w14:paraId="688AA2C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530</w:t>
            </w:r>
          </w:p>
        </w:tc>
        <w:tc>
          <w:tcPr>
            <w:tcW w:w="1417" w:type="dxa"/>
            <w:tcBorders>
              <w:left w:val="single" w:sz="4" w:space="0" w:color="auto"/>
            </w:tcBorders>
            <w:vAlign w:val="center"/>
          </w:tcPr>
          <w:p w14:paraId="299347F1"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770</w:t>
            </w:r>
          </w:p>
        </w:tc>
      </w:tr>
      <w:tr w:rsidR="00711FE4" w:rsidRPr="00711FE4" w14:paraId="4F9FC39C" w14:textId="77777777" w:rsidTr="00366F04">
        <w:trPr>
          <w:trHeight w:val="284"/>
          <w:jc w:val="center"/>
        </w:trPr>
        <w:tc>
          <w:tcPr>
            <w:tcW w:w="1461" w:type="dxa"/>
            <w:vAlign w:val="center"/>
          </w:tcPr>
          <w:p w14:paraId="19C2A652"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SP, 2 children &lt;14</w:t>
            </w:r>
          </w:p>
        </w:tc>
        <w:tc>
          <w:tcPr>
            <w:tcW w:w="1013" w:type="dxa"/>
            <w:vAlign w:val="center"/>
          </w:tcPr>
          <w:p w14:paraId="5B7361F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1.6</w:t>
            </w:r>
          </w:p>
        </w:tc>
        <w:tc>
          <w:tcPr>
            <w:tcW w:w="1199" w:type="dxa"/>
            <w:vAlign w:val="center"/>
          </w:tcPr>
          <w:p w14:paraId="74823A3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860</w:t>
            </w:r>
          </w:p>
        </w:tc>
        <w:tc>
          <w:tcPr>
            <w:tcW w:w="1323" w:type="dxa"/>
            <w:tcBorders>
              <w:right w:val="single" w:sz="12" w:space="0" w:color="auto"/>
            </w:tcBorders>
            <w:vAlign w:val="center"/>
          </w:tcPr>
          <w:p w14:paraId="42FF2E2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1030</w:t>
            </w:r>
          </w:p>
        </w:tc>
        <w:tc>
          <w:tcPr>
            <w:tcW w:w="1278" w:type="dxa"/>
            <w:tcBorders>
              <w:left w:val="single" w:sz="12" w:space="0" w:color="auto"/>
              <w:right w:val="single" w:sz="4" w:space="0" w:color="auto"/>
            </w:tcBorders>
            <w:vAlign w:val="center"/>
          </w:tcPr>
          <w:p w14:paraId="5299C15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650</w:t>
            </w:r>
          </w:p>
        </w:tc>
        <w:tc>
          <w:tcPr>
            <w:tcW w:w="1417" w:type="dxa"/>
            <w:tcBorders>
              <w:left w:val="single" w:sz="4" w:space="0" w:color="auto"/>
            </w:tcBorders>
            <w:vAlign w:val="center"/>
          </w:tcPr>
          <w:p w14:paraId="6F9C060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950</w:t>
            </w:r>
          </w:p>
        </w:tc>
      </w:tr>
      <w:tr w:rsidR="00711FE4" w:rsidRPr="00711FE4" w14:paraId="126EAC7F" w14:textId="77777777" w:rsidTr="00366F04">
        <w:trPr>
          <w:trHeight w:val="284"/>
          <w:jc w:val="center"/>
        </w:trPr>
        <w:tc>
          <w:tcPr>
            <w:tcW w:w="1461" w:type="dxa"/>
            <w:vAlign w:val="center"/>
          </w:tcPr>
          <w:p w14:paraId="3F2010C3"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SP, 3 children &lt;14</w:t>
            </w:r>
          </w:p>
        </w:tc>
        <w:tc>
          <w:tcPr>
            <w:tcW w:w="1013" w:type="dxa"/>
            <w:vAlign w:val="center"/>
          </w:tcPr>
          <w:p w14:paraId="4C2FE18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1.9</w:t>
            </w:r>
          </w:p>
        </w:tc>
        <w:tc>
          <w:tcPr>
            <w:tcW w:w="1199" w:type="dxa"/>
            <w:vAlign w:val="center"/>
          </w:tcPr>
          <w:p w14:paraId="63ECE0D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1020</w:t>
            </w:r>
          </w:p>
        </w:tc>
        <w:tc>
          <w:tcPr>
            <w:tcW w:w="1323" w:type="dxa"/>
            <w:tcBorders>
              <w:right w:val="single" w:sz="12" w:space="0" w:color="auto"/>
            </w:tcBorders>
            <w:vAlign w:val="center"/>
          </w:tcPr>
          <w:p w14:paraId="1179C92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1225</w:t>
            </w:r>
          </w:p>
        </w:tc>
        <w:tc>
          <w:tcPr>
            <w:tcW w:w="1278" w:type="dxa"/>
            <w:tcBorders>
              <w:left w:val="single" w:sz="12" w:space="0" w:color="auto"/>
              <w:right w:val="single" w:sz="4" w:space="0" w:color="auto"/>
            </w:tcBorders>
            <w:vAlign w:val="center"/>
          </w:tcPr>
          <w:p w14:paraId="0825E5F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775</w:t>
            </w:r>
          </w:p>
        </w:tc>
        <w:tc>
          <w:tcPr>
            <w:tcW w:w="1417" w:type="dxa"/>
            <w:tcBorders>
              <w:left w:val="single" w:sz="4" w:space="0" w:color="auto"/>
            </w:tcBorders>
            <w:vAlign w:val="center"/>
          </w:tcPr>
          <w:p w14:paraId="30F3C23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1125</w:t>
            </w:r>
          </w:p>
        </w:tc>
      </w:tr>
      <w:tr w:rsidR="00711FE4" w:rsidRPr="00711FE4" w14:paraId="68CE6A41" w14:textId="77777777" w:rsidTr="00366F04">
        <w:trPr>
          <w:trHeight w:val="284"/>
          <w:jc w:val="center"/>
        </w:trPr>
        <w:tc>
          <w:tcPr>
            <w:tcW w:w="1461" w:type="dxa"/>
            <w:vAlign w:val="center"/>
          </w:tcPr>
          <w:p w14:paraId="3ADC48EC"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Couple only</w:t>
            </w:r>
          </w:p>
        </w:tc>
        <w:tc>
          <w:tcPr>
            <w:tcW w:w="1013" w:type="dxa"/>
            <w:vAlign w:val="center"/>
          </w:tcPr>
          <w:p w14:paraId="2FE655D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1.5</w:t>
            </w:r>
          </w:p>
        </w:tc>
        <w:tc>
          <w:tcPr>
            <w:tcW w:w="1199" w:type="dxa"/>
            <w:vAlign w:val="center"/>
          </w:tcPr>
          <w:p w14:paraId="3277ACE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805</w:t>
            </w:r>
          </w:p>
        </w:tc>
        <w:tc>
          <w:tcPr>
            <w:tcW w:w="1323" w:type="dxa"/>
            <w:tcBorders>
              <w:right w:val="single" w:sz="12" w:space="0" w:color="auto"/>
            </w:tcBorders>
            <w:vAlign w:val="center"/>
          </w:tcPr>
          <w:p w14:paraId="3430588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965</w:t>
            </w:r>
          </w:p>
        </w:tc>
        <w:tc>
          <w:tcPr>
            <w:tcW w:w="1278" w:type="dxa"/>
            <w:tcBorders>
              <w:left w:val="single" w:sz="12" w:space="0" w:color="auto"/>
              <w:right w:val="single" w:sz="4" w:space="0" w:color="auto"/>
            </w:tcBorders>
            <w:vAlign w:val="center"/>
          </w:tcPr>
          <w:p w14:paraId="3DC0371D"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610</w:t>
            </w:r>
          </w:p>
        </w:tc>
        <w:tc>
          <w:tcPr>
            <w:tcW w:w="1417" w:type="dxa"/>
            <w:tcBorders>
              <w:left w:val="single" w:sz="4" w:space="0" w:color="auto"/>
            </w:tcBorders>
            <w:vAlign w:val="center"/>
          </w:tcPr>
          <w:p w14:paraId="120F1CB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890</w:t>
            </w:r>
          </w:p>
        </w:tc>
      </w:tr>
      <w:tr w:rsidR="00711FE4" w:rsidRPr="00711FE4" w14:paraId="5DB006AE" w14:textId="77777777" w:rsidTr="00366F04">
        <w:trPr>
          <w:trHeight w:val="284"/>
          <w:jc w:val="center"/>
        </w:trPr>
        <w:tc>
          <w:tcPr>
            <w:tcW w:w="1461" w:type="dxa"/>
            <w:vAlign w:val="center"/>
          </w:tcPr>
          <w:p w14:paraId="51CF3985"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1 child &lt;14</w:t>
            </w:r>
          </w:p>
        </w:tc>
        <w:tc>
          <w:tcPr>
            <w:tcW w:w="1013" w:type="dxa"/>
            <w:vAlign w:val="center"/>
          </w:tcPr>
          <w:p w14:paraId="15DE917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1.8</w:t>
            </w:r>
          </w:p>
        </w:tc>
        <w:tc>
          <w:tcPr>
            <w:tcW w:w="1199" w:type="dxa"/>
            <w:vAlign w:val="center"/>
          </w:tcPr>
          <w:p w14:paraId="167F3629"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965</w:t>
            </w:r>
          </w:p>
        </w:tc>
        <w:tc>
          <w:tcPr>
            <w:tcW w:w="1323" w:type="dxa"/>
            <w:tcBorders>
              <w:right w:val="single" w:sz="12" w:space="0" w:color="auto"/>
            </w:tcBorders>
            <w:vAlign w:val="center"/>
          </w:tcPr>
          <w:p w14:paraId="294D71A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1160</w:t>
            </w:r>
          </w:p>
        </w:tc>
        <w:tc>
          <w:tcPr>
            <w:tcW w:w="1278" w:type="dxa"/>
            <w:tcBorders>
              <w:left w:val="single" w:sz="12" w:space="0" w:color="auto"/>
              <w:right w:val="single" w:sz="4" w:space="0" w:color="auto"/>
            </w:tcBorders>
            <w:vAlign w:val="center"/>
          </w:tcPr>
          <w:p w14:paraId="1B0DD45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730</w:t>
            </w:r>
          </w:p>
        </w:tc>
        <w:tc>
          <w:tcPr>
            <w:tcW w:w="1417" w:type="dxa"/>
            <w:tcBorders>
              <w:left w:val="single" w:sz="4" w:space="0" w:color="auto"/>
            </w:tcBorders>
            <w:vAlign w:val="center"/>
          </w:tcPr>
          <w:p w14:paraId="7C979159"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1070</w:t>
            </w:r>
          </w:p>
        </w:tc>
      </w:tr>
      <w:tr w:rsidR="00711FE4" w:rsidRPr="00711FE4" w14:paraId="382BB180" w14:textId="77777777" w:rsidTr="00366F04">
        <w:trPr>
          <w:trHeight w:val="284"/>
          <w:jc w:val="center"/>
        </w:trPr>
        <w:tc>
          <w:tcPr>
            <w:tcW w:w="1461" w:type="dxa"/>
            <w:vAlign w:val="center"/>
          </w:tcPr>
          <w:p w14:paraId="44FD2B16"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2 children &lt;14</w:t>
            </w:r>
          </w:p>
        </w:tc>
        <w:tc>
          <w:tcPr>
            <w:tcW w:w="1013" w:type="dxa"/>
            <w:vAlign w:val="center"/>
          </w:tcPr>
          <w:p w14:paraId="3F6AB7B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2.1</w:t>
            </w:r>
          </w:p>
        </w:tc>
        <w:tc>
          <w:tcPr>
            <w:tcW w:w="1199" w:type="dxa"/>
            <w:vAlign w:val="center"/>
          </w:tcPr>
          <w:p w14:paraId="7C16E7A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1125</w:t>
            </w:r>
          </w:p>
        </w:tc>
        <w:tc>
          <w:tcPr>
            <w:tcW w:w="1323" w:type="dxa"/>
            <w:tcBorders>
              <w:right w:val="single" w:sz="12" w:space="0" w:color="auto"/>
            </w:tcBorders>
            <w:vAlign w:val="center"/>
          </w:tcPr>
          <w:p w14:paraId="15C2F64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1350</w:t>
            </w:r>
          </w:p>
        </w:tc>
        <w:tc>
          <w:tcPr>
            <w:tcW w:w="1278" w:type="dxa"/>
            <w:tcBorders>
              <w:left w:val="single" w:sz="12" w:space="0" w:color="auto"/>
              <w:right w:val="single" w:sz="4" w:space="0" w:color="auto"/>
            </w:tcBorders>
            <w:vAlign w:val="center"/>
          </w:tcPr>
          <w:p w14:paraId="736DA86C"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855</w:t>
            </w:r>
          </w:p>
        </w:tc>
        <w:tc>
          <w:tcPr>
            <w:tcW w:w="1417" w:type="dxa"/>
            <w:tcBorders>
              <w:left w:val="single" w:sz="4" w:space="0" w:color="auto"/>
            </w:tcBorders>
            <w:vAlign w:val="center"/>
          </w:tcPr>
          <w:p w14:paraId="50E339C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1245</w:t>
            </w:r>
          </w:p>
        </w:tc>
      </w:tr>
      <w:tr w:rsidR="00711FE4" w:rsidRPr="00711FE4" w14:paraId="69A726CF" w14:textId="77777777" w:rsidTr="00366F04">
        <w:trPr>
          <w:trHeight w:val="284"/>
          <w:jc w:val="center"/>
        </w:trPr>
        <w:tc>
          <w:tcPr>
            <w:tcW w:w="1461" w:type="dxa"/>
            <w:vAlign w:val="center"/>
          </w:tcPr>
          <w:p w14:paraId="7F455629"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3 children &lt;14</w:t>
            </w:r>
          </w:p>
        </w:tc>
        <w:tc>
          <w:tcPr>
            <w:tcW w:w="1013" w:type="dxa"/>
            <w:vAlign w:val="center"/>
          </w:tcPr>
          <w:p w14:paraId="22075AD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2.4</w:t>
            </w:r>
          </w:p>
        </w:tc>
        <w:tc>
          <w:tcPr>
            <w:tcW w:w="1199" w:type="dxa"/>
            <w:vAlign w:val="center"/>
          </w:tcPr>
          <w:p w14:paraId="0F35560F"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1285</w:t>
            </w:r>
          </w:p>
        </w:tc>
        <w:tc>
          <w:tcPr>
            <w:tcW w:w="1323" w:type="dxa"/>
            <w:tcBorders>
              <w:right w:val="single" w:sz="12" w:space="0" w:color="auto"/>
            </w:tcBorders>
            <w:vAlign w:val="center"/>
          </w:tcPr>
          <w:p w14:paraId="0C33306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1545</w:t>
            </w:r>
          </w:p>
        </w:tc>
        <w:tc>
          <w:tcPr>
            <w:tcW w:w="1278" w:type="dxa"/>
            <w:tcBorders>
              <w:left w:val="single" w:sz="12" w:space="0" w:color="auto"/>
              <w:right w:val="single" w:sz="4" w:space="0" w:color="auto"/>
            </w:tcBorders>
            <w:vAlign w:val="center"/>
          </w:tcPr>
          <w:p w14:paraId="22D4A6AD"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975</w:t>
            </w:r>
          </w:p>
        </w:tc>
        <w:tc>
          <w:tcPr>
            <w:tcW w:w="1417" w:type="dxa"/>
            <w:tcBorders>
              <w:left w:val="single" w:sz="4" w:space="0" w:color="auto"/>
            </w:tcBorders>
            <w:vAlign w:val="center"/>
          </w:tcPr>
          <w:p w14:paraId="530B0AB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1425</w:t>
            </w:r>
          </w:p>
        </w:tc>
      </w:tr>
      <w:tr w:rsidR="00711FE4" w:rsidRPr="00711FE4" w14:paraId="5A63E400" w14:textId="77777777" w:rsidTr="00366F04">
        <w:trPr>
          <w:trHeight w:val="284"/>
          <w:jc w:val="center"/>
        </w:trPr>
        <w:tc>
          <w:tcPr>
            <w:tcW w:w="1461" w:type="dxa"/>
            <w:vAlign w:val="center"/>
          </w:tcPr>
          <w:p w14:paraId="4C88B79A"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4 children &lt;14</w:t>
            </w:r>
          </w:p>
        </w:tc>
        <w:tc>
          <w:tcPr>
            <w:tcW w:w="1013" w:type="dxa"/>
            <w:vAlign w:val="center"/>
          </w:tcPr>
          <w:p w14:paraId="33F8781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2.7</w:t>
            </w:r>
          </w:p>
        </w:tc>
        <w:tc>
          <w:tcPr>
            <w:tcW w:w="1199" w:type="dxa"/>
            <w:vAlign w:val="center"/>
          </w:tcPr>
          <w:p w14:paraId="5E231E4F"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1450</w:t>
            </w:r>
          </w:p>
        </w:tc>
        <w:tc>
          <w:tcPr>
            <w:tcW w:w="1323" w:type="dxa"/>
            <w:tcBorders>
              <w:right w:val="single" w:sz="12" w:space="0" w:color="auto"/>
            </w:tcBorders>
            <w:vAlign w:val="center"/>
          </w:tcPr>
          <w:p w14:paraId="044E996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1740</w:t>
            </w:r>
          </w:p>
        </w:tc>
        <w:tc>
          <w:tcPr>
            <w:tcW w:w="1278" w:type="dxa"/>
            <w:tcBorders>
              <w:left w:val="single" w:sz="12" w:space="0" w:color="auto"/>
              <w:right w:val="single" w:sz="4" w:space="0" w:color="auto"/>
            </w:tcBorders>
            <w:vAlign w:val="center"/>
          </w:tcPr>
          <w:p w14:paraId="565F38E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1100</w:t>
            </w:r>
          </w:p>
        </w:tc>
        <w:tc>
          <w:tcPr>
            <w:tcW w:w="1417" w:type="dxa"/>
            <w:tcBorders>
              <w:left w:val="single" w:sz="4" w:space="0" w:color="auto"/>
            </w:tcBorders>
            <w:vAlign w:val="center"/>
          </w:tcPr>
          <w:p w14:paraId="1E16591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1600</w:t>
            </w:r>
          </w:p>
        </w:tc>
      </w:tr>
      <w:tr w:rsidR="00711FE4" w:rsidRPr="00711FE4" w14:paraId="13561D8C" w14:textId="77777777" w:rsidTr="00366F04">
        <w:trPr>
          <w:trHeight w:val="284"/>
          <w:jc w:val="center"/>
        </w:trPr>
        <w:tc>
          <w:tcPr>
            <w:tcW w:w="1461" w:type="dxa"/>
            <w:vAlign w:val="center"/>
          </w:tcPr>
          <w:p w14:paraId="452EB362"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3 adults</w:t>
            </w:r>
          </w:p>
        </w:tc>
        <w:tc>
          <w:tcPr>
            <w:tcW w:w="1013" w:type="dxa"/>
            <w:vAlign w:val="center"/>
          </w:tcPr>
          <w:p w14:paraId="2BA4993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2.0</w:t>
            </w:r>
          </w:p>
        </w:tc>
        <w:tc>
          <w:tcPr>
            <w:tcW w:w="1199" w:type="dxa"/>
            <w:vAlign w:val="center"/>
          </w:tcPr>
          <w:p w14:paraId="6496619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1075</w:t>
            </w:r>
          </w:p>
        </w:tc>
        <w:tc>
          <w:tcPr>
            <w:tcW w:w="1323" w:type="dxa"/>
            <w:tcBorders>
              <w:right w:val="single" w:sz="12" w:space="0" w:color="auto"/>
            </w:tcBorders>
            <w:vAlign w:val="center"/>
          </w:tcPr>
          <w:p w14:paraId="782AC7CD"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1285</w:t>
            </w:r>
          </w:p>
        </w:tc>
        <w:tc>
          <w:tcPr>
            <w:tcW w:w="1278" w:type="dxa"/>
            <w:tcBorders>
              <w:left w:val="single" w:sz="12" w:space="0" w:color="auto"/>
              <w:right w:val="single" w:sz="4" w:space="0" w:color="auto"/>
            </w:tcBorders>
            <w:vAlign w:val="center"/>
          </w:tcPr>
          <w:p w14:paraId="1C3FFD89"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815</w:t>
            </w:r>
          </w:p>
        </w:tc>
        <w:tc>
          <w:tcPr>
            <w:tcW w:w="1417" w:type="dxa"/>
            <w:tcBorders>
              <w:left w:val="single" w:sz="4" w:space="0" w:color="auto"/>
            </w:tcBorders>
            <w:vAlign w:val="center"/>
          </w:tcPr>
          <w:p w14:paraId="5DEE203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1185</w:t>
            </w:r>
          </w:p>
        </w:tc>
      </w:tr>
    </w:tbl>
    <w:p w14:paraId="69B82F3E" w14:textId="77777777" w:rsidR="00711FE4" w:rsidRPr="00711FE4" w:rsidRDefault="00711FE4" w:rsidP="00711FE4">
      <w:pPr>
        <w:spacing w:before="60" w:after="20" w:line="240" w:lineRule="auto"/>
        <w:ind w:left="709"/>
        <w:rPr>
          <w:rFonts w:ascii="Arial" w:hAnsi="Arial"/>
          <w:color w:val="000000" w:themeColor="text1"/>
          <w:sz w:val="16"/>
          <w:szCs w:val="16"/>
        </w:rPr>
      </w:pPr>
      <w:r w:rsidRPr="00711FE4">
        <w:rPr>
          <w:rFonts w:ascii="Arial" w:hAnsi="Arial"/>
          <w:color w:val="000000" w:themeColor="text1"/>
          <w:sz w:val="16"/>
          <w:szCs w:val="16"/>
        </w:rPr>
        <w:t>Note:</w:t>
      </w:r>
    </w:p>
    <w:p w14:paraId="59F93DE1" w14:textId="77777777" w:rsidR="00711FE4" w:rsidRPr="00711FE4" w:rsidRDefault="00711FE4">
      <w:pPr>
        <w:numPr>
          <w:ilvl w:val="0"/>
          <w:numId w:val="103"/>
        </w:numPr>
        <w:spacing w:after="20" w:line="240" w:lineRule="auto"/>
        <w:ind w:left="1134" w:hanging="215"/>
        <w:rPr>
          <w:rFonts w:ascii="Arial" w:hAnsi="Arial"/>
          <w:color w:val="000000" w:themeColor="text1"/>
          <w:sz w:val="16"/>
          <w:szCs w:val="16"/>
        </w:rPr>
      </w:pPr>
      <w:r w:rsidRPr="00711FE4">
        <w:rPr>
          <w:rFonts w:ascii="Arial" w:hAnsi="Arial"/>
          <w:color w:val="000000" w:themeColor="text1"/>
          <w:sz w:val="16"/>
          <w:szCs w:val="16"/>
        </w:rPr>
        <w:t>The figures above are calculated before any treatment is applied to the dataset.</w:t>
      </w:r>
    </w:p>
    <w:p w14:paraId="49C7D135" w14:textId="77777777" w:rsidR="00711FE4" w:rsidRPr="00711FE4" w:rsidRDefault="00711FE4" w:rsidP="00711FE4">
      <w:pPr>
        <w:spacing w:after="0" w:line="240" w:lineRule="auto"/>
        <w:rPr>
          <w:rFonts w:ascii="Arial" w:eastAsia="Times New Roman" w:hAnsi="Arial" w:cs="Times New Roman"/>
          <w:color w:val="000000" w:themeColor="text1"/>
          <w:sz w:val="22"/>
          <w:szCs w:val="20"/>
          <w:lang w:val="en-GB"/>
        </w:rPr>
      </w:pPr>
    </w:p>
    <w:p w14:paraId="11B1AA62" w14:textId="5D460B13" w:rsidR="00711FE4" w:rsidRPr="00711FE4" w:rsidRDefault="00711FE4" w:rsidP="00711FE4">
      <w:pPr>
        <w:keepNext/>
        <w:spacing w:after="0" w:line="240" w:lineRule="auto"/>
        <w:jc w:val="center"/>
        <w:outlineLvl w:val="1"/>
        <w:rPr>
          <w:rFonts w:ascii="Arial" w:eastAsia="Times New Roman" w:hAnsi="Arial"/>
          <w:b/>
          <w:iCs/>
          <w:color w:val="000000" w:themeColor="text1"/>
          <w:kern w:val="32"/>
          <w:sz w:val="18"/>
          <w:szCs w:val="20"/>
        </w:rPr>
      </w:pPr>
      <w:r w:rsidRPr="00711FE4">
        <w:rPr>
          <w:rFonts w:ascii="Arial" w:eastAsia="Times New Roman" w:hAnsi="Arial"/>
          <w:b/>
          <w:iCs/>
          <w:color w:val="000000" w:themeColor="text1"/>
          <w:kern w:val="32"/>
          <w:sz w:val="18"/>
          <w:szCs w:val="20"/>
        </w:rPr>
        <w:t>Table 9.2</w:t>
      </w:r>
    </w:p>
    <w:p w14:paraId="67E23A0E" w14:textId="77777777" w:rsidR="00711FE4" w:rsidRPr="00711FE4" w:rsidRDefault="00711FE4" w:rsidP="00711FE4">
      <w:pPr>
        <w:spacing w:after="0" w:line="240" w:lineRule="auto"/>
        <w:jc w:val="center"/>
        <w:rPr>
          <w:rFonts w:ascii="Arial" w:eastAsia="Times New Roman" w:hAnsi="Arial" w:cs="Times New Roman"/>
          <w:b/>
          <w:color w:val="000000" w:themeColor="text1"/>
          <w:sz w:val="18"/>
          <w:szCs w:val="20"/>
          <w:lang w:val="en-GB"/>
        </w:rPr>
      </w:pPr>
      <w:r w:rsidRPr="00711FE4">
        <w:rPr>
          <w:rFonts w:ascii="Arial" w:eastAsia="Times New Roman" w:hAnsi="Arial" w:cs="Times New Roman"/>
          <w:b/>
          <w:color w:val="000000" w:themeColor="text1"/>
          <w:sz w:val="18"/>
          <w:szCs w:val="20"/>
          <w:lang w:val="en-GB"/>
        </w:rPr>
        <w:t>40%, 50% and 60% low-income thresholds or ‘poverty lines’ for various household types (AHC)</w:t>
      </w:r>
    </w:p>
    <w:p w14:paraId="6CDA1DB9" w14:textId="77777777" w:rsidR="00711FE4" w:rsidRPr="00711FE4" w:rsidRDefault="00711FE4" w:rsidP="00711FE4">
      <w:pPr>
        <w:spacing w:line="240" w:lineRule="auto"/>
        <w:jc w:val="center"/>
        <w:rPr>
          <w:rFonts w:ascii="Arial" w:eastAsia="Times New Roman" w:hAnsi="Arial" w:cs="Times New Roman"/>
          <w:b/>
          <w:color w:val="000000" w:themeColor="text1"/>
          <w:sz w:val="18"/>
          <w:szCs w:val="20"/>
          <w:lang w:val="en-GB"/>
        </w:rPr>
      </w:pPr>
      <w:r w:rsidRPr="00711FE4">
        <w:rPr>
          <w:rFonts w:ascii="Arial" w:eastAsia="Times New Roman" w:hAnsi="Arial" w:cs="Times New Roman"/>
          <w:b/>
          <w:color w:val="000000" w:themeColor="text1"/>
          <w:sz w:val="18"/>
          <w:szCs w:val="20"/>
          <w:lang w:val="en-GB"/>
        </w:rPr>
        <w:t>($2025, per week)</w:t>
      </w:r>
    </w:p>
    <w:tbl>
      <w:tblPr>
        <w:tblW w:w="7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418"/>
        <w:gridCol w:w="851"/>
        <w:gridCol w:w="968"/>
        <w:gridCol w:w="1135"/>
        <w:gridCol w:w="993"/>
        <w:gridCol w:w="1275"/>
        <w:gridCol w:w="1205"/>
      </w:tblGrid>
      <w:tr w:rsidR="00711FE4" w:rsidRPr="00711FE4" w14:paraId="646B62A6" w14:textId="77777777" w:rsidTr="00366F04">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6B33EF7" w14:textId="77777777" w:rsidR="00711FE4" w:rsidRPr="00711FE4" w:rsidRDefault="00711FE4" w:rsidP="00711FE4">
            <w:pPr>
              <w:keepNext/>
              <w:spacing w:before="60" w:after="60" w:line="240" w:lineRule="auto"/>
              <w:ind w:right="-43"/>
              <w:jc w:val="both"/>
              <w:outlineLvl w:val="2"/>
              <w:rPr>
                <w:rFonts w:ascii="Arial" w:eastAsia="Times New Roman" w:hAnsi="Arial"/>
                <w:bCs/>
                <w:color w:val="000000" w:themeColor="text1"/>
                <w:sz w:val="14"/>
                <w:szCs w:val="16"/>
                <w:lang w:val="en-GB"/>
              </w:rPr>
            </w:pPr>
          </w:p>
        </w:tc>
        <w:tc>
          <w:tcPr>
            <w:tcW w:w="851" w:type="dxa"/>
            <w:tcBorders>
              <w:top w:val="single" w:sz="4" w:space="0" w:color="auto"/>
              <w:left w:val="single" w:sz="4" w:space="0" w:color="auto"/>
              <w:bottom w:val="single" w:sz="4" w:space="0" w:color="auto"/>
              <w:right w:val="single" w:sz="4" w:space="0" w:color="auto"/>
            </w:tcBorders>
            <w:vAlign w:val="center"/>
          </w:tcPr>
          <w:p w14:paraId="25834DD8" w14:textId="77777777" w:rsidR="00711FE4" w:rsidRPr="00711FE4" w:rsidRDefault="00711FE4" w:rsidP="00711FE4">
            <w:pPr>
              <w:keepNext/>
              <w:spacing w:before="60" w:after="60" w:line="240" w:lineRule="auto"/>
              <w:ind w:right="-43"/>
              <w:jc w:val="center"/>
              <w:outlineLvl w:val="2"/>
              <w:rPr>
                <w:rFonts w:ascii="Arial" w:eastAsia="Times New Roman" w:hAnsi="Arial"/>
                <w:bCs/>
                <w:color w:val="000000" w:themeColor="text1"/>
                <w:sz w:val="14"/>
                <w:szCs w:val="16"/>
                <w:lang w:val="en-GB"/>
              </w:rPr>
            </w:pPr>
          </w:p>
        </w:tc>
        <w:tc>
          <w:tcPr>
            <w:tcW w:w="3096" w:type="dxa"/>
            <w:gridSpan w:val="3"/>
            <w:tcBorders>
              <w:top w:val="single" w:sz="4" w:space="0" w:color="auto"/>
              <w:left w:val="single" w:sz="4" w:space="0" w:color="auto"/>
              <w:bottom w:val="single" w:sz="4" w:space="0" w:color="auto"/>
              <w:right w:val="single" w:sz="12" w:space="0" w:color="auto"/>
            </w:tcBorders>
            <w:hideMark/>
          </w:tcPr>
          <w:p w14:paraId="394E0F37" w14:textId="77777777" w:rsidR="00711FE4" w:rsidRPr="00711FE4" w:rsidRDefault="00711FE4" w:rsidP="00711FE4">
            <w:pPr>
              <w:keepNext/>
              <w:spacing w:before="60" w:after="60" w:line="240" w:lineRule="auto"/>
              <w:ind w:right="-43"/>
              <w:jc w:val="center"/>
              <w:outlineLvl w:val="2"/>
              <w:rPr>
                <w:rFonts w:ascii="Arial" w:eastAsia="Times New Roman" w:hAnsi="Arial"/>
                <w:bCs/>
                <w:color w:val="000000" w:themeColor="text1"/>
                <w:sz w:val="16"/>
                <w:szCs w:val="16"/>
                <w:lang w:val="en-GB"/>
              </w:rPr>
            </w:pPr>
            <w:r w:rsidRPr="00711FE4">
              <w:rPr>
                <w:rFonts w:ascii="Arial" w:eastAsia="Times New Roman" w:hAnsi="Arial"/>
                <w:b/>
                <w:bCs/>
                <w:color w:val="000000" w:themeColor="text1"/>
                <w:sz w:val="16"/>
                <w:szCs w:val="18"/>
                <w:lang w:val="en-GB"/>
              </w:rPr>
              <w:t xml:space="preserve">REL </w:t>
            </w:r>
            <w:r w:rsidRPr="00711FE4">
              <w:rPr>
                <w:rFonts w:ascii="Arial" w:eastAsia="Times New Roman" w:hAnsi="Arial"/>
                <w:bCs/>
                <w:color w:val="000000" w:themeColor="text1"/>
                <w:sz w:val="16"/>
                <w:szCs w:val="18"/>
                <w:lang w:val="en-GB"/>
              </w:rPr>
              <w:t>(‘moving’)</w:t>
            </w:r>
          </w:p>
        </w:tc>
        <w:tc>
          <w:tcPr>
            <w:tcW w:w="2480" w:type="dxa"/>
            <w:gridSpan w:val="2"/>
            <w:tcBorders>
              <w:top w:val="single" w:sz="4" w:space="0" w:color="auto"/>
              <w:left w:val="single" w:sz="12" w:space="0" w:color="auto"/>
              <w:bottom w:val="single" w:sz="4" w:space="0" w:color="auto"/>
              <w:right w:val="single" w:sz="4" w:space="0" w:color="auto"/>
            </w:tcBorders>
            <w:vAlign w:val="center"/>
            <w:hideMark/>
          </w:tcPr>
          <w:p w14:paraId="02AA9038" w14:textId="77777777" w:rsidR="00711FE4" w:rsidRPr="00711FE4" w:rsidRDefault="00711FE4" w:rsidP="00711FE4">
            <w:pPr>
              <w:keepNext/>
              <w:spacing w:before="60" w:after="60" w:line="240" w:lineRule="auto"/>
              <w:ind w:right="-43"/>
              <w:jc w:val="center"/>
              <w:outlineLvl w:val="2"/>
              <w:rPr>
                <w:rFonts w:ascii="Arial" w:eastAsia="Times New Roman" w:hAnsi="Arial"/>
                <w:b/>
                <w:bCs/>
                <w:color w:val="000000" w:themeColor="text1"/>
                <w:sz w:val="16"/>
                <w:szCs w:val="18"/>
                <w:lang w:val="en-GB"/>
              </w:rPr>
            </w:pPr>
            <w:r w:rsidRPr="00711FE4">
              <w:rPr>
                <w:rFonts w:ascii="Arial" w:eastAsia="Times New Roman" w:hAnsi="Arial"/>
                <w:b/>
                <w:bCs/>
                <w:color w:val="000000" w:themeColor="text1"/>
                <w:sz w:val="16"/>
                <w:szCs w:val="18"/>
                <w:lang w:val="en-GB"/>
              </w:rPr>
              <w:t xml:space="preserve">CV </w:t>
            </w:r>
            <w:r w:rsidRPr="00711FE4">
              <w:rPr>
                <w:rFonts w:ascii="Arial" w:eastAsia="Times New Roman" w:hAnsi="Arial"/>
                <w:bCs/>
                <w:color w:val="000000" w:themeColor="text1"/>
                <w:sz w:val="16"/>
                <w:szCs w:val="18"/>
                <w:lang w:val="en-GB"/>
              </w:rPr>
              <w:t>(‘anchored’ / ‘fixed’)</w:t>
            </w:r>
          </w:p>
        </w:tc>
      </w:tr>
      <w:tr w:rsidR="00711FE4" w:rsidRPr="00711FE4" w14:paraId="440ABEDD" w14:textId="77777777" w:rsidTr="00366F04">
        <w:trPr>
          <w:trHeight w:val="567"/>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06B45DE4"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Household type</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82A74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Equiv ratio</w:t>
            </w:r>
          </w:p>
        </w:tc>
        <w:tc>
          <w:tcPr>
            <w:tcW w:w="96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92D0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40% of 2025 median</w:t>
            </w:r>
          </w:p>
        </w:tc>
        <w:tc>
          <w:tcPr>
            <w:tcW w:w="113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B207F1D"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50% of 2025 median</w:t>
            </w:r>
          </w:p>
        </w:tc>
        <w:tc>
          <w:tcPr>
            <w:tcW w:w="993" w:type="dxa"/>
            <w:tcBorders>
              <w:top w:val="single" w:sz="4" w:space="0" w:color="auto"/>
              <w:left w:val="single" w:sz="4" w:space="0" w:color="auto"/>
              <w:bottom w:val="single" w:sz="4" w:space="0" w:color="auto"/>
              <w:right w:val="single" w:sz="12" w:space="0" w:color="auto"/>
            </w:tcBorders>
            <w:tcMar>
              <w:top w:w="0" w:type="dxa"/>
              <w:left w:w="57" w:type="dxa"/>
              <w:bottom w:w="0" w:type="dxa"/>
              <w:right w:w="57" w:type="dxa"/>
            </w:tcMar>
            <w:vAlign w:val="center"/>
            <w:hideMark/>
          </w:tcPr>
          <w:p w14:paraId="08B97021"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60% of 2025 median</w:t>
            </w:r>
          </w:p>
        </w:tc>
        <w:tc>
          <w:tcPr>
            <w:tcW w:w="1275" w:type="dxa"/>
            <w:tcBorders>
              <w:top w:val="single" w:sz="4" w:space="0" w:color="auto"/>
              <w:left w:val="single" w:sz="12" w:space="0" w:color="auto"/>
              <w:bottom w:val="single" w:sz="4" w:space="0" w:color="auto"/>
              <w:right w:val="single" w:sz="4" w:space="0" w:color="auto"/>
            </w:tcBorders>
            <w:tcMar>
              <w:top w:w="0" w:type="dxa"/>
              <w:left w:w="57" w:type="dxa"/>
              <w:bottom w:w="0" w:type="dxa"/>
              <w:right w:w="57" w:type="dxa"/>
            </w:tcMar>
            <w:vAlign w:val="center"/>
            <w:hideMark/>
          </w:tcPr>
          <w:p w14:paraId="4D0F4761"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 xml:space="preserve">50% of </w:t>
            </w:r>
            <w:r w:rsidRPr="00711FE4">
              <w:rPr>
                <w:rFonts w:ascii="Arial" w:eastAsia="Times New Roman" w:hAnsi="Arial"/>
                <w:b/>
                <w:bCs/>
                <w:color w:val="000000" w:themeColor="text1"/>
                <w:sz w:val="14"/>
                <w:szCs w:val="14"/>
                <w:lang w:val="en-GB"/>
              </w:rPr>
              <w:t>2007</w:t>
            </w:r>
            <w:r w:rsidRPr="00711FE4">
              <w:rPr>
                <w:rFonts w:ascii="Arial" w:eastAsia="Times New Roman" w:hAnsi="Arial"/>
                <w:color w:val="000000" w:themeColor="text1"/>
                <w:sz w:val="14"/>
                <w:szCs w:val="14"/>
                <w:lang w:val="en-GB"/>
              </w:rPr>
              <w:t xml:space="preserve"> median in $2025</w:t>
            </w:r>
          </w:p>
        </w:tc>
        <w:tc>
          <w:tcPr>
            <w:tcW w:w="12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32203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 xml:space="preserve">60% of </w:t>
            </w:r>
            <w:r w:rsidRPr="00711FE4">
              <w:rPr>
                <w:rFonts w:ascii="Arial" w:eastAsia="Times New Roman" w:hAnsi="Arial"/>
                <w:b/>
                <w:bCs/>
                <w:color w:val="000000" w:themeColor="text1"/>
                <w:sz w:val="14"/>
                <w:szCs w:val="14"/>
                <w:lang w:val="en-GB"/>
              </w:rPr>
              <w:t>2018</w:t>
            </w:r>
            <w:r w:rsidRPr="00711FE4">
              <w:rPr>
                <w:rFonts w:ascii="Arial" w:eastAsia="Times New Roman" w:hAnsi="Arial"/>
                <w:color w:val="000000" w:themeColor="text1"/>
                <w:sz w:val="14"/>
                <w:szCs w:val="14"/>
                <w:lang w:val="en-GB"/>
              </w:rPr>
              <w:t xml:space="preserve"> median in $2025</w:t>
            </w:r>
          </w:p>
        </w:tc>
      </w:tr>
      <w:tr w:rsidR="00711FE4" w:rsidRPr="00711FE4" w14:paraId="42ACA8CA"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6B48F8CD"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One-person HH</w:t>
            </w:r>
          </w:p>
        </w:tc>
        <w:tc>
          <w:tcPr>
            <w:tcW w:w="851" w:type="dxa"/>
            <w:tcBorders>
              <w:top w:val="single" w:sz="4" w:space="0" w:color="auto"/>
              <w:left w:val="single" w:sz="4" w:space="0" w:color="auto"/>
              <w:bottom w:val="single" w:sz="4" w:space="0" w:color="auto"/>
              <w:right w:val="single" w:sz="4" w:space="0" w:color="auto"/>
            </w:tcBorders>
            <w:vAlign w:val="center"/>
            <w:hideMark/>
          </w:tcPr>
          <w:p w14:paraId="697DCC7A"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w:t>
            </w:r>
          </w:p>
        </w:tc>
        <w:tc>
          <w:tcPr>
            <w:tcW w:w="968" w:type="dxa"/>
            <w:tcBorders>
              <w:top w:val="single" w:sz="4" w:space="0" w:color="auto"/>
              <w:left w:val="single" w:sz="4" w:space="0" w:color="auto"/>
              <w:bottom w:val="single" w:sz="4" w:space="0" w:color="auto"/>
              <w:right w:val="single" w:sz="4" w:space="0" w:color="auto"/>
            </w:tcBorders>
            <w:vAlign w:val="center"/>
          </w:tcPr>
          <w:p w14:paraId="1A1A55D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325</w:t>
            </w:r>
          </w:p>
        </w:tc>
        <w:tc>
          <w:tcPr>
            <w:tcW w:w="1135" w:type="dxa"/>
            <w:tcBorders>
              <w:top w:val="single" w:sz="4" w:space="0" w:color="auto"/>
              <w:left w:val="single" w:sz="4" w:space="0" w:color="auto"/>
              <w:bottom w:val="single" w:sz="4" w:space="0" w:color="auto"/>
              <w:right w:val="single" w:sz="4" w:space="0" w:color="auto"/>
            </w:tcBorders>
            <w:vAlign w:val="center"/>
          </w:tcPr>
          <w:p w14:paraId="7F5BD3B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405</w:t>
            </w:r>
          </w:p>
        </w:tc>
        <w:tc>
          <w:tcPr>
            <w:tcW w:w="993" w:type="dxa"/>
            <w:tcBorders>
              <w:top w:val="single" w:sz="4" w:space="0" w:color="auto"/>
              <w:left w:val="single" w:sz="4" w:space="0" w:color="auto"/>
              <w:bottom w:val="single" w:sz="4" w:space="0" w:color="auto"/>
              <w:right w:val="single" w:sz="12" w:space="0" w:color="auto"/>
            </w:tcBorders>
            <w:vAlign w:val="center"/>
          </w:tcPr>
          <w:p w14:paraId="00D5558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490</w:t>
            </w:r>
          </w:p>
        </w:tc>
        <w:tc>
          <w:tcPr>
            <w:tcW w:w="1275" w:type="dxa"/>
            <w:tcBorders>
              <w:top w:val="single" w:sz="4" w:space="0" w:color="auto"/>
              <w:left w:val="single" w:sz="12" w:space="0" w:color="auto"/>
              <w:bottom w:val="single" w:sz="4" w:space="0" w:color="auto"/>
              <w:right w:val="single" w:sz="4" w:space="0" w:color="auto"/>
            </w:tcBorders>
            <w:vAlign w:val="center"/>
          </w:tcPr>
          <w:p w14:paraId="133E7A8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290</w:t>
            </w:r>
          </w:p>
        </w:tc>
        <w:tc>
          <w:tcPr>
            <w:tcW w:w="1205" w:type="dxa"/>
            <w:tcBorders>
              <w:top w:val="single" w:sz="4" w:space="0" w:color="auto"/>
              <w:left w:val="single" w:sz="4" w:space="0" w:color="auto"/>
              <w:bottom w:val="single" w:sz="4" w:space="0" w:color="auto"/>
              <w:right w:val="single" w:sz="4" w:space="0" w:color="auto"/>
            </w:tcBorders>
            <w:vAlign w:val="center"/>
          </w:tcPr>
          <w:p w14:paraId="5EF045A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445</w:t>
            </w:r>
          </w:p>
        </w:tc>
      </w:tr>
      <w:tr w:rsidR="00711FE4" w:rsidRPr="00711FE4" w14:paraId="4E8745C2"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4D42772"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SP, 1 child &lt;14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FA26FF"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1.3</w:t>
            </w:r>
          </w:p>
        </w:tc>
        <w:tc>
          <w:tcPr>
            <w:tcW w:w="968" w:type="dxa"/>
            <w:tcBorders>
              <w:top w:val="single" w:sz="4" w:space="0" w:color="auto"/>
              <w:left w:val="single" w:sz="4" w:space="0" w:color="auto"/>
              <w:bottom w:val="single" w:sz="4" w:space="0" w:color="auto"/>
              <w:right w:val="single" w:sz="4" w:space="0" w:color="auto"/>
            </w:tcBorders>
            <w:vAlign w:val="center"/>
          </w:tcPr>
          <w:p w14:paraId="5CB6AB6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425</w:t>
            </w:r>
          </w:p>
        </w:tc>
        <w:tc>
          <w:tcPr>
            <w:tcW w:w="1135" w:type="dxa"/>
            <w:tcBorders>
              <w:top w:val="single" w:sz="4" w:space="0" w:color="auto"/>
              <w:left w:val="single" w:sz="4" w:space="0" w:color="auto"/>
              <w:bottom w:val="single" w:sz="4" w:space="0" w:color="auto"/>
              <w:right w:val="single" w:sz="4" w:space="0" w:color="auto"/>
            </w:tcBorders>
            <w:vAlign w:val="center"/>
          </w:tcPr>
          <w:p w14:paraId="66D95831"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530</w:t>
            </w:r>
          </w:p>
        </w:tc>
        <w:tc>
          <w:tcPr>
            <w:tcW w:w="993" w:type="dxa"/>
            <w:tcBorders>
              <w:top w:val="single" w:sz="4" w:space="0" w:color="auto"/>
              <w:left w:val="single" w:sz="4" w:space="0" w:color="auto"/>
              <w:bottom w:val="single" w:sz="4" w:space="0" w:color="auto"/>
              <w:right w:val="single" w:sz="12" w:space="0" w:color="auto"/>
            </w:tcBorders>
            <w:vAlign w:val="center"/>
          </w:tcPr>
          <w:p w14:paraId="3B19333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635</w:t>
            </w:r>
          </w:p>
        </w:tc>
        <w:tc>
          <w:tcPr>
            <w:tcW w:w="1275" w:type="dxa"/>
            <w:tcBorders>
              <w:top w:val="single" w:sz="4" w:space="0" w:color="auto"/>
              <w:left w:val="single" w:sz="12" w:space="0" w:color="auto"/>
              <w:bottom w:val="single" w:sz="4" w:space="0" w:color="auto"/>
              <w:right w:val="single" w:sz="4" w:space="0" w:color="auto"/>
            </w:tcBorders>
            <w:vAlign w:val="center"/>
          </w:tcPr>
          <w:p w14:paraId="50CF39B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375</w:t>
            </w:r>
          </w:p>
        </w:tc>
        <w:tc>
          <w:tcPr>
            <w:tcW w:w="1205" w:type="dxa"/>
            <w:tcBorders>
              <w:top w:val="single" w:sz="4" w:space="0" w:color="auto"/>
              <w:left w:val="single" w:sz="4" w:space="0" w:color="auto"/>
              <w:bottom w:val="single" w:sz="4" w:space="0" w:color="auto"/>
              <w:right w:val="single" w:sz="4" w:space="0" w:color="auto"/>
            </w:tcBorders>
            <w:vAlign w:val="center"/>
          </w:tcPr>
          <w:p w14:paraId="38E544A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575</w:t>
            </w:r>
          </w:p>
        </w:tc>
      </w:tr>
      <w:tr w:rsidR="00711FE4" w:rsidRPr="00711FE4" w14:paraId="106B6CBE"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68BF8D2"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SP, 2 children &lt;14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2D565DC"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1.6</w:t>
            </w:r>
          </w:p>
        </w:tc>
        <w:tc>
          <w:tcPr>
            <w:tcW w:w="968" w:type="dxa"/>
            <w:tcBorders>
              <w:top w:val="single" w:sz="4" w:space="0" w:color="auto"/>
              <w:left w:val="single" w:sz="4" w:space="0" w:color="auto"/>
              <w:bottom w:val="single" w:sz="4" w:space="0" w:color="auto"/>
              <w:right w:val="single" w:sz="4" w:space="0" w:color="auto"/>
            </w:tcBorders>
            <w:vAlign w:val="center"/>
          </w:tcPr>
          <w:p w14:paraId="3FB16D0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520</w:t>
            </w:r>
          </w:p>
        </w:tc>
        <w:tc>
          <w:tcPr>
            <w:tcW w:w="1135" w:type="dxa"/>
            <w:tcBorders>
              <w:top w:val="single" w:sz="4" w:space="0" w:color="auto"/>
              <w:left w:val="single" w:sz="4" w:space="0" w:color="auto"/>
              <w:bottom w:val="single" w:sz="4" w:space="0" w:color="auto"/>
              <w:right w:val="single" w:sz="4" w:space="0" w:color="auto"/>
            </w:tcBorders>
            <w:vAlign w:val="center"/>
          </w:tcPr>
          <w:p w14:paraId="14B0AA0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650</w:t>
            </w:r>
          </w:p>
        </w:tc>
        <w:tc>
          <w:tcPr>
            <w:tcW w:w="993" w:type="dxa"/>
            <w:tcBorders>
              <w:top w:val="single" w:sz="4" w:space="0" w:color="auto"/>
              <w:left w:val="single" w:sz="4" w:space="0" w:color="auto"/>
              <w:bottom w:val="single" w:sz="4" w:space="0" w:color="auto"/>
              <w:right w:val="single" w:sz="12" w:space="0" w:color="auto"/>
            </w:tcBorders>
            <w:vAlign w:val="center"/>
          </w:tcPr>
          <w:p w14:paraId="58773AB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780</w:t>
            </w:r>
          </w:p>
        </w:tc>
        <w:tc>
          <w:tcPr>
            <w:tcW w:w="1275" w:type="dxa"/>
            <w:tcBorders>
              <w:top w:val="single" w:sz="4" w:space="0" w:color="auto"/>
              <w:left w:val="single" w:sz="12" w:space="0" w:color="auto"/>
              <w:bottom w:val="single" w:sz="4" w:space="0" w:color="auto"/>
              <w:right w:val="single" w:sz="4" w:space="0" w:color="auto"/>
            </w:tcBorders>
            <w:vAlign w:val="center"/>
          </w:tcPr>
          <w:p w14:paraId="7113469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465</w:t>
            </w:r>
          </w:p>
        </w:tc>
        <w:tc>
          <w:tcPr>
            <w:tcW w:w="1205" w:type="dxa"/>
            <w:tcBorders>
              <w:top w:val="single" w:sz="4" w:space="0" w:color="auto"/>
              <w:left w:val="single" w:sz="4" w:space="0" w:color="auto"/>
              <w:bottom w:val="single" w:sz="4" w:space="0" w:color="auto"/>
              <w:right w:val="single" w:sz="4" w:space="0" w:color="auto"/>
            </w:tcBorders>
            <w:vAlign w:val="center"/>
          </w:tcPr>
          <w:p w14:paraId="0B888BE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710</w:t>
            </w:r>
          </w:p>
        </w:tc>
      </w:tr>
      <w:tr w:rsidR="00711FE4" w:rsidRPr="00711FE4" w14:paraId="55292CD5"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0437705F"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SP, 3 children &lt;14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DE9A97"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1.9</w:t>
            </w:r>
          </w:p>
        </w:tc>
        <w:tc>
          <w:tcPr>
            <w:tcW w:w="968" w:type="dxa"/>
            <w:tcBorders>
              <w:top w:val="single" w:sz="4" w:space="0" w:color="auto"/>
              <w:left w:val="single" w:sz="4" w:space="0" w:color="auto"/>
              <w:bottom w:val="single" w:sz="4" w:space="0" w:color="auto"/>
              <w:right w:val="single" w:sz="4" w:space="0" w:color="auto"/>
            </w:tcBorders>
            <w:vAlign w:val="center"/>
          </w:tcPr>
          <w:p w14:paraId="3FDD87E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620</w:t>
            </w:r>
          </w:p>
        </w:tc>
        <w:tc>
          <w:tcPr>
            <w:tcW w:w="1135" w:type="dxa"/>
            <w:tcBorders>
              <w:top w:val="single" w:sz="4" w:space="0" w:color="auto"/>
              <w:left w:val="single" w:sz="4" w:space="0" w:color="auto"/>
              <w:bottom w:val="single" w:sz="4" w:space="0" w:color="auto"/>
              <w:right w:val="single" w:sz="4" w:space="0" w:color="auto"/>
            </w:tcBorders>
            <w:vAlign w:val="center"/>
          </w:tcPr>
          <w:p w14:paraId="30B32B6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775</w:t>
            </w:r>
          </w:p>
        </w:tc>
        <w:tc>
          <w:tcPr>
            <w:tcW w:w="993" w:type="dxa"/>
            <w:tcBorders>
              <w:top w:val="single" w:sz="4" w:space="0" w:color="auto"/>
              <w:left w:val="single" w:sz="4" w:space="0" w:color="auto"/>
              <w:bottom w:val="single" w:sz="4" w:space="0" w:color="auto"/>
              <w:right w:val="single" w:sz="12" w:space="0" w:color="auto"/>
            </w:tcBorders>
            <w:vAlign w:val="center"/>
          </w:tcPr>
          <w:p w14:paraId="649474F1"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925</w:t>
            </w:r>
          </w:p>
        </w:tc>
        <w:tc>
          <w:tcPr>
            <w:tcW w:w="1275" w:type="dxa"/>
            <w:tcBorders>
              <w:top w:val="single" w:sz="4" w:space="0" w:color="auto"/>
              <w:left w:val="single" w:sz="12" w:space="0" w:color="auto"/>
              <w:bottom w:val="single" w:sz="4" w:space="0" w:color="auto"/>
              <w:right w:val="single" w:sz="4" w:space="0" w:color="auto"/>
            </w:tcBorders>
            <w:vAlign w:val="center"/>
          </w:tcPr>
          <w:p w14:paraId="2E5724AF"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550</w:t>
            </w:r>
          </w:p>
        </w:tc>
        <w:tc>
          <w:tcPr>
            <w:tcW w:w="1205" w:type="dxa"/>
            <w:tcBorders>
              <w:top w:val="single" w:sz="4" w:space="0" w:color="auto"/>
              <w:left w:val="single" w:sz="4" w:space="0" w:color="auto"/>
              <w:bottom w:val="single" w:sz="4" w:space="0" w:color="auto"/>
              <w:right w:val="single" w:sz="4" w:space="0" w:color="auto"/>
            </w:tcBorders>
            <w:vAlign w:val="center"/>
          </w:tcPr>
          <w:p w14:paraId="60270CF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840</w:t>
            </w:r>
          </w:p>
        </w:tc>
      </w:tr>
      <w:tr w:rsidR="00711FE4" w:rsidRPr="00711FE4" w14:paraId="4B55CBC3"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27A9BDB3"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Couple only</w:t>
            </w:r>
          </w:p>
        </w:tc>
        <w:tc>
          <w:tcPr>
            <w:tcW w:w="851" w:type="dxa"/>
            <w:tcBorders>
              <w:top w:val="single" w:sz="4" w:space="0" w:color="auto"/>
              <w:left w:val="single" w:sz="4" w:space="0" w:color="auto"/>
              <w:bottom w:val="single" w:sz="4" w:space="0" w:color="auto"/>
              <w:right w:val="single" w:sz="4" w:space="0" w:color="auto"/>
            </w:tcBorders>
            <w:vAlign w:val="center"/>
            <w:hideMark/>
          </w:tcPr>
          <w:p w14:paraId="35DF391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1.5</w:t>
            </w:r>
          </w:p>
        </w:tc>
        <w:tc>
          <w:tcPr>
            <w:tcW w:w="968" w:type="dxa"/>
            <w:tcBorders>
              <w:top w:val="single" w:sz="4" w:space="0" w:color="auto"/>
              <w:left w:val="single" w:sz="4" w:space="0" w:color="auto"/>
              <w:bottom w:val="single" w:sz="4" w:space="0" w:color="auto"/>
              <w:right w:val="single" w:sz="4" w:space="0" w:color="auto"/>
            </w:tcBorders>
            <w:vAlign w:val="center"/>
          </w:tcPr>
          <w:p w14:paraId="4F9E28F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490</w:t>
            </w:r>
          </w:p>
        </w:tc>
        <w:tc>
          <w:tcPr>
            <w:tcW w:w="1135" w:type="dxa"/>
            <w:tcBorders>
              <w:top w:val="single" w:sz="4" w:space="0" w:color="auto"/>
              <w:left w:val="single" w:sz="4" w:space="0" w:color="auto"/>
              <w:bottom w:val="single" w:sz="4" w:space="0" w:color="auto"/>
              <w:right w:val="single" w:sz="4" w:space="0" w:color="auto"/>
            </w:tcBorders>
            <w:vAlign w:val="center"/>
          </w:tcPr>
          <w:p w14:paraId="0197082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610</w:t>
            </w:r>
          </w:p>
        </w:tc>
        <w:tc>
          <w:tcPr>
            <w:tcW w:w="993" w:type="dxa"/>
            <w:tcBorders>
              <w:top w:val="single" w:sz="4" w:space="0" w:color="auto"/>
              <w:left w:val="single" w:sz="4" w:space="0" w:color="auto"/>
              <w:bottom w:val="single" w:sz="4" w:space="0" w:color="auto"/>
              <w:right w:val="single" w:sz="12" w:space="0" w:color="auto"/>
            </w:tcBorders>
            <w:vAlign w:val="center"/>
          </w:tcPr>
          <w:p w14:paraId="1A210B1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730</w:t>
            </w:r>
          </w:p>
        </w:tc>
        <w:tc>
          <w:tcPr>
            <w:tcW w:w="1275" w:type="dxa"/>
            <w:tcBorders>
              <w:top w:val="single" w:sz="4" w:space="0" w:color="auto"/>
              <w:left w:val="single" w:sz="12" w:space="0" w:color="auto"/>
              <w:bottom w:val="single" w:sz="4" w:space="0" w:color="auto"/>
              <w:right w:val="single" w:sz="4" w:space="0" w:color="auto"/>
            </w:tcBorders>
            <w:vAlign w:val="center"/>
          </w:tcPr>
          <w:p w14:paraId="00B2AD4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435</w:t>
            </w:r>
          </w:p>
        </w:tc>
        <w:tc>
          <w:tcPr>
            <w:tcW w:w="1205" w:type="dxa"/>
            <w:tcBorders>
              <w:top w:val="single" w:sz="4" w:space="0" w:color="auto"/>
              <w:left w:val="single" w:sz="4" w:space="0" w:color="auto"/>
              <w:bottom w:val="single" w:sz="4" w:space="0" w:color="auto"/>
              <w:right w:val="single" w:sz="4" w:space="0" w:color="auto"/>
            </w:tcBorders>
            <w:vAlign w:val="center"/>
          </w:tcPr>
          <w:p w14:paraId="61AD2AF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665</w:t>
            </w:r>
          </w:p>
        </w:tc>
      </w:tr>
      <w:tr w:rsidR="00711FE4" w:rsidRPr="00711FE4" w14:paraId="5FE463F5"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3576E1DD"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1 child &lt;14</w:t>
            </w:r>
          </w:p>
        </w:tc>
        <w:tc>
          <w:tcPr>
            <w:tcW w:w="851" w:type="dxa"/>
            <w:tcBorders>
              <w:top w:val="single" w:sz="4" w:space="0" w:color="auto"/>
              <w:left w:val="single" w:sz="4" w:space="0" w:color="auto"/>
              <w:bottom w:val="single" w:sz="4" w:space="0" w:color="auto"/>
              <w:right w:val="single" w:sz="4" w:space="0" w:color="auto"/>
            </w:tcBorders>
            <w:vAlign w:val="center"/>
          </w:tcPr>
          <w:p w14:paraId="2CC3B5F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1.8</w:t>
            </w:r>
          </w:p>
        </w:tc>
        <w:tc>
          <w:tcPr>
            <w:tcW w:w="968" w:type="dxa"/>
            <w:tcBorders>
              <w:top w:val="single" w:sz="4" w:space="0" w:color="auto"/>
              <w:left w:val="single" w:sz="4" w:space="0" w:color="auto"/>
              <w:bottom w:val="single" w:sz="4" w:space="0" w:color="auto"/>
              <w:right w:val="single" w:sz="4" w:space="0" w:color="auto"/>
            </w:tcBorders>
            <w:vAlign w:val="center"/>
          </w:tcPr>
          <w:p w14:paraId="6B27FCDF"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585</w:t>
            </w:r>
          </w:p>
        </w:tc>
        <w:tc>
          <w:tcPr>
            <w:tcW w:w="1135" w:type="dxa"/>
            <w:tcBorders>
              <w:top w:val="single" w:sz="4" w:space="0" w:color="auto"/>
              <w:left w:val="single" w:sz="4" w:space="0" w:color="auto"/>
              <w:bottom w:val="single" w:sz="4" w:space="0" w:color="auto"/>
              <w:right w:val="single" w:sz="4" w:space="0" w:color="auto"/>
            </w:tcBorders>
            <w:vAlign w:val="center"/>
          </w:tcPr>
          <w:p w14:paraId="781CEFC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730</w:t>
            </w:r>
          </w:p>
        </w:tc>
        <w:tc>
          <w:tcPr>
            <w:tcW w:w="993" w:type="dxa"/>
            <w:tcBorders>
              <w:top w:val="single" w:sz="4" w:space="0" w:color="auto"/>
              <w:left w:val="single" w:sz="4" w:space="0" w:color="auto"/>
              <w:bottom w:val="single" w:sz="4" w:space="0" w:color="auto"/>
              <w:right w:val="single" w:sz="12" w:space="0" w:color="auto"/>
            </w:tcBorders>
            <w:vAlign w:val="center"/>
          </w:tcPr>
          <w:p w14:paraId="0928377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880</w:t>
            </w:r>
          </w:p>
        </w:tc>
        <w:tc>
          <w:tcPr>
            <w:tcW w:w="1275" w:type="dxa"/>
            <w:tcBorders>
              <w:top w:val="single" w:sz="4" w:space="0" w:color="auto"/>
              <w:left w:val="single" w:sz="12" w:space="0" w:color="auto"/>
              <w:bottom w:val="single" w:sz="4" w:space="0" w:color="auto"/>
              <w:right w:val="single" w:sz="4" w:space="0" w:color="auto"/>
            </w:tcBorders>
            <w:vAlign w:val="center"/>
          </w:tcPr>
          <w:p w14:paraId="66E44EF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525</w:t>
            </w:r>
          </w:p>
        </w:tc>
        <w:tc>
          <w:tcPr>
            <w:tcW w:w="1205" w:type="dxa"/>
            <w:tcBorders>
              <w:top w:val="single" w:sz="4" w:space="0" w:color="auto"/>
              <w:left w:val="single" w:sz="4" w:space="0" w:color="auto"/>
              <w:bottom w:val="single" w:sz="4" w:space="0" w:color="auto"/>
              <w:right w:val="single" w:sz="4" w:space="0" w:color="auto"/>
            </w:tcBorders>
            <w:vAlign w:val="center"/>
          </w:tcPr>
          <w:p w14:paraId="5FB5E37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795</w:t>
            </w:r>
          </w:p>
        </w:tc>
      </w:tr>
      <w:tr w:rsidR="00711FE4" w:rsidRPr="00711FE4" w14:paraId="42A55AC0"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57DBA763"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2 children &lt;14</w:t>
            </w:r>
          </w:p>
        </w:tc>
        <w:tc>
          <w:tcPr>
            <w:tcW w:w="851" w:type="dxa"/>
            <w:tcBorders>
              <w:top w:val="single" w:sz="4" w:space="0" w:color="auto"/>
              <w:left w:val="single" w:sz="4" w:space="0" w:color="auto"/>
              <w:bottom w:val="single" w:sz="4" w:space="0" w:color="auto"/>
              <w:right w:val="single" w:sz="4" w:space="0" w:color="auto"/>
            </w:tcBorders>
            <w:vAlign w:val="center"/>
          </w:tcPr>
          <w:p w14:paraId="20B164B2"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2.1</w:t>
            </w:r>
          </w:p>
        </w:tc>
        <w:tc>
          <w:tcPr>
            <w:tcW w:w="968" w:type="dxa"/>
            <w:tcBorders>
              <w:top w:val="single" w:sz="4" w:space="0" w:color="auto"/>
              <w:left w:val="single" w:sz="4" w:space="0" w:color="auto"/>
              <w:bottom w:val="single" w:sz="4" w:space="0" w:color="auto"/>
              <w:right w:val="single" w:sz="4" w:space="0" w:color="auto"/>
            </w:tcBorders>
            <w:vAlign w:val="center"/>
          </w:tcPr>
          <w:p w14:paraId="5070D17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685</w:t>
            </w:r>
          </w:p>
        </w:tc>
        <w:tc>
          <w:tcPr>
            <w:tcW w:w="1135" w:type="dxa"/>
            <w:tcBorders>
              <w:top w:val="single" w:sz="4" w:space="0" w:color="auto"/>
              <w:left w:val="single" w:sz="4" w:space="0" w:color="auto"/>
              <w:bottom w:val="single" w:sz="4" w:space="0" w:color="auto"/>
              <w:right w:val="single" w:sz="4" w:space="0" w:color="auto"/>
            </w:tcBorders>
            <w:vAlign w:val="center"/>
          </w:tcPr>
          <w:p w14:paraId="131F883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855</w:t>
            </w:r>
          </w:p>
        </w:tc>
        <w:tc>
          <w:tcPr>
            <w:tcW w:w="993" w:type="dxa"/>
            <w:tcBorders>
              <w:top w:val="single" w:sz="4" w:space="0" w:color="auto"/>
              <w:left w:val="single" w:sz="4" w:space="0" w:color="auto"/>
              <w:bottom w:val="single" w:sz="4" w:space="0" w:color="auto"/>
              <w:right w:val="single" w:sz="12" w:space="0" w:color="auto"/>
            </w:tcBorders>
            <w:vAlign w:val="center"/>
          </w:tcPr>
          <w:p w14:paraId="3BB84C6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1025</w:t>
            </w:r>
          </w:p>
        </w:tc>
        <w:tc>
          <w:tcPr>
            <w:tcW w:w="1275" w:type="dxa"/>
            <w:tcBorders>
              <w:top w:val="single" w:sz="4" w:space="0" w:color="auto"/>
              <w:left w:val="single" w:sz="12" w:space="0" w:color="auto"/>
              <w:bottom w:val="single" w:sz="4" w:space="0" w:color="auto"/>
              <w:right w:val="single" w:sz="4" w:space="0" w:color="auto"/>
            </w:tcBorders>
            <w:vAlign w:val="center"/>
          </w:tcPr>
          <w:p w14:paraId="28575F9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610</w:t>
            </w:r>
          </w:p>
        </w:tc>
        <w:tc>
          <w:tcPr>
            <w:tcW w:w="1205" w:type="dxa"/>
            <w:tcBorders>
              <w:top w:val="single" w:sz="4" w:space="0" w:color="auto"/>
              <w:left w:val="single" w:sz="4" w:space="0" w:color="auto"/>
              <w:bottom w:val="single" w:sz="4" w:space="0" w:color="auto"/>
              <w:right w:val="single" w:sz="4" w:space="0" w:color="auto"/>
            </w:tcBorders>
            <w:vAlign w:val="center"/>
          </w:tcPr>
          <w:p w14:paraId="3AFACD5E"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930</w:t>
            </w:r>
          </w:p>
        </w:tc>
      </w:tr>
      <w:tr w:rsidR="00711FE4" w:rsidRPr="00711FE4" w14:paraId="78618229"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5C975C27"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3 children &lt;14</w:t>
            </w:r>
          </w:p>
        </w:tc>
        <w:tc>
          <w:tcPr>
            <w:tcW w:w="851" w:type="dxa"/>
            <w:tcBorders>
              <w:top w:val="single" w:sz="4" w:space="0" w:color="auto"/>
              <w:left w:val="single" w:sz="4" w:space="0" w:color="auto"/>
              <w:bottom w:val="single" w:sz="4" w:space="0" w:color="auto"/>
              <w:right w:val="single" w:sz="4" w:space="0" w:color="auto"/>
            </w:tcBorders>
            <w:vAlign w:val="center"/>
          </w:tcPr>
          <w:p w14:paraId="35B72D4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2.4</w:t>
            </w:r>
          </w:p>
        </w:tc>
        <w:tc>
          <w:tcPr>
            <w:tcW w:w="968" w:type="dxa"/>
            <w:tcBorders>
              <w:top w:val="single" w:sz="4" w:space="0" w:color="auto"/>
              <w:left w:val="single" w:sz="4" w:space="0" w:color="auto"/>
              <w:bottom w:val="single" w:sz="4" w:space="0" w:color="auto"/>
              <w:right w:val="single" w:sz="4" w:space="0" w:color="auto"/>
            </w:tcBorders>
            <w:vAlign w:val="center"/>
          </w:tcPr>
          <w:p w14:paraId="4F516A04"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780</w:t>
            </w:r>
          </w:p>
        </w:tc>
        <w:tc>
          <w:tcPr>
            <w:tcW w:w="1135" w:type="dxa"/>
            <w:tcBorders>
              <w:top w:val="single" w:sz="4" w:space="0" w:color="auto"/>
              <w:left w:val="single" w:sz="4" w:space="0" w:color="auto"/>
              <w:bottom w:val="single" w:sz="4" w:space="0" w:color="auto"/>
              <w:right w:val="single" w:sz="4" w:space="0" w:color="auto"/>
            </w:tcBorders>
            <w:vAlign w:val="center"/>
          </w:tcPr>
          <w:p w14:paraId="015CF825"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975</w:t>
            </w:r>
          </w:p>
        </w:tc>
        <w:tc>
          <w:tcPr>
            <w:tcW w:w="993" w:type="dxa"/>
            <w:tcBorders>
              <w:top w:val="single" w:sz="4" w:space="0" w:color="auto"/>
              <w:left w:val="single" w:sz="4" w:space="0" w:color="auto"/>
              <w:bottom w:val="single" w:sz="4" w:space="0" w:color="auto"/>
              <w:right w:val="single" w:sz="12" w:space="0" w:color="auto"/>
            </w:tcBorders>
            <w:vAlign w:val="center"/>
          </w:tcPr>
          <w:p w14:paraId="66A84B0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1170</w:t>
            </w:r>
          </w:p>
        </w:tc>
        <w:tc>
          <w:tcPr>
            <w:tcW w:w="1275" w:type="dxa"/>
            <w:tcBorders>
              <w:top w:val="single" w:sz="4" w:space="0" w:color="auto"/>
              <w:left w:val="single" w:sz="12" w:space="0" w:color="auto"/>
              <w:bottom w:val="single" w:sz="4" w:space="0" w:color="auto"/>
              <w:right w:val="single" w:sz="4" w:space="0" w:color="auto"/>
            </w:tcBorders>
            <w:vAlign w:val="center"/>
          </w:tcPr>
          <w:p w14:paraId="61523B9B"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695</w:t>
            </w:r>
          </w:p>
        </w:tc>
        <w:tc>
          <w:tcPr>
            <w:tcW w:w="1205" w:type="dxa"/>
            <w:tcBorders>
              <w:top w:val="single" w:sz="4" w:space="0" w:color="auto"/>
              <w:left w:val="single" w:sz="4" w:space="0" w:color="auto"/>
              <w:bottom w:val="single" w:sz="4" w:space="0" w:color="auto"/>
              <w:right w:val="single" w:sz="4" w:space="0" w:color="auto"/>
            </w:tcBorders>
            <w:vAlign w:val="center"/>
          </w:tcPr>
          <w:p w14:paraId="2AC5913C"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1065</w:t>
            </w:r>
          </w:p>
        </w:tc>
      </w:tr>
      <w:tr w:rsidR="00711FE4" w:rsidRPr="00711FE4" w14:paraId="1C0ED7C4"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4FCB5727"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2P, 4 children &lt;14</w:t>
            </w:r>
          </w:p>
        </w:tc>
        <w:tc>
          <w:tcPr>
            <w:tcW w:w="851" w:type="dxa"/>
            <w:tcBorders>
              <w:top w:val="single" w:sz="4" w:space="0" w:color="auto"/>
              <w:left w:val="single" w:sz="4" w:space="0" w:color="auto"/>
              <w:bottom w:val="single" w:sz="4" w:space="0" w:color="auto"/>
              <w:right w:val="single" w:sz="4" w:space="0" w:color="auto"/>
            </w:tcBorders>
            <w:vAlign w:val="center"/>
          </w:tcPr>
          <w:p w14:paraId="46DB618A"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2.7</w:t>
            </w:r>
          </w:p>
        </w:tc>
        <w:tc>
          <w:tcPr>
            <w:tcW w:w="968" w:type="dxa"/>
            <w:tcBorders>
              <w:top w:val="single" w:sz="4" w:space="0" w:color="auto"/>
              <w:left w:val="single" w:sz="4" w:space="0" w:color="auto"/>
              <w:bottom w:val="single" w:sz="4" w:space="0" w:color="auto"/>
              <w:right w:val="single" w:sz="4" w:space="0" w:color="auto"/>
            </w:tcBorders>
            <w:vAlign w:val="center"/>
          </w:tcPr>
          <w:p w14:paraId="6939B3F6"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880</w:t>
            </w:r>
          </w:p>
        </w:tc>
        <w:tc>
          <w:tcPr>
            <w:tcW w:w="1135" w:type="dxa"/>
            <w:tcBorders>
              <w:top w:val="single" w:sz="4" w:space="0" w:color="auto"/>
              <w:left w:val="single" w:sz="4" w:space="0" w:color="auto"/>
              <w:bottom w:val="single" w:sz="4" w:space="0" w:color="auto"/>
              <w:right w:val="single" w:sz="4" w:space="0" w:color="auto"/>
            </w:tcBorders>
            <w:vAlign w:val="center"/>
          </w:tcPr>
          <w:p w14:paraId="65B9D37C"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1100</w:t>
            </w:r>
          </w:p>
        </w:tc>
        <w:tc>
          <w:tcPr>
            <w:tcW w:w="993" w:type="dxa"/>
            <w:tcBorders>
              <w:top w:val="single" w:sz="4" w:space="0" w:color="auto"/>
              <w:left w:val="single" w:sz="4" w:space="0" w:color="auto"/>
              <w:bottom w:val="single" w:sz="4" w:space="0" w:color="auto"/>
              <w:right w:val="single" w:sz="12" w:space="0" w:color="auto"/>
            </w:tcBorders>
            <w:vAlign w:val="center"/>
          </w:tcPr>
          <w:p w14:paraId="24F3243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1320</w:t>
            </w:r>
          </w:p>
        </w:tc>
        <w:tc>
          <w:tcPr>
            <w:tcW w:w="1275" w:type="dxa"/>
            <w:tcBorders>
              <w:top w:val="single" w:sz="4" w:space="0" w:color="auto"/>
              <w:left w:val="single" w:sz="12" w:space="0" w:color="auto"/>
              <w:bottom w:val="single" w:sz="4" w:space="0" w:color="auto"/>
              <w:right w:val="single" w:sz="4" w:space="0" w:color="auto"/>
            </w:tcBorders>
            <w:vAlign w:val="center"/>
          </w:tcPr>
          <w:p w14:paraId="1EC07E7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785</w:t>
            </w:r>
          </w:p>
        </w:tc>
        <w:tc>
          <w:tcPr>
            <w:tcW w:w="1205" w:type="dxa"/>
            <w:tcBorders>
              <w:top w:val="single" w:sz="4" w:space="0" w:color="auto"/>
              <w:left w:val="single" w:sz="4" w:space="0" w:color="auto"/>
              <w:bottom w:val="single" w:sz="4" w:space="0" w:color="auto"/>
              <w:right w:val="single" w:sz="4" w:space="0" w:color="auto"/>
            </w:tcBorders>
            <w:vAlign w:val="center"/>
          </w:tcPr>
          <w:p w14:paraId="59BF543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1195</w:t>
            </w:r>
          </w:p>
        </w:tc>
      </w:tr>
      <w:tr w:rsidR="00711FE4" w:rsidRPr="00711FE4" w14:paraId="5E1B5D00" w14:textId="77777777" w:rsidTr="00366F04">
        <w:trPr>
          <w:trHeight w:val="284"/>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00783181" w14:textId="77777777" w:rsidR="00711FE4" w:rsidRPr="00711FE4" w:rsidRDefault="00711FE4" w:rsidP="00711FE4">
            <w:pPr>
              <w:spacing w:after="0" w:line="240" w:lineRule="auto"/>
              <w:jc w:val="both"/>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3 adults</w:t>
            </w:r>
          </w:p>
        </w:tc>
        <w:tc>
          <w:tcPr>
            <w:tcW w:w="851" w:type="dxa"/>
            <w:tcBorders>
              <w:top w:val="single" w:sz="4" w:space="0" w:color="auto"/>
              <w:left w:val="single" w:sz="4" w:space="0" w:color="auto"/>
              <w:bottom w:val="single" w:sz="4" w:space="0" w:color="auto"/>
              <w:right w:val="single" w:sz="4" w:space="0" w:color="auto"/>
            </w:tcBorders>
            <w:vAlign w:val="center"/>
          </w:tcPr>
          <w:p w14:paraId="1E0FD74A"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2.0</w:t>
            </w:r>
          </w:p>
        </w:tc>
        <w:tc>
          <w:tcPr>
            <w:tcW w:w="968" w:type="dxa"/>
            <w:tcBorders>
              <w:top w:val="single" w:sz="4" w:space="0" w:color="auto"/>
              <w:left w:val="single" w:sz="4" w:space="0" w:color="auto"/>
              <w:bottom w:val="single" w:sz="4" w:space="0" w:color="auto"/>
              <w:right w:val="single" w:sz="4" w:space="0" w:color="auto"/>
            </w:tcBorders>
            <w:vAlign w:val="center"/>
          </w:tcPr>
          <w:p w14:paraId="60C2F8EA"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650</w:t>
            </w:r>
          </w:p>
        </w:tc>
        <w:tc>
          <w:tcPr>
            <w:tcW w:w="1135" w:type="dxa"/>
            <w:tcBorders>
              <w:top w:val="single" w:sz="4" w:space="0" w:color="auto"/>
              <w:left w:val="single" w:sz="4" w:space="0" w:color="auto"/>
              <w:bottom w:val="single" w:sz="4" w:space="0" w:color="auto"/>
              <w:right w:val="single" w:sz="4" w:space="0" w:color="auto"/>
            </w:tcBorders>
            <w:vAlign w:val="center"/>
          </w:tcPr>
          <w:p w14:paraId="32D415D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815</w:t>
            </w:r>
          </w:p>
        </w:tc>
        <w:tc>
          <w:tcPr>
            <w:tcW w:w="993" w:type="dxa"/>
            <w:tcBorders>
              <w:top w:val="single" w:sz="4" w:space="0" w:color="auto"/>
              <w:left w:val="single" w:sz="4" w:space="0" w:color="auto"/>
              <w:bottom w:val="single" w:sz="4" w:space="0" w:color="auto"/>
              <w:right w:val="single" w:sz="12" w:space="0" w:color="auto"/>
            </w:tcBorders>
            <w:vAlign w:val="center"/>
          </w:tcPr>
          <w:p w14:paraId="0D56BFC3"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975</w:t>
            </w:r>
          </w:p>
        </w:tc>
        <w:tc>
          <w:tcPr>
            <w:tcW w:w="1275" w:type="dxa"/>
            <w:tcBorders>
              <w:top w:val="single" w:sz="4" w:space="0" w:color="auto"/>
              <w:left w:val="single" w:sz="12" w:space="0" w:color="auto"/>
              <w:bottom w:val="single" w:sz="4" w:space="0" w:color="auto"/>
              <w:right w:val="single" w:sz="4" w:space="0" w:color="auto"/>
            </w:tcBorders>
            <w:vAlign w:val="center"/>
          </w:tcPr>
          <w:p w14:paraId="54074978"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580</w:t>
            </w:r>
          </w:p>
        </w:tc>
        <w:tc>
          <w:tcPr>
            <w:tcW w:w="1205" w:type="dxa"/>
            <w:tcBorders>
              <w:top w:val="single" w:sz="4" w:space="0" w:color="auto"/>
              <w:left w:val="single" w:sz="4" w:space="0" w:color="auto"/>
              <w:bottom w:val="single" w:sz="4" w:space="0" w:color="auto"/>
              <w:right w:val="single" w:sz="4" w:space="0" w:color="auto"/>
            </w:tcBorders>
            <w:vAlign w:val="center"/>
          </w:tcPr>
          <w:p w14:paraId="369A7230" w14:textId="77777777" w:rsidR="00711FE4" w:rsidRPr="00711FE4" w:rsidRDefault="00711FE4" w:rsidP="00711FE4">
            <w:pPr>
              <w:spacing w:after="0" w:line="240" w:lineRule="auto"/>
              <w:jc w:val="center"/>
              <w:rPr>
                <w:rFonts w:ascii="Arial" w:eastAsia="Times New Roman" w:hAnsi="Arial"/>
                <w:color w:val="000000" w:themeColor="text1"/>
                <w:sz w:val="14"/>
                <w:szCs w:val="14"/>
                <w:lang w:val="en-GB"/>
              </w:rPr>
            </w:pPr>
            <w:r w:rsidRPr="00711FE4">
              <w:rPr>
                <w:rFonts w:ascii="Arial" w:eastAsia="Times New Roman" w:hAnsi="Arial"/>
                <w:color w:val="000000" w:themeColor="text1"/>
                <w:sz w:val="14"/>
                <w:szCs w:val="14"/>
                <w:lang w:val="en-GB"/>
              </w:rPr>
              <w:t>885</w:t>
            </w:r>
          </w:p>
        </w:tc>
      </w:tr>
    </w:tbl>
    <w:p w14:paraId="5ACBA05D" w14:textId="77777777" w:rsidR="00711FE4" w:rsidRPr="00711FE4" w:rsidRDefault="00711FE4" w:rsidP="00711FE4">
      <w:pPr>
        <w:spacing w:before="60" w:after="20" w:line="240" w:lineRule="auto"/>
        <w:ind w:left="567"/>
        <w:rPr>
          <w:rFonts w:ascii="Arial" w:hAnsi="Arial"/>
          <w:color w:val="000000" w:themeColor="text1"/>
          <w:sz w:val="16"/>
          <w:szCs w:val="16"/>
        </w:rPr>
      </w:pPr>
      <w:r w:rsidRPr="00711FE4">
        <w:rPr>
          <w:rFonts w:ascii="Arial" w:hAnsi="Arial"/>
          <w:color w:val="000000" w:themeColor="text1"/>
          <w:sz w:val="16"/>
          <w:szCs w:val="16"/>
        </w:rPr>
        <w:t>Notes:</w:t>
      </w:r>
    </w:p>
    <w:p w14:paraId="50D4080B" w14:textId="77777777" w:rsidR="00711FE4" w:rsidRPr="00711FE4" w:rsidRDefault="00711FE4">
      <w:pPr>
        <w:numPr>
          <w:ilvl w:val="0"/>
          <w:numId w:val="103"/>
        </w:numPr>
        <w:spacing w:after="20" w:line="240" w:lineRule="auto"/>
        <w:ind w:left="992" w:hanging="215"/>
        <w:rPr>
          <w:rFonts w:ascii="Arial" w:hAnsi="Arial"/>
          <w:color w:val="000000" w:themeColor="text1"/>
          <w:sz w:val="16"/>
          <w:szCs w:val="16"/>
        </w:rPr>
      </w:pPr>
      <w:r w:rsidRPr="00711FE4">
        <w:rPr>
          <w:rFonts w:ascii="Arial" w:hAnsi="Arial"/>
          <w:color w:val="000000" w:themeColor="text1"/>
          <w:sz w:val="16"/>
          <w:szCs w:val="16"/>
        </w:rPr>
        <w:t>The figures above are calculated before any treatment is applied to the dataset.</w:t>
      </w:r>
    </w:p>
    <w:p w14:paraId="71457C4A" w14:textId="77777777" w:rsidR="00711FE4" w:rsidRPr="00711FE4" w:rsidRDefault="00711FE4">
      <w:pPr>
        <w:numPr>
          <w:ilvl w:val="0"/>
          <w:numId w:val="103"/>
        </w:numPr>
        <w:spacing w:after="40" w:line="240" w:lineRule="auto"/>
        <w:ind w:left="992" w:hanging="215"/>
        <w:rPr>
          <w:rFonts w:ascii="Arial" w:hAnsi="Arial"/>
          <w:color w:val="000000" w:themeColor="text1"/>
          <w:sz w:val="16"/>
          <w:szCs w:val="16"/>
        </w:rPr>
      </w:pPr>
      <w:r w:rsidRPr="00711FE4">
        <w:rPr>
          <w:rFonts w:ascii="Arial" w:hAnsi="Arial"/>
          <w:color w:val="000000" w:themeColor="text1"/>
          <w:sz w:val="16"/>
          <w:szCs w:val="16"/>
        </w:rPr>
        <w:t xml:space="preserve">For the CV numbers, the $2025 thresholds include the full inflation adjustment from the reference year to March 2025. </w:t>
      </w:r>
    </w:p>
    <w:p w14:paraId="11BE0B1C" w14:textId="77777777" w:rsidR="00711FE4" w:rsidRPr="00711FE4" w:rsidRDefault="00711FE4" w:rsidP="00711FE4">
      <w:pPr>
        <w:spacing w:after="0" w:line="240" w:lineRule="auto"/>
        <w:rPr>
          <w:rFonts w:ascii="Arial" w:eastAsia="Times New Roman" w:hAnsi="Arial" w:cs="Times New Roman"/>
          <w:color w:val="000000" w:themeColor="text1"/>
          <w:sz w:val="22"/>
          <w:szCs w:val="20"/>
          <w:lang w:val="en-GB"/>
        </w:rPr>
      </w:pPr>
    </w:p>
    <w:bookmarkEnd w:id="45"/>
    <w:bookmarkEnd w:id="46"/>
    <w:p w14:paraId="42BCFE20" w14:textId="77777777" w:rsidR="00711FE4" w:rsidRPr="00711FE4" w:rsidRDefault="00711FE4" w:rsidP="00711FE4">
      <w:pPr>
        <w:rPr>
          <w:color w:val="000000" w:themeColor="text1"/>
        </w:rPr>
      </w:pPr>
    </w:p>
    <w:p w14:paraId="676DDA01" w14:textId="77777777" w:rsidR="00711FE4" w:rsidRPr="00711FE4" w:rsidRDefault="00711FE4" w:rsidP="00711FE4">
      <w:pPr>
        <w:spacing w:after="0" w:line="240" w:lineRule="auto"/>
        <w:rPr>
          <w:rFonts w:ascii="Arial" w:hAnsi="Arial"/>
          <w:b/>
          <w:color w:val="000000" w:themeColor="text1"/>
          <w:sz w:val="28"/>
        </w:rPr>
      </w:pPr>
      <w:r w:rsidRPr="00711FE4">
        <w:rPr>
          <w:rFonts w:ascii="Arial" w:hAnsi="Arial"/>
          <w:b/>
          <w:color w:val="000000" w:themeColor="text1"/>
          <w:sz w:val="28"/>
        </w:rPr>
        <w:br w:type="page"/>
      </w:r>
    </w:p>
    <w:p w14:paraId="7C514408" w14:textId="77777777" w:rsidR="00711FE4" w:rsidRPr="00711FE4" w:rsidRDefault="00711FE4" w:rsidP="00711FE4">
      <w:pPr>
        <w:spacing w:after="60"/>
        <w:rPr>
          <w:rFonts w:ascii="Arial" w:hAnsi="Arial"/>
          <w:b/>
          <w:bCs/>
          <w:color w:val="000000"/>
          <w:sz w:val="28"/>
          <w:szCs w:val="28"/>
        </w:rPr>
      </w:pPr>
      <w:bookmarkStart w:id="47" w:name="_Hlk210808447"/>
      <w:bookmarkStart w:id="48" w:name="_Hlk210816043"/>
      <w:r w:rsidRPr="00711FE4">
        <w:rPr>
          <w:rFonts w:ascii="Arial" w:hAnsi="Arial"/>
          <w:b/>
          <w:bCs/>
          <w:color w:val="000000"/>
          <w:sz w:val="28"/>
          <w:szCs w:val="28"/>
        </w:rPr>
        <w:lastRenderedPageBreak/>
        <w:t>Appendix 10</w:t>
      </w:r>
    </w:p>
    <w:p w14:paraId="54ABE7C8" w14:textId="77777777" w:rsidR="00711FE4" w:rsidRPr="00711FE4" w:rsidRDefault="00711FE4" w:rsidP="00711FE4">
      <w:pPr>
        <w:spacing w:after="0" w:line="240" w:lineRule="auto"/>
        <w:rPr>
          <w:rFonts w:ascii="Arial" w:hAnsi="Arial"/>
          <w:b/>
          <w:color w:val="000000" w:themeColor="text1"/>
          <w:sz w:val="24"/>
          <w:szCs w:val="24"/>
        </w:rPr>
      </w:pPr>
      <w:r w:rsidRPr="00711FE4">
        <w:rPr>
          <w:rFonts w:ascii="Arial" w:hAnsi="Arial"/>
          <w:b/>
          <w:color w:val="000000" w:themeColor="text1"/>
          <w:sz w:val="24"/>
          <w:szCs w:val="24"/>
        </w:rPr>
        <w:t>Decile boundaries and means, 1982 to 2025</w:t>
      </w:r>
    </w:p>
    <w:p w14:paraId="61E7CDAE" w14:textId="77777777" w:rsidR="00711FE4" w:rsidRPr="00711FE4" w:rsidRDefault="00711FE4" w:rsidP="00711FE4">
      <w:pPr>
        <w:spacing w:after="0" w:line="240" w:lineRule="auto"/>
        <w:rPr>
          <w:rFonts w:ascii="Arial" w:hAnsi="Arial"/>
          <w:b/>
          <w:color w:val="000000" w:themeColor="text1"/>
          <w:sz w:val="24"/>
          <w:szCs w:val="24"/>
        </w:rPr>
      </w:pPr>
    </w:p>
    <w:p w14:paraId="14CA66E1" w14:textId="77777777" w:rsidR="00711FE4" w:rsidRPr="00711FE4" w:rsidRDefault="00711FE4" w:rsidP="00711FE4">
      <w:pPr>
        <w:spacing w:after="0" w:line="240" w:lineRule="auto"/>
        <w:jc w:val="both"/>
        <w:rPr>
          <w:rFonts w:ascii="Arial" w:hAnsi="Arial"/>
        </w:rPr>
      </w:pPr>
      <w:r w:rsidRPr="00711FE4">
        <w:rPr>
          <w:rFonts w:ascii="Arial" w:hAnsi="Arial"/>
        </w:rPr>
        <w:t xml:space="preserve">While household income is far from perfect as a measure of material wellbeing it is generally a useful enough indicator (see </w:t>
      </w:r>
      <w:r w:rsidRPr="00711FE4">
        <w:rPr>
          <w:rFonts w:ascii="Arial" w:hAnsi="Arial"/>
          <w:b/>
          <w:bCs/>
        </w:rPr>
        <w:t>Section A</w:t>
      </w:r>
      <w:r w:rsidRPr="00711FE4">
        <w:rPr>
          <w:rFonts w:ascii="Arial" w:hAnsi="Arial"/>
        </w:rPr>
        <w:t xml:space="preserve">). There are however some households for whom it would clearly be highly misleading to take their incomes as even a rough and ready indicator of their material living standards. This assessment is based on comparisons with information beyond the incomes reported in the survey:  </w:t>
      </w:r>
    </w:p>
    <w:p w14:paraId="33D970F9" w14:textId="77777777" w:rsidR="00711FE4" w:rsidRPr="00711FE4" w:rsidRDefault="00711FE4">
      <w:pPr>
        <w:numPr>
          <w:ilvl w:val="0"/>
          <w:numId w:val="113"/>
        </w:numPr>
        <w:tabs>
          <w:tab w:val="num" w:pos="540"/>
        </w:tabs>
        <w:spacing w:after="0" w:line="240" w:lineRule="auto"/>
        <w:ind w:left="540" w:hanging="270"/>
        <w:jc w:val="both"/>
        <w:rPr>
          <w:rFonts w:ascii="Arial" w:hAnsi="Arial"/>
        </w:rPr>
      </w:pPr>
      <w:r w:rsidRPr="00711FE4">
        <w:rPr>
          <w:rFonts w:ascii="Arial" w:hAnsi="Arial"/>
        </w:rPr>
        <w:t xml:space="preserve">some households have implausibly low incomes, well below the minimum social support levels </w:t>
      </w:r>
    </w:p>
    <w:p w14:paraId="37CFD2E1" w14:textId="77777777" w:rsidR="00711FE4" w:rsidRPr="00711FE4" w:rsidRDefault="00711FE4">
      <w:pPr>
        <w:numPr>
          <w:ilvl w:val="0"/>
          <w:numId w:val="113"/>
        </w:numPr>
        <w:tabs>
          <w:tab w:val="num" w:pos="540"/>
        </w:tabs>
        <w:spacing w:after="0" w:line="240" w:lineRule="auto"/>
        <w:ind w:left="540" w:hanging="270"/>
        <w:jc w:val="both"/>
        <w:rPr>
          <w:rFonts w:ascii="Arial" w:hAnsi="Arial"/>
        </w:rPr>
      </w:pPr>
      <w:r w:rsidRPr="00711FE4">
        <w:rPr>
          <w:rFonts w:ascii="Arial" w:hAnsi="Arial"/>
        </w:rPr>
        <w:t>some have reported expenditures well above their reported incomes</w:t>
      </w:r>
    </w:p>
    <w:p w14:paraId="3AD9D416" w14:textId="77777777" w:rsidR="00711FE4" w:rsidRPr="00711FE4" w:rsidRDefault="00711FE4">
      <w:pPr>
        <w:numPr>
          <w:ilvl w:val="0"/>
          <w:numId w:val="113"/>
        </w:numPr>
        <w:tabs>
          <w:tab w:val="num" w:pos="540"/>
        </w:tabs>
        <w:spacing w:after="0" w:line="240" w:lineRule="auto"/>
        <w:ind w:left="540" w:hanging="270"/>
        <w:jc w:val="both"/>
        <w:rPr>
          <w:rFonts w:ascii="Arial" w:hAnsi="Arial"/>
        </w:rPr>
      </w:pPr>
      <w:r w:rsidRPr="00711FE4">
        <w:rPr>
          <w:rFonts w:ascii="Arial" w:hAnsi="Arial"/>
        </w:rPr>
        <w:t xml:space="preserve">some have reported (low) material hardship rates that are more like those with incomes around the median or higher </w:t>
      </w:r>
    </w:p>
    <w:p w14:paraId="51AA1B5F" w14:textId="77777777" w:rsidR="00711FE4" w:rsidRPr="00711FE4" w:rsidRDefault="00711FE4">
      <w:pPr>
        <w:numPr>
          <w:ilvl w:val="0"/>
          <w:numId w:val="113"/>
        </w:numPr>
        <w:tabs>
          <w:tab w:val="num" w:pos="540"/>
        </w:tabs>
        <w:spacing w:after="0" w:line="240" w:lineRule="auto"/>
        <w:ind w:left="540" w:hanging="270"/>
        <w:jc w:val="both"/>
        <w:rPr>
          <w:rFonts w:ascii="Arial" w:hAnsi="Arial"/>
        </w:rPr>
      </w:pPr>
      <w:r w:rsidRPr="00711FE4">
        <w:rPr>
          <w:rFonts w:ascii="Arial" w:hAnsi="Arial"/>
        </w:rPr>
        <w:t>some report having ‘enough or more than enough income for the basics’</w:t>
      </w:r>
    </w:p>
    <w:p w14:paraId="05E8DB04" w14:textId="77777777" w:rsidR="00711FE4" w:rsidRPr="00711FE4" w:rsidRDefault="00711FE4">
      <w:pPr>
        <w:numPr>
          <w:ilvl w:val="0"/>
          <w:numId w:val="113"/>
        </w:numPr>
        <w:tabs>
          <w:tab w:val="num" w:pos="540"/>
        </w:tabs>
        <w:spacing w:after="0" w:line="240" w:lineRule="auto"/>
        <w:ind w:left="540" w:hanging="270"/>
        <w:jc w:val="both"/>
        <w:rPr>
          <w:rFonts w:ascii="Arial" w:hAnsi="Arial"/>
        </w:rPr>
      </w:pPr>
      <w:r w:rsidRPr="00711FE4">
        <w:rPr>
          <w:rFonts w:ascii="Arial" w:hAnsi="Arial"/>
        </w:rPr>
        <w:t>some meet all these criteria.</w:t>
      </w:r>
    </w:p>
    <w:p w14:paraId="5126D137" w14:textId="77777777" w:rsidR="00711FE4" w:rsidRPr="00711FE4" w:rsidRDefault="00711FE4" w:rsidP="00711FE4">
      <w:pPr>
        <w:spacing w:after="0" w:line="240" w:lineRule="auto"/>
        <w:jc w:val="both"/>
        <w:rPr>
          <w:rFonts w:ascii="Arial" w:hAnsi="Arial"/>
        </w:rPr>
      </w:pPr>
    </w:p>
    <w:p w14:paraId="5934FDA0" w14:textId="77777777" w:rsidR="00711FE4" w:rsidRPr="00711FE4" w:rsidRDefault="00711FE4" w:rsidP="00711FE4">
      <w:pPr>
        <w:spacing w:after="0" w:line="240" w:lineRule="auto"/>
        <w:jc w:val="both"/>
        <w:rPr>
          <w:rFonts w:ascii="Arial" w:hAnsi="Arial"/>
          <w:color w:val="FF0000"/>
        </w:rPr>
      </w:pPr>
      <w:r w:rsidRPr="00711FE4">
        <w:rPr>
          <w:rFonts w:ascii="Arial" w:hAnsi="Arial"/>
        </w:rPr>
        <w:t>Some of these households will be declaring income from self-employment. This can legitimately be much lower than reported expenditure – the declared income may even be negative.  Others will have accurately reported their incomes but will have had access to loans, gifts or savings in one form or other which have been used for purchasing goods and services. Others will have intentionally or unintentionally under-reported their incomes. For others there may have been difficulties for Stats NZ  in matching the individuals or households with administrative data.</w:t>
      </w:r>
      <w:r w:rsidRPr="00711FE4">
        <w:rPr>
          <w:rFonts w:ascii="Arial" w:hAnsi="Arial"/>
          <w:vertAlign w:val="superscript"/>
        </w:rPr>
        <w:footnoteReference w:id="103"/>
      </w:r>
    </w:p>
    <w:p w14:paraId="60F2CA60" w14:textId="77777777" w:rsidR="00711FE4" w:rsidRPr="00711FE4" w:rsidRDefault="00711FE4" w:rsidP="00711FE4">
      <w:pPr>
        <w:spacing w:after="0" w:line="240" w:lineRule="auto"/>
        <w:jc w:val="both"/>
        <w:rPr>
          <w:rFonts w:ascii="Arial" w:hAnsi="Arial"/>
        </w:rPr>
      </w:pPr>
      <w:r w:rsidRPr="00711FE4">
        <w:rPr>
          <w:rFonts w:ascii="Arial" w:hAnsi="Arial"/>
        </w:rPr>
        <w:t xml:space="preserve"> </w:t>
      </w:r>
    </w:p>
    <w:p w14:paraId="5D4AAA40" w14:textId="77777777" w:rsidR="00711FE4" w:rsidRPr="00711FE4" w:rsidRDefault="00711FE4" w:rsidP="00711FE4">
      <w:pPr>
        <w:keepNext/>
        <w:spacing w:after="0" w:line="240" w:lineRule="auto"/>
        <w:jc w:val="both"/>
        <w:outlineLvl w:val="1"/>
        <w:rPr>
          <w:rFonts w:ascii="Arial" w:hAnsi="Arial"/>
        </w:rPr>
      </w:pPr>
      <w:r w:rsidRPr="00711FE4">
        <w:rPr>
          <w:rFonts w:ascii="Arial" w:hAnsi="Arial"/>
          <w:bCs/>
          <w:iCs/>
          <w:kern w:val="32"/>
          <w:szCs w:val="24"/>
        </w:rPr>
        <w:t xml:space="preserve">As a result, the incomes of those in the bottom income decile are too often not a reliable indicator of their material wellbeing level. </w:t>
      </w:r>
      <w:r w:rsidRPr="00711FE4">
        <w:rPr>
          <w:rFonts w:ascii="Arial" w:hAnsi="Arial"/>
        </w:rPr>
        <w:t xml:space="preserve">The unreliability of bottom-decile incomes as an indicator of living standards is not an issue that is unique to New Zealand.  </w:t>
      </w:r>
    </w:p>
    <w:p w14:paraId="1472503D" w14:textId="77777777" w:rsidR="00711FE4" w:rsidRPr="00711FE4" w:rsidRDefault="00711FE4" w:rsidP="00711FE4">
      <w:pPr>
        <w:keepNext/>
        <w:spacing w:after="0" w:line="240" w:lineRule="auto"/>
        <w:jc w:val="both"/>
        <w:outlineLvl w:val="1"/>
        <w:rPr>
          <w:rFonts w:ascii="Arial" w:hAnsi="Arial"/>
        </w:rPr>
      </w:pPr>
    </w:p>
    <w:p w14:paraId="007CF8B9" w14:textId="77777777" w:rsidR="00711FE4" w:rsidRPr="00711FE4" w:rsidRDefault="00711FE4" w:rsidP="00711FE4">
      <w:pPr>
        <w:keepNext/>
        <w:spacing w:after="0" w:line="240" w:lineRule="auto"/>
        <w:jc w:val="both"/>
        <w:outlineLvl w:val="1"/>
        <w:rPr>
          <w:rFonts w:ascii="Arial" w:hAnsi="Arial"/>
        </w:rPr>
      </w:pPr>
      <w:r w:rsidRPr="00711FE4">
        <w:rPr>
          <w:rFonts w:ascii="Arial" w:hAnsi="Arial"/>
        </w:rPr>
        <w:t xml:space="preserve">For reporting that involves household income, from 2007 on MSD uses a treatment for households with ‘very low / implausible’ incomes. See </w:t>
      </w:r>
      <w:r w:rsidRPr="00711FE4">
        <w:rPr>
          <w:rFonts w:ascii="Arial" w:hAnsi="Arial"/>
          <w:b/>
          <w:bCs/>
        </w:rPr>
        <w:t>Appendix 1</w:t>
      </w:r>
      <w:r w:rsidRPr="00711FE4">
        <w:rPr>
          <w:rFonts w:ascii="Arial" w:hAnsi="Arial"/>
        </w:rPr>
        <w:t xml:space="preserve"> for further on this. For the tables that follow this treatment is applied. It helps address the issue but not completely. MSD’s advice is that using top-of-decile income levels is the preferred way to report across the income spectrum (</w:t>
      </w:r>
      <w:r w:rsidRPr="00711FE4">
        <w:rPr>
          <w:rFonts w:ascii="Arial" w:hAnsi="Arial"/>
          <w:b/>
          <w:bCs/>
        </w:rPr>
        <w:t>Tables 10.1 and 10.2</w:t>
      </w:r>
      <w:r w:rsidRPr="00711FE4">
        <w:rPr>
          <w:rFonts w:ascii="Arial" w:hAnsi="Arial"/>
        </w:rPr>
        <w:t>), but if reporting on decile means or shares is needed, to do so for deciles 2 to 10 only (</w:t>
      </w:r>
      <w:r w:rsidRPr="00711FE4">
        <w:rPr>
          <w:rFonts w:ascii="Arial" w:hAnsi="Arial"/>
          <w:b/>
          <w:bCs/>
        </w:rPr>
        <w:t>Tables 10.3 and 10.4</w:t>
      </w:r>
      <w:r w:rsidRPr="00711FE4">
        <w:rPr>
          <w:rFonts w:ascii="Arial" w:hAnsi="Arial"/>
        </w:rPr>
        <w:t>).</w:t>
      </w:r>
    </w:p>
    <w:p w14:paraId="555E8C66" w14:textId="77777777" w:rsidR="00711FE4" w:rsidRPr="00711FE4" w:rsidRDefault="00711FE4" w:rsidP="00711FE4">
      <w:pPr>
        <w:spacing w:after="0" w:line="240" w:lineRule="auto"/>
        <w:rPr>
          <w:rFonts w:ascii="Arial" w:hAnsi="Arial"/>
          <w:b/>
          <w:color w:val="FF0000"/>
          <w:sz w:val="22"/>
          <w:highlight w:val="yellow"/>
        </w:rPr>
      </w:pPr>
    </w:p>
    <w:p w14:paraId="273D11EE" w14:textId="77777777" w:rsidR="00711FE4" w:rsidRPr="00711FE4" w:rsidRDefault="00711FE4" w:rsidP="00711FE4">
      <w:pPr>
        <w:spacing w:after="0" w:line="240" w:lineRule="auto"/>
        <w:rPr>
          <w:rFonts w:ascii="Arial" w:hAnsi="Arial"/>
          <w:b/>
          <w:color w:val="000000" w:themeColor="text1"/>
          <w:sz w:val="24"/>
          <w:szCs w:val="24"/>
        </w:rPr>
      </w:pPr>
    </w:p>
    <w:p w14:paraId="6CE5937A" w14:textId="77777777" w:rsidR="00711FE4" w:rsidRPr="00711FE4" w:rsidRDefault="00711FE4" w:rsidP="00711FE4">
      <w:pPr>
        <w:spacing w:after="0" w:line="240" w:lineRule="auto"/>
        <w:rPr>
          <w:rFonts w:ascii="Arial" w:hAnsi="Arial"/>
          <w:b/>
          <w:color w:val="000000" w:themeColor="text1"/>
          <w:sz w:val="18"/>
          <w:szCs w:val="18"/>
        </w:rPr>
      </w:pPr>
      <w:r w:rsidRPr="00711FE4">
        <w:rPr>
          <w:rFonts w:ascii="Arial" w:hAnsi="Arial"/>
          <w:b/>
          <w:color w:val="000000" w:themeColor="text1"/>
          <w:sz w:val="18"/>
          <w:szCs w:val="18"/>
        </w:rPr>
        <w:br w:type="page"/>
      </w:r>
    </w:p>
    <w:p w14:paraId="3E579C1E" w14:textId="73D05F47" w:rsidR="00711FE4" w:rsidRPr="00711FE4" w:rsidRDefault="00711FE4" w:rsidP="00711FE4">
      <w:pPr>
        <w:spacing w:after="0" w:line="240" w:lineRule="auto"/>
        <w:jc w:val="center"/>
        <w:rPr>
          <w:rFonts w:ascii="Arial" w:eastAsia="Times New Roman" w:hAnsi="Arial"/>
          <w:b/>
          <w:color w:val="FF0000"/>
          <w:sz w:val="16"/>
          <w:szCs w:val="16"/>
          <w:lang w:val="en-GB"/>
        </w:rPr>
      </w:pPr>
      <w:r w:rsidRPr="00711FE4">
        <w:rPr>
          <w:rFonts w:ascii="Arial" w:hAnsi="Arial"/>
          <w:b/>
          <w:color w:val="000000" w:themeColor="text1"/>
          <w:sz w:val="18"/>
          <w:szCs w:val="18"/>
        </w:rPr>
        <w:lastRenderedPageBreak/>
        <w:t>Table 10.1</w:t>
      </w:r>
    </w:p>
    <w:p w14:paraId="420CFAD9" w14:textId="77777777" w:rsidR="00711FE4" w:rsidRPr="00711FE4" w:rsidRDefault="00711FE4" w:rsidP="00711FE4">
      <w:pPr>
        <w:spacing w:line="240" w:lineRule="auto"/>
        <w:jc w:val="center"/>
        <w:rPr>
          <w:rFonts w:ascii="Arial" w:eastAsia="Times New Roman" w:hAnsi="Arial" w:cs="Times New Roman"/>
          <w:b/>
          <w:color w:val="000000"/>
          <w:sz w:val="18"/>
          <w:szCs w:val="20"/>
          <w:lang w:val="en-GB"/>
        </w:rPr>
      </w:pPr>
      <w:r w:rsidRPr="00711FE4">
        <w:rPr>
          <w:rFonts w:ascii="Arial" w:eastAsia="Times New Roman" w:hAnsi="Arial"/>
          <w:b/>
          <w:color w:val="000000"/>
          <w:sz w:val="18"/>
          <w:szCs w:val="20"/>
          <w:lang w:val="en-GB"/>
        </w:rPr>
        <w:t>Real equivalised household incomes (BHC): decile boundaries and overall mean ($2025)</w:t>
      </w:r>
    </w:p>
    <w:tbl>
      <w:tblPr>
        <w:tblpPr w:leftFromText="180" w:rightFromText="180" w:vertAnchor="text" w:tblpXSpec="center" w:tblpY="1"/>
        <w:tblOverlap w:val="never"/>
        <w:tblW w:w="7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598"/>
        <w:gridCol w:w="633"/>
        <w:gridCol w:w="633"/>
        <w:gridCol w:w="633"/>
        <w:gridCol w:w="633"/>
        <w:gridCol w:w="633"/>
        <w:gridCol w:w="634"/>
        <w:gridCol w:w="633"/>
        <w:gridCol w:w="633"/>
        <w:gridCol w:w="633"/>
        <w:gridCol w:w="634"/>
      </w:tblGrid>
      <w:tr w:rsidR="00711FE4" w:rsidRPr="00711FE4" w14:paraId="3D6B9493" w14:textId="77777777" w:rsidTr="00366F04">
        <w:trPr>
          <w:trHeight w:hRule="exact" w:val="454"/>
          <w:jc w:val="center"/>
        </w:trPr>
        <w:tc>
          <w:tcPr>
            <w:tcW w:w="745" w:type="dxa"/>
          </w:tcPr>
          <w:p w14:paraId="0700296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14" w:type="dxa"/>
              <w:right w:w="14" w:type="dxa"/>
            </w:tcMar>
            <w:vAlign w:val="center"/>
          </w:tcPr>
          <w:p w14:paraId="2C4134B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w:t>
            </w:r>
          </w:p>
        </w:tc>
        <w:tc>
          <w:tcPr>
            <w:tcW w:w="633" w:type="dxa"/>
            <w:tcMar>
              <w:left w:w="14" w:type="dxa"/>
              <w:right w:w="14" w:type="dxa"/>
            </w:tcMar>
            <w:vAlign w:val="center"/>
          </w:tcPr>
          <w:p w14:paraId="5C8FA08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P10</w:t>
            </w:r>
          </w:p>
        </w:tc>
        <w:tc>
          <w:tcPr>
            <w:tcW w:w="633" w:type="dxa"/>
            <w:tcMar>
              <w:left w:w="14" w:type="dxa"/>
              <w:right w:w="14" w:type="dxa"/>
            </w:tcMar>
            <w:vAlign w:val="center"/>
          </w:tcPr>
          <w:p w14:paraId="0D0E2B4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P20</w:t>
            </w:r>
          </w:p>
        </w:tc>
        <w:tc>
          <w:tcPr>
            <w:tcW w:w="633" w:type="dxa"/>
            <w:tcMar>
              <w:left w:w="14" w:type="dxa"/>
              <w:right w:w="14" w:type="dxa"/>
            </w:tcMar>
            <w:vAlign w:val="center"/>
          </w:tcPr>
          <w:p w14:paraId="739FA45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P30</w:t>
            </w:r>
          </w:p>
        </w:tc>
        <w:tc>
          <w:tcPr>
            <w:tcW w:w="633" w:type="dxa"/>
            <w:tcMar>
              <w:left w:w="14" w:type="dxa"/>
              <w:right w:w="14" w:type="dxa"/>
            </w:tcMar>
            <w:vAlign w:val="center"/>
          </w:tcPr>
          <w:p w14:paraId="4E6FFA5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P40</w:t>
            </w:r>
          </w:p>
        </w:tc>
        <w:tc>
          <w:tcPr>
            <w:tcW w:w="633" w:type="dxa"/>
            <w:tcMar>
              <w:left w:w="14" w:type="dxa"/>
              <w:right w:w="14" w:type="dxa"/>
            </w:tcMar>
            <w:vAlign w:val="center"/>
          </w:tcPr>
          <w:p w14:paraId="38E2BA2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P50 (median)</w:t>
            </w:r>
          </w:p>
        </w:tc>
        <w:tc>
          <w:tcPr>
            <w:tcW w:w="634" w:type="dxa"/>
            <w:tcMar>
              <w:left w:w="14" w:type="dxa"/>
              <w:right w:w="14" w:type="dxa"/>
            </w:tcMar>
            <w:vAlign w:val="center"/>
          </w:tcPr>
          <w:p w14:paraId="6D0B99D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P60</w:t>
            </w:r>
          </w:p>
        </w:tc>
        <w:tc>
          <w:tcPr>
            <w:tcW w:w="633" w:type="dxa"/>
            <w:tcMar>
              <w:left w:w="14" w:type="dxa"/>
              <w:right w:w="14" w:type="dxa"/>
            </w:tcMar>
            <w:vAlign w:val="center"/>
          </w:tcPr>
          <w:p w14:paraId="7119D81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P70</w:t>
            </w:r>
          </w:p>
        </w:tc>
        <w:tc>
          <w:tcPr>
            <w:tcW w:w="633" w:type="dxa"/>
            <w:tcMar>
              <w:left w:w="14" w:type="dxa"/>
              <w:right w:w="14" w:type="dxa"/>
            </w:tcMar>
            <w:vAlign w:val="center"/>
          </w:tcPr>
          <w:p w14:paraId="07840ED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P80</w:t>
            </w:r>
          </w:p>
        </w:tc>
        <w:tc>
          <w:tcPr>
            <w:tcW w:w="633" w:type="dxa"/>
            <w:tcBorders>
              <w:right w:val="single" w:sz="8" w:space="0" w:color="auto"/>
            </w:tcBorders>
            <w:tcMar>
              <w:left w:w="14" w:type="dxa"/>
              <w:right w:w="14" w:type="dxa"/>
            </w:tcMar>
            <w:vAlign w:val="center"/>
          </w:tcPr>
          <w:p w14:paraId="7039831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P90</w:t>
            </w:r>
          </w:p>
        </w:tc>
        <w:tc>
          <w:tcPr>
            <w:tcW w:w="634" w:type="dxa"/>
            <w:tcBorders>
              <w:left w:val="single" w:sz="8" w:space="0" w:color="auto"/>
              <w:right w:val="single" w:sz="4" w:space="0" w:color="auto"/>
            </w:tcBorders>
            <w:tcMar>
              <w:left w:w="28" w:type="dxa"/>
              <w:right w:w="28" w:type="dxa"/>
            </w:tcMar>
            <w:vAlign w:val="center"/>
          </w:tcPr>
          <w:p w14:paraId="69675D1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mean</w:t>
            </w:r>
          </w:p>
        </w:tc>
      </w:tr>
      <w:tr w:rsidR="00711FE4" w:rsidRPr="00711FE4" w14:paraId="2A121EDF" w14:textId="77777777" w:rsidTr="00366F04">
        <w:trPr>
          <w:trHeight w:val="255"/>
          <w:jc w:val="center"/>
        </w:trPr>
        <w:tc>
          <w:tcPr>
            <w:tcW w:w="745" w:type="dxa"/>
            <w:vMerge w:val="restart"/>
          </w:tcPr>
          <w:p w14:paraId="632F94F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HES-TAWA</w:t>
            </w:r>
          </w:p>
        </w:tc>
        <w:tc>
          <w:tcPr>
            <w:tcW w:w="598" w:type="dxa"/>
            <w:tcMar>
              <w:left w:w="28" w:type="dxa"/>
              <w:right w:w="28" w:type="dxa"/>
            </w:tcMar>
            <w:vAlign w:val="center"/>
          </w:tcPr>
          <w:p w14:paraId="3373494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1982</w:t>
            </w:r>
          </w:p>
        </w:tc>
        <w:tc>
          <w:tcPr>
            <w:tcW w:w="633" w:type="dxa"/>
            <w:tcMar>
              <w:left w:w="28" w:type="dxa"/>
              <w:right w:w="28" w:type="dxa"/>
            </w:tcMar>
            <w:vAlign w:val="center"/>
          </w:tcPr>
          <w:p w14:paraId="68CE4E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20,100</w:t>
            </w:r>
          </w:p>
        </w:tc>
        <w:tc>
          <w:tcPr>
            <w:tcW w:w="633" w:type="dxa"/>
            <w:tcMar>
              <w:left w:w="28" w:type="dxa"/>
              <w:right w:w="28" w:type="dxa"/>
            </w:tcMar>
            <w:vAlign w:val="center"/>
          </w:tcPr>
          <w:p w14:paraId="4D9DE9C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23,800</w:t>
            </w:r>
          </w:p>
        </w:tc>
        <w:tc>
          <w:tcPr>
            <w:tcW w:w="633" w:type="dxa"/>
            <w:tcMar>
              <w:left w:w="28" w:type="dxa"/>
              <w:right w:w="28" w:type="dxa"/>
            </w:tcMar>
            <w:vAlign w:val="center"/>
          </w:tcPr>
          <w:p w14:paraId="3E1F993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27,600</w:t>
            </w:r>
          </w:p>
        </w:tc>
        <w:tc>
          <w:tcPr>
            <w:tcW w:w="633" w:type="dxa"/>
            <w:tcMar>
              <w:left w:w="28" w:type="dxa"/>
              <w:right w:w="28" w:type="dxa"/>
            </w:tcMar>
            <w:vAlign w:val="center"/>
          </w:tcPr>
          <w:p w14:paraId="5D46C0B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31,900</w:t>
            </w:r>
          </w:p>
        </w:tc>
        <w:tc>
          <w:tcPr>
            <w:tcW w:w="633" w:type="dxa"/>
            <w:tcMar>
              <w:left w:w="28" w:type="dxa"/>
              <w:right w:w="28" w:type="dxa"/>
            </w:tcMar>
            <w:vAlign w:val="center"/>
          </w:tcPr>
          <w:p w14:paraId="7E5BA9C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36,300</w:t>
            </w:r>
          </w:p>
        </w:tc>
        <w:tc>
          <w:tcPr>
            <w:tcW w:w="634" w:type="dxa"/>
            <w:tcMar>
              <w:left w:w="28" w:type="dxa"/>
              <w:right w:w="28" w:type="dxa"/>
            </w:tcMar>
            <w:vAlign w:val="center"/>
          </w:tcPr>
          <w:p w14:paraId="1D8D492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41,300</w:t>
            </w:r>
          </w:p>
        </w:tc>
        <w:tc>
          <w:tcPr>
            <w:tcW w:w="633" w:type="dxa"/>
            <w:tcMar>
              <w:left w:w="28" w:type="dxa"/>
              <w:right w:w="28" w:type="dxa"/>
            </w:tcMar>
            <w:vAlign w:val="center"/>
          </w:tcPr>
          <w:p w14:paraId="503D365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47,000</w:t>
            </w:r>
          </w:p>
        </w:tc>
        <w:tc>
          <w:tcPr>
            <w:tcW w:w="633" w:type="dxa"/>
            <w:tcMar>
              <w:left w:w="28" w:type="dxa"/>
              <w:right w:w="28" w:type="dxa"/>
            </w:tcMar>
            <w:vAlign w:val="center"/>
          </w:tcPr>
          <w:p w14:paraId="575B60A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54,800</w:t>
            </w:r>
          </w:p>
        </w:tc>
        <w:tc>
          <w:tcPr>
            <w:tcW w:w="633" w:type="dxa"/>
            <w:tcBorders>
              <w:right w:val="single" w:sz="8" w:space="0" w:color="auto"/>
            </w:tcBorders>
            <w:tcMar>
              <w:left w:w="28" w:type="dxa"/>
              <w:right w:w="28" w:type="dxa"/>
            </w:tcMar>
            <w:vAlign w:val="center"/>
          </w:tcPr>
          <w:p w14:paraId="6797E2D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65,600</w:t>
            </w:r>
          </w:p>
        </w:tc>
        <w:tc>
          <w:tcPr>
            <w:tcW w:w="634" w:type="dxa"/>
            <w:tcBorders>
              <w:left w:val="single" w:sz="8" w:space="0" w:color="auto"/>
              <w:right w:val="single" w:sz="4" w:space="0" w:color="auto"/>
            </w:tcBorders>
            <w:tcMar>
              <w:left w:w="28" w:type="dxa"/>
              <w:right w:w="28" w:type="dxa"/>
            </w:tcMar>
            <w:vAlign w:val="center"/>
          </w:tcPr>
          <w:p w14:paraId="48E591A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39,900</w:t>
            </w:r>
          </w:p>
        </w:tc>
      </w:tr>
      <w:tr w:rsidR="00711FE4" w:rsidRPr="00711FE4" w14:paraId="3027BFAF" w14:textId="77777777" w:rsidTr="00366F04">
        <w:trPr>
          <w:trHeight w:val="255"/>
          <w:jc w:val="center"/>
        </w:trPr>
        <w:tc>
          <w:tcPr>
            <w:tcW w:w="745" w:type="dxa"/>
            <w:vMerge/>
          </w:tcPr>
          <w:p w14:paraId="14370B0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EAE15D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1984</w:t>
            </w:r>
          </w:p>
        </w:tc>
        <w:tc>
          <w:tcPr>
            <w:tcW w:w="633" w:type="dxa"/>
            <w:tcMar>
              <w:left w:w="28" w:type="dxa"/>
              <w:right w:w="28" w:type="dxa"/>
            </w:tcMar>
            <w:vAlign w:val="center"/>
          </w:tcPr>
          <w:p w14:paraId="1788588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19,700</w:t>
            </w:r>
          </w:p>
        </w:tc>
        <w:tc>
          <w:tcPr>
            <w:tcW w:w="633" w:type="dxa"/>
            <w:tcMar>
              <w:left w:w="28" w:type="dxa"/>
              <w:right w:w="28" w:type="dxa"/>
            </w:tcMar>
            <w:vAlign w:val="center"/>
          </w:tcPr>
          <w:p w14:paraId="64B83B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23,400</w:t>
            </w:r>
          </w:p>
        </w:tc>
        <w:tc>
          <w:tcPr>
            <w:tcW w:w="633" w:type="dxa"/>
            <w:tcMar>
              <w:left w:w="28" w:type="dxa"/>
              <w:right w:w="28" w:type="dxa"/>
            </w:tcMar>
            <w:vAlign w:val="center"/>
          </w:tcPr>
          <w:p w14:paraId="0AD674D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26,900</w:t>
            </w:r>
          </w:p>
        </w:tc>
        <w:tc>
          <w:tcPr>
            <w:tcW w:w="633" w:type="dxa"/>
            <w:tcMar>
              <w:left w:w="28" w:type="dxa"/>
              <w:right w:w="28" w:type="dxa"/>
            </w:tcMar>
            <w:vAlign w:val="center"/>
          </w:tcPr>
          <w:p w14:paraId="604DA59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30,900</w:t>
            </w:r>
          </w:p>
        </w:tc>
        <w:tc>
          <w:tcPr>
            <w:tcW w:w="633" w:type="dxa"/>
            <w:tcMar>
              <w:left w:w="28" w:type="dxa"/>
              <w:right w:w="28" w:type="dxa"/>
            </w:tcMar>
            <w:vAlign w:val="center"/>
          </w:tcPr>
          <w:p w14:paraId="1DD655E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35,200</w:t>
            </w:r>
          </w:p>
        </w:tc>
        <w:tc>
          <w:tcPr>
            <w:tcW w:w="634" w:type="dxa"/>
            <w:tcMar>
              <w:left w:w="28" w:type="dxa"/>
              <w:right w:w="28" w:type="dxa"/>
            </w:tcMar>
            <w:vAlign w:val="center"/>
          </w:tcPr>
          <w:p w14:paraId="42A9E2F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40,200</w:t>
            </w:r>
          </w:p>
        </w:tc>
        <w:tc>
          <w:tcPr>
            <w:tcW w:w="633" w:type="dxa"/>
            <w:tcMar>
              <w:left w:w="28" w:type="dxa"/>
              <w:right w:w="28" w:type="dxa"/>
            </w:tcMar>
            <w:vAlign w:val="center"/>
          </w:tcPr>
          <w:p w14:paraId="0A75277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46,600</w:t>
            </w:r>
          </w:p>
        </w:tc>
        <w:tc>
          <w:tcPr>
            <w:tcW w:w="633" w:type="dxa"/>
            <w:tcMar>
              <w:left w:w="28" w:type="dxa"/>
              <w:right w:w="28" w:type="dxa"/>
            </w:tcMar>
            <w:vAlign w:val="center"/>
          </w:tcPr>
          <w:p w14:paraId="4B773B1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54,200</w:t>
            </w:r>
          </w:p>
        </w:tc>
        <w:tc>
          <w:tcPr>
            <w:tcW w:w="633" w:type="dxa"/>
            <w:tcBorders>
              <w:right w:val="single" w:sz="8" w:space="0" w:color="auto"/>
            </w:tcBorders>
            <w:tcMar>
              <w:left w:w="28" w:type="dxa"/>
              <w:right w:w="28" w:type="dxa"/>
            </w:tcMar>
            <w:vAlign w:val="center"/>
          </w:tcPr>
          <w:p w14:paraId="382208A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65,400</w:t>
            </w:r>
          </w:p>
        </w:tc>
        <w:tc>
          <w:tcPr>
            <w:tcW w:w="634" w:type="dxa"/>
            <w:tcBorders>
              <w:left w:val="single" w:sz="8" w:space="0" w:color="auto"/>
              <w:right w:val="single" w:sz="4" w:space="0" w:color="auto"/>
            </w:tcBorders>
            <w:tcMar>
              <w:left w:w="28" w:type="dxa"/>
              <w:right w:w="28" w:type="dxa"/>
            </w:tcMar>
            <w:vAlign w:val="center"/>
          </w:tcPr>
          <w:p w14:paraId="0CB2530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39,300</w:t>
            </w:r>
          </w:p>
        </w:tc>
      </w:tr>
      <w:tr w:rsidR="00711FE4" w:rsidRPr="00711FE4" w14:paraId="4FB1E5EC" w14:textId="77777777" w:rsidTr="00366F04">
        <w:trPr>
          <w:trHeight w:val="255"/>
          <w:jc w:val="center"/>
        </w:trPr>
        <w:tc>
          <w:tcPr>
            <w:tcW w:w="745" w:type="dxa"/>
            <w:vMerge/>
          </w:tcPr>
          <w:p w14:paraId="7FF1606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6A0B783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1986</w:t>
            </w:r>
          </w:p>
        </w:tc>
        <w:tc>
          <w:tcPr>
            <w:tcW w:w="633" w:type="dxa"/>
            <w:tcMar>
              <w:left w:w="28" w:type="dxa"/>
              <w:right w:w="28" w:type="dxa"/>
            </w:tcMar>
            <w:vAlign w:val="center"/>
          </w:tcPr>
          <w:p w14:paraId="550F2C3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19,700</w:t>
            </w:r>
          </w:p>
        </w:tc>
        <w:tc>
          <w:tcPr>
            <w:tcW w:w="633" w:type="dxa"/>
            <w:tcMar>
              <w:left w:w="28" w:type="dxa"/>
              <w:right w:w="28" w:type="dxa"/>
            </w:tcMar>
            <w:vAlign w:val="center"/>
          </w:tcPr>
          <w:p w14:paraId="4221400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23,200</w:t>
            </w:r>
          </w:p>
        </w:tc>
        <w:tc>
          <w:tcPr>
            <w:tcW w:w="633" w:type="dxa"/>
            <w:tcMar>
              <w:left w:w="28" w:type="dxa"/>
              <w:right w:w="28" w:type="dxa"/>
            </w:tcMar>
            <w:vAlign w:val="center"/>
          </w:tcPr>
          <w:p w14:paraId="10A34AC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27,000</w:t>
            </w:r>
          </w:p>
        </w:tc>
        <w:tc>
          <w:tcPr>
            <w:tcW w:w="633" w:type="dxa"/>
            <w:tcMar>
              <w:left w:w="28" w:type="dxa"/>
              <w:right w:w="28" w:type="dxa"/>
            </w:tcMar>
            <w:vAlign w:val="center"/>
          </w:tcPr>
          <w:p w14:paraId="637796A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30,300</w:t>
            </w:r>
          </w:p>
        </w:tc>
        <w:tc>
          <w:tcPr>
            <w:tcW w:w="633" w:type="dxa"/>
            <w:tcMar>
              <w:left w:w="28" w:type="dxa"/>
              <w:right w:w="28" w:type="dxa"/>
            </w:tcMar>
            <w:vAlign w:val="center"/>
          </w:tcPr>
          <w:p w14:paraId="7DDB0B2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34,400</w:t>
            </w:r>
          </w:p>
        </w:tc>
        <w:tc>
          <w:tcPr>
            <w:tcW w:w="634" w:type="dxa"/>
            <w:tcMar>
              <w:left w:w="28" w:type="dxa"/>
              <w:right w:w="28" w:type="dxa"/>
            </w:tcMar>
            <w:vAlign w:val="center"/>
          </w:tcPr>
          <w:p w14:paraId="574902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38,400</w:t>
            </w:r>
          </w:p>
        </w:tc>
        <w:tc>
          <w:tcPr>
            <w:tcW w:w="633" w:type="dxa"/>
            <w:tcMar>
              <w:left w:w="28" w:type="dxa"/>
              <w:right w:w="28" w:type="dxa"/>
            </w:tcMar>
            <w:vAlign w:val="center"/>
          </w:tcPr>
          <w:p w14:paraId="26F9C4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43,900</w:t>
            </w:r>
          </w:p>
        </w:tc>
        <w:tc>
          <w:tcPr>
            <w:tcW w:w="633" w:type="dxa"/>
            <w:tcMar>
              <w:left w:w="28" w:type="dxa"/>
              <w:right w:w="28" w:type="dxa"/>
            </w:tcMar>
            <w:vAlign w:val="center"/>
          </w:tcPr>
          <w:p w14:paraId="56FB026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51,500</w:t>
            </w:r>
          </w:p>
        </w:tc>
        <w:tc>
          <w:tcPr>
            <w:tcW w:w="633" w:type="dxa"/>
            <w:tcBorders>
              <w:right w:val="single" w:sz="8" w:space="0" w:color="auto"/>
            </w:tcBorders>
            <w:tcMar>
              <w:left w:w="28" w:type="dxa"/>
              <w:right w:w="28" w:type="dxa"/>
            </w:tcMar>
            <w:vAlign w:val="center"/>
          </w:tcPr>
          <w:p w14:paraId="7698164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62,500</w:t>
            </w:r>
          </w:p>
        </w:tc>
        <w:tc>
          <w:tcPr>
            <w:tcW w:w="634" w:type="dxa"/>
            <w:tcBorders>
              <w:left w:val="single" w:sz="8" w:space="0" w:color="auto"/>
              <w:right w:val="single" w:sz="4" w:space="0" w:color="auto"/>
            </w:tcBorders>
            <w:tcMar>
              <w:left w:w="28" w:type="dxa"/>
              <w:right w:w="28" w:type="dxa"/>
            </w:tcMar>
            <w:vAlign w:val="center"/>
          </w:tcPr>
          <w:p w14:paraId="439BEBC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37,900</w:t>
            </w:r>
          </w:p>
        </w:tc>
      </w:tr>
      <w:tr w:rsidR="00711FE4" w:rsidRPr="00711FE4" w14:paraId="06B275D8" w14:textId="77777777" w:rsidTr="00366F04">
        <w:trPr>
          <w:trHeight w:val="255"/>
          <w:jc w:val="center"/>
        </w:trPr>
        <w:tc>
          <w:tcPr>
            <w:tcW w:w="745" w:type="dxa"/>
            <w:vMerge/>
          </w:tcPr>
          <w:p w14:paraId="76CE6F6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6894354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1988</w:t>
            </w:r>
          </w:p>
        </w:tc>
        <w:tc>
          <w:tcPr>
            <w:tcW w:w="633" w:type="dxa"/>
            <w:tcMar>
              <w:left w:w="28" w:type="dxa"/>
              <w:right w:w="28" w:type="dxa"/>
            </w:tcMar>
            <w:vAlign w:val="center"/>
          </w:tcPr>
          <w:p w14:paraId="18CDD36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20,300</w:t>
            </w:r>
          </w:p>
        </w:tc>
        <w:tc>
          <w:tcPr>
            <w:tcW w:w="633" w:type="dxa"/>
            <w:tcMar>
              <w:left w:w="28" w:type="dxa"/>
              <w:right w:w="28" w:type="dxa"/>
            </w:tcMar>
            <w:vAlign w:val="center"/>
          </w:tcPr>
          <w:p w14:paraId="2B3480C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23,900</w:t>
            </w:r>
          </w:p>
        </w:tc>
        <w:tc>
          <w:tcPr>
            <w:tcW w:w="633" w:type="dxa"/>
            <w:tcMar>
              <w:left w:w="28" w:type="dxa"/>
              <w:right w:w="28" w:type="dxa"/>
            </w:tcMar>
            <w:vAlign w:val="center"/>
          </w:tcPr>
          <w:p w14:paraId="183DCC2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27,400</w:t>
            </w:r>
          </w:p>
        </w:tc>
        <w:tc>
          <w:tcPr>
            <w:tcW w:w="633" w:type="dxa"/>
            <w:tcMar>
              <w:left w:w="28" w:type="dxa"/>
              <w:right w:w="28" w:type="dxa"/>
            </w:tcMar>
            <w:vAlign w:val="center"/>
          </w:tcPr>
          <w:p w14:paraId="15CED1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31,200</w:t>
            </w:r>
          </w:p>
        </w:tc>
        <w:tc>
          <w:tcPr>
            <w:tcW w:w="633" w:type="dxa"/>
            <w:tcMar>
              <w:left w:w="28" w:type="dxa"/>
              <w:right w:w="28" w:type="dxa"/>
            </w:tcMar>
            <w:vAlign w:val="center"/>
          </w:tcPr>
          <w:p w14:paraId="3A52D40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35,300</w:t>
            </w:r>
          </w:p>
        </w:tc>
        <w:tc>
          <w:tcPr>
            <w:tcW w:w="634" w:type="dxa"/>
            <w:tcMar>
              <w:left w:w="28" w:type="dxa"/>
              <w:right w:w="28" w:type="dxa"/>
            </w:tcMar>
            <w:vAlign w:val="center"/>
          </w:tcPr>
          <w:p w14:paraId="169CD96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40,500</w:t>
            </w:r>
          </w:p>
        </w:tc>
        <w:tc>
          <w:tcPr>
            <w:tcW w:w="633" w:type="dxa"/>
            <w:tcMar>
              <w:left w:w="28" w:type="dxa"/>
              <w:right w:w="28" w:type="dxa"/>
            </w:tcMar>
            <w:vAlign w:val="center"/>
          </w:tcPr>
          <w:p w14:paraId="1A4C00A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46,600</w:t>
            </w:r>
          </w:p>
        </w:tc>
        <w:tc>
          <w:tcPr>
            <w:tcW w:w="633" w:type="dxa"/>
            <w:tcMar>
              <w:left w:w="28" w:type="dxa"/>
              <w:right w:w="28" w:type="dxa"/>
            </w:tcMar>
            <w:vAlign w:val="center"/>
          </w:tcPr>
          <w:p w14:paraId="70C108A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53,200</w:t>
            </w:r>
          </w:p>
        </w:tc>
        <w:tc>
          <w:tcPr>
            <w:tcW w:w="633" w:type="dxa"/>
            <w:tcBorders>
              <w:right w:val="single" w:sz="8" w:space="0" w:color="auto"/>
            </w:tcBorders>
            <w:tcMar>
              <w:left w:w="28" w:type="dxa"/>
              <w:right w:w="28" w:type="dxa"/>
            </w:tcMar>
            <w:vAlign w:val="center"/>
          </w:tcPr>
          <w:p w14:paraId="3875417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63,300</w:t>
            </w:r>
          </w:p>
        </w:tc>
        <w:tc>
          <w:tcPr>
            <w:tcW w:w="634" w:type="dxa"/>
            <w:tcBorders>
              <w:left w:val="single" w:sz="8" w:space="0" w:color="auto"/>
              <w:right w:val="single" w:sz="4" w:space="0" w:color="auto"/>
            </w:tcBorders>
            <w:tcMar>
              <w:left w:w="28" w:type="dxa"/>
              <w:right w:w="28" w:type="dxa"/>
            </w:tcMar>
            <w:vAlign w:val="center"/>
          </w:tcPr>
          <w:p w14:paraId="055E1E0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39,300</w:t>
            </w:r>
          </w:p>
        </w:tc>
      </w:tr>
      <w:tr w:rsidR="00711FE4" w:rsidRPr="00711FE4" w14:paraId="62ECCB8C" w14:textId="77777777" w:rsidTr="00366F04">
        <w:trPr>
          <w:trHeight w:val="255"/>
          <w:jc w:val="center"/>
        </w:trPr>
        <w:tc>
          <w:tcPr>
            <w:tcW w:w="745" w:type="dxa"/>
            <w:vMerge/>
          </w:tcPr>
          <w:p w14:paraId="075F92A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7889A01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1990</w:t>
            </w:r>
          </w:p>
        </w:tc>
        <w:tc>
          <w:tcPr>
            <w:tcW w:w="633" w:type="dxa"/>
            <w:tcMar>
              <w:left w:w="28" w:type="dxa"/>
              <w:right w:w="28" w:type="dxa"/>
            </w:tcMar>
            <w:vAlign w:val="center"/>
          </w:tcPr>
          <w:p w14:paraId="52CFEF5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19,800</w:t>
            </w:r>
          </w:p>
        </w:tc>
        <w:tc>
          <w:tcPr>
            <w:tcW w:w="633" w:type="dxa"/>
            <w:tcMar>
              <w:left w:w="28" w:type="dxa"/>
              <w:right w:w="28" w:type="dxa"/>
            </w:tcMar>
            <w:vAlign w:val="center"/>
          </w:tcPr>
          <w:p w14:paraId="0E1CE99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23,200</w:t>
            </w:r>
          </w:p>
        </w:tc>
        <w:tc>
          <w:tcPr>
            <w:tcW w:w="633" w:type="dxa"/>
            <w:tcMar>
              <w:left w:w="28" w:type="dxa"/>
              <w:right w:w="28" w:type="dxa"/>
            </w:tcMar>
            <w:vAlign w:val="center"/>
          </w:tcPr>
          <w:p w14:paraId="063A26A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26,700</w:t>
            </w:r>
          </w:p>
        </w:tc>
        <w:tc>
          <w:tcPr>
            <w:tcW w:w="633" w:type="dxa"/>
            <w:tcMar>
              <w:left w:w="28" w:type="dxa"/>
              <w:right w:w="28" w:type="dxa"/>
            </w:tcMar>
            <w:vAlign w:val="center"/>
          </w:tcPr>
          <w:p w14:paraId="7FEA154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30,100</w:t>
            </w:r>
          </w:p>
        </w:tc>
        <w:tc>
          <w:tcPr>
            <w:tcW w:w="633" w:type="dxa"/>
            <w:tcMar>
              <w:left w:w="28" w:type="dxa"/>
              <w:right w:w="28" w:type="dxa"/>
            </w:tcMar>
            <w:vAlign w:val="center"/>
          </w:tcPr>
          <w:p w14:paraId="5240517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34,600</w:t>
            </w:r>
          </w:p>
        </w:tc>
        <w:tc>
          <w:tcPr>
            <w:tcW w:w="634" w:type="dxa"/>
            <w:tcMar>
              <w:left w:w="28" w:type="dxa"/>
              <w:right w:w="28" w:type="dxa"/>
            </w:tcMar>
            <w:vAlign w:val="center"/>
          </w:tcPr>
          <w:p w14:paraId="08820D1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40,100</w:t>
            </w:r>
          </w:p>
        </w:tc>
        <w:tc>
          <w:tcPr>
            <w:tcW w:w="633" w:type="dxa"/>
            <w:tcMar>
              <w:left w:w="28" w:type="dxa"/>
              <w:right w:w="28" w:type="dxa"/>
            </w:tcMar>
            <w:vAlign w:val="center"/>
          </w:tcPr>
          <w:p w14:paraId="003CCA1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46,300</w:t>
            </w:r>
          </w:p>
        </w:tc>
        <w:tc>
          <w:tcPr>
            <w:tcW w:w="633" w:type="dxa"/>
            <w:tcMar>
              <w:left w:w="28" w:type="dxa"/>
              <w:right w:w="28" w:type="dxa"/>
            </w:tcMar>
            <w:vAlign w:val="center"/>
          </w:tcPr>
          <w:p w14:paraId="372126E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55,500</w:t>
            </w:r>
          </w:p>
        </w:tc>
        <w:tc>
          <w:tcPr>
            <w:tcW w:w="633" w:type="dxa"/>
            <w:tcBorders>
              <w:right w:val="single" w:sz="8" w:space="0" w:color="auto"/>
            </w:tcBorders>
            <w:tcMar>
              <w:left w:w="28" w:type="dxa"/>
              <w:right w:w="28" w:type="dxa"/>
            </w:tcMar>
            <w:vAlign w:val="center"/>
          </w:tcPr>
          <w:p w14:paraId="0DDD2F6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68,400</w:t>
            </w:r>
          </w:p>
        </w:tc>
        <w:tc>
          <w:tcPr>
            <w:tcW w:w="634" w:type="dxa"/>
            <w:tcBorders>
              <w:left w:val="single" w:sz="8" w:space="0" w:color="auto"/>
              <w:right w:val="single" w:sz="4" w:space="0" w:color="auto"/>
            </w:tcBorders>
            <w:tcMar>
              <w:left w:w="28" w:type="dxa"/>
              <w:right w:w="28" w:type="dxa"/>
            </w:tcMar>
            <w:vAlign w:val="center"/>
          </w:tcPr>
          <w:p w14:paraId="797043F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41,100</w:t>
            </w:r>
          </w:p>
        </w:tc>
      </w:tr>
      <w:tr w:rsidR="00711FE4" w:rsidRPr="00711FE4" w14:paraId="12DFE58C" w14:textId="77777777" w:rsidTr="00366F04">
        <w:trPr>
          <w:trHeight w:val="255"/>
          <w:jc w:val="center"/>
        </w:trPr>
        <w:tc>
          <w:tcPr>
            <w:tcW w:w="745" w:type="dxa"/>
            <w:vMerge/>
          </w:tcPr>
          <w:p w14:paraId="3149B24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7348D6E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1992</w:t>
            </w:r>
          </w:p>
        </w:tc>
        <w:tc>
          <w:tcPr>
            <w:tcW w:w="633" w:type="dxa"/>
            <w:tcMar>
              <w:left w:w="28" w:type="dxa"/>
              <w:right w:w="28" w:type="dxa"/>
            </w:tcMar>
            <w:vAlign w:val="center"/>
          </w:tcPr>
          <w:p w14:paraId="4C6A6EC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17,000</w:t>
            </w:r>
          </w:p>
        </w:tc>
        <w:tc>
          <w:tcPr>
            <w:tcW w:w="633" w:type="dxa"/>
            <w:tcMar>
              <w:left w:w="28" w:type="dxa"/>
              <w:right w:w="28" w:type="dxa"/>
            </w:tcMar>
            <w:vAlign w:val="center"/>
          </w:tcPr>
          <w:p w14:paraId="2A29C8E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20,500</w:t>
            </w:r>
          </w:p>
        </w:tc>
        <w:tc>
          <w:tcPr>
            <w:tcW w:w="633" w:type="dxa"/>
            <w:tcMar>
              <w:left w:w="28" w:type="dxa"/>
              <w:right w:w="28" w:type="dxa"/>
            </w:tcMar>
            <w:vAlign w:val="center"/>
          </w:tcPr>
          <w:p w14:paraId="200D074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23,000</w:t>
            </w:r>
          </w:p>
        </w:tc>
        <w:tc>
          <w:tcPr>
            <w:tcW w:w="633" w:type="dxa"/>
            <w:tcMar>
              <w:left w:w="28" w:type="dxa"/>
              <w:right w:w="28" w:type="dxa"/>
            </w:tcMar>
            <w:vAlign w:val="center"/>
          </w:tcPr>
          <w:p w14:paraId="2EDC317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26,700</w:t>
            </w:r>
          </w:p>
        </w:tc>
        <w:tc>
          <w:tcPr>
            <w:tcW w:w="633" w:type="dxa"/>
            <w:tcMar>
              <w:left w:w="28" w:type="dxa"/>
              <w:right w:w="28" w:type="dxa"/>
            </w:tcMar>
            <w:vAlign w:val="center"/>
          </w:tcPr>
          <w:p w14:paraId="506173F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31,100</w:t>
            </w:r>
          </w:p>
        </w:tc>
        <w:tc>
          <w:tcPr>
            <w:tcW w:w="634" w:type="dxa"/>
            <w:tcMar>
              <w:left w:w="28" w:type="dxa"/>
              <w:right w:w="28" w:type="dxa"/>
            </w:tcMar>
            <w:vAlign w:val="center"/>
          </w:tcPr>
          <w:p w14:paraId="45A9F81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36,800</w:t>
            </w:r>
          </w:p>
        </w:tc>
        <w:tc>
          <w:tcPr>
            <w:tcW w:w="633" w:type="dxa"/>
            <w:tcMar>
              <w:left w:w="28" w:type="dxa"/>
              <w:right w:w="28" w:type="dxa"/>
            </w:tcMar>
            <w:vAlign w:val="center"/>
          </w:tcPr>
          <w:p w14:paraId="249F306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42,600</w:t>
            </w:r>
          </w:p>
        </w:tc>
        <w:tc>
          <w:tcPr>
            <w:tcW w:w="633" w:type="dxa"/>
            <w:tcMar>
              <w:left w:w="28" w:type="dxa"/>
              <w:right w:w="28" w:type="dxa"/>
            </w:tcMar>
            <w:vAlign w:val="center"/>
          </w:tcPr>
          <w:p w14:paraId="0A115D3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52,000</w:t>
            </w:r>
          </w:p>
        </w:tc>
        <w:tc>
          <w:tcPr>
            <w:tcW w:w="633" w:type="dxa"/>
            <w:tcBorders>
              <w:right w:val="single" w:sz="8" w:space="0" w:color="auto"/>
            </w:tcBorders>
            <w:tcMar>
              <w:left w:w="28" w:type="dxa"/>
              <w:right w:w="28" w:type="dxa"/>
            </w:tcMar>
            <w:vAlign w:val="center"/>
          </w:tcPr>
          <w:p w14:paraId="57314FA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65,200</w:t>
            </w:r>
          </w:p>
        </w:tc>
        <w:tc>
          <w:tcPr>
            <w:tcW w:w="634" w:type="dxa"/>
            <w:tcBorders>
              <w:left w:val="single" w:sz="8" w:space="0" w:color="auto"/>
              <w:right w:val="single" w:sz="4" w:space="0" w:color="auto"/>
            </w:tcBorders>
            <w:tcMar>
              <w:left w:w="28" w:type="dxa"/>
              <w:right w:w="28" w:type="dxa"/>
            </w:tcMar>
            <w:vAlign w:val="center"/>
          </w:tcPr>
          <w:p w14:paraId="19CAC47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37,100</w:t>
            </w:r>
          </w:p>
        </w:tc>
      </w:tr>
      <w:tr w:rsidR="00711FE4" w:rsidRPr="00711FE4" w14:paraId="1A20EEA9" w14:textId="77777777" w:rsidTr="00366F04">
        <w:trPr>
          <w:trHeight w:val="255"/>
          <w:jc w:val="center"/>
        </w:trPr>
        <w:tc>
          <w:tcPr>
            <w:tcW w:w="745" w:type="dxa"/>
            <w:vMerge/>
          </w:tcPr>
          <w:p w14:paraId="3275D6F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6DC3C66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1994</w:t>
            </w:r>
          </w:p>
        </w:tc>
        <w:tc>
          <w:tcPr>
            <w:tcW w:w="633" w:type="dxa"/>
            <w:tcMar>
              <w:left w:w="28" w:type="dxa"/>
              <w:right w:w="28" w:type="dxa"/>
            </w:tcMar>
            <w:vAlign w:val="center"/>
          </w:tcPr>
          <w:p w14:paraId="0A9F11A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16,200</w:t>
            </w:r>
          </w:p>
        </w:tc>
        <w:tc>
          <w:tcPr>
            <w:tcW w:w="633" w:type="dxa"/>
            <w:tcMar>
              <w:left w:w="28" w:type="dxa"/>
              <w:right w:w="28" w:type="dxa"/>
            </w:tcMar>
            <w:vAlign w:val="center"/>
          </w:tcPr>
          <w:p w14:paraId="1374B1A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19,900</w:t>
            </w:r>
          </w:p>
        </w:tc>
        <w:tc>
          <w:tcPr>
            <w:tcW w:w="633" w:type="dxa"/>
            <w:tcMar>
              <w:left w:w="28" w:type="dxa"/>
              <w:right w:w="28" w:type="dxa"/>
            </w:tcMar>
            <w:vAlign w:val="center"/>
          </w:tcPr>
          <w:p w14:paraId="7ECFE47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22,200</w:t>
            </w:r>
          </w:p>
        </w:tc>
        <w:tc>
          <w:tcPr>
            <w:tcW w:w="633" w:type="dxa"/>
            <w:tcMar>
              <w:left w:w="28" w:type="dxa"/>
              <w:right w:w="28" w:type="dxa"/>
            </w:tcMar>
            <w:vAlign w:val="center"/>
          </w:tcPr>
          <w:p w14:paraId="087C03F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25,600</w:t>
            </w:r>
          </w:p>
        </w:tc>
        <w:tc>
          <w:tcPr>
            <w:tcW w:w="633" w:type="dxa"/>
            <w:tcMar>
              <w:left w:w="28" w:type="dxa"/>
              <w:right w:w="28" w:type="dxa"/>
            </w:tcMar>
            <w:vAlign w:val="center"/>
          </w:tcPr>
          <w:p w14:paraId="18B1F6A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30,300</w:t>
            </w:r>
          </w:p>
        </w:tc>
        <w:tc>
          <w:tcPr>
            <w:tcW w:w="634" w:type="dxa"/>
            <w:tcMar>
              <w:left w:w="28" w:type="dxa"/>
              <w:right w:w="28" w:type="dxa"/>
            </w:tcMar>
            <w:vAlign w:val="center"/>
          </w:tcPr>
          <w:p w14:paraId="7E4F194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35,400</w:t>
            </w:r>
          </w:p>
        </w:tc>
        <w:tc>
          <w:tcPr>
            <w:tcW w:w="633" w:type="dxa"/>
            <w:tcMar>
              <w:left w:w="28" w:type="dxa"/>
              <w:right w:w="28" w:type="dxa"/>
            </w:tcMar>
            <w:vAlign w:val="center"/>
          </w:tcPr>
          <w:p w14:paraId="3B8AECF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41,900</w:t>
            </w:r>
          </w:p>
        </w:tc>
        <w:tc>
          <w:tcPr>
            <w:tcW w:w="633" w:type="dxa"/>
            <w:tcMar>
              <w:left w:w="28" w:type="dxa"/>
              <w:right w:w="28" w:type="dxa"/>
            </w:tcMar>
            <w:vAlign w:val="center"/>
          </w:tcPr>
          <w:p w14:paraId="5BB10C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50,900</w:t>
            </w:r>
          </w:p>
        </w:tc>
        <w:tc>
          <w:tcPr>
            <w:tcW w:w="633" w:type="dxa"/>
            <w:tcBorders>
              <w:right w:val="single" w:sz="8" w:space="0" w:color="auto"/>
            </w:tcBorders>
            <w:tcMar>
              <w:left w:w="28" w:type="dxa"/>
              <w:right w:w="28" w:type="dxa"/>
            </w:tcMar>
            <w:vAlign w:val="center"/>
          </w:tcPr>
          <w:p w14:paraId="3246FA9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63,900</w:t>
            </w:r>
          </w:p>
        </w:tc>
        <w:tc>
          <w:tcPr>
            <w:tcW w:w="634" w:type="dxa"/>
            <w:tcBorders>
              <w:left w:val="single" w:sz="8" w:space="0" w:color="auto"/>
              <w:right w:val="single" w:sz="4" w:space="0" w:color="auto"/>
            </w:tcBorders>
            <w:tcMar>
              <w:left w:w="28" w:type="dxa"/>
              <w:right w:w="28" w:type="dxa"/>
            </w:tcMar>
            <w:vAlign w:val="center"/>
          </w:tcPr>
          <w:p w14:paraId="68081BD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36,300</w:t>
            </w:r>
          </w:p>
        </w:tc>
      </w:tr>
      <w:tr w:rsidR="00711FE4" w:rsidRPr="00711FE4" w14:paraId="359AA1C8" w14:textId="77777777" w:rsidTr="00366F04">
        <w:trPr>
          <w:trHeight w:val="255"/>
          <w:jc w:val="center"/>
        </w:trPr>
        <w:tc>
          <w:tcPr>
            <w:tcW w:w="745" w:type="dxa"/>
            <w:vMerge/>
          </w:tcPr>
          <w:p w14:paraId="7C707DE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29B86E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1996</w:t>
            </w:r>
          </w:p>
        </w:tc>
        <w:tc>
          <w:tcPr>
            <w:tcW w:w="633" w:type="dxa"/>
            <w:tcMar>
              <w:left w:w="28" w:type="dxa"/>
              <w:right w:w="28" w:type="dxa"/>
            </w:tcMar>
            <w:vAlign w:val="center"/>
          </w:tcPr>
          <w:p w14:paraId="2392056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17,600</w:t>
            </w:r>
          </w:p>
        </w:tc>
        <w:tc>
          <w:tcPr>
            <w:tcW w:w="633" w:type="dxa"/>
            <w:tcMar>
              <w:left w:w="28" w:type="dxa"/>
              <w:right w:w="28" w:type="dxa"/>
            </w:tcMar>
            <w:vAlign w:val="center"/>
          </w:tcPr>
          <w:p w14:paraId="33E746C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21,100</w:t>
            </w:r>
          </w:p>
        </w:tc>
        <w:tc>
          <w:tcPr>
            <w:tcW w:w="633" w:type="dxa"/>
            <w:tcMar>
              <w:left w:w="28" w:type="dxa"/>
              <w:right w:w="28" w:type="dxa"/>
            </w:tcMar>
            <w:vAlign w:val="center"/>
          </w:tcPr>
          <w:p w14:paraId="4A93D7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23,600</w:t>
            </w:r>
          </w:p>
        </w:tc>
        <w:tc>
          <w:tcPr>
            <w:tcW w:w="633" w:type="dxa"/>
            <w:tcMar>
              <w:left w:w="28" w:type="dxa"/>
              <w:right w:w="28" w:type="dxa"/>
            </w:tcMar>
            <w:vAlign w:val="center"/>
          </w:tcPr>
          <w:p w14:paraId="24CF747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27,400</w:t>
            </w:r>
          </w:p>
        </w:tc>
        <w:tc>
          <w:tcPr>
            <w:tcW w:w="633" w:type="dxa"/>
            <w:tcMar>
              <w:left w:w="28" w:type="dxa"/>
              <w:right w:w="28" w:type="dxa"/>
            </w:tcMar>
            <w:vAlign w:val="center"/>
          </w:tcPr>
          <w:p w14:paraId="45B2E8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32,300</w:t>
            </w:r>
          </w:p>
        </w:tc>
        <w:tc>
          <w:tcPr>
            <w:tcW w:w="634" w:type="dxa"/>
            <w:tcMar>
              <w:left w:w="28" w:type="dxa"/>
              <w:right w:w="28" w:type="dxa"/>
            </w:tcMar>
            <w:vAlign w:val="center"/>
          </w:tcPr>
          <w:p w14:paraId="7B92DF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37,500</w:t>
            </w:r>
          </w:p>
        </w:tc>
        <w:tc>
          <w:tcPr>
            <w:tcW w:w="633" w:type="dxa"/>
            <w:tcMar>
              <w:left w:w="28" w:type="dxa"/>
              <w:right w:w="28" w:type="dxa"/>
            </w:tcMar>
            <w:vAlign w:val="center"/>
          </w:tcPr>
          <w:p w14:paraId="4CA34C1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44,400</w:t>
            </w:r>
          </w:p>
        </w:tc>
        <w:tc>
          <w:tcPr>
            <w:tcW w:w="633" w:type="dxa"/>
            <w:tcMar>
              <w:left w:w="28" w:type="dxa"/>
              <w:right w:w="28" w:type="dxa"/>
            </w:tcMar>
            <w:vAlign w:val="center"/>
          </w:tcPr>
          <w:p w14:paraId="2FAC207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53,800</w:t>
            </w:r>
          </w:p>
        </w:tc>
        <w:tc>
          <w:tcPr>
            <w:tcW w:w="633" w:type="dxa"/>
            <w:tcBorders>
              <w:right w:val="single" w:sz="8" w:space="0" w:color="auto"/>
            </w:tcBorders>
            <w:tcMar>
              <w:left w:w="28" w:type="dxa"/>
              <w:right w:w="28" w:type="dxa"/>
            </w:tcMar>
            <w:vAlign w:val="center"/>
          </w:tcPr>
          <w:p w14:paraId="79677CC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67,300</w:t>
            </w:r>
          </w:p>
        </w:tc>
        <w:tc>
          <w:tcPr>
            <w:tcW w:w="634" w:type="dxa"/>
            <w:tcBorders>
              <w:left w:val="single" w:sz="8" w:space="0" w:color="auto"/>
              <w:right w:val="single" w:sz="4" w:space="0" w:color="auto"/>
            </w:tcBorders>
            <w:tcMar>
              <w:left w:w="28" w:type="dxa"/>
              <w:right w:w="28" w:type="dxa"/>
            </w:tcMar>
            <w:vAlign w:val="center"/>
          </w:tcPr>
          <w:p w14:paraId="122BCE6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39,200</w:t>
            </w:r>
          </w:p>
        </w:tc>
      </w:tr>
      <w:tr w:rsidR="00711FE4" w:rsidRPr="00711FE4" w14:paraId="2093E573" w14:textId="77777777" w:rsidTr="00366F04">
        <w:trPr>
          <w:trHeight w:val="255"/>
          <w:jc w:val="center"/>
        </w:trPr>
        <w:tc>
          <w:tcPr>
            <w:tcW w:w="745" w:type="dxa"/>
            <w:vMerge/>
          </w:tcPr>
          <w:p w14:paraId="083D575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344D5F3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1998</w:t>
            </w:r>
          </w:p>
        </w:tc>
        <w:tc>
          <w:tcPr>
            <w:tcW w:w="633" w:type="dxa"/>
            <w:tcMar>
              <w:left w:w="28" w:type="dxa"/>
              <w:right w:w="28" w:type="dxa"/>
            </w:tcMar>
            <w:vAlign w:val="center"/>
          </w:tcPr>
          <w:p w14:paraId="174B291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19,400</w:t>
            </w:r>
          </w:p>
        </w:tc>
        <w:tc>
          <w:tcPr>
            <w:tcW w:w="633" w:type="dxa"/>
            <w:tcMar>
              <w:left w:w="28" w:type="dxa"/>
              <w:right w:w="28" w:type="dxa"/>
            </w:tcMar>
            <w:vAlign w:val="center"/>
          </w:tcPr>
          <w:p w14:paraId="3974E65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22,200</w:t>
            </w:r>
          </w:p>
        </w:tc>
        <w:tc>
          <w:tcPr>
            <w:tcW w:w="633" w:type="dxa"/>
            <w:tcMar>
              <w:left w:w="28" w:type="dxa"/>
              <w:right w:w="28" w:type="dxa"/>
            </w:tcMar>
            <w:vAlign w:val="center"/>
          </w:tcPr>
          <w:p w14:paraId="54B6A42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24,900</w:t>
            </w:r>
          </w:p>
        </w:tc>
        <w:tc>
          <w:tcPr>
            <w:tcW w:w="633" w:type="dxa"/>
            <w:tcMar>
              <w:left w:w="28" w:type="dxa"/>
              <w:right w:w="28" w:type="dxa"/>
            </w:tcMar>
            <w:vAlign w:val="center"/>
          </w:tcPr>
          <w:p w14:paraId="7DC342C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29,400</w:t>
            </w:r>
          </w:p>
        </w:tc>
        <w:tc>
          <w:tcPr>
            <w:tcW w:w="633" w:type="dxa"/>
            <w:tcMar>
              <w:left w:w="28" w:type="dxa"/>
              <w:right w:w="28" w:type="dxa"/>
            </w:tcMar>
            <w:vAlign w:val="center"/>
          </w:tcPr>
          <w:p w14:paraId="46E4CB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34,800</w:t>
            </w:r>
          </w:p>
        </w:tc>
        <w:tc>
          <w:tcPr>
            <w:tcW w:w="634" w:type="dxa"/>
            <w:tcMar>
              <w:left w:w="28" w:type="dxa"/>
              <w:right w:w="28" w:type="dxa"/>
            </w:tcMar>
            <w:vAlign w:val="center"/>
          </w:tcPr>
          <w:p w14:paraId="526DD0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40,800</w:t>
            </w:r>
          </w:p>
        </w:tc>
        <w:tc>
          <w:tcPr>
            <w:tcW w:w="633" w:type="dxa"/>
            <w:tcMar>
              <w:left w:w="28" w:type="dxa"/>
              <w:right w:w="28" w:type="dxa"/>
            </w:tcMar>
            <w:vAlign w:val="center"/>
          </w:tcPr>
          <w:p w14:paraId="59F3EBC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47,500</w:t>
            </w:r>
          </w:p>
        </w:tc>
        <w:tc>
          <w:tcPr>
            <w:tcW w:w="633" w:type="dxa"/>
            <w:tcMar>
              <w:left w:w="28" w:type="dxa"/>
              <w:right w:w="28" w:type="dxa"/>
            </w:tcMar>
            <w:vAlign w:val="center"/>
          </w:tcPr>
          <w:p w14:paraId="7DAA3F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57,200</w:t>
            </w:r>
          </w:p>
        </w:tc>
        <w:tc>
          <w:tcPr>
            <w:tcW w:w="633" w:type="dxa"/>
            <w:tcBorders>
              <w:right w:val="single" w:sz="8" w:space="0" w:color="auto"/>
            </w:tcBorders>
            <w:tcMar>
              <w:left w:w="28" w:type="dxa"/>
              <w:right w:w="28" w:type="dxa"/>
            </w:tcMar>
            <w:vAlign w:val="center"/>
          </w:tcPr>
          <w:p w14:paraId="074E94F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72,100</w:t>
            </w:r>
          </w:p>
        </w:tc>
        <w:tc>
          <w:tcPr>
            <w:tcW w:w="634" w:type="dxa"/>
            <w:tcBorders>
              <w:left w:val="single" w:sz="8" w:space="0" w:color="auto"/>
              <w:right w:val="single" w:sz="4" w:space="0" w:color="auto"/>
            </w:tcBorders>
            <w:tcMar>
              <w:left w:w="28" w:type="dxa"/>
              <w:right w:w="28" w:type="dxa"/>
            </w:tcMar>
            <w:vAlign w:val="center"/>
          </w:tcPr>
          <w:p w14:paraId="6CB616C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42,100</w:t>
            </w:r>
          </w:p>
        </w:tc>
      </w:tr>
      <w:tr w:rsidR="00711FE4" w:rsidRPr="00711FE4" w14:paraId="6C1E6C43" w14:textId="77777777" w:rsidTr="00366F04">
        <w:trPr>
          <w:trHeight w:val="255"/>
          <w:jc w:val="center"/>
        </w:trPr>
        <w:tc>
          <w:tcPr>
            <w:tcW w:w="745" w:type="dxa"/>
            <w:vMerge/>
          </w:tcPr>
          <w:p w14:paraId="64D61FA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589305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2001</w:t>
            </w:r>
          </w:p>
        </w:tc>
        <w:tc>
          <w:tcPr>
            <w:tcW w:w="633" w:type="dxa"/>
            <w:tcMar>
              <w:left w:w="28" w:type="dxa"/>
              <w:right w:w="28" w:type="dxa"/>
            </w:tcMar>
            <w:vAlign w:val="center"/>
          </w:tcPr>
          <w:p w14:paraId="7B0F8DC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18,800</w:t>
            </w:r>
          </w:p>
        </w:tc>
        <w:tc>
          <w:tcPr>
            <w:tcW w:w="633" w:type="dxa"/>
            <w:tcMar>
              <w:left w:w="28" w:type="dxa"/>
              <w:right w:w="28" w:type="dxa"/>
            </w:tcMar>
            <w:vAlign w:val="center"/>
          </w:tcPr>
          <w:p w14:paraId="1EBF234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22,700</w:t>
            </w:r>
          </w:p>
        </w:tc>
        <w:tc>
          <w:tcPr>
            <w:tcW w:w="633" w:type="dxa"/>
            <w:tcMar>
              <w:left w:w="28" w:type="dxa"/>
              <w:right w:w="28" w:type="dxa"/>
            </w:tcMar>
            <w:vAlign w:val="center"/>
          </w:tcPr>
          <w:p w14:paraId="25B80FD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25,500</w:t>
            </w:r>
          </w:p>
        </w:tc>
        <w:tc>
          <w:tcPr>
            <w:tcW w:w="633" w:type="dxa"/>
            <w:tcMar>
              <w:left w:w="28" w:type="dxa"/>
              <w:right w:w="28" w:type="dxa"/>
            </w:tcMar>
            <w:vAlign w:val="center"/>
          </w:tcPr>
          <w:p w14:paraId="214375E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30,200</w:t>
            </w:r>
          </w:p>
        </w:tc>
        <w:tc>
          <w:tcPr>
            <w:tcW w:w="633" w:type="dxa"/>
            <w:tcMar>
              <w:left w:w="28" w:type="dxa"/>
              <w:right w:w="28" w:type="dxa"/>
            </w:tcMar>
            <w:vAlign w:val="center"/>
          </w:tcPr>
          <w:p w14:paraId="340FFD5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35,700</w:t>
            </w:r>
          </w:p>
        </w:tc>
        <w:tc>
          <w:tcPr>
            <w:tcW w:w="634" w:type="dxa"/>
            <w:tcMar>
              <w:left w:w="28" w:type="dxa"/>
              <w:right w:w="28" w:type="dxa"/>
            </w:tcMar>
            <w:vAlign w:val="center"/>
          </w:tcPr>
          <w:p w14:paraId="64777A5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42,700</w:t>
            </w:r>
          </w:p>
        </w:tc>
        <w:tc>
          <w:tcPr>
            <w:tcW w:w="633" w:type="dxa"/>
            <w:tcMar>
              <w:left w:w="28" w:type="dxa"/>
              <w:right w:w="28" w:type="dxa"/>
            </w:tcMar>
            <w:vAlign w:val="center"/>
          </w:tcPr>
          <w:p w14:paraId="569DB6E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50,000</w:t>
            </w:r>
          </w:p>
        </w:tc>
        <w:tc>
          <w:tcPr>
            <w:tcW w:w="633" w:type="dxa"/>
            <w:tcMar>
              <w:left w:w="28" w:type="dxa"/>
              <w:right w:w="28" w:type="dxa"/>
            </w:tcMar>
            <w:vAlign w:val="center"/>
          </w:tcPr>
          <w:p w14:paraId="7B7F489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59,800</w:t>
            </w:r>
          </w:p>
        </w:tc>
        <w:tc>
          <w:tcPr>
            <w:tcW w:w="633" w:type="dxa"/>
            <w:tcBorders>
              <w:right w:val="single" w:sz="8" w:space="0" w:color="auto"/>
            </w:tcBorders>
            <w:tcMar>
              <w:left w:w="28" w:type="dxa"/>
              <w:right w:w="28" w:type="dxa"/>
            </w:tcMar>
            <w:vAlign w:val="center"/>
          </w:tcPr>
          <w:p w14:paraId="5D1170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75,600</w:t>
            </w:r>
          </w:p>
        </w:tc>
        <w:tc>
          <w:tcPr>
            <w:tcW w:w="634" w:type="dxa"/>
            <w:tcBorders>
              <w:left w:val="single" w:sz="8" w:space="0" w:color="auto"/>
              <w:right w:val="single" w:sz="4" w:space="0" w:color="auto"/>
            </w:tcBorders>
            <w:tcMar>
              <w:left w:w="28" w:type="dxa"/>
              <w:right w:w="28" w:type="dxa"/>
            </w:tcMar>
            <w:vAlign w:val="center"/>
          </w:tcPr>
          <w:p w14:paraId="0113B54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43,800</w:t>
            </w:r>
          </w:p>
        </w:tc>
      </w:tr>
      <w:tr w:rsidR="00711FE4" w:rsidRPr="00711FE4" w14:paraId="576E1E9B" w14:textId="77777777" w:rsidTr="00366F04">
        <w:trPr>
          <w:trHeight w:val="255"/>
          <w:jc w:val="center"/>
        </w:trPr>
        <w:tc>
          <w:tcPr>
            <w:tcW w:w="745" w:type="dxa"/>
            <w:vMerge/>
          </w:tcPr>
          <w:p w14:paraId="662C2FC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4831471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2004</w:t>
            </w:r>
          </w:p>
        </w:tc>
        <w:tc>
          <w:tcPr>
            <w:tcW w:w="633" w:type="dxa"/>
            <w:tcMar>
              <w:left w:w="28" w:type="dxa"/>
              <w:right w:w="28" w:type="dxa"/>
            </w:tcMar>
            <w:vAlign w:val="center"/>
          </w:tcPr>
          <w:p w14:paraId="25815C3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19,100</w:t>
            </w:r>
          </w:p>
        </w:tc>
        <w:tc>
          <w:tcPr>
            <w:tcW w:w="633" w:type="dxa"/>
            <w:tcMar>
              <w:left w:w="28" w:type="dxa"/>
              <w:right w:w="28" w:type="dxa"/>
            </w:tcMar>
            <w:vAlign w:val="center"/>
          </w:tcPr>
          <w:p w14:paraId="6EBB13B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23,000</w:t>
            </w:r>
          </w:p>
        </w:tc>
        <w:tc>
          <w:tcPr>
            <w:tcW w:w="633" w:type="dxa"/>
            <w:tcMar>
              <w:left w:w="28" w:type="dxa"/>
              <w:right w:w="28" w:type="dxa"/>
            </w:tcMar>
            <w:vAlign w:val="center"/>
          </w:tcPr>
          <w:p w14:paraId="19F0A26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26,900</w:t>
            </w:r>
          </w:p>
        </w:tc>
        <w:tc>
          <w:tcPr>
            <w:tcW w:w="633" w:type="dxa"/>
            <w:tcMar>
              <w:left w:w="28" w:type="dxa"/>
              <w:right w:w="28" w:type="dxa"/>
            </w:tcMar>
            <w:vAlign w:val="center"/>
          </w:tcPr>
          <w:p w14:paraId="3F944A7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32,100</w:t>
            </w:r>
          </w:p>
        </w:tc>
        <w:tc>
          <w:tcPr>
            <w:tcW w:w="633" w:type="dxa"/>
            <w:tcMar>
              <w:left w:w="28" w:type="dxa"/>
              <w:right w:w="28" w:type="dxa"/>
            </w:tcMar>
            <w:vAlign w:val="center"/>
          </w:tcPr>
          <w:p w14:paraId="36F9EF1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38,700</w:t>
            </w:r>
          </w:p>
        </w:tc>
        <w:tc>
          <w:tcPr>
            <w:tcW w:w="634" w:type="dxa"/>
            <w:tcMar>
              <w:left w:w="28" w:type="dxa"/>
              <w:right w:w="28" w:type="dxa"/>
            </w:tcMar>
            <w:vAlign w:val="center"/>
          </w:tcPr>
          <w:p w14:paraId="2D56AEE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45,800</w:t>
            </w:r>
          </w:p>
        </w:tc>
        <w:tc>
          <w:tcPr>
            <w:tcW w:w="633" w:type="dxa"/>
            <w:tcMar>
              <w:left w:w="28" w:type="dxa"/>
              <w:right w:w="28" w:type="dxa"/>
            </w:tcMar>
            <w:vAlign w:val="center"/>
          </w:tcPr>
          <w:p w14:paraId="7180DA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54,000</w:t>
            </w:r>
          </w:p>
        </w:tc>
        <w:tc>
          <w:tcPr>
            <w:tcW w:w="633" w:type="dxa"/>
            <w:tcMar>
              <w:left w:w="28" w:type="dxa"/>
              <w:right w:w="28" w:type="dxa"/>
            </w:tcMar>
            <w:vAlign w:val="center"/>
          </w:tcPr>
          <w:p w14:paraId="77564F6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63,100</w:t>
            </w:r>
          </w:p>
        </w:tc>
        <w:tc>
          <w:tcPr>
            <w:tcW w:w="633" w:type="dxa"/>
            <w:tcBorders>
              <w:right w:val="single" w:sz="8" w:space="0" w:color="auto"/>
            </w:tcBorders>
            <w:tcMar>
              <w:left w:w="28" w:type="dxa"/>
              <w:right w:w="28" w:type="dxa"/>
            </w:tcMar>
            <w:vAlign w:val="center"/>
          </w:tcPr>
          <w:p w14:paraId="4531CC8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79,700</w:t>
            </w:r>
          </w:p>
        </w:tc>
        <w:tc>
          <w:tcPr>
            <w:tcW w:w="634" w:type="dxa"/>
            <w:tcBorders>
              <w:left w:val="single" w:sz="8" w:space="0" w:color="auto"/>
              <w:right w:val="single" w:sz="4" w:space="0" w:color="auto"/>
            </w:tcBorders>
            <w:tcMar>
              <w:left w:w="28" w:type="dxa"/>
              <w:right w:w="28" w:type="dxa"/>
            </w:tcMar>
            <w:vAlign w:val="center"/>
          </w:tcPr>
          <w:p w14:paraId="22815A33"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45,700</w:t>
            </w:r>
          </w:p>
        </w:tc>
      </w:tr>
      <w:tr w:rsidR="00711FE4" w:rsidRPr="00711FE4" w14:paraId="60528CEB" w14:textId="77777777" w:rsidTr="00366F04">
        <w:trPr>
          <w:trHeight w:val="255"/>
          <w:jc w:val="center"/>
        </w:trPr>
        <w:tc>
          <w:tcPr>
            <w:tcW w:w="745" w:type="dxa"/>
            <w:vMerge w:val="restart"/>
          </w:tcPr>
          <w:p w14:paraId="3699167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HES-TAWA</w:t>
            </w:r>
          </w:p>
        </w:tc>
        <w:tc>
          <w:tcPr>
            <w:tcW w:w="598" w:type="dxa"/>
            <w:tcMar>
              <w:left w:w="28" w:type="dxa"/>
              <w:right w:w="28" w:type="dxa"/>
            </w:tcMar>
            <w:vAlign w:val="center"/>
          </w:tcPr>
          <w:p w14:paraId="29FFE49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2007</w:t>
            </w:r>
          </w:p>
        </w:tc>
        <w:tc>
          <w:tcPr>
            <w:tcW w:w="633" w:type="dxa"/>
            <w:tcMar>
              <w:left w:w="28" w:type="dxa"/>
              <w:right w:w="28" w:type="dxa"/>
            </w:tcMar>
            <w:vAlign w:val="center"/>
          </w:tcPr>
          <w:p w14:paraId="58F15D6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21,600</w:t>
            </w:r>
          </w:p>
        </w:tc>
        <w:tc>
          <w:tcPr>
            <w:tcW w:w="633" w:type="dxa"/>
            <w:tcMar>
              <w:left w:w="28" w:type="dxa"/>
              <w:right w:w="28" w:type="dxa"/>
            </w:tcMar>
            <w:vAlign w:val="center"/>
          </w:tcPr>
          <w:p w14:paraId="3E983A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26,900</w:t>
            </w:r>
          </w:p>
        </w:tc>
        <w:tc>
          <w:tcPr>
            <w:tcW w:w="633" w:type="dxa"/>
            <w:tcMar>
              <w:left w:w="28" w:type="dxa"/>
              <w:right w:w="28" w:type="dxa"/>
            </w:tcMar>
            <w:vAlign w:val="center"/>
          </w:tcPr>
          <w:p w14:paraId="711BD33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31,500</w:t>
            </w:r>
          </w:p>
        </w:tc>
        <w:tc>
          <w:tcPr>
            <w:tcW w:w="633" w:type="dxa"/>
            <w:tcMar>
              <w:left w:w="28" w:type="dxa"/>
              <w:right w:w="28" w:type="dxa"/>
            </w:tcMar>
            <w:vAlign w:val="center"/>
          </w:tcPr>
          <w:p w14:paraId="53823CD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36,400</w:t>
            </w:r>
          </w:p>
        </w:tc>
        <w:tc>
          <w:tcPr>
            <w:tcW w:w="633" w:type="dxa"/>
            <w:tcMar>
              <w:left w:w="28" w:type="dxa"/>
              <w:right w:w="28" w:type="dxa"/>
            </w:tcMar>
            <w:vAlign w:val="center"/>
          </w:tcPr>
          <w:p w14:paraId="4664105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42,300</w:t>
            </w:r>
          </w:p>
        </w:tc>
        <w:tc>
          <w:tcPr>
            <w:tcW w:w="634" w:type="dxa"/>
            <w:tcMar>
              <w:left w:w="28" w:type="dxa"/>
              <w:right w:w="28" w:type="dxa"/>
            </w:tcMar>
            <w:vAlign w:val="center"/>
          </w:tcPr>
          <w:p w14:paraId="07D3C17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48,400</w:t>
            </w:r>
          </w:p>
        </w:tc>
        <w:tc>
          <w:tcPr>
            <w:tcW w:w="633" w:type="dxa"/>
            <w:tcMar>
              <w:left w:w="28" w:type="dxa"/>
              <w:right w:w="28" w:type="dxa"/>
            </w:tcMar>
            <w:vAlign w:val="center"/>
          </w:tcPr>
          <w:p w14:paraId="61B175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56,600</w:t>
            </w:r>
          </w:p>
        </w:tc>
        <w:tc>
          <w:tcPr>
            <w:tcW w:w="633" w:type="dxa"/>
            <w:tcMar>
              <w:left w:w="28" w:type="dxa"/>
              <w:right w:w="28" w:type="dxa"/>
            </w:tcMar>
            <w:vAlign w:val="center"/>
          </w:tcPr>
          <w:p w14:paraId="7004F4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67,300</w:t>
            </w:r>
          </w:p>
        </w:tc>
        <w:tc>
          <w:tcPr>
            <w:tcW w:w="633" w:type="dxa"/>
            <w:tcBorders>
              <w:right w:val="single" w:sz="8" w:space="0" w:color="auto"/>
            </w:tcBorders>
            <w:tcMar>
              <w:left w:w="28" w:type="dxa"/>
              <w:right w:w="28" w:type="dxa"/>
            </w:tcMar>
            <w:vAlign w:val="center"/>
          </w:tcPr>
          <w:p w14:paraId="093562B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84,600</w:t>
            </w:r>
          </w:p>
        </w:tc>
        <w:tc>
          <w:tcPr>
            <w:tcW w:w="634" w:type="dxa"/>
            <w:tcBorders>
              <w:left w:val="single" w:sz="8" w:space="0" w:color="auto"/>
              <w:right w:val="single" w:sz="4" w:space="0" w:color="auto"/>
            </w:tcBorders>
            <w:tcMar>
              <w:left w:w="28" w:type="dxa"/>
              <w:right w:w="28" w:type="dxa"/>
            </w:tcMar>
            <w:vAlign w:val="center"/>
          </w:tcPr>
          <w:p w14:paraId="6019FED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49,700</w:t>
            </w:r>
          </w:p>
        </w:tc>
      </w:tr>
      <w:tr w:rsidR="00711FE4" w:rsidRPr="00711FE4" w14:paraId="0C25728D" w14:textId="77777777" w:rsidTr="00366F04">
        <w:trPr>
          <w:trHeight w:val="255"/>
          <w:jc w:val="center"/>
        </w:trPr>
        <w:tc>
          <w:tcPr>
            <w:tcW w:w="745" w:type="dxa"/>
            <w:vMerge/>
          </w:tcPr>
          <w:p w14:paraId="59F4F52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56DB49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2008</w:t>
            </w:r>
          </w:p>
        </w:tc>
        <w:tc>
          <w:tcPr>
            <w:tcW w:w="633" w:type="dxa"/>
            <w:tcMar>
              <w:left w:w="28" w:type="dxa"/>
              <w:right w:w="28" w:type="dxa"/>
            </w:tcMar>
            <w:vAlign w:val="center"/>
          </w:tcPr>
          <w:p w14:paraId="7CB582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22,500</w:t>
            </w:r>
          </w:p>
        </w:tc>
        <w:tc>
          <w:tcPr>
            <w:tcW w:w="633" w:type="dxa"/>
            <w:tcMar>
              <w:left w:w="28" w:type="dxa"/>
              <w:right w:w="28" w:type="dxa"/>
            </w:tcMar>
            <w:vAlign w:val="center"/>
          </w:tcPr>
          <w:p w14:paraId="5A63432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27,300</w:t>
            </w:r>
          </w:p>
        </w:tc>
        <w:tc>
          <w:tcPr>
            <w:tcW w:w="633" w:type="dxa"/>
            <w:tcMar>
              <w:left w:w="28" w:type="dxa"/>
              <w:right w:w="28" w:type="dxa"/>
            </w:tcMar>
            <w:vAlign w:val="center"/>
          </w:tcPr>
          <w:p w14:paraId="2D13DF0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32,500</w:t>
            </w:r>
          </w:p>
        </w:tc>
        <w:tc>
          <w:tcPr>
            <w:tcW w:w="633" w:type="dxa"/>
            <w:tcMar>
              <w:left w:w="28" w:type="dxa"/>
              <w:right w:w="28" w:type="dxa"/>
            </w:tcMar>
            <w:vAlign w:val="center"/>
          </w:tcPr>
          <w:p w14:paraId="6E60ABD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37,600</w:t>
            </w:r>
          </w:p>
        </w:tc>
        <w:tc>
          <w:tcPr>
            <w:tcW w:w="633" w:type="dxa"/>
            <w:tcMar>
              <w:left w:w="28" w:type="dxa"/>
              <w:right w:w="28" w:type="dxa"/>
            </w:tcMar>
            <w:vAlign w:val="center"/>
          </w:tcPr>
          <w:p w14:paraId="0DAC76A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43,200</w:t>
            </w:r>
          </w:p>
        </w:tc>
        <w:tc>
          <w:tcPr>
            <w:tcW w:w="634" w:type="dxa"/>
            <w:tcMar>
              <w:left w:w="28" w:type="dxa"/>
              <w:right w:w="28" w:type="dxa"/>
            </w:tcMar>
            <w:vAlign w:val="center"/>
          </w:tcPr>
          <w:p w14:paraId="2C51872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49,700</w:t>
            </w:r>
          </w:p>
        </w:tc>
        <w:tc>
          <w:tcPr>
            <w:tcW w:w="633" w:type="dxa"/>
            <w:tcMar>
              <w:left w:w="28" w:type="dxa"/>
              <w:right w:w="28" w:type="dxa"/>
            </w:tcMar>
            <w:vAlign w:val="center"/>
          </w:tcPr>
          <w:p w14:paraId="4EBB389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57,700</w:t>
            </w:r>
          </w:p>
        </w:tc>
        <w:tc>
          <w:tcPr>
            <w:tcW w:w="633" w:type="dxa"/>
            <w:tcMar>
              <w:left w:w="28" w:type="dxa"/>
              <w:right w:w="28" w:type="dxa"/>
            </w:tcMar>
            <w:vAlign w:val="center"/>
          </w:tcPr>
          <w:p w14:paraId="7F75D22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69,300</w:t>
            </w:r>
          </w:p>
        </w:tc>
        <w:tc>
          <w:tcPr>
            <w:tcW w:w="633" w:type="dxa"/>
            <w:tcBorders>
              <w:right w:val="single" w:sz="8" w:space="0" w:color="auto"/>
            </w:tcBorders>
            <w:tcMar>
              <w:left w:w="28" w:type="dxa"/>
              <w:right w:w="28" w:type="dxa"/>
            </w:tcMar>
            <w:vAlign w:val="center"/>
          </w:tcPr>
          <w:p w14:paraId="660B832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87,800</w:t>
            </w:r>
          </w:p>
        </w:tc>
        <w:tc>
          <w:tcPr>
            <w:tcW w:w="634" w:type="dxa"/>
            <w:tcBorders>
              <w:left w:val="single" w:sz="8" w:space="0" w:color="auto"/>
              <w:right w:val="single" w:sz="4" w:space="0" w:color="auto"/>
            </w:tcBorders>
            <w:tcMar>
              <w:left w:w="28" w:type="dxa"/>
              <w:right w:w="28" w:type="dxa"/>
            </w:tcMar>
            <w:vAlign w:val="center"/>
          </w:tcPr>
          <w:p w14:paraId="62B31B26"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52,400</w:t>
            </w:r>
          </w:p>
        </w:tc>
      </w:tr>
      <w:tr w:rsidR="00711FE4" w:rsidRPr="00711FE4" w14:paraId="6246A9A9" w14:textId="77777777" w:rsidTr="00366F04">
        <w:trPr>
          <w:trHeight w:val="255"/>
          <w:jc w:val="center"/>
        </w:trPr>
        <w:tc>
          <w:tcPr>
            <w:tcW w:w="745" w:type="dxa"/>
            <w:vMerge/>
          </w:tcPr>
          <w:p w14:paraId="13A8345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36ED7C8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2009</w:t>
            </w:r>
          </w:p>
        </w:tc>
        <w:tc>
          <w:tcPr>
            <w:tcW w:w="633" w:type="dxa"/>
            <w:tcMar>
              <w:left w:w="28" w:type="dxa"/>
              <w:right w:w="28" w:type="dxa"/>
            </w:tcMar>
            <w:vAlign w:val="center"/>
          </w:tcPr>
          <w:p w14:paraId="4FCFD98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23,300</w:t>
            </w:r>
          </w:p>
        </w:tc>
        <w:tc>
          <w:tcPr>
            <w:tcW w:w="633" w:type="dxa"/>
            <w:tcMar>
              <w:left w:w="28" w:type="dxa"/>
              <w:right w:w="28" w:type="dxa"/>
            </w:tcMar>
            <w:vAlign w:val="center"/>
          </w:tcPr>
          <w:p w14:paraId="73D8111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28,400</w:t>
            </w:r>
          </w:p>
        </w:tc>
        <w:tc>
          <w:tcPr>
            <w:tcW w:w="633" w:type="dxa"/>
            <w:tcMar>
              <w:left w:w="28" w:type="dxa"/>
              <w:right w:w="28" w:type="dxa"/>
            </w:tcMar>
            <w:vAlign w:val="center"/>
          </w:tcPr>
          <w:p w14:paraId="43156AE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33,300</w:t>
            </w:r>
          </w:p>
        </w:tc>
        <w:tc>
          <w:tcPr>
            <w:tcW w:w="633" w:type="dxa"/>
            <w:tcMar>
              <w:left w:w="28" w:type="dxa"/>
              <w:right w:w="28" w:type="dxa"/>
            </w:tcMar>
            <w:vAlign w:val="center"/>
          </w:tcPr>
          <w:p w14:paraId="27B363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38,500</w:t>
            </w:r>
          </w:p>
        </w:tc>
        <w:tc>
          <w:tcPr>
            <w:tcW w:w="633" w:type="dxa"/>
            <w:tcMar>
              <w:left w:w="28" w:type="dxa"/>
              <w:right w:w="28" w:type="dxa"/>
            </w:tcMar>
            <w:vAlign w:val="center"/>
          </w:tcPr>
          <w:p w14:paraId="2804E24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44,500</w:t>
            </w:r>
          </w:p>
        </w:tc>
        <w:tc>
          <w:tcPr>
            <w:tcW w:w="634" w:type="dxa"/>
            <w:tcMar>
              <w:left w:w="28" w:type="dxa"/>
              <w:right w:w="28" w:type="dxa"/>
            </w:tcMar>
            <w:vAlign w:val="center"/>
          </w:tcPr>
          <w:p w14:paraId="5E69C19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50,700</w:t>
            </w:r>
          </w:p>
        </w:tc>
        <w:tc>
          <w:tcPr>
            <w:tcW w:w="633" w:type="dxa"/>
            <w:tcMar>
              <w:left w:w="28" w:type="dxa"/>
              <w:right w:w="28" w:type="dxa"/>
            </w:tcMar>
            <w:vAlign w:val="center"/>
          </w:tcPr>
          <w:p w14:paraId="1A34AB1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58,900</w:t>
            </w:r>
          </w:p>
        </w:tc>
        <w:tc>
          <w:tcPr>
            <w:tcW w:w="633" w:type="dxa"/>
            <w:tcMar>
              <w:left w:w="28" w:type="dxa"/>
              <w:right w:w="28" w:type="dxa"/>
            </w:tcMar>
            <w:vAlign w:val="center"/>
          </w:tcPr>
          <w:p w14:paraId="7194D7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70,400</w:t>
            </w:r>
          </w:p>
        </w:tc>
        <w:tc>
          <w:tcPr>
            <w:tcW w:w="633" w:type="dxa"/>
            <w:tcBorders>
              <w:right w:val="single" w:sz="8" w:space="0" w:color="auto"/>
            </w:tcBorders>
            <w:tcMar>
              <w:left w:w="28" w:type="dxa"/>
              <w:right w:w="28" w:type="dxa"/>
            </w:tcMar>
            <w:vAlign w:val="center"/>
          </w:tcPr>
          <w:p w14:paraId="7629334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89,800</w:t>
            </w:r>
          </w:p>
        </w:tc>
        <w:tc>
          <w:tcPr>
            <w:tcW w:w="634" w:type="dxa"/>
            <w:tcBorders>
              <w:left w:val="single" w:sz="8" w:space="0" w:color="auto"/>
              <w:right w:val="single" w:sz="4" w:space="0" w:color="auto"/>
            </w:tcBorders>
            <w:tcMar>
              <w:left w:w="28" w:type="dxa"/>
              <w:right w:w="28" w:type="dxa"/>
            </w:tcMar>
            <w:vAlign w:val="center"/>
          </w:tcPr>
          <w:p w14:paraId="25A2669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53,400</w:t>
            </w:r>
          </w:p>
        </w:tc>
      </w:tr>
      <w:tr w:rsidR="00711FE4" w:rsidRPr="00711FE4" w14:paraId="683D055E" w14:textId="77777777" w:rsidTr="00366F04">
        <w:trPr>
          <w:trHeight w:val="255"/>
          <w:jc w:val="center"/>
        </w:trPr>
        <w:tc>
          <w:tcPr>
            <w:tcW w:w="745" w:type="dxa"/>
            <w:vMerge/>
          </w:tcPr>
          <w:p w14:paraId="4BE7AD6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1F54A8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2010</w:t>
            </w:r>
          </w:p>
        </w:tc>
        <w:tc>
          <w:tcPr>
            <w:tcW w:w="633" w:type="dxa"/>
            <w:tcMar>
              <w:left w:w="28" w:type="dxa"/>
              <w:right w:w="28" w:type="dxa"/>
            </w:tcMar>
            <w:vAlign w:val="center"/>
          </w:tcPr>
          <w:p w14:paraId="0A38D04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23,000</w:t>
            </w:r>
          </w:p>
        </w:tc>
        <w:tc>
          <w:tcPr>
            <w:tcW w:w="633" w:type="dxa"/>
            <w:tcMar>
              <w:left w:w="28" w:type="dxa"/>
              <w:right w:w="28" w:type="dxa"/>
            </w:tcMar>
            <w:vAlign w:val="center"/>
          </w:tcPr>
          <w:p w14:paraId="409BB06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27,700</w:t>
            </w:r>
          </w:p>
        </w:tc>
        <w:tc>
          <w:tcPr>
            <w:tcW w:w="633" w:type="dxa"/>
            <w:tcMar>
              <w:left w:w="28" w:type="dxa"/>
              <w:right w:w="28" w:type="dxa"/>
            </w:tcMar>
            <w:vAlign w:val="center"/>
          </w:tcPr>
          <w:p w14:paraId="2FCA38A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33,400</w:t>
            </w:r>
          </w:p>
        </w:tc>
        <w:tc>
          <w:tcPr>
            <w:tcW w:w="633" w:type="dxa"/>
            <w:tcMar>
              <w:left w:w="28" w:type="dxa"/>
              <w:right w:w="28" w:type="dxa"/>
            </w:tcMar>
            <w:vAlign w:val="center"/>
          </w:tcPr>
          <w:p w14:paraId="7BEB459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38,500</w:t>
            </w:r>
          </w:p>
        </w:tc>
        <w:tc>
          <w:tcPr>
            <w:tcW w:w="633" w:type="dxa"/>
            <w:tcMar>
              <w:left w:w="28" w:type="dxa"/>
              <w:right w:w="28" w:type="dxa"/>
            </w:tcMar>
            <w:vAlign w:val="center"/>
          </w:tcPr>
          <w:p w14:paraId="0BD988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44,400</w:t>
            </w:r>
          </w:p>
        </w:tc>
        <w:tc>
          <w:tcPr>
            <w:tcW w:w="634" w:type="dxa"/>
            <w:tcMar>
              <w:left w:w="28" w:type="dxa"/>
              <w:right w:w="28" w:type="dxa"/>
            </w:tcMar>
            <w:vAlign w:val="center"/>
          </w:tcPr>
          <w:p w14:paraId="3349E36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51,500</w:t>
            </w:r>
          </w:p>
        </w:tc>
        <w:tc>
          <w:tcPr>
            <w:tcW w:w="633" w:type="dxa"/>
            <w:tcMar>
              <w:left w:w="28" w:type="dxa"/>
              <w:right w:w="28" w:type="dxa"/>
            </w:tcMar>
            <w:vAlign w:val="center"/>
          </w:tcPr>
          <w:p w14:paraId="34A634C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59,300</w:t>
            </w:r>
          </w:p>
        </w:tc>
        <w:tc>
          <w:tcPr>
            <w:tcW w:w="633" w:type="dxa"/>
            <w:tcMar>
              <w:left w:w="28" w:type="dxa"/>
              <w:right w:w="28" w:type="dxa"/>
            </w:tcMar>
            <w:vAlign w:val="center"/>
          </w:tcPr>
          <w:p w14:paraId="67434C8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69,500</w:t>
            </w:r>
          </w:p>
        </w:tc>
        <w:tc>
          <w:tcPr>
            <w:tcW w:w="633" w:type="dxa"/>
            <w:tcBorders>
              <w:right w:val="single" w:sz="8" w:space="0" w:color="auto"/>
            </w:tcBorders>
            <w:tcMar>
              <w:left w:w="28" w:type="dxa"/>
              <w:right w:w="28" w:type="dxa"/>
            </w:tcMar>
            <w:vAlign w:val="center"/>
          </w:tcPr>
          <w:p w14:paraId="1BDC6E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89,400</w:t>
            </w:r>
          </w:p>
        </w:tc>
        <w:tc>
          <w:tcPr>
            <w:tcW w:w="634" w:type="dxa"/>
            <w:tcBorders>
              <w:left w:val="single" w:sz="8" w:space="0" w:color="auto"/>
              <w:right w:val="single" w:sz="4" w:space="0" w:color="auto"/>
            </w:tcBorders>
            <w:tcMar>
              <w:left w:w="28" w:type="dxa"/>
              <w:right w:w="28" w:type="dxa"/>
            </w:tcMar>
            <w:vAlign w:val="center"/>
          </w:tcPr>
          <w:p w14:paraId="728EB83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52,700</w:t>
            </w:r>
          </w:p>
        </w:tc>
      </w:tr>
      <w:tr w:rsidR="00711FE4" w:rsidRPr="00711FE4" w14:paraId="0E4B067B" w14:textId="77777777" w:rsidTr="00366F04">
        <w:trPr>
          <w:trHeight w:val="255"/>
          <w:jc w:val="center"/>
        </w:trPr>
        <w:tc>
          <w:tcPr>
            <w:tcW w:w="745" w:type="dxa"/>
            <w:vMerge/>
          </w:tcPr>
          <w:p w14:paraId="0803D1C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5935E9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2011</w:t>
            </w:r>
          </w:p>
        </w:tc>
        <w:tc>
          <w:tcPr>
            <w:tcW w:w="633" w:type="dxa"/>
            <w:tcMar>
              <w:left w:w="28" w:type="dxa"/>
              <w:right w:w="28" w:type="dxa"/>
            </w:tcMar>
            <w:vAlign w:val="center"/>
          </w:tcPr>
          <w:p w14:paraId="51A1840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22,500</w:t>
            </w:r>
          </w:p>
        </w:tc>
        <w:tc>
          <w:tcPr>
            <w:tcW w:w="633" w:type="dxa"/>
            <w:tcMar>
              <w:left w:w="28" w:type="dxa"/>
              <w:right w:w="28" w:type="dxa"/>
            </w:tcMar>
            <w:vAlign w:val="center"/>
          </w:tcPr>
          <w:p w14:paraId="3C52D5F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26,800</w:t>
            </w:r>
          </w:p>
        </w:tc>
        <w:tc>
          <w:tcPr>
            <w:tcW w:w="633" w:type="dxa"/>
            <w:tcMar>
              <w:left w:w="28" w:type="dxa"/>
              <w:right w:w="28" w:type="dxa"/>
            </w:tcMar>
            <w:vAlign w:val="center"/>
          </w:tcPr>
          <w:p w14:paraId="50E71AE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31,900</w:t>
            </w:r>
          </w:p>
        </w:tc>
        <w:tc>
          <w:tcPr>
            <w:tcW w:w="633" w:type="dxa"/>
            <w:tcMar>
              <w:left w:w="28" w:type="dxa"/>
              <w:right w:w="28" w:type="dxa"/>
            </w:tcMar>
            <w:vAlign w:val="center"/>
          </w:tcPr>
          <w:p w14:paraId="4CFFF64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37,500</w:t>
            </w:r>
          </w:p>
        </w:tc>
        <w:tc>
          <w:tcPr>
            <w:tcW w:w="633" w:type="dxa"/>
            <w:tcMar>
              <w:left w:w="28" w:type="dxa"/>
              <w:right w:w="28" w:type="dxa"/>
            </w:tcMar>
            <w:vAlign w:val="center"/>
          </w:tcPr>
          <w:p w14:paraId="129793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43,500</w:t>
            </w:r>
          </w:p>
        </w:tc>
        <w:tc>
          <w:tcPr>
            <w:tcW w:w="634" w:type="dxa"/>
            <w:tcMar>
              <w:left w:w="28" w:type="dxa"/>
              <w:right w:w="28" w:type="dxa"/>
            </w:tcMar>
            <w:vAlign w:val="center"/>
          </w:tcPr>
          <w:p w14:paraId="5C0463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49,900</w:t>
            </w:r>
          </w:p>
        </w:tc>
        <w:tc>
          <w:tcPr>
            <w:tcW w:w="633" w:type="dxa"/>
            <w:tcMar>
              <w:left w:w="28" w:type="dxa"/>
              <w:right w:w="28" w:type="dxa"/>
            </w:tcMar>
            <w:vAlign w:val="center"/>
          </w:tcPr>
          <w:p w14:paraId="2F7AAE4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59,500</w:t>
            </w:r>
          </w:p>
        </w:tc>
        <w:tc>
          <w:tcPr>
            <w:tcW w:w="633" w:type="dxa"/>
            <w:tcMar>
              <w:left w:w="28" w:type="dxa"/>
              <w:right w:w="28" w:type="dxa"/>
            </w:tcMar>
            <w:vAlign w:val="center"/>
          </w:tcPr>
          <w:p w14:paraId="107BB2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70,100</w:t>
            </w:r>
          </w:p>
        </w:tc>
        <w:tc>
          <w:tcPr>
            <w:tcW w:w="633" w:type="dxa"/>
            <w:tcBorders>
              <w:right w:val="single" w:sz="8" w:space="0" w:color="auto"/>
            </w:tcBorders>
            <w:tcMar>
              <w:left w:w="28" w:type="dxa"/>
              <w:right w:w="28" w:type="dxa"/>
            </w:tcMar>
            <w:vAlign w:val="center"/>
          </w:tcPr>
          <w:p w14:paraId="74837AF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93,000</w:t>
            </w:r>
          </w:p>
        </w:tc>
        <w:tc>
          <w:tcPr>
            <w:tcW w:w="634" w:type="dxa"/>
            <w:tcBorders>
              <w:left w:val="single" w:sz="8" w:space="0" w:color="auto"/>
              <w:right w:val="single" w:sz="4" w:space="0" w:color="auto"/>
            </w:tcBorders>
            <w:tcMar>
              <w:left w:w="28" w:type="dxa"/>
              <w:right w:w="28" w:type="dxa"/>
            </w:tcMar>
            <w:vAlign w:val="center"/>
          </w:tcPr>
          <w:p w14:paraId="7311D5F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53,700</w:t>
            </w:r>
          </w:p>
        </w:tc>
      </w:tr>
      <w:tr w:rsidR="00711FE4" w:rsidRPr="00711FE4" w14:paraId="71A8147F" w14:textId="77777777" w:rsidTr="00366F04">
        <w:trPr>
          <w:trHeight w:val="255"/>
          <w:jc w:val="center"/>
        </w:trPr>
        <w:tc>
          <w:tcPr>
            <w:tcW w:w="745" w:type="dxa"/>
            <w:vMerge/>
          </w:tcPr>
          <w:p w14:paraId="6F445FB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D19EBA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2012</w:t>
            </w:r>
          </w:p>
        </w:tc>
        <w:tc>
          <w:tcPr>
            <w:tcW w:w="633" w:type="dxa"/>
            <w:tcMar>
              <w:left w:w="28" w:type="dxa"/>
              <w:right w:w="28" w:type="dxa"/>
            </w:tcMar>
            <w:vAlign w:val="center"/>
          </w:tcPr>
          <w:p w14:paraId="5672CB7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24,200</w:t>
            </w:r>
          </w:p>
        </w:tc>
        <w:tc>
          <w:tcPr>
            <w:tcW w:w="633" w:type="dxa"/>
            <w:tcMar>
              <w:left w:w="28" w:type="dxa"/>
              <w:right w:w="28" w:type="dxa"/>
            </w:tcMar>
            <w:vAlign w:val="center"/>
          </w:tcPr>
          <w:p w14:paraId="0CF4BE5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27,900</w:t>
            </w:r>
          </w:p>
        </w:tc>
        <w:tc>
          <w:tcPr>
            <w:tcW w:w="633" w:type="dxa"/>
            <w:tcMar>
              <w:left w:w="28" w:type="dxa"/>
              <w:right w:w="28" w:type="dxa"/>
            </w:tcMar>
            <w:vAlign w:val="center"/>
          </w:tcPr>
          <w:p w14:paraId="24360FB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33,600</w:t>
            </w:r>
          </w:p>
        </w:tc>
        <w:tc>
          <w:tcPr>
            <w:tcW w:w="633" w:type="dxa"/>
            <w:tcMar>
              <w:left w:w="28" w:type="dxa"/>
              <w:right w:w="28" w:type="dxa"/>
            </w:tcMar>
            <w:vAlign w:val="center"/>
          </w:tcPr>
          <w:p w14:paraId="490543E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38,400</w:t>
            </w:r>
          </w:p>
        </w:tc>
        <w:tc>
          <w:tcPr>
            <w:tcW w:w="633" w:type="dxa"/>
            <w:tcMar>
              <w:left w:w="28" w:type="dxa"/>
              <w:right w:w="28" w:type="dxa"/>
            </w:tcMar>
            <w:vAlign w:val="center"/>
          </w:tcPr>
          <w:p w14:paraId="6A0AFB1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43,400</w:t>
            </w:r>
          </w:p>
        </w:tc>
        <w:tc>
          <w:tcPr>
            <w:tcW w:w="634" w:type="dxa"/>
            <w:tcMar>
              <w:left w:w="28" w:type="dxa"/>
              <w:right w:w="28" w:type="dxa"/>
            </w:tcMar>
            <w:vAlign w:val="center"/>
          </w:tcPr>
          <w:p w14:paraId="42506D9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51,400</w:t>
            </w:r>
          </w:p>
        </w:tc>
        <w:tc>
          <w:tcPr>
            <w:tcW w:w="633" w:type="dxa"/>
            <w:tcMar>
              <w:left w:w="28" w:type="dxa"/>
              <w:right w:w="28" w:type="dxa"/>
            </w:tcMar>
            <w:vAlign w:val="center"/>
          </w:tcPr>
          <w:p w14:paraId="2288FC7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61,200</w:t>
            </w:r>
          </w:p>
        </w:tc>
        <w:tc>
          <w:tcPr>
            <w:tcW w:w="633" w:type="dxa"/>
            <w:tcMar>
              <w:left w:w="28" w:type="dxa"/>
              <w:right w:w="28" w:type="dxa"/>
            </w:tcMar>
            <w:vAlign w:val="center"/>
          </w:tcPr>
          <w:p w14:paraId="7C4A4D6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72,700</w:t>
            </w:r>
          </w:p>
        </w:tc>
        <w:tc>
          <w:tcPr>
            <w:tcW w:w="633" w:type="dxa"/>
            <w:tcBorders>
              <w:right w:val="single" w:sz="8" w:space="0" w:color="auto"/>
            </w:tcBorders>
            <w:tcMar>
              <w:left w:w="28" w:type="dxa"/>
              <w:right w:w="28" w:type="dxa"/>
            </w:tcMar>
            <w:vAlign w:val="center"/>
          </w:tcPr>
          <w:p w14:paraId="4989338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92,100</w:t>
            </w:r>
          </w:p>
        </w:tc>
        <w:tc>
          <w:tcPr>
            <w:tcW w:w="634" w:type="dxa"/>
            <w:tcBorders>
              <w:left w:val="single" w:sz="8" w:space="0" w:color="auto"/>
              <w:right w:val="single" w:sz="4" w:space="0" w:color="auto"/>
            </w:tcBorders>
            <w:tcMar>
              <w:left w:w="28" w:type="dxa"/>
              <w:right w:w="28" w:type="dxa"/>
            </w:tcMar>
            <w:vAlign w:val="center"/>
          </w:tcPr>
          <w:p w14:paraId="2F8A8F4C"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53,500</w:t>
            </w:r>
          </w:p>
        </w:tc>
      </w:tr>
      <w:tr w:rsidR="00711FE4" w:rsidRPr="00711FE4" w14:paraId="30749F2A" w14:textId="77777777" w:rsidTr="00366F04">
        <w:trPr>
          <w:trHeight w:val="255"/>
          <w:jc w:val="center"/>
        </w:trPr>
        <w:tc>
          <w:tcPr>
            <w:tcW w:w="745" w:type="dxa"/>
            <w:vMerge/>
          </w:tcPr>
          <w:p w14:paraId="58274DB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76DC350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2013</w:t>
            </w:r>
          </w:p>
        </w:tc>
        <w:tc>
          <w:tcPr>
            <w:tcW w:w="633" w:type="dxa"/>
            <w:tcMar>
              <w:left w:w="28" w:type="dxa"/>
              <w:right w:w="28" w:type="dxa"/>
            </w:tcMar>
            <w:vAlign w:val="center"/>
          </w:tcPr>
          <w:p w14:paraId="78EB0A1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23,800</w:t>
            </w:r>
          </w:p>
        </w:tc>
        <w:tc>
          <w:tcPr>
            <w:tcW w:w="633" w:type="dxa"/>
            <w:tcMar>
              <w:left w:w="28" w:type="dxa"/>
              <w:right w:w="28" w:type="dxa"/>
            </w:tcMar>
            <w:vAlign w:val="center"/>
          </w:tcPr>
          <w:p w14:paraId="6BEEBE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28,300</w:t>
            </w:r>
          </w:p>
        </w:tc>
        <w:tc>
          <w:tcPr>
            <w:tcW w:w="633" w:type="dxa"/>
            <w:tcMar>
              <w:left w:w="28" w:type="dxa"/>
              <w:right w:w="28" w:type="dxa"/>
            </w:tcMar>
            <w:vAlign w:val="center"/>
          </w:tcPr>
          <w:p w14:paraId="411C17A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33,700</w:t>
            </w:r>
          </w:p>
        </w:tc>
        <w:tc>
          <w:tcPr>
            <w:tcW w:w="633" w:type="dxa"/>
            <w:tcMar>
              <w:left w:w="28" w:type="dxa"/>
              <w:right w:w="28" w:type="dxa"/>
            </w:tcMar>
            <w:vAlign w:val="center"/>
          </w:tcPr>
          <w:p w14:paraId="6DC3F1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38,300</w:t>
            </w:r>
          </w:p>
        </w:tc>
        <w:tc>
          <w:tcPr>
            <w:tcW w:w="633" w:type="dxa"/>
            <w:tcMar>
              <w:left w:w="28" w:type="dxa"/>
              <w:right w:w="28" w:type="dxa"/>
            </w:tcMar>
            <w:vAlign w:val="center"/>
          </w:tcPr>
          <w:p w14:paraId="11083C3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44,100</w:t>
            </w:r>
          </w:p>
        </w:tc>
        <w:tc>
          <w:tcPr>
            <w:tcW w:w="634" w:type="dxa"/>
            <w:tcMar>
              <w:left w:w="28" w:type="dxa"/>
              <w:right w:w="28" w:type="dxa"/>
            </w:tcMar>
            <w:vAlign w:val="center"/>
          </w:tcPr>
          <w:p w14:paraId="03F9EC8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53,800</w:t>
            </w:r>
          </w:p>
        </w:tc>
        <w:tc>
          <w:tcPr>
            <w:tcW w:w="633" w:type="dxa"/>
            <w:tcMar>
              <w:left w:w="28" w:type="dxa"/>
              <w:right w:w="28" w:type="dxa"/>
            </w:tcMar>
            <w:vAlign w:val="center"/>
          </w:tcPr>
          <w:p w14:paraId="25F4EBB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63,200</w:t>
            </w:r>
          </w:p>
        </w:tc>
        <w:tc>
          <w:tcPr>
            <w:tcW w:w="633" w:type="dxa"/>
            <w:tcMar>
              <w:left w:w="28" w:type="dxa"/>
              <w:right w:w="28" w:type="dxa"/>
            </w:tcMar>
            <w:vAlign w:val="center"/>
          </w:tcPr>
          <w:p w14:paraId="4004779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72,900</w:t>
            </w:r>
          </w:p>
        </w:tc>
        <w:tc>
          <w:tcPr>
            <w:tcW w:w="633" w:type="dxa"/>
            <w:tcBorders>
              <w:right w:val="single" w:sz="8" w:space="0" w:color="auto"/>
            </w:tcBorders>
            <w:tcMar>
              <w:left w:w="28" w:type="dxa"/>
              <w:right w:w="28" w:type="dxa"/>
            </w:tcMar>
            <w:vAlign w:val="center"/>
          </w:tcPr>
          <w:p w14:paraId="066BE1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94,900</w:t>
            </w:r>
          </w:p>
        </w:tc>
        <w:tc>
          <w:tcPr>
            <w:tcW w:w="634" w:type="dxa"/>
            <w:tcBorders>
              <w:left w:val="single" w:sz="8" w:space="0" w:color="auto"/>
              <w:right w:val="single" w:sz="4" w:space="0" w:color="auto"/>
            </w:tcBorders>
            <w:tcMar>
              <w:left w:w="28" w:type="dxa"/>
              <w:right w:w="28" w:type="dxa"/>
            </w:tcMar>
            <w:vAlign w:val="center"/>
          </w:tcPr>
          <w:p w14:paraId="73B98D7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55,500</w:t>
            </w:r>
          </w:p>
        </w:tc>
      </w:tr>
      <w:tr w:rsidR="00711FE4" w:rsidRPr="00711FE4" w14:paraId="5EC8F2DF" w14:textId="77777777" w:rsidTr="00366F04">
        <w:trPr>
          <w:trHeight w:val="255"/>
          <w:jc w:val="center"/>
        </w:trPr>
        <w:tc>
          <w:tcPr>
            <w:tcW w:w="745" w:type="dxa"/>
            <w:vMerge/>
          </w:tcPr>
          <w:p w14:paraId="050AEA3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EC7552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2014</w:t>
            </w:r>
          </w:p>
        </w:tc>
        <w:tc>
          <w:tcPr>
            <w:tcW w:w="633" w:type="dxa"/>
            <w:tcMar>
              <w:left w:w="28" w:type="dxa"/>
              <w:right w:w="28" w:type="dxa"/>
            </w:tcMar>
            <w:vAlign w:val="center"/>
          </w:tcPr>
          <w:p w14:paraId="1019D2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24,100</w:t>
            </w:r>
          </w:p>
        </w:tc>
        <w:tc>
          <w:tcPr>
            <w:tcW w:w="633" w:type="dxa"/>
            <w:tcMar>
              <w:left w:w="28" w:type="dxa"/>
              <w:right w:w="28" w:type="dxa"/>
            </w:tcMar>
            <w:vAlign w:val="center"/>
          </w:tcPr>
          <w:p w14:paraId="49AB11C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28,500</w:t>
            </w:r>
          </w:p>
        </w:tc>
        <w:tc>
          <w:tcPr>
            <w:tcW w:w="633" w:type="dxa"/>
            <w:tcMar>
              <w:left w:w="28" w:type="dxa"/>
              <w:right w:w="28" w:type="dxa"/>
            </w:tcMar>
            <w:vAlign w:val="center"/>
          </w:tcPr>
          <w:p w14:paraId="42D5687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34,000</w:t>
            </w:r>
          </w:p>
        </w:tc>
        <w:tc>
          <w:tcPr>
            <w:tcW w:w="633" w:type="dxa"/>
            <w:tcMar>
              <w:left w:w="28" w:type="dxa"/>
              <w:right w:w="28" w:type="dxa"/>
            </w:tcMar>
            <w:vAlign w:val="center"/>
          </w:tcPr>
          <w:p w14:paraId="1014818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40,400</w:t>
            </w:r>
          </w:p>
        </w:tc>
        <w:tc>
          <w:tcPr>
            <w:tcW w:w="633" w:type="dxa"/>
            <w:tcMar>
              <w:left w:w="28" w:type="dxa"/>
              <w:right w:w="28" w:type="dxa"/>
            </w:tcMar>
            <w:vAlign w:val="center"/>
          </w:tcPr>
          <w:p w14:paraId="7DBA070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46,400</w:t>
            </w:r>
          </w:p>
        </w:tc>
        <w:tc>
          <w:tcPr>
            <w:tcW w:w="634" w:type="dxa"/>
            <w:tcMar>
              <w:left w:w="28" w:type="dxa"/>
              <w:right w:w="28" w:type="dxa"/>
            </w:tcMar>
            <w:vAlign w:val="center"/>
          </w:tcPr>
          <w:p w14:paraId="64ABD84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55,200</w:t>
            </w:r>
          </w:p>
        </w:tc>
        <w:tc>
          <w:tcPr>
            <w:tcW w:w="633" w:type="dxa"/>
            <w:tcMar>
              <w:left w:w="28" w:type="dxa"/>
              <w:right w:w="28" w:type="dxa"/>
            </w:tcMar>
            <w:vAlign w:val="center"/>
          </w:tcPr>
          <w:p w14:paraId="2F95F67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64,300</w:t>
            </w:r>
          </w:p>
        </w:tc>
        <w:tc>
          <w:tcPr>
            <w:tcW w:w="633" w:type="dxa"/>
            <w:tcMar>
              <w:left w:w="28" w:type="dxa"/>
              <w:right w:w="28" w:type="dxa"/>
            </w:tcMar>
            <w:vAlign w:val="center"/>
          </w:tcPr>
          <w:p w14:paraId="271DDE3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77,900</w:t>
            </w:r>
          </w:p>
        </w:tc>
        <w:tc>
          <w:tcPr>
            <w:tcW w:w="633" w:type="dxa"/>
            <w:tcBorders>
              <w:right w:val="single" w:sz="8" w:space="0" w:color="auto"/>
            </w:tcBorders>
            <w:tcMar>
              <w:left w:w="28" w:type="dxa"/>
              <w:right w:w="28" w:type="dxa"/>
            </w:tcMar>
            <w:vAlign w:val="center"/>
          </w:tcPr>
          <w:p w14:paraId="3FE1F44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99,500</w:t>
            </w:r>
          </w:p>
        </w:tc>
        <w:tc>
          <w:tcPr>
            <w:tcW w:w="634" w:type="dxa"/>
            <w:tcBorders>
              <w:left w:val="single" w:sz="8" w:space="0" w:color="auto"/>
              <w:right w:val="single" w:sz="4" w:space="0" w:color="auto"/>
            </w:tcBorders>
            <w:tcMar>
              <w:left w:w="28" w:type="dxa"/>
              <w:right w:w="28" w:type="dxa"/>
            </w:tcMar>
            <w:vAlign w:val="center"/>
          </w:tcPr>
          <w:p w14:paraId="5A648ED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57,300</w:t>
            </w:r>
          </w:p>
        </w:tc>
      </w:tr>
      <w:tr w:rsidR="00711FE4" w:rsidRPr="00711FE4" w14:paraId="2C62F9F0" w14:textId="77777777" w:rsidTr="00366F04">
        <w:trPr>
          <w:trHeight w:val="255"/>
          <w:jc w:val="center"/>
        </w:trPr>
        <w:tc>
          <w:tcPr>
            <w:tcW w:w="745" w:type="dxa"/>
            <w:vMerge/>
          </w:tcPr>
          <w:p w14:paraId="5E1A3F4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FF9B68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2015</w:t>
            </w:r>
          </w:p>
        </w:tc>
        <w:tc>
          <w:tcPr>
            <w:tcW w:w="633" w:type="dxa"/>
            <w:tcMar>
              <w:left w:w="28" w:type="dxa"/>
              <w:right w:w="28" w:type="dxa"/>
            </w:tcMar>
            <w:vAlign w:val="center"/>
          </w:tcPr>
          <w:p w14:paraId="19DCDE1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25,300</w:t>
            </w:r>
          </w:p>
        </w:tc>
        <w:tc>
          <w:tcPr>
            <w:tcW w:w="633" w:type="dxa"/>
            <w:tcMar>
              <w:left w:w="28" w:type="dxa"/>
              <w:right w:w="28" w:type="dxa"/>
            </w:tcMar>
            <w:vAlign w:val="center"/>
          </w:tcPr>
          <w:p w14:paraId="4941124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29,800</w:t>
            </w:r>
          </w:p>
        </w:tc>
        <w:tc>
          <w:tcPr>
            <w:tcW w:w="633" w:type="dxa"/>
            <w:tcMar>
              <w:left w:w="28" w:type="dxa"/>
              <w:right w:w="28" w:type="dxa"/>
            </w:tcMar>
            <w:vAlign w:val="center"/>
          </w:tcPr>
          <w:p w14:paraId="6066827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35,600</w:t>
            </w:r>
          </w:p>
        </w:tc>
        <w:tc>
          <w:tcPr>
            <w:tcW w:w="633" w:type="dxa"/>
            <w:tcMar>
              <w:left w:w="28" w:type="dxa"/>
              <w:right w:w="28" w:type="dxa"/>
            </w:tcMar>
            <w:vAlign w:val="center"/>
          </w:tcPr>
          <w:p w14:paraId="57A8A95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41,800</w:t>
            </w:r>
          </w:p>
        </w:tc>
        <w:tc>
          <w:tcPr>
            <w:tcW w:w="633" w:type="dxa"/>
            <w:tcMar>
              <w:left w:w="28" w:type="dxa"/>
              <w:right w:w="28" w:type="dxa"/>
            </w:tcMar>
            <w:vAlign w:val="center"/>
          </w:tcPr>
          <w:p w14:paraId="7C751D5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48,200</w:t>
            </w:r>
          </w:p>
        </w:tc>
        <w:tc>
          <w:tcPr>
            <w:tcW w:w="634" w:type="dxa"/>
            <w:tcMar>
              <w:left w:w="28" w:type="dxa"/>
              <w:right w:w="28" w:type="dxa"/>
            </w:tcMar>
            <w:vAlign w:val="center"/>
          </w:tcPr>
          <w:p w14:paraId="33F4397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55,200</w:t>
            </w:r>
          </w:p>
        </w:tc>
        <w:tc>
          <w:tcPr>
            <w:tcW w:w="633" w:type="dxa"/>
            <w:tcMar>
              <w:left w:w="28" w:type="dxa"/>
              <w:right w:w="28" w:type="dxa"/>
            </w:tcMar>
            <w:vAlign w:val="center"/>
          </w:tcPr>
          <w:p w14:paraId="3B4CC1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64,600</w:t>
            </w:r>
          </w:p>
        </w:tc>
        <w:tc>
          <w:tcPr>
            <w:tcW w:w="633" w:type="dxa"/>
            <w:tcMar>
              <w:left w:w="28" w:type="dxa"/>
              <w:right w:w="28" w:type="dxa"/>
            </w:tcMar>
            <w:vAlign w:val="center"/>
          </w:tcPr>
          <w:p w14:paraId="0AA1711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77,200</w:t>
            </w:r>
          </w:p>
        </w:tc>
        <w:tc>
          <w:tcPr>
            <w:tcW w:w="633" w:type="dxa"/>
            <w:tcBorders>
              <w:right w:val="single" w:sz="8" w:space="0" w:color="auto"/>
            </w:tcBorders>
            <w:tcMar>
              <w:left w:w="28" w:type="dxa"/>
              <w:right w:w="28" w:type="dxa"/>
            </w:tcMar>
            <w:vAlign w:val="center"/>
          </w:tcPr>
          <w:p w14:paraId="6E7CFE7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99,100</w:t>
            </w:r>
          </w:p>
        </w:tc>
        <w:tc>
          <w:tcPr>
            <w:tcW w:w="634" w:type="dxa"/>
            <w:tcBorders>
              <w:left w:val="single" w:sz="8" w:space="0" w:color="auto"/>
              <w:right w:val="single" w:sz="4" w:space="0" w:color="auto"/>
            </w:tcBorders>
            <w:tcMar>
              <w:left w:w="28" w:type="dxa"/>
              <w:right w:w="28" w:type="dxa"/>
            </w:tcMar>
            <w:vAlign w:val="center"/>
          </w:tcPr>
          <w:p w14:paraId="4C3BC78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59,700</w:t>
            </w:r>
          </w:p>
        </w:tc>
      </w:tr>
      <w:tr w:rsidR="00711FE4" w:rsidRPr="00711FE4" w14:paraId="7CBE61E3" w14:textId="77777777" w:rsidTr="00366F04">
        <w:trPr>
          <w:trHeight w:val="255"/>
          <w:jc w:val="center"/>
        </w:trPr>
        <w:tc>
          <w:tcPr>
            <w:tcW w:w="745" w:type="dxa"/>
            <w:vMerge/>
          </w:tcPr>
          <w:p w14:paraId="6C1B28E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68FC1E8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2016</w:t>
            </w:r>
          </w:p>
        </w:tc>
        <w:tc>
          <w:tcPr>
            <w:tcW w:w="633" w:type="dxa"/>
            <w:tcMar>
              <w:left w:w="28" w:type="dxa"/>
              <w:right w:w="28" w:type="dxa"/>
            </w:tcMar>
            <w:vAlign w:val="center"/>
          </w:tcPr>
          <w:p w14:paraId="2B2BCBF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25,600</w:t>
            </w:r>
          </w:p>
        </w:tc>
        <w:tc>
          <w:tcPr>
            <w:tcW w:w="633" w:type="dxa"/>
            <w:tcMar>
              <w:left w:w="28" w:type="dxa"/>
              <w:right w:w="28" w:type="dxa"/>
            </w:tcMar>
            <w:vAlign w:val="center"/>
          </w:tcPr>
          <w:p w14:paraId="4A3D12B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30,500</w:t>
            </w:r>
          </w:p>
        </w:tc>
        <w:tc>
          <w:tcPr>
            <w:tcW w:w="633" w:type="dxa"/>
            <w:tcMar>
              <w:left w:w="28" w:type="dxa"/>
              <w:right w:w="28" w:type="dxa"/>
            </w:tcMar>
            <w:vAlign w:val="center"/>
          </w:tcPr>
          <w:p w14:paraId="240472C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36,000</w:t>
            </w:r>
          </w:p>
        </w:tc>
        <w:tc>
          <w:tcPr>
            <w:tcW w:w="633" w:type="dxa"/>
            <w:tcMar>
              <w:left w:w="28" w:type="dxa"/>
              <w:right w:w="28" w:type="dxa"/>
            </w:tcMar>
            <w:vAlign w:val="center"/>
          </w:tcPr>
          <w:p w14:paraId="59B3931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41,500</w:t>
            </w:r>
          </w:p>
        </w:tc>
        <w:tc>
          <w:tcPr>
            <w:tcW w:w="633" w:type="dxa"/>
            <w:tcMar>
              <w:left w:w="28" w:type="dxa"/>
              <w:right w:w="28" w:type="dxa"/>
            </w:tcMar>
            <w:vAlign w:val="center"/>
          </w:tcPr>
          <w:p w14:paraId="591E6A3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47,400</w:t>
            </w:r>
          </w:p>
        </w:tc>
        <w:tc>
          <w:tcPr>
            <w:tcW w:w="634" w:type="dxa"/>
            <w:tcMar>
              <w:left w:w="28" w:type="dxa"/>
              <w:right w:w="28" w:type="dxa"/>
            </w:tcMar>
            <w:vAlign w:val="center"/>
          </w:tcPr>
          <w:p w14:paraId="7EDD94C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54,400</w:t>
            </w:r>
          </w:p>
        </w:tc>
        <w:tc>
          <w:tcPr>
            <w:tcW w:w="633" w:type="dxa"/>
            <w:tcMar>
              <w:left w:w="28" w:type="dxa"/>
              <w:right w:w="28" w:type="dxa"/>
            </w:tcMar>
            <w:vAlign w:val="center"/>
          </w:tcPr>
          <w:p w14:paraId="15A247A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64,500</w:t>
            </w:r>
          </w:p>
        </w:tc>
        <w:tc>
          <w:tcPr>
            <w:tcW w:w="633" w:type="dxa"/>
            <w:tcMar>
              <w:left w:w="28" w:type="dxa"/>
              <w:right w:w="28" w:type="dxa"/>
            </w:tcMar>
            <w:vAlign w:val="center"/>
          </w:tcPr>
          <w:p w14:paraId="0DA2A62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77,600</w:t>
            </w:r>
          </w:p>
        </w:tc>
        <w:tc>
          <w:tcPr>
            <w:tcW w:w="633" w:type="dxa"/>
            <w:tcBorders>
              <w:right w:val="single" w:sz="8" w:space="0" w:color="auto"/>
            </w:tcBorders>
            <w:tcMar>
              <w:left w:w="28" w:type="dxa"/>
              <w:right w:w="28" w:type="dxa"/>
            </w:tcMar>
            <w:vAlign w:val="center"/>
          </w:tcPr>
          <w:p w14:paraId="33CD2E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102,400</w:t>
            </w:r>
          </w:p>
        </w:tc>
        <w:tc>
          <w:tcPr>
            <w:tcW w:w="634" w:type="dxa"/>
            <w:tcBorders>
              <w:left w:val="single" w:sz="8" w:space="0" w:color="auto"/>
              <w:right w:val="single" w:sz="4" w:space="0" w:color="auto"/>
            </w:tcBorders>
            <w:tcMar>
              <w:left w:w="28" w:type="dxa"/>
              <w:right w:w="28" w:type="dxa"/>
            </w:tcMar>
            <w:vAlign w:val="center"/>
          </w:tcPr>
          <w:p w14:paraId="61906D4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58,800</w:t>
            </w:r>
          </w:p>
        </w:tc>
      </w:tr>
      <w:tr w:rsidR="00711FE4" w:rsidRPr="00711FE4" w14:paraId="2588B638" w14:textId="77777777" w:rsidTr="00366F04">
        <w:trPr>
          <w:trHeight w:val="255"/>
          <w:jc w:val="center"/>
        </w:trPr>
        <w:tc>
          <w:tcPr>
            <w:tcW w:w="745" w:type="dxa"/>
            <w:vMerge/>
          </w:tcPr>
          <w:p w14:paraId="2EBE3AC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52E19AC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2017</w:t>
            </w:r>
          </w:p>
        </w:tc>
        <w:tc>
          <w:tcPr>
            <w:tcW w:w="633" w:type="dxa"/>
            <w:tcMar>
              <w:left w:w="28" w:type="dxa"/>
              <w:right w:w="28" w:type="dxa"/>
            </w:tcMar>
            <w:vAlign w:val="center"/>
          </w:tcPr>
          <w:p w14:paraId="33FB2D1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26,100</w:t>
            </w:r>
          </w:p>
        </w:tc>
        <w:tc>
          <w:tcPr>
            <w:tcW w:w="633" w:type="dxa"/>
            <w:tcMar>
              <w:left w:w="28" w:type="dxa"/>
              <w:right w:w="28" w:type="dxa"/>
            </w:tcMar>
            <w:vAlign w:val="center"/>
          </w:tcPr>
          <w:p w14:paraId="45FCB3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30,800</w:t>
            </w:r>
          </w:p>
        </w:tc>
        <w:tc>
          <w:tcPr>
            <w:tcW w:w="633" w:type="dxa"/>
            <w:tcMar>
              <w:left w:w="28" w:type="dxa"/>
              <w:right w:w="28" w:type="dxa"/>
            </w:tcMar>
            <w:vAlign w:val="center"/>
          </w:tcPr>
          <w:p w14:paraId="0A72A29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37,400</w:t>
            </w:r>
          </w:p>
        </w:tc>
        <w:tc>
          <w:tcPr>
            <w:tcW w:w="633" w:type="dxa"/>
            <w:tcMar>
              <w:left w:w="28" w:type="dxa"/>
              <w:right w:w="28" w:type="dxa"/>
            </w:tcMar>
            <w:vAlign w:val="center"/>
          </w:tcPr>
          <w:p w14:paraId="6AD3204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43,600</w:t>
            </w:r>
          </w:p>
        </w:tc>
        <w:tc>
          <w:tcPr>
            <w:tcW w:w="633" w:type="dxa"/>
            <w:tcMar>
              <w:left w:w="28" w:type="dxa"/>
              <w:right w:w="28" w:type="dxa"/>
            </w:tcMar>
            <w:vAlign w:val="center"/>
          </w:tcPr>
          <w:p w14:paraId="408A96A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50,200</w:t>
            </w:r>
          </w:p>
        </w:tc>
        <w:tc>
          <w:tcPr>
            <w:tcW w:w="634" w:type="dxa"/>
            <w:tcMar>
              <w:left w:w="28" w:type="dxa"/>
              <w:right w:w="28" w:type="dxa"/>
            </w:tcMar>
            <w:vAlign w:val="center"/>
          </w:tcPr>
          <w:p w14:paraId="1FC1F0D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57,600</w:t>
            </w:r>
          </w:p>
        </w:tc>
        <w:tc>
          <w:tcPr>
            <w:tcW w:w="633" w:type="dxa"/>
            <w:tcMar>
              <w:left w:w="28" w:type="dxa"/>
              <w:right w:w="28" w:type="dxa"/>
            </w:tcMar>
            <w:vAlign w:val="center"/>
          </w:tcPr>
          <w:p w14:paraId="6E40303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66,900</w:t>
            </w:r>
          </w:p>
        </w:tc>
        <w:tc>
          <w:tcPr>
            <w:tcW w:w="633" w:type="dxa"/>
            <w:tcMar>
              <w:left w:w="28" w:type="dxa"/>
              <w:right w:w="28" w:type="dxa"/>
            </w:tcMar>
            <w:vAlign w:val="center"/>
          </w:tcPr>
          <w:p w14:paraId="2F872B0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80,100</w:t>
            </w:r>
          </w:p>
        </w:tc>
        <w:tc>
          <w:tcPr>
            <w:tcW w:w="633" w:type="dxa"/>
            <w:tcBorders>
              <w:right w:val="single" w:sz="8" w:space="0" w:color="auto"/>
            </w:tcBorders>
            <w:tcMar>
              <w:left w:w="28" w:type="dxa"/>
              <w:right w:w="28" w:type="dxa"/>
            </w:tcMar>
            <w:vAlign w:val="center"/>
          </w:tcPr>
          <w:p w14:paraId="6F89FB5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103,600</w:t>
            </w:r>
          </w:p>
        </w:tc>
        <w:tc>
          <w:tcPr>
            <w:tcW w:w="634" w:type="dxa"/>
            <w:tcBorders>
              <w:left w:val="single" w:sz="8" w:space="0" w:color="auto"/>
              <w:right w:val="single" w:sz="4" w:space="0" w:color="auto"/>
            </w:tcBorders>
            <w:tcMar>
              <w:left w:w="28" w:type="dxa"/>
              <w:right w:w="28" w:type="dxa"/>
            </w:tcMar>
            <w:vAlign w:val="center"/>
          </w:tcPr>
          <w:p w14:paraId="1B7D007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61,400</w:t>
            </w:r>
          </w:p>
        </w:tc>
      </w:tr>
      <w:tr w:rsidR="00711FE4" w:rsidRPr="00711FE4" w14:paraId="2700EC40" w14:textId="77777777" w:rsidTr="00366F04">
        <w:trPr>
          <w:trHeight w:val="255"/>
          <w:jc w:val="center"/>
        </w:trPr>
        <w:tc>
          <w:tcPr>
            <w:tcW w:w="745" w:type="dxa"/>
            <w:vMerge/>
          </w:tcPr>
          <w:p w14:paraId="08C3510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4807FC0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2018</w:t>
            </w:r>
          </w:p>
        </w:tc>
        <w:tc>
          <w:tcPr>
            <w:tcW w:w="633" w:type="dxa"/>
            <w:tcMar>
              <w:left w:w="28" w:type="dxa"/>
              <w:right w:w="28" w:type="dxa"/>
            </w:tcMar>
            <w:vAlign w:val="center"/>
          </w:tcPr>
          <w:p w14:paraId="755BFF1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26,100</w:t>
            </w:r>
          </w:p>
        </w:tc>
        <w:tc>
          <w:tcPr>
            <w:tcW w:w="633" w:type="dxa"/>
            <w:tcMar>
              <w:left w:w="28" w:type="dxa"/>
              <w:right w:w="28" w:type="dxa"/>
            </w:tcMar>
            <w:vAlign w:val="center"/>
          </w:tcPr>
          <w:p w14:paraId="6555124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31,300</w:t>
            </w:r>
          </w:p>
        </w:tc>
        <w:tc>
          <w:tcPr>
            <w:tcW w:w="633" w:type="dxa"/>
            <w:tcMar>
              <w:left w:w="28" w:type="dxa"/>
              <w:right w:w="28" w:type="dxa"/>
            </w:tcMar>
            <w:vAlign w:val="center"/>
          </w:tcPr>
          <w:p w14:paraId="0BAC202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37,500</w:t>
            </w:r>
          </w:p>
        </w:tc>
        <w:tc>
          <w:tcPr>
            <w:tcW w:w="633" w:type="dxa"/>
            <w:tcMar>
              <w:left w:w="28" w:type="dxa"/>
              <w:right w:w="28" w:type="dxa"/>
            </w:tcMar>
            <w:vAlign w:val="center"/>
          </w:tcPr>
          <w:p w14:paraId="655ABF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44,200</w:t>
            </w:r>
          </w:p>
        </w:tc>
        <w:tc>
          <w:tcPr>
            <w:tcW w:w="633" w:type="dxa"/>
            <w:tcMar>
              <w:left w:w="28" w:type="dxa"/>
              <w:right w:w="28" w:type="dxa"/>
            </w:tcMar>
            <w:vAlign w:val="center"/>
          </w:tcPr>
          <w:p w14:paraId="656ACBB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51,400</w:t>
            </w:r>
          </w:p>
        </w:tc>
        <w:tc>
          <w:tcPr>
            <w:tcW w:w="634" w:type="dxa"/>
            <w:tcMar>
              <w:left w:w="28" w:type="dxa"/>
              <w:right w:w="28" w:type="dxa"/>
            </w:tcMar>
            <w:vAlign w:val="center"/>
          </w:tcPr>
          <w:p w14:paraId="4D15E8E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59,600</w:t>
            </w:r>
          </w:p>
        </w:tc>
        <w:tc>
          <w:tcPr>
            <w:tcW w:w="633" w:type="dxa"/>
            <w:tcMar>
              <w:left w:w="28" w:type="dxa"/>
              <w:right w:w="28" w:type="dxa"/>
            </w:tcMar>
            <w:vAlign w:val="center"/>
          </w:tcPr>
          <w:p w14:paraId="5C957D7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68,300</w:t>
            </w:r>
          </w:p>
        </w:tc>
        <w:tc>
          <w:tcPr>
            <w:tcW w:w="633" w:type="dxa"/>
            <w:tcMar>
              <w:left w:w="28" w:type="dxa"/>
              <w:right w:w="28" w:type="dxa"/>
            </w:tcMar>
            <w:vAlign w:val="center"/>
          </w:tcPr>
          <w:p w14:paraId="6DFB7FB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81,400</w:t>
            </w:r>
          </w:p>
        </w:tc>
        <w:tc>
          <w:tcPr>
            <w:tcW w:w="633" w:type="dxa"/>
            <w:tcBorders>
              <w:right w:val="single" w:sz="8" w:space="0" w:color="auto"/>
            </w:tcBorders>
            <w:tcMar>
              <w:left w:w="28" w:type="dxa"/>
              <w:right w:w="28" w:type="dxa"/>
            </w:tcMar>
            <w:vAlign w:val="center"/>
          </w:tcPr>
          <w:p w14:paraId="645EA95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108,000</w:t>
            </w:r>
          </w:p>
        </w:tc>
        <w:tc>
          <w:tcPr>
            <w:tcW w:w="634" w:type="dxa"/>
            <w:tcBorders>
              <w:left w:val="single" w:sz="8" w:space="0" w:color="auto"/>
              <w:right w:val="single" w:sz="4" w:space="0" w:color="auto"/>
            </w:tcBorders>
            <w:tcMar>
              <w:left w:w="28" w:type="dxa"/>
              <w:right w:w="28" w:type="dxa"/>
            </w:tcMar>
            <w:vAlign w:val="center"/>
          </w:tcPr>
          <w:p w14:paraId="1E93CBD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62,300</w:t>
            </w:r>
          </w:p>
        </w:tc>
      </w:tr>
      <w:tr w:rsidR="00711FE4" w:rsidRPr="00711FE4" w14:paraId="734B059A" w14:textId="77777777" w:rsidTr="00366F04">
        <w:trPr>
          <w:trHeight w:val="255"/>
          <w:jc w:val="center"/>
        </w:trPr>
        <w:tc>
          <w:tcPr>
            <w:tcW w:w="745" w:type="dxa"/>
            <w:vMerge w:val="restart"/>
          </w:tcPr>
          <w:p w14:paraId="69741C9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HES-Admin</w:t>
            </w:r>
          </w:p>
        </w:tc>
        <w:tc>
          <w:tcPr>
            <w:tcW w:w="598" w:type="dxa"/>
            <w:tcMar>
              <w:left w:w="28" w:type="dxa"/>
              <w:right w:w="28" w:type="dxa"/>
            </w:tcMar>
            <w:vAlign w:val="center"/>
          </w:tcPr>
          <w:p w14:paraId="267A397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2019</w:t>
            </w:r>
          </w:p>
        </w:tc>
        <w:tc>
          <w:tcPr>
            <w:tcW w:w="633" w:type="dxa"/>
            <w:tcMar>
              <w:left w:w="28" w:type="dxa"/>
              <w:right w:w="28" w:type="dxa"/>
            </w:tcMar>
            <w:vAlign w:val="center"/>
          </w:tcPr>
          <w:p w14:paraId="39FBEE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26,400</w:t>
            </w:r>
          </w:p>
        </w:tc>
        <w:tc>
          <w:tcPr>
            <w:tcW w:w="633" w:type="dxa"/>
            <w:tcMar>
              <w:left w:w="28" w:type="dxa"/>
              <w:right w:w="28" w:type="dxa"/>
            </w:tcMar>
            <w:vAlign w:val="center"/>
          </w:tcPr>
          <w:p w14:paraId="110C28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31,700</w:t>
            </w:r>
          </w:p>
        </w:tc>
        <w:tc>
          <w:tcPr>
            <w:tcW w:w="633" w:type="dxa"/>
            <w:tcMar>
              <w:left w:w="28" w:type="dxa"/>
              <w:right w:w="28" w:type="dxa"/>
            </w:tcMar>
            <w:vAlign w:val="center"/>
          </w:tcPr>
          <w:p w14:paraId="1A784A4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38,200</w:t>
            </w:r>
          </w:p>
        </w:tc>
        <w:tc>
          <w:tcPr>
            <w:tcW w:w="633" w:type="dxa"/>
            <w:tcMar>
              <w:left w:w="28" w:type="dxa"/>
              <w:right w:w="28" w:type="dxa"/>
            </w:tcMar>
            <w:vAlign w:val="center"/>
          </w:tcPr>
          <w:p w14:paraId="13C717E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45,000</w:t>
            </w:r>
          </w:p>
        </w:tc>
        <w:tc>
          <w:tcPr>
            <w:tcW w:w="633" w:type="dxa"/>
            <w:tcMar>
              <w:left w:w="28" w:type="dxa"/>
              <w:right w:w="28" w:type="dxa"/>
            </w:tcMar>
            <w:vAlign w:val="center"/>
          </w:tcPr>
          <w:p w14:paraId="57EBFD8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52,100</w:t>
            </w:r>
          </w:p>
        </w:tc>
        <w:tc>
          <w:tcPr>
            <w:tcW w:w="634" w:type="dxa"/>
            <w:tcMar>
              <w:left w:w="28" w:type="dxa"/>
              <w:right w:w="28" w:type="dxa"/>
            </w:tcMar>
            <w:vAlign w:val="center"/>
          </w:tcPr>
          <w:p w14:paraId="13695E3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59,500</w:t>
            </w:r>
          </w:p>
        </w:tc>
        <w:tc>
          <w:tcPr>
            <w:tcW w:w="633" w:type="dxa"/>
            <w:tcMar>
              <w:left w:w="28" w:type="dxa"/>
              <w:right w:w="28" w:type="dxa"/>
            </w:tcMar>
            <w:vAlign w:val="center"/>
          </w:tcPr>
          <w:p w14:paraId="4C500C5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68,800</w:t>
            </w:r>
          </w:p>
        </w:tc>
        <w:tc>
          <w:tcPr>
            <w:tcW w:w="633" w:type="dxa"/>
            <w:tcMar>
              <w:left w:w="28" w:type="dxa"/>
              <w:right w:w="28" w:type="dxa"/>
            </w:tcMar>
            <w:vAlign w:val="center"/>
          </w:tcPr>
          <w:p w14:paraId="35F7485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80,500</w:t>
            </w:r>
          </w:p>
        </w:tc>
        <w:tc>
          <w:tcPr>
            <w:tcW w:w="633" w:type="dxa"/>
            <w:tcBorders>
              <w:right w:val="single" w:sz="8" w:space="0" w:color="auto"/>
            </w:tcBorders>
            <w:tcMar>
              <w:left w:w="28" w:type="dxa"/>
              <w:right w:w="28" w:type="dxa"/>
            </w:tcMar>
            <w:vAlign w:val="center"/>
          </w:tcPr>
          <w:p w14:paraId="6A9E20E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101,000</w:t>
            </w:r>
          </w:p>
        </w:tc>
        <w:tc>
          <w:tcPr>
            <w:tcW w:w="634" w:type="dxa"/>
            <w:tcBorders>
              <w:left w:val="single" w:sz="8" w:space="0" w:color="auto"/>
              <w:right w:val="single" w:sz="4" w:space="0" w:color="auto"/>
            </w:tcBorders>
            <w:tcMar>
              <w:left w:w="28" w:type="dxa"/>
              <w:right w:w="28" w:type="dxa"/>
            </w:tcMar>
            <w:vAlign w:val="center"/>
          </w:tcPr>
          <w:p w14:paraId="4F61BAE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60,700</w:t>
            </w:r>
          </w:p>
        </w:tc>
      </w:tr>
      <w:tr w:rsidR="00711FE4" w:rsidRPr="00711FE4" w14:paraId="74CEED02" w14:textId="77777777" w:rsidTr="00366F04">
        <w:trPr>
          <w:trHeight w:val="255"/>
          <w:jc w:val="center"/>
        </w:trPr>
        <w:tc>
          <w:tcPr>
            <w:tcW w:w="745" w:type="dxa"/>
            <w:vMerge/>
          </w:tcPr>
          <w:p w14:paraId="2022EA2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767E4BF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2020</w:t>
            </w:r>
          </w:p>
        </w:tc>
        <w:tc>
          <w:tcPr>
            <w:tcW w:w="633" w:type="dxa"/>
            <w:tcMar>
              <w:left w:w="28" w:type="dxa"/>
              <w:right w:w="28" w:type="dxa"/>
            </w:tcMar>
            <w:vAlign w:val="center"/>
          </w:tcPr>
          <w:p w14:paraId="6634FC2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26,600</w:t>
            </w:r>
          </w:p>
        </w:tc>
        <w:tc>
          <w:tcPr>
            <w:tcW w:w="633" w:type="dxa"/>
            <w:tcMar>
              <w:left w:w="28" w:type="dxa"/>
              <w:right w:w="28" w:type="dxa"/>
            </w:tcMar>
            <w:vAlign w:val="center"/>
          </w:tcPr>
          <w:p w14:paraId="19B936D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32,000</w:t>
            </w:r>
          </w:p>
        </w:tc>
        <w:tc>
          <w:tcPr>
            <w:tcW w:w="633" w:type="dxa"/>
            <w:tcMar>
              <w:left w:w="28" w:type="dxa"/>
              <w:right w:w="28" w:type="dxa"/>
            </w:tcMar>
            <w:vAlign w:val="center"/>
          </w:tcPr>
          <w:p w14:paraId="717A6A9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38,600</w:t>
            </w:r>
          </w:p>
        </w:tc>
        <w:tc>
          <w:tcPr>
            <w:tcW w:w="633" w:type="dxa"/>
            <w:tcMar>
              <w:left w:w="28" w:type="dxa"/>
              <w:right w:w="28" w:type="dxa"/>
            </w:tcMar>
            <w:vAlign w:val="center"/>
          </w:tcPr>
          <w:p w14:paraId="0058067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45,200</w:t>
            </w:r>
          </w:p>
        </w:tc>
        <w:tc>
          <w:tcPr>
            <w:tcW w:w="633" w:type="dxa"/>
            <w:tcMar>
              <w:left w:w="28" w:type="dxa"/>
              <w:right w:w="28" w:type="dxa"/>
            </w:tcMar>
            <w:vAlign w:val="center"/>
          </w:tcPr>
          <w:p w14:paraId="4BFBB99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52,300</w:t>
            </w:r>
          </w:p>
        </w:tc>
        <w:tc>
          <w:tcPr>
            <w:tcW w:w="634" w:type="dxa"/>
            <w:tcMar>
              <w:left w:w="28" w:type="dxa"/>
              <w:right w:w="28" w:type="dxa"/>
            </w:tcMar>
            <w:vAlign w:val="center"/>
          </w:tcPr>
          <w:p w14:paraId="130C04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59,700</w:t>
            </w:r>
          </w:p>
        </w:tc>
        <w:tc>
          <w:tcPr>
            <w:tcW w:w="633" w:type="dxa"/>
            <w:tcMar>
              <w:left w:w="28" w:type="dxa"/>
              <w:right w:w="28" w:type="dxa"/>
            </w:tcMar>
            <w:vAlign w:val="center"/>
          </w:tcPr>
          <w:p w14:paraId="4F0D6DB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69,200</w:t>
            </w:r>
          </w:p>
        </w:tc>
        <w:tc>
          <w:tcPr>
            <w:tcW w:w="633" w:type="dxa"/>
            <w:tcMar>
              <w:left w:w="28" w:type="dxa"/>
              <w:right w:w="28" w:type="dxa"/>
            </w:tcMar>
            <w:vAlign w:val="center"/>
          </w:tcPr>
          <w:p w14:paraId="5136CF5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81,600</w:t>
            </w:r>
          </w:p>
        </w:tc>
        <w:tc>
          <w:tcPr>
            <w:tcW w:w="633" w:type="dxa"/>
            <w:tcBorders>
              <w:right w:val="single" w:sz="8" w:space="0" w:color="auto"/>
            </w:tcBorders>
            <w:tcMar>
              <w:left w:w="28" w:type="dxa"/>
              <w:right w:w="28" w:type="dxa"/>
            </w:tcMar>
            <w:vAlign w:val="center"/>
          </w:tcPr>
          <w:p w14:paraId="3EBDDA0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101,000</w:t>
            </w:r>
          </w:p>
        </w:tc>
        <w:tc>
          <w:tcPr>
            <w:tcW w:w="634" w:type="dxa"/>
            <w:tcBorders>
              <w:left w:val="single" w:sz="8" w:space="0" w:color="auto"/>
              <w:right w:val="single" w:sz="4" w:space="0" w:color="auto"/>
            </w:tcBorders>
            <w:tcMar>
              <w:left w:w="28" w:type="dxa"/>
              <w:right w:w="28" w:type="dxa"/>
            </w:tcMar>
            <w:vAlign w:val="center"/>
          </w:tcPr>
          <w:p w14:paraId="1461538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60,800</w:t>
            </w:r>
          </w:p>
        </w:tc>
      </w:tr>
      <w:tr w:rsidR="00711FE4" w:rsidRPr="00711FE4" w14:paraId="0DD58B86" w14:textId="77777777" w:rsidTr="00366F04">
        <w:trPr>
          <w:trHeight w:val="255"/>
          <w:jc w:val="center"/>
        </w:trPr>
        <w:tc>
          <w:tcPr>
            <w:tcW w:w="745" w:type="dxa"/>
            <w:vMerge/>
          </w:tcPr>
          <w:p w14:paraId="41676D0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37CF40F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2021</w:t>
            </w:r>
          </w:p>
        </w:tc>
        <w:tc>
          <w:tcPr>
            <w:tcW w:w="633" w:type="dxa"/>
            <w:tcMar>
              <w:left w:w="28" w:type="dxa"/>
              <w:right w:w="28" w:type="dxa"/>
            </w:tcMar>
            <w:vAlign w:val="center"/>
          </w:tcPr>
          <w:p w14:paraId="24FD561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28,200</w:t>
            </w:r>
          </w:p>
        </w:tc>
        <w:tc>
          <w:tcPr>
            <w:tcW w:w="633" w:type="dxa"/>
            <w:tcMar>
              <w:left w:w="28" w:type="dxa"/>
              <w:right w:w="28" w:type="dxa"/>
            </w:tcMar>
            <w:vAlign w:val="center"/>
          </w:tcPr>
          <w:p w14:paraId="25DCC0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34,000</w:t>
            </w:r>
          </w:p>
        </w:tc>
        <w:tc>
          <w:tcPr>
            <w:tcW w:w="633" w:type="dxa"/>
            <w:tcMar>
              <w:left w:w="28" w:type="dxa"/>
              <w:right w:w="28" w:type="dxa"/>
            </w:tcMar>
            <w:vAlign w:val="center"/>
          </w:tcPr>
          <w:p w14:paraId="20C9D47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40,600</w:t>
            </w:r>
          </w:p>
        </w:tc>
        <w:tc>
          <w:tcPr>
            <w:tcW w:w="633" w:type="dxa"/>
            <w:tcMar>
              <w:left w:w="28" w:type="dxa"/>
              <w:right w:w="28" w:type="dxa"/>
            </w:tcMar>
            <w:vAlign w:val="center"/>
          </w:tcPr>
          <w:p w14:paraId="79E89D3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47,500</w:t>
            </w:r>
          </w:p>
        </w:tc>
        <w:tc>
          <w:tcPr>
            <w:tcW w:w="633" w:type="dxa"/>
            <w:tcMar>
              <w:left w:w="28" w:type="dxa"/>
              <w:right w:w="28" w:type="dxa"/>
            </w:tcMar>
            <w:vAlign w:val="center"/>
          </w:tcPr>
          <w:p w14:paraId="6BE330F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54,500</w:t>
            </w:r>
          </w:p>
        </w:tc>
        <w:tc>
          <w:tcPr>
            <w:tcW w:w="634" w:type="dxa"/>
            <w:tcMar>
              <w:left w:w="28" w:type="dxa"/>
              <w:right w:w="28" w:type="dxa"/>
            </w:tcMar>
            <w:vAlign w:val="center"/>
          </w:tcPr>
          <w:p w14:paraId="05DAA81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61,900</w:t>
            </w:r>
          </w:p>
        </w:tc>
        <w:tc>
          <w:tcPr>
            <w:tcW w:w="633" w:type="dxa"/>
            <w:tcMar>
              <w:left w:w="28" w:type="dxa"/>
              <w:right w:w="28" w:type="dxa"/>
            </w:tcMar>
            <w:vAlign w:val="center"/>
          </w:tcPr>
          <w:p w14:paraId="306F0F9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71,000</w:t>
            </w:r>
          </w:p>
        </w:tc>
        <w:tc>
          <w:tcPr>
            <w:tcW w:w="633" w:type="dxa"/>
            <w:tcMar>
              <w:left w:w="28" w:type="dxa"/>
              <w:right w:w="28" w:type="dxa"/>
            </w:tcMar>
            <w:vAlign w:val="center"/>
          </w:tcPr>
          <w:p w14:paraId="2FB4CA4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84,000</w:t>
            </w:r>
          </w:p>
        </w:tc>
        <w:tc>
          <w:tcPr>
            <w:tcW w:w="633" w:type="dxa"/>
            <w:tcBorders>
              <w:right w:val="single" w:sz="8" w:space="0" w:color="auto"/>
            </w:tcBorders>
            <w:tcMar>
              <w:left w:w="28" w:type="dxa"/>
              <w:right w:w="28" w:type="dxa"/>
            </w:tcMar>
            <w:vAlign w:val="center"/>
          </w:tcPr>
          <w:p w14:paraId="45C1AE4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104,700</w:t>
            </w:r>
          </w:p>
        </w:tc>
        <w:tc>
          <w:tcPr>
            <w:tcW w:w="634" w:type="dxa"/>
            <w:tcBorders>
              <w:left w:val="single" w:sz="8" w:space="0" w:color="auto"/>
              <w:right w:val="single" w:sz="4" w:space="0" w:color="auto"/>
            </w:tcBorders>
            <w:tcMar>
              <w:left w:w="28" w:type="dxa"/>
              <w:right w:w="28" w:type="dxa"/>
            </w:tcMar>
            <w:vAlign w:val="center"/>
          </w:tcPr>
          <w:p w14:paraId="3247F6D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63,000</w:t>
            </w:r>
          </w:p>
        </w:tc>
      </w:tr>
      <w:tr w:rsidR="00711FE4" w:rsidRPr="00711FE4" w14:paraId="15879DDF" w14:textId="77777777" w:rsidTr="00366F04">
        <w:trPr>
          <w:trHeight w:val="255"/>
          <w:jc w:val="center"/>
        </w:trPr>
        <w:tc>
          <w:tcPr>
            <w:tcW w:w="745" w:type="dxa"/>
            <w:vMerge/>
          </w:tcPr>
          <w:p w14:paraId="545638F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AD553A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2022</w:t>
            </w:r>
          </w:p>
        </w:tc>
        <w:tc>
          <w:tcPr>
            <w:tcW w:w="633" w:type="dxa"/>
            <w:tcMar>
              <w:left w:w="28" w:type="dxa"/>
              <w:right w:w="28" w:type="dxa"/>
            </w:tcMar>
            <w:vAlign w:val="center"/>
          </w:tcPr>
          <w:p w14:paraId="34F6C5F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27,400</w:t>
            </w:r>
          </w:p>
        </w:tc>
        <w:tc>
          <w:tcPr>
            <w:tcW w:w="633" w:type="dxa"/>
            <w:tcMar>
              <w:left w:w="28" w:type="dxa"/>
              <w:right w:w="28" w:type="dxa"/>
            </w:tcMar>
            <w:vAlign w:val="center"/>
          </w:tcPr>
          <w:p w14:paraId="7A14A90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33,800</w:t>
            </w:r>
          </w:p>
        </w:tc>
        <w:tc>
          <w:tcPr>
            <w:tcW w:w="633" w:type="dxa"/>
            <w:tcMar>
              <w:left w:w="28" w:type="dxa"/>
              <w:right w:w="28" w:type="dxa"/>
            </w:tcMar>
            <w:vAlign w:val="center"/>
          </w:tcPr>
          <w:p w14:paraId="05A67D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40,700</w:t>
            </w:r>
          </w:p>
        </w:tc>
        <w:tc>
          <w:tcPr>
            <w:tcW w:w="633" w:type="dxa"/>
            <w:tcMar>
              <w:left w:w="28" w:type="dxa"/>
              <w:right w:w="28" w:type="dxa"/>
            </w:tcMar>
            <w:vAlign w:val="center"/>
          </w:tcPr>
          <w:p w14:paraId="5F2DCF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47,500</w:t>
            </w:r>
          </w:p>
        </w:tc>
        <w:tc>
          <w:tcPr>
            <w:tcW w:w="633" w:type="dxa"/>
            <w:tcMar>
              <w:left w:w="28" w:type="dxa"/>
              <w:right w:w="28" w:type="dxa"/>
            </w:tcMar>
            <w:vAlign w:val="center"/>
          </w:tcPr>
          <w:p w14:paraId="7B8C5DB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54,600</w:t>
            </w:r>
          </w:p>
        </w:tc>
        <w:tc>
          <w:tcPr>
            <w:tcW w:w="634" w:type="dxa"/>
            <w:tcMar>
              <w:left w:w="28" w:type="dxa"/>
              <w:right w:w="28" w:type="dxa"/>
            </w:tcMar>
            <w:vAlign w:val="center"/>
          </w:tcPr>
          <w:p w14:paraId="52F3850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62,800</w:t>
            </w:r>
          </w:p>
        </w:tc>
        <w:tc>
          <w:tcPr>
            <w:tcW w:w="633" w:type="dxa"/>
            <w:tcMar>
              <w:left w:w="28" w:type="dxa"/>
              <w:right w:w="28" w:type="dxa"/>
            </w:tcMar>
            <w:vAlign w:val="center"/>
          </w:tcPr>
          <w:p w14:paraId="63423D4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71,500</w:t>
            </w:r>
          </w:p>
        </w:tc>
        <w:tc>
          <w:tcPr>
            <w:tcW w:w="633" w:type="dxa"/>
            <w:tcMar>
              <w:left w:w="28" w:type="dxa"/>
              <w:right w:w="28" w:type="dxa"/>
            </w:tcMar>
            <w:vAlign w:val="center"/>
          </w:tcPr>
          <w:p w14:paraId="7F356BF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83,700</w:t>
            </w:r>
          </w:p>
        </w:tc>
        <w:tc>
          <w:tcPr>
            <w:tcW w:w="633" w:type="dxa"/>
            <w:tcBorders>
              <w:right w:val="single" w:sz="8" w:space="0" w:color="auto"/>
            </w:tcBorders>
            <w:tcMar>
              <w:left w:w="28" w:type="dxa"/>
              <w:right w:w="28" w:type="dxa"/>
            </w:tcMar>
            <w:vAlign w:val="center"/>
          </w:tcPr>
          <w:p w14:paraId="3F7BAB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104,200</w:t>
            </w:r>
          </w:p>
        </w:tc>
        <w:tc>
          <w:tcPr>
            <w:tcW w:w="634" w:type="dxa"/>
            <w:tcBorders>
              <w:left w:val="single" w:sz="8" w:space="0" w:color="auto"/>
              <w:right w:val="single" w:sz="4" w:space="0" w:color="auto"/>
            </w:tcBorders>
            <w:tcMar>
              <w:left w:w="28" w:type="dxa"/>
              <w:right w:w="28" w:type="dxa"/>
            </w:tcMar>
            <w:vAlign w:val="center"/>
          </w:tcPr>
          <w:p w14:paraId="067A1BC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62,000</w:t>
            </w:r>
          </w:p>
        </w:tc>
      </w:tr>
      <w:tr w:rsidR="00711FE4" w:rsidRPr="00711FE4" w14:paraId="586CB72F" w14:textId="77777777" w:rsidTr="00366F04">
        <w:trPr>
          <w:trHeight w:val="255"/>
          <w:jc w:val="center"/>
        </w:trPr>
        <w:tc>
          <w:tcPr>
            <w:tcW w:w="745" w:type="dxa"/>
            <w:vMerge/>
          </w:tcPr>
          <w:p w14:paraId="0EC036E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7F07DD7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2023</w:t>
            </w:r>
          </w:p>
        </w:tc>
        <w:tc>
          <w:tcPr>
            <w:tcW w:w="633" w:type="dxa"/>
            <w:tcMar>
              <w:left w:w="28" w:type="dxa"/>
              <w:right w:w="28" w:type="dxa"/>
            </w:tcMar>
            <w:vAlign w:val="center"/>
          </w:tcPr>
          <w:p w14:paraId="6BC70C7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26,900</w:t>
            </w:r>
          </w:p>
        </w:tc>
        <w:tc>
          <w:tcPr>
            <w:tcW w:w="633" w:type="dxa"/>
            <w:tcMar>
              <w:left w:w="28" w:type="dxa"/>
              <w:right w:w="28" w:type="dxa"/>
            </w:tcMar>
            <w:vAlign w:val="center"/>
          </w:tcPr>
          <w:p w14:paraId="4E3732E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33,100</w:t>
            </w:r>
          </w:p>
        </w:tc>
        <w:tc>
          <w:tcPr>
            <w:tcW w:w="633" w:type="dxa"/>
            <w:tcMar>
              <w:left w:w="28" w:type="dxa"/>
              <w:right w:w="28" w:type="dxa"/>
            </w:tcMar>
            <w:vAlign w:val="center"/>
          </w:tcPr>
          <w:p w14:paraId="36A804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39,700</w:t>
            </w:r>
          </w:p>
        </w:tc>
        <w:tc>
          <w:tcPr>
            <w:tcW w:w="633" w:type="dxa"/>
            <w:tcMar>
              <w:left w:w="28" w:type="dxa"/>
              <w:right w:w="28" w:type="dxa"/>
            </w:tcMar>
            <w:vAlign w:val="center"/>
          </w:tcPr>
          <w:p w14:paraId="66C9703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46,900</w:t>
            </w:r>
          </w:p>
        </w:tc>
        <w:tc>
          <w:tcPr>
            <w:tcW w:w="633" w:type="dxa"/>
            <w:tcMar>
              <w:left w:w="28" w:type="dxa"/>
              <w:right w:w="28" w:type="dxa"/>
            </w:tcMar>
            <w:vAlign w:val="center"/>
          </w:tcPr>
          <w:p w14:paraId="58E2CD5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54,500</w:t>
            </w:r>
          </w:p>
        </w:tc>
        <w:tc>
          <w:tcPr>
            <w:tcW w:w="634" w:type="dxa"/>
            <w:tcMar>
              <w:left w:w="28" w:type="dxa"/>
              <w:right w:w="28" w:type="dxa"/>
            </w:tcMar>
            <w:vAlign w:val="center"/>
          </w:tcPr>
          <w:p w14:paraId="0FED4B6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61,700</w:t>
            </w:r>
          </w:p>
        </w:tc>
        <w:tc>
          <w:tcPr>
            <w:tcW w:w="633" w:type="dxa"/>
            <w:tcMar>
              <w:left w:w="28" w:type="dxa"/>
              <w:right w:w="28" w:type="dxa"/>
            </w:tcMar>
            <w:vAlign w:val="center"/>
          </w:tcPr>
          <w:p w14:paraId="1D7216A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71,000</w:t>
            </w:r>
          </w:p>
        </w:tc>
        <w:tc>
          <w:tcPr>
            <w:tcW w:w="633" w:type="dxa"/>
            <w:tcMar>
              <w:left w:w="28" w:type="dxa"/>
              <w:right w:w="28" w:type="dxa"/>
            </w:tcMar>
            <w:vAlign w:val="center"/>
          </w:tcPr>
          <w:p w14:paraId="3CDC61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82,500</w:t>
            </w:r>
          </w:p>
        </w:tc>
        <w:tc>
          <w:tcPr>
            <w:tcW w:w="633" w:type="dxa"/>
            <w:tcBorders>
              <w:right w:val="single" w:sz="8" w:space="0" w:color="auto"/>
            </w:tcBorders>
            <w:tcMar>
              <w:left w:w="28" w:type="dxa"/>
              <w:right w:w="28" w:type="dxa"/>
            </w:tcMar>
            <w:vAlign w:val="center"/>
          </w:tcPr>
          <w:p w14:paraId="6D9D30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103,700</w:t>
            </w:r>
          </w:p>
        </w:tc>
        <w:tc>
          <w:tcPr>
            <w:tcW w:w="634" w:type="dxa"/>
            <w:tcBorders>
              <w:left w:val="single" w:sz="8" w:space="0" w:color="auto"/>
              <w:right w:val="single" w:sz="4" w:space="0" w:color="auto"/>
            </w:tcBorders>
            <w:tcMar>
              <w:left w:w="28" w:type="dxa"/>
              <w:right w:w="28" w:type="dxa"/>
            </w:tcMar>
            <w:vAlign w:val="center"/>
          </w:tcPr>
          <w:p w14:paraId="4258817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62,800</w:t>
            </w:r>
          </w:p>
        </w:tc>
      </w:tr>
      <w:tr w:rsidR="00711FE4" w:rsidRPr="00711FE4" w14:paraId="3DC437FA" w14:textId="77777777" w:rsidTr="00366F04">
        <w:trPr>
          <w:trHeight w:val="255"/>
          <w:jc w:val="center"/>
        </w:trPr>
        <w:tc>
          <w:tcPr>
            <w:tcW w:w="745" w:type="dxa"/>
            <w:vMerge/>
          </w:tcPr>
          <w:p w14:paraId="5DBC5BF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E200C8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2024</w:t>
            </w:r>
          </w:p>
        </w:tc>
        <w:tc>
          <w:tcPr>
            <w:tcW w:w="633" w:type="dxa"/>
            <w:tcMar>
              <w:left w:w="28" w:type="dxa"/>
              <w:right w:w="28" w:type="dxa"/>
            </w:tcMar>
            <w:vAlign w:val="center"/>
          </w:tcPr>
          <w:p w14:paraId="4E8DB16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27,400</w:t>
            </w:r>
          </w:p>
        </w:tc>
        <w:tc>
          <w:tcPr>
            <w:tcW w:w="633" w:type="dxa"/>
            <w:tcMar>
              <w:left w:w="28" w:type="dxa"/>
              <w:right w:w="28" w:type="dxa"/>
            </w:tcMar>
            <w:vAlign w:val="center"/>
          </w:tcPr>
          <w:p w14:paraId="2CDB506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33,800</w:t>
            </w:r>
          </w:p>
        </w:tc>
        <w:tc>
          <w:tcPr>
            <w:tcW w:w="633" w:type="dxa"/>
            <w:tcMar>
              <w:left w:w="28" w:type="dxa"/>
              <w:right w:w="28" w:type="dxa"/>
            </w:tcMar>
            <w:vAlign w:val="center"/>
          </w:tcPr>
          <w:p w14:paraId="74A92C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40,500</w:t>
            </w:r>
          </w:p>
        </w:tc>
        <w:tc>
          <w:tcPr>
            <w:tcW w:w="633" w:type="dxa"/>
            <w:tcMar>
              <w:left w:w="28" w:type="dxa"/>
              <w:right w:w="28" w:type="dxa"/>
            </w:tcMar>
            <w:vAlign w:val="center"/>
          </w:tcPr>
          <w:p w14:paraId="1910BE9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47,500</w:t>
            </w:r>
          </w:p>
        </w:tc>
        <w:tc>
          <w:tcPr>
            <w:tcW w:w="633" w:type="dxa"/>
            <w:tcMar>
              <w:left w:w="28" w:type="dxa"/>
              <w:right w:w="28" w:type="dxa"/>
            </w:tcMar>
            <w:vAlign w:val="center"/>
          </w:tcPr>
          <w:p w14:paraId="326CBD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55,000</w:t>
            </w:r>
          </w:p>
        </w:tc>
        <w:tc>
          <w:tcPr>
            <w:tcW w:w="634" w:type="dxa"/>
            <w:tcMar>
              <w:left w:w="28" w:type="dxa"/>
              <w:right w:w="28" w:type="dxa"/>
            </w:tcMar>
            <w:vAlign w:val="center"/>
          </w:tcPr>
          <w:p w14:paraId="10C1548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62,700</w:t>
            </w:r>
          </w:p>
        </w:tc>
        <w:tc>
          <w:tcPr>
            <w:tcW w:w="633" w:type="dxa"/>
            <w:tcMar>
              <w:left w:w="28" w:type="dxa"/>
              <w:right w:w="28" w:type="dxa"/>
            </w:tcMar>
            <w:vAlign w:val="center"/>
          </w:tcPr>
          <w:p w14:paraId="63D55D3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71,300</w:t>
            </w:r>
          </w:p>
        </w:tc>
        <w:tc>
          <w:tcPr>
            <w:tcW w:w="633" w:type="dxa"/>
            <w:tcMar>
              <w:left w:w="28" w:type="dxa"/>
              <w:right w:w="28" w:type="dxa"/>
            </w:tcMar>
            <w:vAlign w:val="center"/>
          </w:tcPr>
          <w:p w14:paraId="0B6514F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83,000</w:t>
            </w:r>
          </w:p>
        </w:tc>
        <w:tc>
          <w:tcPr>
            <w:tcW w:w="633" w:type="dxa"/>
            <w:tcBorders>
              <w:right w:val="single" w:sz="8" w:space="0" w:color="auto"/>
            </w:tcBorders>
            <w:tcMar>
              <w:left w:w="28" w:type="dxa"/>
              <w:right w:w="28" w:type="dxa"/>
            </w:tcMar>
            <w:vAlign w:val="center"/>
          </w:tcPr>
          <w:p w14:paraId="3FE129D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103,900</w:t>
            </w:r>
          </w:p>
        </w:tc>
        <w:tc>
          <w:tcPr>
            <w:tcW w:w="634" w:type="dxa"/>
            <w:tcBorders>
              <w:left w:val="single" w:sz="8" w:space="0" w:color="auto"/>
              <w:right w:val="single" w:sz="4" w:space="0" w:color="auto"/>
            </w:tcBorders>
            <w:tcMar>
              <w:left w:w="28" w:type="dxa"/>
              <w:right w:w="28" w:type="dxa"/>
            </w:tcMar>
            <w:vAlign w:val="center"/>
          </w:tcPr>
          <w:p w14:paraId="3C0F9B4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63,200</w:t>
            </w:r>
          </w:p>
        </w:tc>
      </w:tr>
      <w:tr w:rsidR="00711FE4" w:rsidRPr="00711FE4" w14:paraId="11ADDA78" w14:textId="77777777" w:rsidTr="00366F04">
        <w:trPr>
          <w:trHeight w:val="255"/>
          <w:jc w:val="center"/>
        </w:trPr>
        <w:tc>
          <w:tcPr>
            <w:tcW w:w="745" w:type="dxa"/>
          </w:tcPr>
          <w:p w14:paraId="2BA4351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xml:space="preserve">HILS-Admin </w:t>
            </w:r>
          </w:p>
        </w:tc>
        <w:tc>
          <w:tcPr>
            <w:tcW w:w="598" w:type="dxa"/>
            <w:tcMar>
              <w:left w:w="28" w:type="dxa"/>
              <w:right w:w="28" w:type="dxa"/>
            </w:tcMar>
            <w:vAlign w:val="center"/>
          </w:tcPr>
          <w:p w14:paraId="55962AF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2025</w:t>
            </w:r>
          </w:p>
        </w:tc>
        <w:tc>
          <w:tcPr>
            <w:tcW w:w="633" w:type="dxa"/>
            <w:tcMar>
              <w:left w:w="28" w:type="dxa"/>
              <w:right w:w="28" w:type="dxa"/>
            </w:tcMar>
            <w:vAlign w:val="center"/>
          </w:tcPr>
          <w:p w14:paraId="7CFC387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28,200</w:t>
            </w:r>
          </w:p>
        </w:tc>
        <w:tc>
          <w:tcPr>
            <w:tcW w:w="633" w:type="dxa"/>
            <w:tcMar>
              <w:left w:w="28" w:type="dxa"/>
              <w:right w:w="28" w:type="dxa"/>
            </w:tcMar>
            <w:vAlign w:val="center"/>
          </w:tcPr>
          <w:p w14:paraId="730F70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34,400</w:t>
            </w:r>
          </w:p>
        </w:tc>
        <w:tc>
          <w:tcPr>
            <w:tcW w:w="633" w:type="dxa"/>
            <w:tcMar>
              <w:left w:w="28" w:type="dxa"/>
              <w:right w:w="28" w:type="dxa"/>
            </w:tcMar>
            <w:vAlign w:val="center"/>
          </w:tcPr>
          <w:p w14:paraId="3269D8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41,100</w:t>
            </w:r>
          </w:p>
        </w:tc>
        <w:tc>
          <w:tcPr>
            <w:tcW w:w="633" w:type="dxa"/>
            <w:tcMar>
              <w:left w:w="28" w:type="dxa"/>
              <w:right w:w="28" w:type="dxa"/>
            </w:tcMar>
            <w:vAlign w:val="center"/>
          </w:tcPr>
          <w:p w14:paraId="21AA519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48,600</w:t>
            </w:r>
          </w:p>
        </w:tc>
        <w:tc>
          <w:tcPr>
            <w:tcW w:w="633" w:type="dxa"/>
            <w:tcMar>
              <w:left w:w="28" w:type="dxa"/>
              <w:right w:w="28" w:type="dxa"/>
            </w:tcMar>
            <w:vAlign w:val="center"/>
          </w:tcPr>
          <w:p w14:paraId="1E08170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55,800</w:t>
            </w:r>
          </w:p>
        </w:tc>
        <w:tc>
          <w:tcPr>
            <w:tcW w:w="634" w:type="dxa"/>
            <w:tcMar>
              <w:left w:w="28" w:type="dxa"/>
              <w:right w:w="28" w:type="dxa"/>
            </w:tcMar>
            <w:vAlign w:val="center"/>
          </w:tcPr>
          <w:p w14:paraId="3767F18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64,100</w:t>
            </w:r>
          </w:p>
        </w:tc>
        <w:tc>
          <w:tcPr>
            <w:tcW w:w="633" w:type="dxa"/>
            <w:tcMar>
              <w:left w:w="28" w:type="dxa"/>
              <w:right w:w="28" w:type="dxa"/>
            </w:tcMar>
            <w:vAlign w:val="center"/>
          </w:tcPr>
          <w:p w14:paraId="29A8E82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73,500</w:t>
            </w:r>
          </w:p>
        </w:tc>
        <w:tc>
          <w:tcPr>
            <w:tcW w:w="633" w:type="dxa"/>
            <w:tcMar>
              <w:left w:w="28" w:type="dxa"/>
              <w:right w:w="28" w:type="dxa"/>
            </w:tcMar>
            <w:vAlign w:val="center"/>
          </w:tcPr>
          <w:p w14:paraId="4FDE4D5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85,600</w:t>
            </w:r>
          </w:p>
        </w:tc>
        <w:tc>
          <w:tcPr>
            <w:tcW w:w="633" w:type="dxa"/>
            <w:tcBorders>
              <w:right w:val="single" w:sz="8" w:space="0" w:color="auto"/>
            </w:tcBorders>
            <w:tcMar>
              <w:left w:w="28" w:type="dxa"/>
              <w:right w:w="28" w:type="dxa"/>
            </w:tcMar>
            <w:vAlign w:val="center"/>
          </w:tcPr>
          <w:p w14:paraId="1E4B1A5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107,400</w:t>
            </w:r>
          </w:p>
        </w:tc>
        <w:tc>
          <w:tcPr>
            <w:tcW w:w="634" w:type="dxa"/>
            <w:tcBorders>
              <w:left w:val="single" w:sz="8" w:space="0" w:color="auto"/>
              <w:right w:val="single" w:sz="4" w:space="0" w:color="auto"/>
            </w:tcBorders>
            <w:tcMar>
              <w:left w:w="28" w:type="dxa"/>
              <w:right w:w="28" w:type="dxa"/>
            </w:tcMar>
            <w:vAlign w:val="center"/>
          </w:tcPr>
          <w:p w14:paraId="423F4E5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64,800</w:t>
            </w:r>
          </w:p>
        </w:tc>
      </w:tr>
    </w:tbl>
    <w:p w14:paraId="55A2E62A" w14:textId="77777777" w:rsidR="00711FE4" w:rsidRPr="00711FE4" w:rsidRDefault="00711FE4" w:rsidP="00711FE4">
      <w:pPr>
        <w:spacing w:after="0" w:line="240" w:lineRule="auto"/>
        <w:rPr>
          <w:rFonts w:ascii="Arial" w:eastAsia="Times New Roman" w:hAnsi="Arial" w:cs="Times New Roman"/>
          <w:sz w:val="22"/>
          <w:szCs w:val="20"/>
          <w:lang w:val="en-GB"/>
        </w:rPr>
      </w:pPr>
    </w:p>
    <w:p w14:paraId="6564B86A" w14:textId="77777777" w:rsidR="00711FE4" w:rsidRPr="00711FE4" w:rsidRDefault="00711FE4" w:rsidP="00711FE4">
      <w:pPr>
        <w:spacing w:after="0" w:line="240" w:lineRule="auto"/>
        <w:rPr>
          <w:rFonts w:ascii="Arial" w:eastAsia="Times New Roman" w:hAnsi="Arial" w:cs="Times New Roman"/>
          <w:sz w:val="22"/>
          <w:szCs w:val="20"/>
          <w:lang w:val="en-GB"/>
        </w:rPr>
      </w:pPr>
    </w:p>
    <w:p w14:paraId="6403AE92" w14:textId="77777777" w:rsidR="00711FE4" w:rsidRPr="00711FE4" w:rsidRDefault="00711FE4" w:rsidP="00711FE4">
      <w:pPr>
        <w:spacing w:after="0" w:line="240" w:lineRule="auto"/>
        <w:rPr>
          <w:rFonts w:ascii="Arial" w:eastAsia="Times New Roman" w:hAnsi="Arial" w:cs="Times New Roman"/>
          <w:sz w:val="22"/>
          <w:szCs w:val="20"/>
          <w:lang w:val="en-GB"/>
        </w:rPr>
      </w:pPr>
    </w:p>
    <w:p w14:paraId="7C4CFEBD" w14:textId="77777777" w:rsidR="00711FE4" w:rsidRPr="00711FE4" w:rsidRDefault="00711FE4" w:rsidP="00711FE4">
      <w:pPr>
        <w:spacing w:after="0" w:line="240" w:lineRule="auto"/>
        <w:rPr>
          <w:rFonts w:ascii="Arial" w:eastAsia="Times New Roman" w:hAnsi="Arial" w:cs="Times New Roman"/>
          <w:sz w:val="22"/>
          <w:szCs w:val="20"/>
          <w:lang w:val="en-GB"/>
        </w:rPr>
      </w:pPr>
    </w:p>
    <w:p w14:paraId="30D5817C" w14:textId="77777777" w:rsidR="00711FE4" w:rsidRPr="00711FE4" w:rsidRDefault="00711FE4" w:rsidP="00711FE4">
      <w:pPr>
        <w:spacing w:after="0" w:line="240" w:lineRule="auto"/>
        <w:rPr>
          <w:rFonts w:ascii="Arial" w:eastAsia="Times New Roman" w:hAnsi="Arial" w:cs="Times New Roman"/>
          <w:sz w:val="22"/>
          <w:szCs w:val="20"/>
          <w:lang w:val="en-GB"/>
        </w:rPr>
      </w:pPr>
    </w:p>
    <w:p w14:paraId="09D55063" w14:textId="77777777" w:rsidR="00711FE4" w:rsidRPr="00711FE4" w:rsidRDefault="00711FE4" w:rsidP="00711FE4">
      <w:pPr>
        <w:spacing w:after="0" w:line="240" w:lineRule="auto"/>
        <w:rPr>
          <w:rFonts w:ascii="Arial" w:eastAsia="Times New Roman" w:hAnsi="Arial" w:cs="Times New Roman"/>
          <w:sz w:val="22"/>
          <w:szCs w:val="20"/>
          <w:lang w:val="en-GB"/>
        </w:rPr>
      </w:pPr>
    </w:p>
    <w:p w14:paraId="57798D60" w14:textId="77777777" w:rsidR="00711FE4" w:rsidRPr="00711FE4" w:rsidRDefault="00711FE4" w:rsidP="00711FE4">
      <w:pPr>
        <w:spacing w:after="0" w:line="240" w:lineRule="auto"/>
        <w:rPr>
          <w:rFonts w:ascii="Arial" w:eastAsia="Times New Roman" w:hAnsi="Arial" w:cs="Times New Roman"/>
          <w:sz w:val="22"/>
          <w:szCs w:val="20"/>
          <w:lang w:val="en-GB"/>
        </w:rPr>
      </w:pPr>
    </w:p>
    <w:p w14:paraId="6D318A8B" w14:textId="77777777" w:rsidR="00711FE4" w:rsidRPr="00711FE4" w:rsidRDefault="00711FE4" w:rsidP="00711FE4">
      <w:pPr>
        <w:spacing w:after="0" w:line="240" w:lineRule="auto"/>
        <w:rPr>
          <w:rFonts w:ascii="Arial" w:eastAsia="Times New Roman" w:hAnsi="Arial" w:cs="Times New Roman"/>
          <w:sz w:val="22"/>
          <w:szCs w:val="20"/>
          <w:lang w:val="en-GB"/>
        </w:rPr>
      </w:pPr>
    </w:p>
    <w:p w14:paraId="209CDB34" w14:textId="77777777" w:rsidR="00711FE4" w:rsidRPr="00711FE4" w:rsidRDefault="00711FE4" w:rsidP="00711FE4">
      <w:pPr>
        <w:spacing w:after="0" w:line="240" w:lineRule="auto"/>
        <w:rPr>
          <w:rFonts w:ascii="Arial" w:eastAsia="Times New Roman" w:hAnsi="Arial" w:cs="Times New Roman"/>
          <w:sz w:val="22"/>
          <w:szCs w:val="20"/>
          <w:lang w:val="en-GB"/>
        </w:rPr>
      </w:pPr>
    </w:p>
    <w:p w14:paraId="3C92122A" w14:textId="77777777" w:rsidR="00711FE4" w:rsidRPr="00711FE4" w:rsidRDefault="00711FE4" w:rsidP="00711FE4">
      <w:pPr>
        <w:spacing w:after="0" w:line="240" w:lineRule="auto"/>
        <w:rPr>
          <w:rFonts w:ascii="Arial" w:eastAsia="Times New Roman" w:hAnsi="Arial" w:cs="Times New Roman"/>
          <w:sz w:val="22"/>
          <w:szCs w:val="20"/>
          <w:lang w:val="en-GB"/>
        </w:rPr>
      </w:pPr>
    </w:p>
    <w:p w14:paraId="4ACF988B" w14:textId="77777777" w:rsidR="00711FE4" w:rsidRPr="00711FE4" w:rsidRDefault="00711FE4" w:rsidP="00711FE4">
      <w:pPr>
        <w:spacing w:after="0" w:line="240" w:lineRule="auto"/>
        <w:rPr>
          <w:rFonts w:ascii="Arial" w:eastAsia="Times New Roman" w:hAnsi="Arial" w:cs="Times New Roman"/>
          <w:sz w:val="22"/>
          <w:szCs w:val="20"/>
          <w:lang w:val="en-GB"/>
        </w:rPr>
      </w:pPr>
    </w:p>
    <w:p w14:paraId="191BEAAF" w14:textId="77777777" w:rsidR="00711FE4" w:rsidRPr="00711FE4" w:rsidRDefault="00711FE4" w:rsidP="00711FE4">
      <w:pPr>
        <w:spacing w:after="0" w:line="240" w:lineRule="auto"/>
        <w:rPr>
          <w:rFonts w:ascii="Arial" w:eastAsia="Times New Roman" w:hAnsi="Arial" w:cs="Times New Roman"/>
          <w:sz w:val="22"/>
          <w:szCs w:val="20"/>
          <w:lang w:val="en-GB"/>
        </w:rPr>
      </w:pPr>
    </w:p>
    <w:p w14:paraId="5F06FB69" w14:textId="77777777" w:rsidR="00711FE4" w:rsidRPr="00711FE4" w:rsidRDefault="00711FE4" w:rsidP="00711FE4">
      <w:pPr>
        <w:spacing w:after="0" w:line="240" w:lineRule="auto"/>
        <w:rPr>
          <w:rFonts w:ascii="Arial" w:eastAsia="Times New Roman" w:hAnsi="Arial" w:cs="Times New Roman"/>
          <w:sz w:val="22"/>
          <w:szCs w:val="20"/>
          <w:lang w:val="en-GB"/>
        </w:rPr>
      </w:pPr>
    </w:p>
    <w:p w14:paraId="29E7E20F" w14:textId="77777777" w:rsidR="00711FE4" w:rsidRPr="00711FE4" w:rsidRDefault="00711FE4" w:rsidP="00711FE4">
      <w:pPr>
        <w:spacing w:after="0" w:line="240" w:lineRule="auto"/>
        <w:rPr>
          <w:rFonts w:ascii="Arial" w:eastAsia="Times New Roman" w:hAnsi="Arial" w:cs="Times New Roman"/>
          <w:sz w:val="22"/>
          <w:szCs w:val="20"/>
          <w:lang w:val="en-GB"/>
        </w:rPr>
      </w:pPr>
    </w:p>
    <w:p w14:paraId="3FD8170A" w14:textId="77777777" w:rsidR="00711FE4" w:rsidRPr="00711FE4" w:rsidRDefault="00711FE4" w:rsidP="00711FE4">
      <w:pPr>
        <w:spacing w:after="0" w:line="240" w:lineRule="auto"/>
        <w:rPr>
          <w:rFonts w:ascii="Arial" w:eastAsia="Times New Roman" w:hAnsi="Arial" w:cs="Times New Roman"/>
          <w:sz w:val="22"/>
          <w:szCs w:val="20"/>
          <w:lang w:val="en-GB"/>
        </w:rPr>
      </w:pPr>
    </w:p>
    <w:p w14:paraId="5FF8C04F" w14:textId="77777777" w:rsidR="00711FE4" w:rsidRPr="00711FE4" w:rsidRDefault="00711FE4" w:rsidP="00711FE4">
      <w:pPr>
        <w:spacing w:after="0" w:line="240" w:lineRule="auto"/>
        <w:rPr>
          <w:rFonts w:ascii="Arial" w:eastAsia="Times New Roman" w:hAnsi="Arial" w:cs="Times New Roman"/>
          <w:sz w:val="22"/>
          <w:szCs w:val="20"/>
          <w:lang w:val="en-GB"/>
        </w:rPr>
      </w:pPr>
    </w:p>
    <w:p w14:paraId="64F68332" w14:textId="77777777" w:rsidR="00711FE4" w:rsidRPr="00711FE4" w:rsidRDefault="00711FE4" w:rsidP="00711FE4">
      <w:pPr>
        <w:spacing w:after="0" w:line="240" w:lineRule="auto"/>
        <w:rPr>
          <w:rFonts w:ascii="Arial" w:eastAsia="Times New Roman" w:hAnsi="Arial" w:cs="Times New Roman"/>
          <w:sz w:val="22"/>
          <w:szCs w:val="20"/>
          <w:lang w:val="en-GB"/>
        </w:rPr>
      </w:pPr>
    </w:p>
    <w:p w14:paraId="6013EF9A" w14:textId="77777777" w:rsidR="00711FE4" w:rsidRPr="00711FE4" w:rsidRDefault="00711FE4" w:rsidP="00711FE4">
      <w:pPr>
        <w:spacing w:after="0" w:line="240" w:lineRule="auto"/>
        <w:rPr>
          <w:rFonts w:ascii="Arial" w:eastAsia="Times New Roman" w:hAnsi="Arial" w:cs="Times New Roman"/>
          <w:sz w:val="22"/>
          <w:szCs w:val="20"/>
          <w:lang w:val="en-GB"/>
        </w:rPr>
      </w:pPr>
    </w:p>
    <w:p w14:paraId="77DBC9FF" w14:textId="77777777" w:rsidR="00711FE4" w:rsidRPr="00711FE4" w:rsidRDefault="00711FE4" w:rsidP="00711FE4">
      <w:pPr>
        <w:spacing w:after="0" w:line="240" w:lineRule="auto"/>
        <w:rPr>
          <w:rFonts w:ascii="Arial" w:eastAsia="Times New Roman" w:hAnsi="Arial" w:cs="Times New Roman"/>
          <w:sz w:val="22"/>
          <w:szCs w:val="20"/>
          <w:lang w:val="en-GB"/>
        </w:rPr>
      </w:pPr>
    </w:p>
    <w:p w14:paraId="45E140C9" w14:textId="77777777" w:rsidR="00711FE4" w:rsidRPr="00711FE4" w:rsidRDefault="00711FE4" w:rsidP="00711FE4">
      <w:pPr>
        <w:spacing w:after="0" w:line="240" w:lineRule="auto"/>
        <w:rPr>
          <w:rFonts w:ascii="Arial" w:eastAsia="Times New Roman" w:hAnsi="Arial" w:cs="Times New Roman"/>
          <w:sz w:val="22"/>
          <w:szCs w:val="20"/>
          <w:lang w:val="en-GB"/>
        </w:rPr>
      </w:pPr>
    </w:p>
    <w:p w14:paraId="6D7F3050" w14:textId="77777777" w:rsidR="00711FE4" w:rsidRPr="00711FE4" w:rsidRDefault="00711FE4" w:rsidP="00711FE4">
      <w:pPr>
        <w:spacing w:after="0" w:line="240" w:lineRule="auto"/>
        <w:rPr>
          <w:rFonts w:ascii="Arial" w:eastAsia="Times New Roman" w:hAnsi="Arial" w:cs="Times New Roman"/>
          <w:sz w:val="22"/>
          <w:szCs w:val="20"/>
          <w:lang w:val="en-GB"/>
        </w:rPr>
      </w:pPr>
    </w:p>
    <w:p w14:paraId="436D7056" w14:textId="77777777" w:rsidR="00711FE4" w:rsidRPr="00711FE4" w:rsidRDefault="00711FE4" w:rsidP="00711FE4">
      <w:pPr>
        <w:spacing w:after="0" w:line="240" w:lineRule="auto"/>
        <w:rPr>
          <w:rFonts w:ascii="Arial" w:eastAsia="Times New Roman" w:hAnsi="Arial" w:cs="Times New Roman"/>
          <w:sz w:val="22"/>
          <w:szCs w:val="20"/>
          <w:lang w:val="en-GB"/>
        </w:rPr>
      </w:pPr>
    </w:p>
    <w:p w14:paraId="587B7612" w14:textId="77777777" w:rsidR="00711FE4" w:rsidRPr="00711FE4" w:rsidRDefault="00711FE4" w:rsidP="00711FE4">
      <w:pPr>
        <w:spacing w:after="0" w:line="240" w:lineRule="auto"/>
        <w:rPr>
          <w:rFonts w:ascii="Arial" w:eastAsia="Times New Roman" w:hAnsi="Arial" w:cs="Times New Roman"/>
          <w:sz w:val="22"/>
          <w:szCs w:val="20"/>
          <w:lang w:val="en-GB"/>
        </w:rPr>
      </w:pPr>
    </w:p>
    <w:p w14:paraId="136D80C9" w14:textId="77777777" w:rsidR="00711FE4" w:rsidRPr="00711FE4" w:rsidRDefault="00711FE4" w:rsidP="00711FE4">
      <w:pPr>
        <w:spacing w:after="0" w:line="240" w:lineRule="auto"/>
        <w:rPr>
          <w:rFonts w:ascii="Arial" w:eastAsia="Times New Roman" w:hAnsi="Arial" w:cs="Times New Roman"/>
          <w:sz w:val="22"/>
          <w:szCs w:val="20"/>
          <w:lang w:val="en-GB"/>
        </w:rPr>
      </w:pPr>
    </w:p>
    <w:p w14:paraId="6AF2563D" w14:textId="77777777" w:rsidR="00711FE4" w:rsidRPr="00711FE4" w:rsidRDefault="00711FE4" w:rsidP="00711FE4">
      <w:pPr>
        <w:spacing w:after="0" w:line="240" w:lineRule="auto"/>
        <w:rPr>
          <w:rFonts w:ascii="Arial" w:eastAsia="Times New Roman" w:hAnsi="Arial" w:cs="Times New Roman"/>
          <w:sz w:val="22"/>
          <w:szCs w:val="20"/>
          <w:lang w:val="en-GB"/>
        </w:rPr>
      </w:pPr>
    </w:p>
    <w:p w14:paraId="6DE35D57" w14:textId="77777777" w:rsidR="00711FE4" w:rsidRPr="00711FE4" w:rsidRDefault="00711FE4" w:rsidP="00711FE4">
      <w:pPr>
        <w:tabs>
          <w:tab w:val="center" w:pos="654"/>
        </w:tabs>
        <w:spacing w:after="0" w:line="240" w:lineRule="auto"/>
        <w:rPr>
          <w:rFonts w:ascii="Arial" w:eastAsia="Times New Roman" w:hAnsi="Arial" w:cs="Times New Roman"/>
          <w:sz w:val="22"/>
          <w:szCs w:val="20"/>
          <w:lang w:val="en-GB"/>
        </w:rPr>
      </w:pPr>
      <w:r w:rsidRPr="00711FE4">
        <w:rPr>
          <w:rFonts w:ascii="Arial" w:eastAsia="Times New Roman" w:hAnsi="Arial" w:cs="Times New Roman"/>
          <w:sz w:val="22"/>
          <w:szCs w:val="20"/>
          <w:lang w:val="en-GB"/>
        </w:rPr>
        <w:tab/>
      </w:r>
      <w:r w:rsidRPr="00711FE4">
        <w:rPr>
          <w:rFonts w:ascii="Arial" w:eastAsia="Times New Roman" w:hAnsi="Arial" w:cs="Times New Roman"/>
          <w:sz w:val="22"/>
          <w:szCs w:val="20"/>
          <w:lang w:val="en-GB"/>
        </w:rPr>
        <w:br/>
      </w:r>
    </w:p>
    <w:p w14:paraId="4680C41F" w14:textId="77777777" w:rsidR="00711FE4" w:rsidRPr="00711FE4" w:rsidRDefault="00711FE4" w:rsidP="00711FE4">
      <w:pPr>
        <w:spacing w:after="0" w:line="240" w:lineRule="auto"/>
        <w:rPr>
          <w:rFonts w:ascii="Arial" w:eastAsia="Times New Roman" w:hAnsi="Arial" w:cs="Times New Roman"/>
          <w:sz w:val="22"/>
          <w:szCs w:val="20"/>
          <w:lang w:val="en-GB"/>
        </w:rPr>
      </w:pPr>
    </w:p>
    <w:p w14:paraId="54F0BA4B" w14:textId="774DA17E" w:rsidR="00711FE4" w:rsidRPr="00711FE4" w:rsidRDefault="00711FE4" w:rsidP="00711FE4">
      <w:pPr>
        <w:spacing w:after="0" w:line="240" w:lineRule="auto"/>
        <w:jc w:val="center"/>
        <w:rPr>
          <w:rFonts w:ascii="Arial" w:eastAsia="Times New Roman" w:hAnsi="Arial"/>
          <w:b/>
          <w:bCs/>
          <w:color w:val="FF0000"/>
          <w:sz w:val="18"/>
          <w:szCs w:val="18"/>
          <w:lang w:val="en-GB"/>
        </w:rPr>
      </w:pPr>
      <w:r w:rsidRPr="00711FE4">
        <w:rPr>
          <w:rFonts w:ascii="Arial" w:eastAsia="Times New Roman" w:hAnsi="Arial" w:cs="Times New Roman"/>
          <w:sz w:val="22"/>
          <w:szCs w:val="20"/>
          <w:lang w:val="en-GB"/>
        </w:rPr>
        <w:br w:type="page"/>
      </w:r>
      <w:r w:rsidRPr="00711FE4">
        <w:rPr>
          <w:rFonts w:ascii="Arial" w:eastAsia="Times New Roman" w:hAnsi="Arial" w:cs="Times New Roman"/>
          <w:b/>
          <w:bCs/>
          <w:sz w:val="18"/>
          <w:szCs w:val="18"/>
          <w:lang w:val="en-GB"/>
        </w:rPr>
        <w:lastRenderedPageBreak/>
        <w:t>Table 10.2</w:t>
      </w:r>
    </w:p>
    <w:p w14:paraId="3227B1B4" w14:textId="77777777" w:rsidR="00711FE4" w:rsidRPr="00711FE4" w:rsidRDefault="00711FE4" w:rsidP="00711FE4">
      <w:pPr>
        <w:spacing w:line="240" w:lineRule="auto"/>
        <w:jc w:val="center"/>
        <w:rPr>
          <w:rFonts w:ascii="Arial" w:eastAsia="Times New Roman" w:hAnsi="Arial" w:cs="Times New Roman"/>
          <w:b/>
          <w:color w:val="000000"/>
          <w:sz w:val="18"/>
          <w:szCs w:val="20"/>
          <w:lang w:val="en-GB"/>
        </w:rPr>
      </w:pPr>
      <w:r w:rsidRPr="00711FE4">
        <w:rPr>
          <w:rFonts w:ascii="Arial" w:eastAsia="Times New Roman" w:hAnsi="Arial"/>
          <w:b/>
          <w:color w:val="000000"/>
          <w:sz w:val="18"/>
          <w:szCs w:val="20"/>
          <w:lang w:val="en-GB"/>
        </w:rPr>
        <w:t>Real equivalised household incomes (AHC): decile boundaries and overall mean ($2025)</w:t>
      </w:r>
    </w:p>
    <w:tbl>
      <w:tblPr>
        <w:tblpPr w:leftFromText="180" w:rightFromText="180" w:vertAnchor="text" w:tblpXSpec="center" w:tblpY="1"/>
        <w:tblOverlap w:val="never"/>
        <w:tblW w:w="7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5"/>
        <w:gridCol w:w="598"/>
        <w:gridCol w:w="633"/>
        <w:gridCol w:w="633"/>
        <w:gridCol w:w="633"/>
        <w:gridCol w:w="633"/>
        <w:gridCol w:w="633"/>
        <w:gridCol w:w="634"/>
        <w:gridCol w:w="633"/>
        <w:gridCol w:w="633"/>
        <w:gridCol w:w="633"/>
        <w:gridCol w:w="634"/>
      </w:tblGrid>
      <w:tr w:rsidR="00711FE4" w:rsidRPr="00711FE4" w14:paraId="18DDFAFB" w14:textId="77777777" w:rsidTr="00366F04">
        <w:trPr>
          <w:trHeight w:hRule="exact" w:val="454"/>
          <w:jc w:val="center"/>
        </w:trPr>
        <w:tc>
          <w:tcPr>
            <w:tcW w:w="745" w:type="dxa"/>
          </w:tcPr>
          <w:p w14:paraId="37D913C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14" w:type="dxa"/>
              <w:right w:w="14" w:type="dxa"/>
            </w:tcMar>
            <w:vAlign w:val="center"/>
          </w:tcPr>
          <w:p w14:paraId="1DD91E9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w:t>
            </w:r>
          </w:p>
        </w:tc>
        <w:tc>
          <w:tcPr>
            <w:tcW w:w="633" w:type="dxa"/>
            <w:tcMar>
              <w:left w:w="14" w:type="dxa"/>
              <w:right w:w="14" w:type="dxa"/>
            </w:tcMar>
            <w:vAlign w:val="center"/>
          </w:tcPr>
          <w:p w14:paraId="2D76C05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P10</w:t>
            </w:r>
          </w:p>
        </w:tc>
        <w:tc>
          <w:tcPr>
            <w:tcW w:w="633" w:type="dxa"/>
            <w:tcMar>
              <w:left w:w="14" w:type="dxa"/>
              <w:right w:w="14" w:type="dxa"/>
            </w:tcMar>
            <w:vAlign w:val="center"/>
          </w:tcPr>
          <w:p w14:paraId="3FBDF31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P20</w:t>
            </w:r>
          </w:p>
        </w:tc>
        <w:tc>
          <w:tcPr>
            <w:tcW w:w="633" w:type="dxa"/>
            <w:tcMar>
              <w:left w:w="14" w:type="dxa"/>
              <w:right w:w="14" w:type="dxa"/>
            </w:tcMar>
            <w:vAlign w:val="center"/>
          </w:tcPr>
          <w:p w14:paraId="7523B49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P30</w:t>
            </w:r>
          </w:p>
        </w:tc>
        <w:tc>
          <w:tcPr>
            <w:tcW w:w="633" w:type="dxa"/>
            <w:tcMar>
              <w:left w:w="14" w:type="dxa"/>
              <w:right w:w="14" w:type="dxa"/>
            </w:tcMar>
            <w:vAlign w:val="center"/>
          </w:tcPr>
          <w:p w14:paraId="75D4BD2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P40</w:t>
            </w:r>
          </w:p>
        </w:tc>
        <w:tc>
          <w:tcPr>
            <w:tcW w:w="633" w:type="dxa"/>
            <w:tcMar>
              <w:left w:w="14" w:type="dxa"/>
              <w:right w:w="14" w:type="dxa"/>
            </w:tcMar>
            <w:vAlign w:val="center"/>
          </w:tcPr>
          <w:p w14:paraId="7D69845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P50 (median)</w:t>
            </w:r>
          </w:p>
        </w:tc>
        <w:tc>
          <w:tcPr>
            <w:tcW w:w="634" w:type="dxa"/>
            <w:tcMar>
              <w:left w:w="14" w:type="dxa"/>
              <w:right w:w="14" w:type="dxa"/>
            </w:tcMar>
            <w:vAlign w:val="center"/>
          </w:tcPr>
          <w:p w14:paraId="5407E61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P60</w:t>
            </w:r>
          </w:p>
        </w:tc>
        <w:tc>
          <w:tcPr>
            <w:tcW w:w="633" w:type="dxa"/>
            <w:tcMar>
              <w:left w:w="14" w:type="dxa"/>
              <w:right w:w="14" w:type="dxa"/>
            </w:tcMar>
            <w:vAlign w:val="center"/>
          </w:tcPr>
          <w:p w14:paraId="4E12AF0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P70</w:t>
            </w:r>
          </w:p>
        </w:tc>
        <w:tc>
          <w:tcPr>
            <w:tcW w:w="633" w:type="dxa"/>
            <w:tcMar>
              <w:left w:w="14" w:type="dxa"/>
              <w:right w:w="14" w:type="dxa"/>
            </w:tcMar>
            <w:vAlign w:val="center"/>
          </w:tcPr>
          <w:p w14:paraId="3DD1CC5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P80</w:t>
            </w:r>
          </w:p>
        </w:tc>
        <w:tc>
          <w:tcPr>
            <w:tcW w:w="633" w:type="dxa"/>
            <w:tcBorders>
              <w:right w:val="single" w:sz="8" w:space="0" w:color="auto"/>
            </w:tcBorders>
            <w:tcMar>
              <w:left w:w="14" w:type="dxa"/>
              <w:right w:w="14" w:type="dxa"/>
            </w:tcMar>
            <w:vAlign w:val="center"/>
          </w:tcPr>
          <w:p w14:paraId="3498871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P90</w:t>
            </w:r>
          </w:p>
        </w:tc>
        <w:tc>
          <w:tcPr>
            <w:tcW w:w="634" w:type="dxa"/>
            <w:tcBorders>
              <w:left w:val="single" w:sz="8" w:space="0" w:color="auto"/>
              <w:right w:val="single" w:sz="4" w:space="0" w:color="auto"/>
            </w:tcBorders>
            <w:tcMar>
              <w:left w:w="28" w:type="dxa"/>
              <w:right w:w="28" w:type="dxa"/>
            </w:tcMar>
            <w:vAlign w:val="center"/>
          </w:tcPr>
          <w:p w14:paraId="5A8419C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mean</w:t>
            </w:r>
          </w:p>
        </w:tc>
      </w:tr>
      <w:tr w:rsidR="00711FE4" w:rsidRPr="00711FE4" w14:paraId="69D0E1D7" w14:textId="77777777" w:rsidTr="00366F04">
        <w:trPr>
          <w:trHeight w:val="255"/>
          <w:jc w:val="center"/>
        </w:trPr>
        <w:tc>
          <w:tcPr>
            <w:tcW w:w="745" w:type="dxa"/>
            <w:vMerge w:val="restart"/>
          </w:tcPr>
          <w:p w14:paraId="16F2233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xml:space="preserve">HES-TAWA </w:t>
            </w:r>
          </w:p>
        </w:tc>
        <w:tc>
          <w:tcPr>
            <w:tcW w:w="598" w:type="dxa"/>
            <w:tcMar>
              <w:left w:w="28" w:type="dxa"/>
              <w:right w:w="28" w:type="dxa"/>
            </w:tcMar>
            <w:vAlign w:val="center"/>
          </w:tcPr>
          <w:p w14:paraId="623C9E2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1982</w:t>
            </w:r>
          </w:p>
        </w:tc>
        <w:tc>
          <w:tcPr>
            <w:tcW w:w="633" w:type="dxa"/>
            <w:tcMar>
              <w:left w:w="28" w:type="dxa"/>
              <w:right w:w="28" w:type="dxa"/>
            </w:tcMar>
            <w:vAlign w:val="center"/>
          </w:tcPr>
          <w:p w14:paraId="4A8C6DC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13,700</w:t>
            </w:r>
          </w:p>
        </w:tc>
        <w:tc>
          <w:tcPr>
            <w:tcW w:w="633" w:type="dxa"/>
            <w:tcMar>
              <w:left w:w="28" w:type="dxa"/>
              <w:right w:w="28" w:type="dxa"/>
            </w:tcMar>
            <w:vAlign w:val="center"/>
          </w:tcPr>
          <w:p w14:paraId="085D22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17,200</w:t>
            </w:r>
          </w:p>
        </w:tc>
        <w:tc>
          <w:tcPr>
            <w:tcW w:w="633" w:type="dxa"/>
            <w:tcMar>
              <w:left w:w="28" w:type="dxa"/>
              <w:right w:w="28" w:type="dxa"/>
            </w:tcMar>
            <w:vAlign w:val="center"/>
          </w:tcPr>
          <w:p w14:paraId="77FA7D4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19,900</w:t>
            </w:r>
          </w:p>
        </w:tc>
        <w:tc>
          <w:tcPr>
            <w:tcW w:w="633" w:type="dxa"/>
            <w:tcMar>
              <w:left w:w="28" w:type="dxa"/>
              <w:right w:w="28" w:type="dxa"/>
            </w:tcMar>
            <w:vAlign w:val="center"/>
          </w:tcPr>
          <w:p w14:paraId="5FA3FBC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23,300</w:t>
            </w:r>
          </w:p>
        </w:tc>
        <w:tc>
          <w:tcPr>
            <w:tcW w:w="633" w:type="dxa"/>
            <w:tcMar>
              <w:left w:w="28" w:type="dxa"/>
              <w:right w:w="28" w:type="dxa"/>
            </w:tcMar>
            <w:vAlign w:val="center"/>
          </w:tcPr>
          <w:p w14:paraId="30FFFBE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26,500</w:t>
            </w:r>
          </w:p>
        </w:tc>
        <w:tc>
          <w:tcPr>
            <w:tcW w:w="634" w:type="dxa"/>
            <w:tcMar>
              <w:left w:w="28" w:type="dxa"/>
              <w:right w:w="28" w:type="dxa"/>
            </w:tcMar>
            <w:vAlign w:val="center"/>
          </w:tcPr>
          <w:p w14:paraId="676FC69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30,100</w:t>
            </w:r>
          </w:p>
        </w:tc>
        <w:tc>
          <w:tcPr>
            <w:tcW w:w="633" w:type="dxa"/>
            <w:tcMar>
              <w:left w:w="28" w:type="dxa"/>
              <w:right w:w="28" w:type="dxa"/>
            </w:tcMar>
            <w:vAlign w:val="center"/>
          </w:tcPr>
          <w:p w14:paraId="4622DB2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35,300</w:t>
            </w:r>
          </w:p>
        </w:tc>
        <w:tc>
          <w:tcPr>
            <w:tcW w:w="633" w:type="dxa"/>
            <w:tcMar>
              <w:left w:w="28" w:type="dxa"/>
              <w:right w:w="28" w:type="dxa"/>
            </w:tcMar>
            <w:vAlign w:val="center"/>
          </w:tcPr>
          <w:p w14:paraId="423F80B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41,500</w:t>
            </w:r>
          </w:p>
        </w:tc>
        <w:tc>
          <w:tcPr>
            <w:tcW w:w="633" w:type="dxa"/>
            <w:tcBorders>
              <w:right w:val="single" w:sz="8" w:space="0" w:color="auto"/>
            </w:tcBorders>
            <w:tcMar>
              <w:left w:w="28" w:type="dxa"/>
              <w:right w:w="28" w:type="dxa"/>
            </w:tcMar>
            <w:vAlign w:val="center"/>
          </w:tcPr>
          <w:p w14:paraId="193A339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50,300</w:t>
            </w:r>
          </w:p>
        </w:tc>
        <w:tc>
          <w:tcPr>
            <w:tcW w:w="634" w:type="dxa"/>
            <w:tcBorders>
              <w:left w:val="single" w:sz="8" w:space="0" w:color="auto"/>
              <w:right w:val="single" w:sz="4" w:space="0" w:color="auto"/>
            </w:tcBorders>
            <w:tcMar>
              <w:left w:w="28" w:type="dxa"/>
              <w:right w:w="28" w:type="dxa"/>
            </w:tcMar>
            <w:vAlign w:val="center"/>
          </w:tcPr>
          <w:p w14:paraId="68D90CE7"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29,500</w:t>
            </w:r>
          </w:p>
        </w:tc>
      </w:tr>
      <w:tr w:rsidR="00711FE4" w:rsidRPr="00711FE4" w14:paraId="57799F1A" w14:textId="77777777" w:rsidTr="00366F04">
        <w:trPr>
          <w:trHeight w:val="255"/>
          <w:jc w:val="center"/>
        </w:trPr>
        <w:tc>
          <w:tcPr>
            <w:tcW w:w="745" w:type="dxa"/>
            <w:vMerge/>
          </w:tcPr>
          <w:p w14:paraId="0D74F2D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5A94CDA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1984</w:t>
            </w:r>
          </w:p>
        </w:tc>
        <w:tc>
          <w:tcPr>
            <w:tcW w:w="633" w:type="dxa"/>
            <w:tcMar>
              <w:left w:w="28" w:type="dxa"/>
              <w:right w:w="28" w:type="dxa"/>
            </w:tcMar>
            <w:vAlign w:val="center"/>
          </w:tcPr>
          <w:p w14:paraId="19A1D48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13,300</w:t>
            </w:r>
          </w:p>
        </w:tc>
        <w:tc>
          <w:tcPr>
            <w:tcW w:w="633" w:type="dxa"/>
            <w:tcMar>
              <w:left w:w="28" w:type="dxa"/>
              <w:right w:w="28" w:type="dxa"/>
            </w:tcMar>
            <w:vAlign w:val="center"/>
          </w:tcPr>
          <w:p w14:paraId="7062677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16,900</w:t>
            </w:r>
          </w:p>
        </w:tc>
        <w:tc>
          <w:tcPr>
            <w:tcW w:w="633" w:type="dxa"/>
            <w:tcMar>
              <w:left w:w="28" w:type="dxa"/>
              <w:right w:w="28" w:type="dxa"/>
            </w:tcMar>
            <w:vAlign w:val="center"/>
          </w:tcPr>
          <w:p w14:paraId="0A279A0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19,500</w:t>
            </w:r>
          </w:p>
        </w:tc>
        <w:tc>
          <w:tcPr>
            <w:tcW w:w="633" w:type="dxa"/>
            <w:tcMar>
              <w:left w:w="28" w:type="dxa"/>
              <w:right w:w="28" w:type="dxa"/>
            </w:tcMar>
            <w:vAlign w:val="center"/>
          </w:tcPr>
          <w:p w14:paraId="2C4C736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22,200</w:t>
            </w:r>
          </w:p>
        </w:tc>
        <w:tc>
          <w:tcPr>
            <w:tcW w:w="633" w:type="dxa"/>
            <w:tcMar>
              <w:left w:w="28" w:type="dxa"/>
              <w:right w:w="28" w:type="dxa"/>
            </w:tcMar>
            <w:vAlign w:val="center"/>
          </w:tcPr>
          <w:p w14:paraId="0BF3279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25,700</w:t>
            </w:r>
          </w:p>
        </w:tc>
        <w:tc>
          <w:tcPr>
            <w:tcW w:w="634" w:type="dxa"/>
            <w:tcMar>
              <w:left w:w="28" w:type="dxa"/>
              <w:right w:w="28" w:type="dxa"/>
            </w:tcMar>
            <w:vAlign w:val="center"/>
          </w:tcPr>
          <w:p w14:paraId="0A43373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29,700</w:t>
            </w:r>
          </w:p>
        </w:tc>
        <w:tc>
          <w:tcPr>
            <w:tcW w:w="633" w:type="dxa"/>
            <w:tcMar>
              <w:left w:w="28" w:type="dxa"/>
              <w:right w:w="28" w:type="dxa"/>
            </w:tcMar>
            <w:vAlign w:val="center"/>
          </w:tcPr>
          <w:p w14:paraId="4FA9B42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34,500</w:t>
            </w:r>
          </w:p>
        </w:tc>
        <w:tc>
          <w:tcPr>
            <w:tcW w:w="633" w:type="dxa"/>
            <w:tcMar>
              <w:left w:w="28" w:type="dxa"/>
              <w:right w:w="28" w:type="dxa"/>
            </w:tcMar>
            <w:vAlign w:val="center"/>
          </w:tcPr>
          <w:p w14:paraId="3C72574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40,500</w:t>
            </w:r>
          </w:p>
        </w:tc>
        <w:tc>
          <w:tcPr>
            <w:tcW w:w="633" w:type="dxa"/>
            <w:tcBorders>
              <w:right w:val="single" w:sz="8" w:space="0" w:color="auto"/>
            </w:tcBorders>
            <w:tcMar>
              <w:left w:w="28" w:type="dxa"/>
              <w:right w:w="28" w:type="dxa"/>
            </w:tcMar>
            <w:vAlign w:val="center"/>
          </w:tcPr>
          <w:p w14:paraId="098BF1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49,600</w:t>
            </w:r>
          </w:p>
        </w:tc>
        <w:tc>
          <w:tcPr>
            <w:tcW w:w="634" w:type="dxa"/>
            <w:tcBorders>
              <w:left w:val="single" w:sz="8" w:space="0" w:color="auto"/>
              <w:right w:val="single" w:sz="4" w:space="0" w:color="auto"/>
            </w:tcBorders>
            <w:tcMar>
              <w:left w:w="28" w:type="dxa"/>
              <w:right w:w="28" w:type="dxa"/>
            </w:tcMar>
            <w:vAlign w:val="center"/>
          </w:tcPr>
          <w:p w14:paraId="58C9F99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28,900</w:t>
            </w:r>
          </w:p>
        </w:tc>
      </w:tr>
      <w:tr w:rsidR="00711FE4" w:rsidRPr="00711FE4" w14:paraId="18D7BEA7" w14:textId="77777777" w:rsidTr="00366F04">
        <w:trPr>
          <w:trHeight w:val="255"/>
          <w:jc w:val="center"/>
        </w:trPr>
        <w:tc>
          <w:tcPr>
            <w:tcW w:w="745" w:type="dxa"/>
            <w:vMerge/>
          </w:tcPr>
          <w:p w14:paraId="6FD9829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6737BA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1986</w:t>
            </w:r>
          </w:p>
        </w:tc>
        <w:tc>
          <w:tcPr>
            <w:tcW w:w="633" w:type="dxa"/>
            <w:tcMar>
              <w:left w:w="28" w:type="dxa"/>
              <w:right w:w="28" w:type="dxa"/>
            </w:tcMar>
            <w:vAlign w:val="center"/>
          </w:tcPr>
          <w:p w14:paraId="175C64E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14,300</w:t>
            </w:r>
          </w:p>
        </w:tc>
        <w:tc>
          <w:tcPr>
            <w:tcW w:w="633" w:type="dxa"/>
            <w:tcMar>
              <w:left w:w="28" w:type="dxa"/>
              <w:right w:w="28" w:type="dxa"/>
            </w:tcMar>
            <w:vAlign w:val="center"/>
          </w:tcPr>
          <w:p w14:paraId="4E97CF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17,800</w:t>
            </w:r>
          </w:p>
        </w:tc>
        <w:tc>
          <w:tcPr>
            <w:tcW w:w="633" w:type="dxa"/>
            <w:tcMar>
              <w:left w:w="28" w:type="dxa"/>
              <w:right w:w="28" w:type="dxa"/>
            </w:tcMar>
            <w:vAlign w:val="center"/>
          </w:tcPr>
          <w:p w14:paraId="31033C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20,800</w:t>
            </w:r>
          </w:p>
        </w:tc>
        <w:tc>
          <w:tcPr>
            <w:tcW w:w="633" w:type="dxa"/>
            <w:tcMar>
              <w:left w:w="28" w:type="dxa"/>
              <w:right w:w="28" w:type="dxa"/>
            </w:tcMar>
            <w:vAlign w:val="center"/>
          </w:tcPr>
          <w:p w14:paraId="6436DA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23,300</w:t>
            </w:r>
          </w:p>
        </w:tc>
        <w:tc>
          <w:tcPr>
            <w:tcW w:w="633" w:type="dxa"/>
            <w:tcMar>
              <w:left w:w="28" w:type="dxa"/>
              <w:right w:w="28" w:type="dxa"/>
            </w:tcMar>
            <w:vAlign w:val="center"/>
          </w:tcPr>
          <w:p w14:paraId="276DC0B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26,800</w:t>
            </w:r>
          </w:p>
        </w:tc>
        <w:tc>
          <w:tcPr>
            <w:tcW w:w="634" w:type="dxa"/>
            <w:tcMar>
              <w:left w:w="28" w:type="dxa"/>
              <w:right w:w="28" w:type="dxa"/>
            </w:tcMar>
            <w:vAlign w:val="center"/>
          </w:tcPr>
          <w:p w14:paraId="38879D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30,300</w:t>
            </w:r>
          </w:p>
        </w:tc>
        <w:tc>
          <w:tcPr>
            <w:tcW w:w="633" w:type="dxa"/>
            <w:tcMar>
              <w:left w:w="28" w:type="dxa"/>
              <w:right w:w="28" w:type="dxa"/>
            </w:tcMar>
            <w:vAlign w:val="center"/>
          </w:tcPr>
          <w:p w14:paraId="45C163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34,700</w:t>
            </w:r>
          </w:p>
        </w:tc>
        <w:tc>
          <w:tcPr>
            <w:tcW w:w="633" w:type="dxa"/>
            <w:tcMar>
              <w:left w:w="28" w:type="dxa"/>
              <w:right w:w="28" w:type="dxa"/>
            </w:tcMar>
            <w:vAlign w:val="center"/>
          </w:tcPr>
          <w:p w14:paraId="271FD61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40,600</w:t>
            </w:r>
          </w:p>
        </w:tc>
        <w:tc>
          <w:tcPr>
            <w:tcW w:w="633" w:type="dxa"/>
            <w:tcBorders>
              <w:right w:val="single" w:sz="8" w:space="0" w:color="auto"/>
            </w:tcBorders>
            <w:tcMar>
              <w:left w:w="28" w:type="dxa"/>
              <w:right w:w="28" w:type="dxa"/>
            </w:tcMar>
            <w:vAlign w:val="center"/>
          </w:tcPr>
          <w:p w14:paraId="0B64356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49,800</w:t>
            </w:r>
          </w:p>
        </w:tc>
        <w:tc>
          <w:tcPr>
            <w:tcW w:w="634" w:type="dxa"/>
            <w:tcBorders>
              <w:left w:val="single" w:sz="8" w:space="0" w:color="auto"/>
              <w:right w:val="single" w:sz="4" w:space="0" w:color="auto"/>
            </w:tcBorders>
            <w:tcMar>
              <w:left w:w="28" w:type="dxa"/>
              <w:right w:w="28" w:type="dxa"/>
            </w:tcMar>
            <w:vAlign w:val="center"/>
          </w:tcPr>
          <w:p w14:paraId="1E61612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29,700</w:t>
            </w:r>
          </w:p>
        </w:tc>
      </w:tr>
      <w:tr w:rsidR="00711FE4" w:rsidRPr="00711FE4" w14:paraId="655D1636" w14:textId="77777777" w:rsidTr="00366F04">
        <w:trPr>
          <w:trHeight w:val="255"/>
          <w:jc w:val="center"/>
        </w:trPr>
        <w:tc>
          <w:tcPr>
            <w:tcW w:w="745" w:type="dxa"/>
            <w:vMerge/>
          </w:tcPr>
          <w:p w14:paraId="27B9BEB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BD67F9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1988</w:t>
            </w:r>
          </w:p>
        </w:tc>
        <w:tc>
          <w:tcPr>
            <w:tcW w:w="633" w:type="dxa"/>
            <w:tcMar>
              <w:left w:w="28" w:type="dxa"/>
              <w:right w:w="28" w:type="dxa"/>
            </w:tcMar>
            <w:vAlign w:val="center"/>
          </w:tcPr>
          <w:p w14:paraId="0EE8DF0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13,800</w:t>
            </w:r>
          </w:p>
        </w:tc>
        <w:tc>
          <w:tcPr>
            <w:tcW w:w="633" w:type="dxa"/>
            <w:tcMar>
              <w:left w:w="28" w:type="dxa"/>
              <w:right w:w="28" w:type="dxa"/>
            </w:tcMar>
            <w:vAlign w:val="center"/>
          </w:tcPr>
          <w:p w14:paraId="16BFF07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17,200</w:t>
            </w:r>
          </w:p>
        </w:tc>
        <w:tc>
          <w:tcPr>
            <w:tcW w:w="633" w:type="dxa"/>
            <w:tcMar>
              <w:left w:w="28" w:type="dxa"/>
              <w:right w:w="28" w:type="dxa"/>
            </w:tcMar>
            <w:vAlign w:val="center"/>
          </w:tcPr>
          <w:p w14:paraId="5C7913E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20,000</w:t>
            </w:r>
          </w:p>
        </w:tc>
        <w:tc>
          <w:tcPr>
            <w:tcW w:w="633" w:type="dxa"/>
            <w:tcMar>
              <w:left w:w="28" w:type="dxa"/>
              <w:right w:w="28" w:type="dxa"/>
            </w:tcMar>
            <w:vAlign w:val="center"/>
          </w:tcPr>
          <w:p w14:paraId="2BFD0C0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22,900</w:t>
            </w:r>
          </w:p>
        </w:tc>
        <w:tc>
          <w:tcPr>
            <w:tcW w:w="633" w:type="dxa"/>
            <w:tcMar>
              <w:left w:w="28" w:type="dxa"/>
              <w:right w:w="28" w:type="dxa"/>
            </w:tcMar>
            <w:vAlign w:val="center"/>
          </w:tcPr>
          <w:p w14:paraId="25C398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26,300</w:t>
            </w:r>
          </w:p>
        </w:tc>
        <w:tc>
          <w:tcPr>
            <w:tcW w:w="634" w:type="dxa"/>
            <w:tcMar>
              <w:left w:w="28" w:type="dxa"/>
              <w:right w:w="28" w:type="dxa"/>
            </w:tcMar>
            <w:vAlign w:val="center"/>
          </w:tcPr>
          <w:p w14:paraId="5BCE85E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30,500</w:t>
            </w:r>
          </w:p>
        </w:tc>
        <w:tc>
          <w:tcPr>
            <w:tcW w:w="633" w:type="dxa"/>
            <w:tcMar>
              <w:left w:w="28" w:type="dxa"/>
              <w:right w:w="28" w:type="dxa"/>
            </w:tcMar>
            <w:vAlign w:val="center"/>
          </w:tcPr>
          <w:p w14:paraId="1CF3C58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35,000</w:t>
            </w:r>
          </w:p>
        </w:tc>
        <w:tc>
          <w:tcPr>
            <w:tcW w:w="633" w:type="dxa"/>
            <w:tcMar>
              <w:left w:w="28" w:type="dxa"/>
              <w:right w:w="28" w:type="dxa"/>
            </w:tcMar>
            <w:vAlign w:val="center"/>
          </w:tcPr>
          <w:p w14:paraId="4EEDF1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40,300</w:t>
            </w:r>
          </w:p>
        </w:tc>
        <w:tc>
          <w:tcPr>
            <w:tcW w:w="633" w:type="dxa"/>
            <w:tcBorders>
              <w:right w:val="single" w:sz="8" w:space="0" w:color="auto"/>
            </w:tcBorders>
            <w:tcMar>
              <w:left w:w="28" w:type="dxa"/>
              <w:right w:w="28" w:type="dxa"/>
            </w:tcMar>
            <w:vAlign w:val="center"/>
          </w:tcPr>
          <w:p w14:paraId="195E9D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49,300</w:t>
            </w:r>
          </w:p>
        </w:tc>
        <w:tc>
          <w:tcPr>
            <w:tcW w:w="634" w:type="dxa"/>
            <w:tcBorders>
              <w:left w:val="single" w:sz="8" w:space="0" w:color="auto"/>
              <w:right w:val="single" w:sz="4" w:space="0" w:color="auto"/>
            </w:tcBorders>
            <w:tcMar>
              <w:left w:w="28" w:type="dxa"/>
              <w:right w:w="28" w:type="dxa"/>
            </w:tcMar>
            <w:vAlign w:val="center"/>
          </w:tcPr>
          <w:p w14:paraId="5DDC3EAB"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29,400</w:t>
            </w:r>
          </w:p>
        </w:tc>
      </w:tr>
      <w:tr w:rsidR="00711FE4" w:rsidRPr="00711FE4" w14:paraId="2B76045A" w14:textId="77777777" w:rsidTr="00366F04">
        <w:trPr>
          <w:trHeight w:val="255"/>
          <w:jc w:val="center"/>
        </w:trPr>
        <w:tc>
          <w:tcPr>
            <w:tcW w:w="745" w:type="dxa"/>
            <w:vMerge/>
          </w:tcPr>
          <w:p w14:paraId="3F2A0BA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4B0CFC8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1990</w:t>
            </w:r>
          </w:p>
        </w:tc>
        <w:tc>
          <w:tcPr>
            <w:tcW w:w="633" w:type="dxa"/>
            <w:tcMar>
              <w:left w:w="28" w:type="dxa"/>
              <w:right w:w="28" w:type="dxa"/>
            </w:tcMar>
            <w:vAlign w:val="center"/>
          </w:tcPr>
          <w:p w14:paraId="4C4177A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13,500</w:t>
            </w:r>
          </w:p>
        </w:tc>
        <w:tc>
          <w:tcPr>
            <w:tcW w:w="633" w:type="dxa"/>
            <w:tcMar>
              <w:left w:w="28" w:type="dxa"/>
              <w:right w:w="28" w:type="dxa"/>
            </w:tcMar>
            <w:vAlign w:val="center"/>
          </w:tcPr>
          <w:p w14:paraId="06971D2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16,600</w:t>
            </w:r>
          </w:p>
        </w:tc>
        <w:tc>
          <w:tcPr>
            <w:tcW w:w="633" w:type="dxa"/>
            <w:tcMar>
              <w:left w:w="28" w:type="dxa"/>
              <w:right w:w="28" w:type="dxa"/>
            </w:tcMar>
            <w:vAlign w:val="center"/>
          </w:tcPr>
          <w:p w14:paraId="6E4532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19,300</w:t>
            </w:r>
          </w:p>
        </w:tc>
        <w:tc>
          <w:tcPr>
            <w:tcW w:w="633" w:type="dxa"/>
            <w:tcMar>
              <w:left w:w="28" w:type="dxa"/>
              <w:right w:w="28" w:type="dxa"/>
            </w:tcMar>
            <w:vAlign w:val="center"/>
          </w:tcPr>
          <w:p w14:paraId="6FC0D52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22,400</w:t>
            </w:r>
          </w:p>
        </w:tc>
        <w:tc>
          <w:tcPr>
            <w:tcW w:w="633" w:type="dxa"/>
            <w:tcMar>
              <w:left w:w="28" w:type="dxa"/>
              <w:right w:w="28" w:type="dxa"/>
            </w:tcMar>
            <w:vAlign w:val="center"/>
          </w:tcPr>
          <w:p w14:paraId="53BDB4E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25,800</w:t>
            </w:r>
          </w:p>
        </w:tc>
        <w:tc>
          <w:tcPr>
            <w:tcW w:w="634" w:type="dxa"/>
            <w:tcMar>
              <w:left w:w="28" w:type="dxa"/>
              <w:right w:w="28" w:type="dxa"/>
            </w:tcMar>
            <w:vAlign w:val="center"/>
          </w:tcPr>
          <w:p w14:paraId="2FD1A7E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30,200</w:t>
            </w:r>
          </w:p>
        </w:tc>
        <w:tc>
          <w:tcPr>
            <w:tcW w:w="633" w:type="dxa"/>
            <w:tcMar>
              <w:left w:w="28" w:type="dxa"/>
              <w:right w:w="28" w:type="dxa"/>
            </w:tcMar>
            <w:vAlign w:val="center"/>
          </w:tcPr>
          <w:p w14:paraId="19234CA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35,500</w:t>
            </w:r>
          </w:p>
        </w:tc>
        <w:tc>
          <w:tcPr>
            <w:tcW w:w="633" w:type="dxa"/>
            <w:tcMar>
              <w:left w:w="28" w:type="dxa"/>
              <w:right w:w="28" w:type="dxa"/>
            </w:tcMar>
            <w:vAlign w:val="center"/>
          </w:tcPr>
          <w:p w14:paraId="7A4015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42,900</w:t>
            </w:r>
          </w:p>
        </w:tc>
        <w:tc>
          <w:tcPr>
            <w:tcW w:w="633" w:type="dxa"/>
            <w:tcBorders>
              <w:right w:val="single" w:sz="8" w:space="0" w:color="auto"/>
            </w:tcBorders>
            <w:tcMar>
              <w:left w:w="28" w:type="dxa"/>
              <w:right w:w="28" w:type="dxa"/>
            </w:tcMar>
            <w:vAlign w:val="center"/>
          </w:tcPr>
          <w:p w14:paraId="07934A1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53,800</w:t>
            </w:r>
          </w:p>
        </w:tc>
        <w:tc>
          <w:tcPr>
            <w:tcW w:w="634" w:type="dxa"/>
            <w:tcBorders>
              <w:left w:val="single" w:sz="8" w:space="0" w:color="auto"/>
              <w:right w:val="single" w:sz="4" w:space="0" w:color="auto"/>
            </w:tcBorders>
            <w:tcMar>
              <w:left w:w="28" w:type="dxa"/>
              <w:right w:w="28" w:type="dxa"/>
            </w:tcMar>
            <w:vAlign w:val="center"/>
          </w:tcPr>
          <w:p w14:paraId="388D9AB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31,100</w:t>
            </w:r>
          </w:p>
        </w:tc>
      </w:tr>
      <w:tr w:rsidR="00711FE4" w:rsidRPr="00711FE4" w14:paraId="6FF7AB7D" w14:textId="77777777" w:rsidTr="00366F04">
        <w:trPr>
          <w:trHeight w:val="255"/>
          <w:jc w:val="center"/>
        </w:trPr>
        <w:tc>
          <w:tcPr>
            <w:tcW w:w="745" w:type="dxa"/>
            <w:vMerge/>
          </w:tcPr>
          <w:p w14:paraId="6991B34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598A38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1992</w:t>
            </w:r>
          </w:p>
        </w:tc>
        <w:tc>
          <w:tcPr>
            <w:tcW w:w="633" w:type="dxa"/>
            <w:tcMar>
              <w:left w:w="28" w:type="dxa"/>
              <w:right w:w="28" w:type="dxa"/>
            </w:tcMar>
            <w:vAlign w:val="center"/>
          </w:tcPr>
          <w:p w14:paraId="1BC67D5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10,100</w:t>
            </w:r>
          </w:p>
        </w:tc>
        <w:tc>
          <w:tcPr>
            <w:tcW w:w="633" w:type="dxa"/>
            <w:tcMar>
              <w:left w:w="28" w:type="dxa"/>
              <w:right w:w="28" w:type="dxa"/>
            </w:tcMar>
            <w:vAlign w:val="center"/>
          </w:tcPr>
          <w:p w14:paraId="28C3196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13,500</w:t>
            </w:r>
          </w:p>
        </w:tc>
        <w:tc>
          <w:tcPr>
            <w:tcW w:w="633" w:type="dxa"/>
            <w:tcMar>
              <w:left w:w="28" w:type="dxa"/>
              <w:right w:w="28" w:type="dxa"/>
            </w:tcMar>
            <w:vAlign w:val="center"/>
          </w:tcPr>
          <w:p w14:paraId="5FB2FB2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16,900</w:t>
            </w:r>
          </w:p>
        </w:tc>
        <w:tc>
          <w:tcPr>
            <w:tcW w:w="633" w:type="dxa"/>
            <w:tcMar>
              <w:left w:w="28" w:type="dxa"/>
              <w:right w:w="28" w:type="dxa"/>
            </w:tcMar>
            <w:vAlign w:val="center"/>
          </w:tcPr>
          <w:p w14:paraId="705A0C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19,800</w:t>
            </w:r>
          </w:p>
        </w:tc>
        <w:tc>
          <w:tcPr>
            <w:tcW w:w="633" w:type="dxa"/>
            <w:tcMar>
              <w:left w:w="28" w:type="dxa"/>
              <w:right w:w="28" w:type="dxa"/>
            </w:tcMar>
            <w:vAlign w:val="center"/>
          </w:tcPr>
          <w:p w14:paraId="49AB6FB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22,800</w:t>
            </w:r>
          </w:p>
        </w:tc>
        <w:tc>
          <w:tcPr>
            <w:tcW w:w="634" w:type="dxa"/>
            <w:tcMar>
              <w:left w:w="28" w:type="dxa"/>
              <w:right w:w="28" w:type="dxa"/>
            </w:tcMar>
            <w:vAlign w:val="center"/>
          </w:tcPr>
          <w:p w14:paraId="50EAAB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27,100</w:t>
            </w:r>
          </w:p>
        </w:tc>
        <w:tc>
          <w:tcPr>
            <w:tcW w:w="633" w:type="dxa"/>
            <w:tcMar>
              <w:left w:w="28" w:type="dxa"/>
              <w:right w:w="28" w:type="dxa"/>
            </w:tcMar>
            <w:vAlign w:val="center"/>
          </w:tcPr>
          <w:p w14:paraId="55C4572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32,200</w:t>
            </w:r>
          </w:p>
        </w:tc>
        <w:tc>
          <w:tcPr>
            <w:tcW w:w="633" w:type="dxa"/>
            <w:tcMar>
              <w:left w:w="28" w:type="dxa"/>
              <w:right w:w="28" w:type="dxa"/>
            </w:tcMar>
            <w:vAlign w:val="center"/>
          </w:tcPr>
          <w:p w14:paraId="684F601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38,700</w:t>
            </w:r>
          </w:p>
        </w:tc>
        <w:tc>
          <w:tcPr>
            <w:tcW w:w="633" w:type="dxa"/>
            <w:tcBorders>
              <w:right w:val="single" w:sz="8" w:space="0" w:color="auto"/>
            </w:tcBorders>
            <w:tcMar>
              <w:left w:w="28" w:type="dxa"/>
              <w:right w:w="28" w:type="dxa"/>
            </w:tcMar>
            <w:vAlign w:val="center"/>
          </w:tcPr>
          <w:p w14:paraId="4825F05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50,600</w:t>
            </w:r>
          </w:p>
        </w:tc>
        <w:tc>
          <w:tcPr>
            <w:tcW w:w="634" w:type="dxa"/>
            <w:tcBorders>
              <w:left w:val="single" w:sz="8" w:space="0" w:color="auto"/>
              <w:right w:val="single" w:sz="4" w:space="0" w:color="auto"/>
            </w:tcBorders>
            <w:tcMar>
              <w:left w:w="28" w:type="dxa"/>
              <w:right w:w="28" w:type="dxa"/>
            </w:tcMar>
            <w:vAlign w:val="center"/>
          </w:tcPr>
          <w:p w14:paraId="7281932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27,600</w:t>
            </w:r>
          </w:p>
        </w:tc>
      </w:tr>
      <w:tr w:rsidR="00711FE4" w:rsidRPr="00711FE4" w14:paraId="6B5A1214" w14:textId="77777777" w:rsidTr="00366F04">
        <w:trPr>
          <w:trHeight w:val="255"/>
          <w:jc w:val="center"/>
        </w:trPr>
        <w:tc>
          <w:tcPr>
            <w:tcW w:w="745" w:type="dxa"/>
            <w:vMerge/>
          </w:tcPr>
          <w:p w14:paraId="0B7AD6B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28C118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1994</w:t>
            </w:r>
          </w:p>
        </w:tc>
        <w:tc>
          <w:tcPr>
            <w:tcW w:w="633" w:type="dxa"/>
            <w:tcMar>
              <w:left w:w="28" w:type="dxa"/>
              <w:right w:w="28" w:type="dxa"/>
            </w:tcMar>
            <w:vAlign w:val="center"/>
          </w:tcPr>
          <w:p w14:paraId="528878B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9,200</w:t>
            </w:r>
          </w:p>
        </w:tc>
        <w:tc>
          <w:tcPr>
            <w:tcW w:w="633" w:type="dxa"/>
            <w:tcMar>
              <w:left w:w="28" w:type="dxa"/>
              <w:right w:w="28" w:type="dxa"/>
            </w:tcMar>
            <w:vAlign w:val="center"/>
          </w:tcPr>
          <w:p w14:paraId="588B480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12,600</w:t>
            </w:r>
          </w:p>
        </w:tc>
        <w:tc>
          <w:tcPr>
            <w:tcW w:w="633" w:type="dxa"/>
            <w:tcMar>
              <w:left w:w="28" w:type="dxa"/>
              <w:right w:w="28" w:type="dxa"/>
            </w:tcMar>
            <w:vAlign w:val="center"/>
          </w:tcPr>
          <w:p w14:paraId="72569BE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16,300</w:t>
            </w:r>
          </w:p>
        </w:tc>
        <w:tc>
          <w:tcPr>
            <w:tcW w:w="633" w:type="dxa"/>
            <w:tcMar>
              <w:left w:w="28" w:type="dxa"/>
              <w:right w:w="28" w:type="dxa"/>
            </w:tcMar>
            <w:vAlign w:val="center"/>
          </w:tcPr>
          <w:p w14:paraId="7FA75C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19,000</w:t>
            </w:r>
          </w:p>
        </w:tc>
        <w:tc>
          <w:tcPr>
            <w:tcW w:w="633" w:type="dxa"/>
            <w:tcMar>
              <w:left w:w="28" w:type="dxa"/>
              <w:right w:w="28" w:type="dxa"/>
            </w:tcMar>
            <w:vAlign w:val="center"/>
          </w:tcPr>
          <w:p w14:paraId="52A3290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22,300</w:t>
            </w:r>
          </w:p>
        </w:tc>
        <w:tc>
          <w:tcPr>
            <w:tcW w:w="634" w:type="dxa"/>
            <w:tcMar>
              <w:left w:w="28" w:type="dxa"/>
              <w:right w:w="28" w:type="dxa"/>
            </w:tcMar>
            <w:vAlign w:val="center"/>
          </w:tcPr>
          <w:p w14:paraId="586A1D8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26,800</w:t>
            </w:r>
          </w:p>
        </w:tc>
        <w:tc>
          <w:tcPr>
            <w:tcW w:w="633" w:type="dxa"/>
            <w:tcMar>
              <w:left w:w="28" w:type="dxa"/>
              <w:right w:w="28" w:type="dxa"/>
            </w:tcMar>
            <w:vAlign w:val="center"/>
          </w:tcPr>
          <w:p w14:paraId="79FAB28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32,100</w:t>
            </w:r>
          </w:p>
        </w:tc>
        <w:tc>
          <w:tcPr>
            <w:tcW w:w="633" w:type="dxa"/>
            <w:tcMar>
              <w:left w:w="28" w:type="dxa"/>
              <w:right w:w="28" w:type="dxa"/>
            </w:tcMar>
            <w:vAlign w:val="center"/>
          </w:tcPr>
          <w:p w14:paraId="219FEE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38,900</w:t>
            </w:r>
          </w:p>
        </w:tc>
        <w:tc>
          <w:tcPr>
            <w:tcW w:w="633" w:type="dxa"/>
            <w:tcBorders>
              <w:right w:val="single" w:sz="8" w:space="0" w:color="auto"/>
            </w:tcBorders>
            <w:tcMar>
              <w:left w:w="28" w:type="dxa"/>
              <w:right w:w="28" w:type="dxa"/>
            </w:tcMar>
            <w:vAlign w:val="center"/>
          </w:tcPr>
          <w:p w14:paraId="0FA022D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48,900</w:t>
            </w:r>
          </w:p>
        </w:tc>
        <w:tc>
          <w:tcPr>
            <w:tcW w:w="634" w:type="dxa"/>
            <w:tcBorders>
              <w:left w:val="single" w:sz="8" w:space="0" w:color="auto"/>
              <w:right w:val="single" w:sz="4" w:space="0" w:color="auto"/>
            </w:tcBorders>
            <w:tcMar>
              <w:left w:w="28" w:type="dxa"/>
              <w:right w:w="28" w:type="dxa"/>
            </w:tcMar>
            <w:vAlign w:val="center"/>
          </w:tcPr>
          <w:p w14:paraId="0D64B40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27,000</w:t>
            </w:r>
          </w:p>
        </w:tc>
      </w:tr>
      <w:tr w:rsidR="00711FE4" w:rsidRPr="00711FE4" w14:paraId="4A021D59" w14:textId="77777777" w:rsidTr="00366F04">
        <w:trPr>
          <w:trHeight w:val="255"/>
          <w:jc w:val="center"/>
        </w:trPr>
        <w:tc>
          <w:tcPr>
            <w:tcW w:w="745" w:type="dxa"/>
            <w:vMerge/>
          </w:tcPr>
          <w:p w14:paraId="79747E4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51E45B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1996</w:t>
            </w:r>
          </w:p>
        </w:tc>
        <w:tc>
          <w:tcPr>
            <w:tcW w:w="633" w:type="dxa"/>
            <w:tcMar>
              <w:left w:w="28" w:type="dxa"/>
              <w:right w:w="28" w:type="dxa"/>
            </w:tcMar>
            <w:vAlign w:val="center"/>
          </w:tcPr>
          <w:p w14:paraId="7564323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9,600</w:t>
            </w:r>
          </w:p>
        </w:tc>
        <w:tc>
          <w:tcPr>
            <w:tcW w:w="633" w:type="dxa"/>
            <w:tcMar>
              <w:left w:w="28" w:type="dxa"/>
              <w:right w:w="28" w:type="dxa"/>
            </w:tcMar>
            <w:vAlign w:val="center"/>
          </w:tcPr>
          <w:p w14:paraId="1FE6B06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14,000</w:t>
            </w:r>
          </w:p>
        </w:tc>
        <w:tc>
          <w:tcPr>
            <w:tcW w:w="633" w:type="dxa"/>
            <w:tcMar>
              <w:left w:w="28" w:type="dxa"/>
              <w:right w:w="28" w:type="dxa"/>
            </w:tcMar>
            <w:vAlign w:val="center"/>
          </w:tcPr>
          <w:p w14:paraId="7009822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17,400</w:t>
            </w:r>
          </w:p>
        </w:tc>
        <w:tc>
          <w:tcPr>
            <w:tcW w:w="633" w:type="dxa"/>
            <w:tcMar>
              <w:left w:w="28" w:type="dxa"/>
              <w:right w:w="28" w:type="dxa"/>
            </w:tcMar>
            <w:vAlign w:val="center"/>
          </w:tcPr>
          <w:p w14:paraId="37D226B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19,800</w:t>
            </w:r>
          </w:p>
        </w:tc>
        <w:tc>
          <w:tcPr>
            <w:tcW w:w="633" w:type="dxa"/>
            <w:tcMar>
              <w:left w:w="28" w:type="dxa"/>
              <w:right w:w="28" w:type="dxa"/>
            </w:tcMar>
            <w:vAlign w:val="center"/>
          </w:tcPr>
          <w:p w14:paraId="14244F1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23,500</w:t>
            </w:r>
          </w:p>
        </w:tc>
        <w:tc>
          <w:tcPr>
            <w:tcW w:w="634" w:type="dxa"/>
            <w:tcMar>
              <w:left w:w="28" w:type="dxa"/>
              <w:right w:w="28" w:type="dxa"/>
            </w:tcMar>
            <w:vAlign w:val="center"/>
          </w:tcPr>
          <w:p w14:paraId="4FF9FA1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28,200</w:t>
            </w:r>
          </w:p>
        </w:tc>
        <w:tc>
          <w:tcPr>
            <w:tcW w:w="633" w:type="dxa"/>
            <w:tcMar>
              <w:left w:w="28" w:type="dxa"/>
              <w:right w:w="28" w:type="dxa"/>
            </w:tcMar>
            <w:vAlign w:val="center"/>
          </w:tcPr>
          <w:p w14:paraId="43FB558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33,200</w:t>
            </w:r>
          </w:p>
        </w:tc>
        <w:tc>
          <w:tcPr>
            <w:tcW w:w="633" w:type="dxa"/>
            <w:tcMar>
              <w:left w:w="28" w:type="dxa"/>
              <w:right w:w="28" w:type="dxa"/>
            </w:tcMar>
            <w:vAlign w:val="center"/>
          </w:tcPr>
          <w:p w14:paraId="1C0D502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41,100</w:t>
            </w:r>
          </w:p>
        </w:tc>
        <w:tc>
          <w:tcPr>
            <w:tcW w:w="633" w:type="dxa"/>
            <w:tcBorders>
              <w:right w:val="single" w:sz="8" w:space="0" w:color="auto"/>
            </w:tcBorders>
            <w:tcMar>
              <w:left w:w="28" w:type="dxa"/>
              <w:right w:w="28" w:type="dxa"/>
            </w:tcMar>
            <w:vAlign w:val="center"/>
          </w:tcPr>
          <w:p w14:paraId="45C974F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53,600</w:t>
            </w:r>
          </w:p>
        </w:tc>
        <w:tc>
          <w:tcPr>
            <w:tcW w:w="634" w:type="dxa"/>
            <w:tcBorders>
              <w:left w:val="single" w:sz="8" w:space="0" w:color="auto"/>
              <w:right w:val="single" w:sz="4" w:space="0" w:color="auto"/>
            </w:tcBorders>
            <w:tcMar>
              <w:left w:w="28" w:type="dxa"/>
              <w:right w:w="28" w:type="dxa"/>
            </w:tcMar>
            <w:vAlign w:val="center"/>
          </w:tcPr>
          <w:p w14:paraId="5C97E39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29,300</w:t>
            </w:r>
          </w:p>
        </w:tc>
      </w:tr>
      <w:tr w:rsidR="00711FE4" w:rsidRPr="00711FE4" w14:paraId="515D294C" w14:textId="77777777" w:rsidTr="00366F04">
        <w:trPr>
          <w:trHeight w:val="255"/>
          <w:jc w:val="center"/>
        </w:trPr>
        <w:tc>
          <w:tcPr>
            <w:tcW w:w="745" w:type="dxa"/>
            <w:vMerge/>
          </w:tcPr>
          <w:p w14:paraId="4E2CB9D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4E27D7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1998</w:t>
            </w:r>
          </w:p>
        </w:tc>
        <w:tc>
          <w:tcPr>
            <w:tcW w:w="633" w:type="dxa"/>
            <w:tcMar>
              <w:left w:w="28" w:type="dxa"/>
              <w:right w:w="28" w:type="dxa"/>
            </w:tcMar>
            <w:vAlign w:val="center"/>
          </w:tcPr>
          <w:p w14:paraId="1FF5257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10,100</w:t>
            </w:r>
          </w:p>
        </w:tc>
        <w:tc>
          <w:tcPr>
            <w:tcW w:w="633" w:type="dxa"/>
            <w:tcMar>
              <w:left w:w="28" w:type="dxa"/>
              <w:right w:w="28" w:type="dxa"/>
            </w:tcMar>
            <w:vAlign w:val="center"/>
          </w:tcPr>
          <w:p w14:paraId="1AAA0B4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14,800</w:t>
            </w:r>
          </w:p>
        </w:tc>
        <w:tc>
          <w:tcPr>
            <w:tcW w:w="633" w:type="dxa"/>
            <w:tcMar>
              <w:left w:w="28" w:type="dxa"/>
              <w:right w:w="28" w:type="dxa"/>
            </w:tcMar>
            <w:vAlign w:val="center"/>
          </w:tcPr>
          <w:p w14:paraId="087FC1F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18,400</w:t>
            </w:r>
          </w:p>
        </w:tc>
        <w:tc>
          <w:tcPr>
            <w:tcW w:w="633" w:type="dxa"/>
            <w:tcMar>
              <w:left w:w="28" w:type="dxa"/>
              <w:right w:w="28" w:type="dxa"/>
            </w:tcMar>
            <w:vAlign w:val="center"/>
          </w:tcPr>
          <w:p w14:paraId="28400C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21,400</w:t>
            </w:r>
          </w:p>
        </w:tc>
        <w:tc>
          <w:tcPr>
            <w:tcW w:w="633" w:type="dxa"/>
            <w:tcMar>
              <w:left w:w="28" w:type="dxa"/>
              <w:right w:w="28" w:type="dxa"/>
            </w:tcMar>
            <w:vAlign w:val="center"/>
          </w:tcPr>
          <w:p w14:paraId="3C3B9E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25,500</w:t>
            </w:r>
          </w:p>
        </w:tc>
        <w:tc>
          <w:tcPr>
            <w:tcW w:w="634" w:type="dxa"/>
            <w:tcMar>
              <w:left w:w="28" w:type="dxa"/>
              <w:right w:w="28" w:type="dxa"/>
            </w:tcMar>
            <w:vAlign w:val="center"/>
          </w:tcPr>
          <w:p w14:paraId="564D065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30,500</w:t>
            </w:r>
          </w:p>
        </w:tc>
        <w:tc>
          <w:tcPr>
            <w:tcW w:w="633" w:type="dxa"/>
            <w:tcMar>
              <w:left w:w="28" w:type="dxa"/>
              <w:right w:w="28" w:type="dxa"/>
            </w:tcMar>
            <w:vAlign w:val="center"/>
          </w:tcPr>
          <w:p w14:paraId="63F86D4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36,400</w:t>
            </w:r>
          </w:p>
        </w:tc>
        <w:tc>
          <w:tcPr>
            <w:tcW w:w="633" w:type="dxa"/>
            <w:tcMar>
              <w:left w:w="28" w:type="dxa"/>
              <w:right w:w="28" w:type="dxa"/>
            </w:tcMar>
            <w:vAlign w:val="center"/>
          </w:tcPr>
          <w:p w14:paraId="4C850F7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44,400</w:t>
            </w:r>
          </w:p>
        </w:tc>
        <w:tc>
          <w:tcPr>
            <w:tcW w:w="633" w:type="dxa"/>
            <w:tcBorders>
              <w:right w:val="single" w:sz="8" w:space="0" w:color="auto"/>
            </w:tcBorders>
            <w:tcMar>
              <w:left w:w="28" w:type="dxa"/>
              <w:right w:w="28" w:type="dxa"/>
            </w:tcMar>
            <w:vAlign w:val="center"/>
          </w:tcPr>
          <w:p w14:paraId="27AE22F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57,100</w:t>
            </w:r>
          </w:p>
        </w:tc>
        <w:tc>
          <w:tcPr>
            <w:tcW w:w="634" w:type="dxa"/>
            <w:tcBorders>
              <w:left w:val="single" w:sz="8" w:space="0" w:color="auto"/>
              <w:right w:val="single" w:sz="4" w:space="0" w:color="auto"/>
            </w:tcBorders>
            <w:tcMar>
              <w:left w:w="28" w:type="dxa"/>
              <w:right w:w="28" w:type="dxa"/>
            </w:tcMar>
            <w:vAlign w:val="center"/>
          </w:tcPr>
          <w:p w14:paraId="5E7F3690"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31,700</w:t>
            </w:r>
          </w:p>
        </w:tc>
      </w:tr>
      <w:tr w:rsidR="00711FE4" w:rsidRPr="00711FE4" w14:paraId="269D6C87" w14:textId="77777777" w:rsidTr="00366F04">
        <w:trPr>
          <w:trHeight w:val="255"/>
          <w:jc w:val="center"/>
        </w:trPr>
        <w:tc>
          <w:tcPr>
            <w:tcW w:w="745" w:type="dxa"/>
            <w:vMerge/>
          </w:tcPr>
          <w:p w14:paraId="7E06338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4EF3C9F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2001</w:t>
            </w:r>
          </w:p>
        </w:tc>
        <w:tc>
          <w:tcPr>
            <w:tcW w:w="633" w:type="dxa"/>
            <w:tcMar>
              <w:left w:w="28" w:type="dxa"/>
              <w:right w:w="28" w:type="dxa"/>
            </w:tcMar>
            <w:vAlign w:val="center"/>
          </w:tcPr>
          <w:p w14:paraId="7997CF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10,800</w:t>
            </w:r>
          </w:p>
        </w:tc>
        <w:tc>
          <w:tcPr>
            <w:tcW w:w="633" w:type="dxa"/>
            <w:tcMar>
              <w:left w:w="28" w:type="dxa"/>
              <w:right w:w="28" w:type="dxa"/>
            </w:tcMar>
            <w:vAlign w:val="center"/>
          </w:tcPr>
          <w:p w14:paraId="4FFBEDD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14,600</w:t>
            </w:r>
          </w:p>
        </w:tc>
        <w:tc>
          <w:tcPr>
            <w:tcW w:w="633" w:type="dxa"/>
            <w:tcMar>
              <w:left w:w="28" w:type="dxa"/>
              <w:right w:w="28" w:type="dxa"/>
            </w:tcMar>
            <w:vAlign w:val="center"/>
          </w:tcPr>
          <w:p w14:paraId="0EDF57A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18,200</w:t>
            </w:r>
          </w:p>
        </w:tc>
        <w:tc>
          <w:tcPr>
            <w:tcW w:w="633" w:type="dxa"/>
            <w:tcMar>
              <w:left w:w="28" w:type="dxa"/>
              <w:right w:w="28" w:type="dxa"/>
            </w:tcMar>
            <w:vAlign w:val="center"/>
          </w:tcPr>
          <w:p w14:paraId="2932444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21,800</w:t>
            </w:r>
          </w:p>
        </w:tc>
        <w:tc>
          <w:tcPr>
            <w:tcW w:w="633" w:type="dxa"/>
            <w:tcMar>
              <w:left w:w="28" w:type="dxa"/>
              <w:right w:w="28" w:type="dxa"/>
            </w:tcMar>
            <w:vAlign w:val="center"/>
          </w:tcPr>
          <w:p w14:paraId="08727B3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26,100</w:t>
            </w:r>
          </w:p>
        </w:tc>
        <w:tc>
          <w:tcPr>
            <w:tcW w:w="634" w:type="dxa"/>
            <w:tcMar>
              <w:left w:w="28" w:type="dxa"/>
              <w:right w:w="28" w:type="dxa"/>
            </w:tcMar>
            <w:vAlign w:val="center"/>
          </w:tcPr>
          <w:p w14:paraId="2AEDA68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31,300</w:t>
            </w:r>
          </w:p>
        </w:tc>
        <w:tc>
          <w:tcPr>
            <w:tcW w:w="633" w:type="dxa"/>
            <w:tcMar>
              <w:left w:w="28" w:type="dxa"/>
              <w:right w:w="28" w:type="dxa"/>
            </w:tcMar>
            <w:vAlign w:val="center"/>
          </w:tcPr>
          <w:p w14:paraId="7A1A4FB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37,900</w:t>
            </w:r>
          </w:p>
        </w:tc>
        <w:tc>
          <w:tcPr>
            <w:tcW w:w="633" w:type="dxa"/>
            <w:tcMar>
              <w:left w:w="28" w:type="dxa"/>
              <w:right w:w="28" w:type="dxa"/>
            </w:tcMar>
            <w:vAlign w:val="center"/>
          </w:tcPr>
          <w:p w14:paraId="5E706A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45,500</w:t>
            </w:r>
          </w:p>
        </w:tc>
        <w:tc>
          <w:tcPr>
            <w:tcW w:w="633" w:type="dxa"/>
            <w:tcBorders>
              <w:right w:val="single" w:sz="8" w:space="0" w:color="auto"/>
            </w:tcBorders>
            <w:tcMar>
              <w:left w:w="28" w:type="dxa"/>
              <w:right w:w="28" w:type="dxa"/>
            </w:tcMar>
            <w:vAlign w:val="center"/>
          </w:tcPr>
          <w:p w14:paraId="19C1267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60,300</w:t>
            </w:r>
          </w:p>
        </w:tc>
        <w:tc>
          <w:tcPr>
            <w:tcW w:w="634" w:type="dxa"/>
            <w:tcBorders>
              <w:left w:val="single" w:sz="8" w:space="0" w:color="auto"/>
              <w:right w:val="single" w:sz="4" w:space="0" w:color="auto"/>
            </w:tcBorders>
            <w:tcMar>
              <w:left w:w="28" w:type="dxa"/>
              <w:right w:w="28" w:type="dxa"/>
            </w:tcMar>
            <w:vAlign w:val="center"/>
          </w:tcPr>
          <w:p w14:paraId="21ED45D9"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32,900</w:t>
            </w:r>
          </w:p>
        </w:tc>
      </w:tr>
      <w:tr w:rsidR="00711FE4" w:rsidRPr="00711FE4" w14:paraId="5450E232" w14:textId="77777777" w:rsidTr="00366F04">
        <w:trPr>
          <w:trHeight w:val="255"/>
          <w:jc w:val="center"/>
        </w:trPr>
        <w:tc>
          <w:tcPr>
            <w:tcW w:w="745" w:type="dxa"/>
            <w:vMerge/>
          </w:tcPr>
          <w:p w14:paraId="0059309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78A9D78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2004</w:t>
            </w:r>
          </w:p>
        </w:tc>
        <w:tc>
          <w:tcPr>
            <w:tcW w:w="633" w:type="dxa"/>
            <w:tcMar>
              <w:left w:w="28" w:type="dxa"/>
              <w:right w:w="28" w:type="dxa"/>
            </w:tcMar>
            <w:vAlign w:val="center"/>
          </w:tcPr>
          <w:p w14:paraId="26BDA1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11,200</w:t>
            </w:r>
          </w:p>
        </w:tc>
        <w:tc>
          <w:tcPr>
            <w:tcW w:w="633" w:type="dxa"/>
            <w:tcMar>
              <w:left w:w="28" w:type="dxa"/>
              <w:right w:w="28" w:type="dxa"/>
            </w:tcMar>
            <w:vAlign w:val="center"/>
          </w:tcPr>
          <w:p w14:paraId="53E7670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16,000</w:t>
            </w:r>
          </w:p>
        </w:tc>
        <w:tc>
          <w:tcPr>
            <w:tcW w:w="633" w:type="dxa"/>
            <w:tcMar>
              <w:left w:w="28" w:type="dxa"/>
              <w:right w:w="28" w:type="dxa"/>
            </w:tcMar>
            <w:vAlign w:val="center"/>
          </w:tcPr>
          <w:p w14:paraId="6F67945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19,700</w:t>
            </w:r>
          </w:p>
        </w:tc>
        <w:tc>
          <w:tcPr>
            <w:tcW w:w="633" w:type="dxa"/>
            <w:tcMar>
              <w:left w:w="28" w:type="dxa"/>
              <w:right w:w="28" w:type="dxa"/>
            </w:tcMar>
            <w:vAlign w:val="center"/>
          </w:tcPr>
          <w:p w14:paraId="73B2948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23,600</w:t>
            </w:r>
          </w:p>
        </w:tc>
        <w:tc>
          <w:tcPr>
            <w:tcW w:w="633" w:type="dxa"/>
            <w:tcMar>
              <w:left w:w="28" w:type="dxa"/>
              <w:right w:w="28" w:type="dxa"/>
            </w:tcMar>
            <w:vAlign w:val="center"/>
          </w:tcPr>
          <w:p w14:paraId="24FA32C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28,200</w:t>
            </w:r>
          </w:p>
        </w:tc>
        <w:tc>
          <w:tcPr>
            <w:tcW w:w="634" w:type="dxa"/>
            <w:tcMar>
              <w:left w:w="28" w:type="dxa"/>
              <w:right w:w="28" w:type="dxa"/>
            </w:tcMar>
            <w:vAlign w:val="center"/>
          </w:tcPr>
          <w:p w14:paraId="2D79D2E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34,300</w:t>
            </w:r>
          </w:p>
        </w:tc>
        <w:tc>
          <w:tcPr>
            <w:tcW w:w="633" w:type="dxa"/>
            <w:tcMar>
              <w:left w:w="28" w:type="dxa"/>
              <w:right w:w="28" w:type="dxa"/>
            </w:tcMar>
            <w:vAlign w:val="center"/>
          </w:tcPr>
          <w:p w14:paraId="359BE77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41,600</w:t>
            </w:r>
          </w:p>
        </w:tc>
        <w:tc>
          <w:tcPr>
            <w:tcW w:w="633" w:type="dxa"/>
            <w:tcMar>
              <w:left w:w="28" w:type="dxa"/>
              <w:right w:w="28" w:type="dxa"/>
            </w:tcMar>
            <w:vAlign w:val="center"/>
          </w:tcPr>
          <w:p w14:paraId="390C99E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49,600</w:t>
            </w:r>
          </w:p>
        </w:tc>
        <w:tc>
          <w:tcPr>
            <w:tcW w:w="633" w:type="dxa"/>
            <w:tcBorders>
              <w:right w:val="single" w:sz="8" w:space="0" w:color="auto"/>
            </w:tcBorders>
            <w:tcMar>
              <w:left w:w="28" w:type="dxa"/>
              <w:right w:w="28" w:type="dxa"/>
            </w:tcMar>
            <w:vAlign w:val="center"/>
          </w:tcPr>
          <w:p w14:paraId="3377FCB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63,800</w:t>
            </w:r>
          </w:p>
        </w:tc>
        <w:tc>
          <w:tcPr>
            <w:tcW w:w="634" w:type="dxa"/>
            <w:tcBorders>
              <w:left w:val="single" w:sz="8" w:space="0" w:color="auto"/>
              <w:right w:val="single" w:sz="4" w:space="0" w:color="auto"/>
            </w:tcBorders>
            <w:tcMar>
              <w:left w:w="28" w:type="dxa"/>
              <w:right w:w="28" w:type="dxa"/>
            </w:tcMar>
            <w:vAlign w:val="center"/>
          </w:tcPr>
          <w:p w14:paraId="1D25F5BC"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34,600</w:t>
            </w:r>
          </w:p>
        </w:tc>
      </w:tr>
      <w:tr w:rsidR="00711FE4" w:rsidRPr="00711FE4" w14:paraId="7DA27F3E" w14:textId="77777777" w:rsidTr="00366F04">
        <w:trPr>
          <w:trHeight w:val="255"/>
          <w:jc w:val="center"/>
        </w:trPr>
        <w:tc>
          <w:tcPr>
            <w:tcW w:w="745" w:type="dxa"/>
            <w:vMerge w:val="restart"/>
          </w:tcPr>
          <w:p w14:paraId="3E027B2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xml:space="preserve">HES-TAWA </w:t>
            </w:r>
          </w:p>
        </w:tc>
        <w:tc>
          <w:tcPr>
            <w:tcW w:w="598" w:type="dxa"/>
            <w:tcMar>
              <w:left w:w="28" w:type="dxa"/>
              <w:right w:w="28" w:type="dxa"/>
            </w:tcMar>
            <w:vAlign w:val="center"/>
          </w:tcPr>
          <w:p w14:paraId="003B124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2007</w:t>
            </w:r>
          </w:p>
        </w:tc>
        <w:tc>
          <w:tcPr>
            <w:tcW w:w="633" w:type="dxa"/>
            <w:tcMar>
              <w:left w:w="28" w:type="dxa"/>
              <w:right w:w="28" w:type="dxa"/>
            </w:tcMar>
            <w:vAlign w:val="center"/>
          </w:tcPr>
          <w:p w14:paraId="7538435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13,100</w:t>
            </w:r>
          </w:p>
        </w:tc>
        <w:tc>
          <w:tcPr>
            <w:tcW w:w="633" w:type="dxa"/>
            <w:tcMar>
              <w:left w:w="28" w:type="dxa"/>
              <w:right w:w="28" w:type="dxa"/>
            </w:tcMar>
            <w:vAlign w:val="center"/>
          </w:tcPr>
          <w:p w14:paraId="0A7B765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18,200</w:t>
            </w:r>
          </w:p>
        </w:tc>
        <w:tc>
          <w:tcPr>
            <w:tcW w:w="633" w:type="dxa"/>
            <w:tcMar>
              <w:left w:w="28" w:type="dxa"/>
              <w:right w:w="28" w:type="dxa"/>
            </w:tcMar>
            <w:vAlign w:val="center"/>
          </w:tcPr>
          <w:p w14:paraId="3D7879E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21,900</w:t>
            </w:r>
          </w:p>
        </w:tc>
        <w:tc>
          <w:tcPr>
            <w:tcW w:w="633" w:type="dxa"/>
            <w:tcMar>
              <w:left w:w="28" w:type="dxa"/>
              <w:right w:w="28" w:type="dxa"/>
            </w:tcMar>
            <w:vAlign w:val="center"/>
          </w:tcPr>
          <w:p w14:paraId="51EA05A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25,600</w:t>
            </w:r>
          </w:p>
        </w:tc>
        <w:tc>
          <w:tcPr>
            <w:tcW w:w="633" w:type="dxa"/>
            <w:tcMar>
              <w:left w:w="28" w:type="dxa"/>
              <w:right w:w="28" w:type="dxa"/>
            </w:tcMar>
            <w:vAlign w:val="center"/>
          </w:tcPr>
          <w:p w14:paraId="19E8F83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30,200</w:t>
            </w:r>
          </w:p>
        </w:tc>
        <w:tc>
          <w:tcPr>
            <w:tcW w:w="634" w:type="dxa"/>
            <w:tcMar>
              <w:left w:w="28" w:type="dxa"/>
              <w:right w:w="28" w:type="dxa"/>
            </w:tcMar>
            <w:vAlign w:val="center"/>
          </w:tcPr>
          <w:p w14:paraId="1986660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35,800</w:t>
            </w:r>
          </w:p>
        </w:tc>
        <w:tc>
          <w:tcPr>
            <w:tcW w:w="633" w:type="dxa"/>
            <w:tcMar>
              <w:left w:w="28" w:type="dxa"/>
              <w:right w:w="28" w:type="dxa"/>
            </w:tcMar>
            <w:vAlign w:val="center"/>
          </w:tcPr>
          <w:p w14:paraId="5405593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41,800</w:t>
            </w:r>
          </w:p>
        </w:tc>
        <w:tc>
          <w:tcPr>
            <w:tcW w:w="633" w:type="dxa"/>
            <w:tcMar>
              <w:left w:w="28" w:type="dxa"/>
              <w:right w:w="28" w:type="dxa"/>
            </w:tcMar>
            <w:vAlign w:val="center"/>
          </w:tcPr>
          <w:p w14:paraId="6C3D373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53,100</w:t>
            </w:r>
          </w:p>
        </w:tc>
        <w:tc>
          <w:tcPr>
            <w:tcW w:w="633" w:type="dxa"/>
            <w:tcBorders>
              <w:right w:val="single" w:sz="8" w:space="0" w:color="auto"/>
            </w:tcBorders>
            <w:tcMar>
              <w:left w:w="28" w:type="dxa"/>
              <w:right w:w="28" w:type="dxa"/>
            </w:tcMar>
            <w:vAlign w:val="center"/>
          </w:tcPr>
          <w:p w14:paraId="037B88A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69,500</w:t>
            </w:r>
          </w:p>
        </w:tc>
        <w:tc>
          <w:tcPr>
            <w:tcW w:w="634" w:type="dxa"/>
            <w:tcBorders>
              <w:left w:val="single" w:sz="8" w:space="0" w:color="auto"/>
              <w:right w:val="single" w:sz="4" w:space="0" w:color="auto"/>
            </w:tcBorders>
            <w:tcMar>
              <w:left w:w="28" w:type="dxa"/>
              <w:right w:w="28" w:type="dxa"/>
            </w:tcMar>
            <w:vAlign w:val="center"/>
          </w:tcPr>
          <w:p w14:paraId="35364284"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37,300</w:t>
            </w:r>
          </w:p>
        </w:tc>
      </w:tr>
      <w:tr w:rsidR="00711FE4" w:rsidRPr="00711FE4" w14:paraId="56755A3A" w14:textId="77777777" w:rsidTr="00366F04">
        <w:trPr>
          <w:trHeight w:val="255"/>
          <w:jc w:val="center"/>
        </w:trPr>
        <w:tc>
          <w:tcPr>
            <w:tcW w:w="745" w:type="dxa"/>
            <w:vMerge/>
          </w:tcPr>
          <w:p w14:paraId="5DF85DB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C2F25F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2008</w:t>
            </w:r>
          </w:p>
        </w:tc>
        <w:tc>
          <w:tcPr>
            <w:tcW w:w="633" w:type="dxa"/>
            <w:tcMar>
              <w:left w:w="28" w:type="dxa"/>
              <w:right w:w="28" w:type="dxa"/>
            </w:tcMar>
            <w:vAlign w:val="center"/>
          </w:tcPr>
          <w:p w14:paraId="57D1612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13,900</w:t>
            </w:r>
          </w:p>
        </w:tc>
        <w:tc>
          <w:tcPr>
            <w:tcW w:w="633" w:type="dxa"/>
            <w:tcMar>
              <w:left w:w="28" w:type="dxa"/>
              <w:right w:w="28" w:type="dxa"/>
            </w:tcMar>
            <w:vAlign w:val="center"/>
          </w:tcPr>
          <w:p w14:paraId="168A0EB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18,300</w:t>
            </w:r>
          </w:p>
        </w:tc>
        <w:tc>
          <w:tcPr>
            <w:tcW w:w="633" w:type="dxa"/>
            <w:tcMar>
              <w:left w:w="28" w:type="dxa"/>
              <w:right w:w="28" w:type="dxa"/>
            </w:tcMar>
            <w:vAlign w:val="center"/>
          </w:tcPr>
          <w:p w14:paraId="496400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21,700</w:t>
            </w:r>
          </w:p>
        </w:tc>
        <w:tc>
          <w:tcPr>
            <w:tcW w:w="633" w:type="dxa"/>
            <w:tcMar>
              <w:left w:w="28" w:type="dxa"/>
              <w:right w:w="28" w:type="dxa"/>
            </w:tcMar>
            <w:vAlign w:val="center"/>
          </w:tcPr>
          <w:p w14:paraId="1C7F0B9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26,000</w:t>
            </w:r>
          </w:p>
        </w:tc>
        <w:tc>
          <w:tcPr>
            <w:tcW w:w="633" w:type="dxa"/>
            <w:tcMar>
              <w:left w:w="28" w:type="dxa"/>
              <w:right w:w="28" w:type="dxa"/>
            </w:tcMar>
            <w:vAlign w:val="center"/>
          </w:tcPr>
          <w:p w14:paraId="50EC814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30,500</w:t>
            </w:r>
          </w:p>
        </w:tc>
        <w:tc>
          <w:tcPr>
            <w:tcW w:w="634" w:type="dxa"/>
            <w:tcMar>
              <w:left w:w="28" w:type="dxa"/>
              <w:right w:w="28" w:type="dxa"/>
            </w:tcMar>
            <w:vAlign w:val="center"/>
          </w:tcPr>
          <w:p w14:paraId="1C27C6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36,200</w:t>
            </w:r>
          </w:p>
        </w:tc>
        <w:tc>
          <w:tcPr>
            <w:tcW w:w="633" w:type="dxa"/>
            <w:tcMar>
              <w:left w:w="28" w:type="dxa"/>
              <w:right w:w="28" w:type="dxa"/>
            </w:tcMar>
            <w:vAlign w:val="center"/>
          </w:tcPr>
          <w:p w14:paraId="3CEE4A9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43,100</w:t>
            </w:r>
          </w:p>
        </w:tc>
        <w:tc>
          <w:tcPr>
            <w:tcW w:w="633" w:type="dxa"/>
            <w:tcMar>
              <w:left w:w="28" w:type="dxa"/>
              <w:right w:w="28" w:type="dxa"/>
            </w:tcMar>
            <w:vAlign w:val="center"/>
          </w:tcPr>
          <w:p w14:paraId="1CB0508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52,500</w:t>
            </w:r>
          </w:p>
        </w:tc>
        <w:tc>
          <w:tcPr>
            <w:tcW w:w="633" w:type="dxa"/>
            <w:tcBorders>
              <w:right w:val="single" w:sz="8" w:space="0" w:color="auto"/>
            </w:tcBorders>
            <w:tcMar>
              <w:left w:w="28" w:type="dxa"/>
              <w:right w:w="28" w:type="dxa"/>
            </w:tcMar>
            <w:vAlign w:val="center"/>
          </w:tcPr>
          <w:p w14:paraId="330F3F4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69,500</w:t>
            </w:r>
          </w:p>
        </w:tc>
        <w:tc>
          <w:tcPr>
            <w:tcW w:w="634" w:type="dxa"/>
            <w:tcBorders>
              <w:left w:val="single" w:sz="8" w:space="0" w:color="auto"/>
              <w:right w:val="single" w:sz="4" w:space="0" w:color="auto"/>
            </w:tcBorders>
            <w:tcMar>
              <w:left w:w="28" w:type="dxa"/>
              <w:right w:w="28" w:type="dxa"/>
            </w:tcMar>
            <w:vAlign w:val="center"/>
          </w:tcPr>
          <w:p w14:paraId="6AFBBC5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39,200</w:t>
            </w:r>
          </w:p>
        </w:tc>
      </w:tr>
      <w:tr w:rsidR="00711FE4" w:rsidRPr="00711FE4" w14:paraId="33CCD970" w14:textId="77777777" w:rsidTr="00366F04">
        <w:trPr>
          <w:trHeight w:val="255"/>
          <w:jc w:val="center"/>
        </w:trPr>
        <w:tc>
          <w:tcPr>
            <w:tcW w:w="745" w:type="dxa"/>
            <w:vMerge/>
          </w:tcPr>
          <w:p w14:paraId="6F13506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52FFE6B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2009</w:t>
            </w:r>
          </w:p>
        </w:tc>
        <w:tc>
          <w:tcPr>
            <w:tcW w:w="633" w:type="dxa"/>
            <w:tcMar>
              <w:left w:w="28" w:type="dxa"/>
              <w:right w:w="28" w:type="dxa"/>
            </w:tcMar>
            <w:vAlign w:val="center"/>
          </w:tcPr>
          <w:p w14:paraId="3E41F08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14,100</w:t>
            </w:r>
          </w:p>
        </w:tc>
        <w:tc>
          <w:tcPr>
            <w:tcW w:w="633" w:type="dxa"/>
            <w:tcMar>
              <w:left w:w="28" w:type="dxa"/>
              <w:right w:w="28" w:type="dxa"/>
            </w:tcMar>
            <w:vAlign w:val="center"/>
          </w:tcPr>
          <w:p w14:paraId="02B5A8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18,900</w:t>
            </w:r>
          </w:p>
        </w:tc>
        <w:tc>
          <w:tcPr>
            <w:tcW w:w="633" w:type="dxa"/>
            <w:tcMar>
              <w:left w:w="28" w:type="dxa"/>
              <w:right w:w="28" w:type="dxa"/>
            </w:tcMar>
            <w:vAlign w:val="center"/>
          </w:tcPr>
          <w:p w14:paraId="0E1257A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22,600</w:t>
            </w:r>
          </w:p>
        </w:tc>
        <w:tc>
          <w:tcPr>
            <w:tcW w:w="633" w:type="dxa"/>
            <w:tcMar>
              <w:left w:w="28" w:type="dxa"/>
              <w:right w:w="28" w:type="dxa"/>
            </w:tcMar>
            <w:vAlign w:val="center"/>
          </w:tcPr>
          <w:p w14:paraId="70B908C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27,400</w:t>
            </w:r>
          </w:p>
        </w:tc>
        <w:tc>
          <w:tcPr>
            <w:tcW w:w="633" w:type="dxa"/>
            <w:tcMar>
              <w:left w:w="28" w:type="dxa"/>
              <w:right w:w="28" w:type="dxa"/>
            </w:tcMar>
            <w:vAlign w:val="center"/>
          </w:tcPr>
          <w:p w14:paraId="059338E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32,300</w:t>
            </w:r>
          </w:p>
        </w:tc>
        <w:tc>
          <w:tcPr>
            <w:tcW w:w="634" w:type="dxa"/>
            <w:tcMar>
              <w:left w:w="28" w:type="dxa"/>
              <w:right w:w="28" w:type="dxa"/>
            </w:tcMar>
            <w:vAlign w:val="center"/>
          </w:tcPr>
          <w:p w14:paraId="7BFAB1C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38,300</w:t>
            </w:r>
          </w:p>
        </w:tc>
        <w:tc>
          <w:tcPr>
            <w:tcW w:w="633" w:type="dxa"/>
            <w:tcMar>
              <w:left w:w="28" w:type="dxa"/>
              <w:right w:w="28" w:type="dxa"/>
            </w:tcMar>
            <w:vAlign w:val="center"/>
          </w:tcPr>
          <w:p w14:paraId="5B834A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44,600</w:t>
            </w:r>
          </w:p>
        </w:tc>
        <w:tc>
          <w:tcPr>
            <w:tcW w:w="633" w:type="dxa"/>
            <w:tcMar>
              <w:left w:w="28" w:type="dxa"/>
              <w:right w:w="28" w:type="dxa"/>
            </w:tcMar>
            <w:vAlign w:val="center"/>
          </w:tcPr>
          <w:p w14:paraId="56DC721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54,100</w:t>
            </w:r>
          </w:p>
        </w:tc>
        <w:tc>
          <w:tcPr>
            <w:tcW w:w="633" w:type="dxa"/>
            <w:tcBorders>
              <w:right w:val="single" w:sz="8" w:space="0" w:color="auto"/>
            </w:tcBorders>
            <w:tcMar>
              <w:left w:w="28" w:type="dxa"/>
              <w:right w:w="28" w:type="dxa"/>
            </w:tcMar>
            <w:vAlign w:val="center"/>
          </w:tcPr>
          <w:p w14:paraId="6211490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71,900</w:t>
            </w:r>
          </w:p>
        </w:tc>
        <w:tc>
          <w:tcPr>
            <w:tcW w:w="634" w:type="dxa"/>
            <w:tcBorders>
              <w:left w:val="single" w:sz="8" w:space="0" w:color="auto"/>
              <w:right w:val="single" w:sz="4" w:space="0" w:color="auto"/>
            </w:tcBorders>
            <w:tcMar>
              <w:left w:w="28" w:type="dxa"/>
              <w:right w:w="28" w:type="dxa"/>
            </w:tcMar>
            <w:vAlign w:val="center"/>
          </w:tcPr>
          <w:p w14:paraId="4C2B4A43"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40,200</w:t>
            </w:r>
          </w:p>
        </w:tc>
      </w:tr>
      <w:tr w:rsidR="00711FE4" w:rsidRPr="00711FE4" w14:paraId="5E658667" w14:textId="77777777" w:rsidTr="00366F04">
        <w:trPr>
          <w:trHeight w:val="255"/>
          <w:jc w:val="center"/>
        </w:trPr>
        <w:tc>
          <w:tcPr>
            <w:tcW w:w="745" w:type="dxa"/>
            <w:vMerge/>
          </w:tcPr>
          <w:p w14:paraId="54BE632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6EE6AE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2010</w:t>
            </w:r>
          </w:p>
        </w:tc>
        <w:tc>
          <w:tcPr>
            <w:tcW w:w="633" w:type="dxa"/>
            <w:tcMar>
              <w:left w:w="28" w:type="dxa"/>
              <w:right w:w="28" w:type="dxa"/>
            </w:tcMar>
            <w:vAlign w:val="center"/>
          </w:tcPr>
          <w:p w14:paraId="23878E9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13,900</w:t>
            </w:r>
          </w:p>
        </w:tc>
        <w:tc>
          <w:tcPr>
            <w:tcW w:w="633" w:type="dxa"/>
            <w:tcMar>
              <w:left w:w="28" w:type="dxa"/>
              <w:right w:w="28" w:type="dxa"/>
            </w:tcMar>
            <w:vAlign w:val="center"/>
          </w:tcPr>
          <w:p w14:paraId="2276D21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19,000</w:t>
            </w:r>
          </w:p>
        </w:tc>
        <w:tc>
          <w:tcPr>
            <w:tcW w:w="633" w:type="dxa"/>
            <w:tcMar>
              <w:left w:w="28" w:type="dxa"/>
              <w:right w:w="28" w:type="dxa"/>
            </w:tcMar>
            <w:vAlign w:val="center"/>
          </w:tcPr>
          <w:p w14:paraId="4366608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23,300</w:t>
            </w:r>
          </w:p>
        </w:tc>
        <w:tc>
          <w:tcPr>
            <w:tcW w:w="633" w:type="dxa"/>
            <w:tcMar>
              <w:left w:w="28" w:type="dxa"/>
              <w:right w:w="28" w:type="dxa"/>
            </w:tcMar>
            <w:vAlign w:val="center"/>
          </w:tcPr>
          <w:p w14:paraId="4992AA6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28,000</w:t>
            </w:r>
          </w:p>
        </w:tc>
        <w:tc>
          <w:tcPr>
            <w:tcW w:w="633" w:type="dxa"/>
            <w:tcMar>
              <w:left w:w="28" w:type="dxa"/>
              <w:right w:w="28" w:type="dxa"/>
            </w:tcMar>
            <w:vAlign w:val="center"/>
          </w:tcPr>
          <w:p w14:paraId="1AA13A6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32,400</w:t>
            </w:r>
          </w:p>
        </w:tc>
        <w:tc>
          <w:tcPr>
            <w:tcW w:w="634" w:type="dxa"/>
            <w:tcMar>
              <w:left w:w="28" w:type="dxa"/>
              <w:right w:w="28" w:type="dxa"/>
            </w:tcMar>
            <w:vAlign w:val="center"/>
          </w:tcPr>
          <w:p w14:paraId="364AE96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37,800</w:t>
            </w:r>
          </w:p>
        </w:tc>
        <w:tc>
          <w:tcPr>
            <w:tcW w:w="633" w:type="dxa"/>
            <w:tcMar>
              <w:left w:w="28" w:type="dxa"/>
              <w:right w:w="28" w:type="dxa"/>
            </w:tcMar>
            <w:vAlign w:val="center"/>
          </w:tcPr>
          <w:p w14:paraId="72E8AF5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44,100</w:t>
            </w:r>
          </w:p>
        </w:tc>
        <w:tc>
          <w:tcPr>
            <w:tcW w:w="633" w:type="dxa"/>
            <w:tcMar>
              <w:left w:w="28" w:type="dxa"/>
              <w:right w:w="28" w:type="dxa"/>
            </w:tcMar>
            <w:vAlign w:val="center"/>
          </w:tcPr>
          <w:p w14:paraId="639A984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54,100</w:t>
            </w:r>
          </w:p>
        </w:tc>
        <w:tc>
          <w:tcPr>
            <w:tcW w:w="633" w:type="dxa"/>
            <w:tcBorders>
              <w:right w:val="single" w:sz="8" w:space="0" w:color="auto"/>
            </w:tcBorders>
            <w:tcMar>
              <w:left w:w="28" w:type="dxa"/>
              <w:right w:w="28" w:type="dxa"/>
            </w:tcMar>
            <w:vAlign w:val="center"/>
          </w:tcPr>
          <w:p w14:paraId="3CD0E4B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72,900</w:t>
            </w:r>
          </w:p>
        </w:tc>
        <w:tc>
          <w:tcPr>
            <w:tcW w:w="634" w:type="dxa"/>
            <w:tcBorders>
              <w:left w:val="single" w:sz="8" w:space="0" w:color="auto"/>
              <w:right w:val="single" w:sz="4" w:space="0" w:color="auto"/>
            </w:tcBorders>
            <w:tcMar>
              <w:left w:w="28" w:type="dxa"/>
              <w:right w:w="28" w:type="dxa"/>
            </w:tcMar>
            <w:vAlign w:val="center"/>
          </w:tcPr>
          <w:p w14:paraId="34E2084F"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40,000</w:t>
            </w:r>
          </w:p>
        </w:tc>
      </w:tr>
      <w:tr w:rsidR="00711FE4" w:rsidRPr="00711FE4" w14:paraId="3BFE058C" w14:textId="77777777" w:rsidTr="00366F04">
        <w:trPr>
          <w:trHeight w:val="255"/>
          <w:jc w:val="center"/>
        </w:trPr>
        <w:tc>
          <w:tcPr>
            <w:tcW w:w="745" w:type="dxa"/>
            <w:vMerge/>
          </w:tcPr>
          <w:p w14:paraId="77E2171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379D19B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2011</w:t>
            </w:r>
          </w:p>
        </w:tc>
        <w:tc>
          <w:tcPr>
            <w:tcW w:w="633" w:type="dxa"/>
            <w:tcMar>
              <w:left w:w="28" w:type="dxa"/>
              <w:right w:w="28" w:type="dxa"/>
            </w:tcMar>
            <w:vAlign w:val="center"/>
          </w:tcPr>
          <w:p w14:paraId="20EF354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13,300</w:t>
            </w:r>
          </w:p>
        </w:tc>
        <w:tc>
          <w:tcPr>
            <w:tcW w:w="633" w:type="dxa"/>
            <w:tcMar>
              <w:left w:w="28" w:type="dxa"/>
              <w:right w:w="28" w:type="dxa"/>
            </w:tcMar>
            <w:vAlign w:val="center"/>
          </w:tcPr>
          <w:p w14:paraId="13DCA5F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18,200</w:t>
            </w:r>
          </w:p>
        </w:tc>
        <w:tc>
          <w:tcPr>
            <w:tcW w:w="633" w:type="dxa"/>
            <w:tcMar>
              <w:left w:w="28" w:type="dxa"/>
              <w:right w:w="28" w:type="dxa"/>
            </w:tcMar>
            <w:vAlign w:val="center"/>
          </w:tcPr>
          <w:p w14:paraId="12D6AF4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21,900</w:t>
            </w:r>
          </w:p>
        </w:tc>
        <w:tc>
          <w:tcPr>
            <w:tcW w:w="633" w:type="dxa"/>
            <w:tcMar>
              <w:left w:w="28" w:type="dxa"/>
              <w:right w:w="28" w:type="dxa"/>
            </w:tcMar>
            <w:vAlign w:val="center"/>
          </w:tcPr>
          <w:p w14:paraId="510FB88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25,900</w:t>
            </w:r>
          </w:p>
        </w:tc>
        <w:tc>
          <w:tcPr>
            <w:tcW w:w="633" w:type="dxa"/>
            <w:tcMar>
              <w:left w:w="28" w:type="dxa"/>
              <w:right w:w="28" w:type="dxa"/>
            </w:tcMar>
            <w:vAlign w:val="center"/>
          </w:tcPr>
          <w:p w14:paraId="6327A6B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31,400</w:t>
            </w:r>
          </w:p>
        </w:tc>
        <w:tc>
          <w:tcPr>
            <w:tcW w:w="634" w:type="dxa"/>
            <w:tcMar>
              <w:left w:w="28" w:type="dxa"/>
              <w:right w:w="28" w:type="dxa"/>
            </w:tcMar>
            <w:vAlign w:val="center"/>
          </w:tcPr>
          <w:p w14:paraId="03332B0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37,600</w:t>
            </w:r>
          </w:p>
        </w:tc>
        <w:tc>
          <w:tcPr>
            <w:tcW w:w="633" w:type="dxa"/>
            <w:tcMar>
              <w:left w:w="28" w:type="dxa"/>
              <w:right w:w="28" w:type="dxa"/>
            </w:tcMar>
            <w:vAlign w:val="center"/>
          </w:tcPr>
          <w:p w14:paraId="5D07352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44,500</w:t>
            </w:r>
          </w:p>
        </w:tc>
        <w:tc>
          <w:tcPr>
            <w:tcW w:w="633" w:type="dxa"/>
            <w:tcMar>
              <w:left w:w="28" w:type="dxa"/>
              <w:right w:w="28" w:type="dxa"/>
            </w:tcMar>
            <w:vAlign w:val="center"/>
          </w:tcPr>
          <w:p w14:paraId="788F62E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54,300</w:t>
            </w:r>
          </w:p>
        </w:tc>
        <w:tc>
          <w:tcPr>
            <w:tcW w:w="633" w:type="dxa"/>
            <w:tcBorders>
              <w:right w:val="single" w:sz="8" w:space="0" w:color="auto"/>
            </w:tcBorders>
            <w:tcMar>
              <w:left w:w="28" w:type="dxa"/>
              <w:right w:w="28" w:type="dxa"/>
            </w:tcMar>
            <w:vAlign w:val="center"/>
          </w:tcPr>
          <w:p w14:paraId="2FD11B5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72,600</w:t>
            </w:r>
          </w:p>
        </w:tc>
        <w:tc>
          <w:tcPr>
            <w:tcW w:w="634" w:type="dxa"/>
            <w:tcBorders>
              <w:left w:val="single" w:sz="8" w:space="0" w:color="auto"/>
              <w:right w:val="single" w:sz="4" w:space="0" w:color="auto"/>
            </w:tcBorders>
            <w:tcMar>
              <w:left w:w="28" w:type="dxa"/>
              <w:right w:w="28" w:type="dxa"/>
            </w:tcMar>
            <w:vAlign w:val="center"/>
          </w:tcPr>
          <w:p w14:paraId="0411DAA8"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40,500</w:t>
            </w:r>
          </w:p>
        </w:tc>
      </w:tr>
      <w:tr w:rsidR="00711FE4" w:rsidRPr="00711FE4" w14:paraId="70646EBF" w14:textId="77777777" w:rsidTr="00366F04">
        <w:trPr>
          <w:trHeight w:val="255"/>
          <w:jc w:val="center"/>
        </w:trPr>
        <w:tc>
          <w:tcPr>
            <w:tcW w:w="745" w:type="dxa"/>
            <w:vMerge/>
          </w:tcPr>
          <w:p w14:paraId="1B278D4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57637FD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2012</w:t>
            </w:r>
          </w:p>
        </w:tc>
        <w:tc>
          <w:tcPr>
            <w:tcW w:w="633" w:type="dxa"/>
            <w:tcMar>
              <w:left w:w="28" w:type="dxa"/>
              <w:right w:w="28" w:type="dxa"/>
            </w:tcMar>
            <w:vAlign w:val="center"/>
          </w:tcPr>
          <w:p w14:paraId="1F2CF51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13,600</w:t>
            </w:r>
          </w:p>
        </w:tc>
        <w:tc>
          <w:tcPr>
            <w:tcW w:w="633" w:type="dxa"/>
            <w:tcMar>
              <w:left w:w="28" w:type="dxa"/>
              <w:right w:w="28" w:type="dxa"/>
            </w:tcMar>
            <w:vAlign w:val="center"/>
          </w:tcPr>
          <w:p w14:paraId="1AC22DF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19,000</w:t>
            </w:r>
          </w:p>
        </w:tc>
        <w:tc>
          <w:tcPr>
            <w:tcW w:w="633" w:type="dxa"/>
            <w:tcMar>
              <w:left w:w="28" w:type="dxa"/>
              <w:right w:w="28" w:type="dxa"/>
            </w:tcMar>
            <w:vAlign w:val="center"/>
          </w:tcPr>
          <w:p w14:paraId="266B588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22,800</w:t>
            </w:r>
          </w:p>
        </w:tc>
        <w:tc>
          <w:tcPr>
            <w:tcW w:w="633" w:type="dxa"/>
            <w:tcMar>
              <w:left w:w="28" w:type="dxa"/>
              <w:right w:w="28" w:type="dxa"/>
            </w:tcMar>
            <w:vAlign w:val="center"/>
          </w:tcPr>
          <w:p w14:paraId="7F309C3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27,000</w:t>
            </w:r>
          </w:p>
        </w:tc>
        <w:tc>
          <w:tcPr>
            <w:tcW w:w="633" w:type="dxa"/>
            <w:tcMar>
              <w:left w:w="28" w:type="dxa"/>
              <w:right w:w="28" w:type="dxa"/>
            </w:tcMar>
            <w:vAlign w:val="center"/>
          </w:tcPr>
          <w:p w14:paraId="06E5F46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31,900</w:t>
            </w:r>
          </w:p>
        </w:tc>
        <w:tc>
          <w:tcPr>
            <w:tcW w:w="634" w:type="dxa"/>
            <w:tcMar>
              <w:left w:w="28" w:type="dxa"/>
              <w:right w:w="28" w:type="dxa"/>
            </w:tcMar>
            <w:vAlign w:val="center"/>
          </w:tcPr>
          <w:p w14:paraId="3EDCCD3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38,200</w:t>
            </w:r>
          </w:p>
        </w:tc>
        <w:tc>
          <w:tcPr>
            <w:tcW w:w="633" w:type="dxa"/>
            <w:tcMar>
              <w:left w:w="28" w:type="dxa"/>
              <w:right w:w="28" w:type="dxa"/>
            </w:tcMar>
            <w:vAlign w:val="center"/>
          </w:tcPr>
          <w:p w14:paraId="37BA3FC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46,300</w:t>
            </w:r>
          </w:p>
        </w:tc>
        <w:tc>
          <w:tcPr>
            <w:tcW w:w="633" w:type="dxa"/>
            <w:tcMar>
              <w:left w:w="28" w:type="dxa"/>
              <w:right w:w="28" w:type="dxa"/>
            </w:tcMar>
            <w:vAlign w:val="center"/>
          </w:tcPr>
          <w:p w14:paraId="7F2D8BF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56,900</w:t>
            </w:r>
          </w:p>
        </w:tc>
        <w:tc>
          <w:tcPr>
            <w:tcW w:w="633" w:type="dxa"/>
            <w:tcBorders>
              <w:right w:val="single" w:sz="8" w:space="0" w:color="auto"/>
            </w:tcBorders>
            <w:tcMar>
              <w:left w:w="28" w:type="dxa"/>
              <w:right w:w="28" w:type="dxa"/>
            </w:tcMar>
            <w:vAlign w:val="center"/>
          </w:tcPr>
          <w:p w14:paraId="1160227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74,000</w:t>
            </w:r>
          </w:p>
        </w:tc>
        <w:tc>
          <w:tcPr>
            <w:tcW w:w="634" w:type="dxa"/>
            <w:tcBorders>
              <w:left w:val="single" w:sz="8" w:space="0" w:color="auto"/>
              <w:right w:val="single" w:sz="4" w:space="0" w:color="auto"/>
            </w:tcBorders>
            <w:tcMar>
              <w:left w:w="28" w:type="dxa"/>
              <w:right w:w="28" w:type="dxa"/>
            </w:tcMar>
            <w:vAlign w:val="center"/>
          </w:tcPr>
          <w:p w14:paraId="3016A92A"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40,400</w:t>
            </w:r>
          </w:p>
        </w:tc>
      </w:tr>
      <w:tr w:rsidR="00711FE4" w:rsidRPr="00711FE4" w14:paraId="39B27BC7" w14:textId="77777777" w:rsidTr="00366F04">
        <w:trPr>
          <w:trHeight w:val="255"/>
          <w:jc w:val="center"/>
        </w:trPr>
        <w:tc>
          <w:tcPr>
            <w:tcW w:w="745" w:type="dxa"/>
            <w:vMerge/>
          </w:tcPr>
          <w:p w14:paraId="57F981F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9FB757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2013</w:t>
            </w:r>
          </w:p>
        </w:tc>
        <w:tc>
          <w:tcPr>
            <w:tcW w:w="633" w:type="dxa"/>
            <w:tcMar>
              <w:left w:w="28" w:type="dxa"/>
              <w:right w:w="28" w:type="dxa"/>
            </w:tcMar>
            <w:vAlign w:val="center"/>
          </w:tcPr>
          <w:p w14:paraId="5ED6FBF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13,700</w:t>
            </w:r>
          </w:p>
        </w:tc>
        <w:tc>
          <w:tcPr>
            <w:tcW w:w="633" w:type="dxa"/>
            <w:tcMar>
              <w:left w:w="28" w:type="dxa"/>
              <w:right w:w="28" w:type="dxa"/>
            </w:tcMar>
            <w:vAlign w:val="center"/>
          </w:tcPr>
          <w:p w14:paraId="788C745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19,200</w:t>
            </w:r>
          </w:p>
        </w:tc>
        <w:tc>
          <w:tcPr>
            <w:tcW w:w="633" w:type="dxa"/>
            <w:tcMar>
              <w:left w:w="28" w:type="dxa"/>
              <w:right w:w="28" w:type="dxa"/>
            </w:tcMar>
            <w:vAlign w:val="center"/>
          </w:tcPr>
          <w:p w14:paraId="3F57158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23,100</w:t>
            </w:r>
          </w:p>
        </w:tc>
        <w:tc>
          <w:tcPr>
            <w:tcW w:w="633" w:type="dxa"/>
            <w:tcMar>
              <w:left w:w="28" w:type="dxa"/>
              <w:right w:w="28" w:type="dxa"/>
            </w:tcMar>
            <w:vAlign w:val="center"/>
          </w:tcPr>
          <w:p w14:paraId="0AE0B3D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27,800</w:t>
            </w:r>
          </w:p>
        </w:tc>
        <w:tc>
          <w:tcPr>
            <w:tcW w:w="633" w:type="dxa"/>
            <w:tcMar>
              <w:left w:w="28" w:type="dxa"/>
              <w:right w:w="28" w:type="dxa"/>
            </w:tcMar>
            <w:vAlign w:val="center"/>
          </w:tcPr>
          <w:p w14:paraId="695FAE2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33,300</w:t>
            </w:r>
          </w:p>
        </w:tc>
        <w:tc>
          <w:tcPr>
            <w:tcW w:w="634" w:type="dxa"/>
            <w:tcMar>
              <w:left w:w="28" w:type="dxa"/>
              <w:right w:w="28" w:type="dxa"/>
            </w:tcMar>
            <w:vAlign w:val="center"/>
          </w:tcPr>
          <w:p w14:paraId="16A9A5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40,800</w:t>
            </w:r>
          </w:p>
        </w:tc>
        <w:tc>
          <w:tcPr>
            <w:tcW w:w="633" w:type="dxa"/>
            <w:tcMar>
              <w:left w:w="28" w:type="dxa"/>
              <w:right w:w="28" w:type="dxa"/>
            </w:tcMar>
            <w:vAlign w:val="center"/>
          </w:tcPr>
          <w:p w14:paraId="054D5EB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48,700</w:t>
            </w:r>
          </w:p>
        </w:tc>
        <w:tc>
          <w:tcPr>
            <w:tcW w:w="633" w:type="dxa"/>
            <w:tcMar>
              <w:left w:w="28" w:type="dxa"/>
              <w:right w:w="28" w:type="dxa"/>
            </w:tcMar>
            <w:vAlign w:val="center"/>
          </w:tcPr>
          <w:p w14:paraId="0436576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57,700</w:t>
            </w:r>
          </w:p>
        </w:tc>
        <w:tc>
          <w:tcPr>
            <w:tcW w:w="633" w:type="dxa"/>
            <w:tcBorders>
              <w:right w:val="single" w:sz="8" w:space="0" w:color="auto"/>
            </w:tcBorders>
            <w:tcMar>
              <w:left w:w="28" w:type="dxa"/>
              <w:right w:w="28" w:type="dxa"/>
            </w:tcMar>
            <w:vAlign w:val="center"/>
          </w:tcPr>
          <w:p w14:paraId="33C3357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75,800</w:t>
            </w:r>
          </w:p>
        </w:tc>
        <w:tc>
          <w:tcPr>
            <w:tcW w:w="634" w:type="dxa"/>
            <w:tcBorders>
              <w:left w:val="single" w:sz="8" w:space="0" w:color="auto"/>
              <w:right w:val="single" w:sz="4" w:space="0" w:color="auto"/>
            </w:tcBorders>
            <w:tcMar>
              <w:left w:w="28" w:type="dxa"/>
              <w:right w:w="28" w:type="dxa"/>
            </w:tcMar>
            <w:vAlign w:val="center"/>
          </w:tcPr>
          <w:p w14:paraId="62E6575D"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42,600</w:t>
            </w:r>
          </w:p>
        </w:tc>
      </w:tr>
      <w:tr w:rsidR="00711FE4" w:rsidRPr="00711FE4" w14:paraId="61CF25AA" w14:textId="77777777" w:rsidTr="00366F04">
        <w:trPr>
          <w:trHeight w:val="255"/>
          <w:jc w:val="center"/>
        </w:trPr>
        <w:tc>
          <w:tcPr>
            <w:tcW w:w="745" w:type="dxa"/>
            <w:vMerge/>
          </w:tcPr>
          <w:p w14:paraId="0F4357D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58D7EB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2014</w:t>
            </w:r>
          </w:p>
        </w:tc>
        <w:tc>
          <w:tcPr>
            <w:tcW w:w="633" w:type="dxa"/>
            <w:tcMar>
              <w:left w:w="28" w:type="dxa"/>
              <w:right w:w="28" w:type="dxa"/>
            </w:tcMar>
            <w:vAlign w:val="center"/>
          </w:tcPr>
          <w:p w14:paraId="4043016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14,000</w:t>
            </w:r>
          </w:p>
        </w:tc>
        <w:tc>
          <w:tcPr>
            <w:tcW w:w="633" w:type="dxa"/>
            <w:tcMar>
              <w:left w:w="28" w:type="dxa"/>
              <w:right w:w="28" w:type="dxa"/>
            </w:tcMar>
            <w:vAlign w:val="center"/>
          </w:tcPr>
          <w:p w14:paraId="6598CA5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19,600</w:t>
            </w:r>
          </w:p>
        </w:tc>
        <w:tc>
          <w:tcPr>
            <w:tcW w:w="633" w:type="dxa"/>
            <w:tcMar>
              <w:left w:w="28" w:type="dxa"/>
              <w:right w:w="28" w:type="dxa"/>
            </w:tcMar>
            <w:vAlign w:val="center"/>
          </w:tcPr>
          <w:p w14:paraId="31975F3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23,400</w:t>
            </w:r>
          </w:p>
        </w:tc>
        <w:tc>
          <w:tcPr>
            <w:tcW w:w="633" w:type="dxa"/>
            <w:tcMar>
              <w:left w:w="28" w:type="dxa"/>
              <w:right w:w="28" w:type="dxa"/>
            </w:tcMar>
            <w:vAlign w:val="center"/>
          </w:tcPr>
          <w:p w14:paraId="172CCB9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28,300</w:t>
            </w:r>
          </w:p>
        </w:tc>
        <w:tc>
          <w:tcPr>
            <w:tcW w:w="633" w:type="dxa"/>
            <w:tcMar>
              <w:left w:w="28" w:type="dxa"/>
              <w:right w:w="28" w:type="dxa"/>
            </w:tcMar>
            <w:vAlign w:val="center"/>
          </w:tcPr>
          <w:p w14:paraId="2C8B87C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34,000</w:t>
            </w:r>
          </w:p>
        </w:tc>
        <w:tc>
          <w:tcPr>
            <w:tcW w:w="634" w:type="dxa"/>
            <w:tcMar>
              <w:left w:w="28" w:type="dxa"/>
              <w:right w:w="28" w:type="dxa"/>
            </w:tcMar>
            <w:vAlign w:val="center"/>
          </w:tcPr>
          <w:p w14:paraId="7FE46C9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41,200</w:t>
            </w:r>
          </w:p>
        </w:tc>
        <w:tc>
          <w:tcPr>
            <w:tcW w:w="633" w:type="dxa"/>
            <w:tcMar>
              <w:left w:w="28" w:type="dxa"/>
              <w:right w:w="28" w:type="dxa"/>
            </w:tcMar>
            <w:vAlign w:val="center"/>
          </w:tcPr>
          <w:p w14:paraId="792645B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49,800</w:t>
            </w:r>
          </w:p>
        </w:tc>
        <w:tc>
          <w:tcPr>
            <w:tcW w:w="633" w:type="dxa"/>
            <w:tcMar>
              <w:left w:w="28" w:type="dxa"/>
              <w:right w:w="28" w:type="dxa"/>
            </w:tcMar>
            <w:vAlign w:val="center"/>
          </w:tcPr>
          <w:p w14:paraId="4C4CDF6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61,400</w:t>
            </w:r>
          </w:p>
        </w:tc>
        <w:tc>
          <w:tcPr>
            <w:tcW w:w="633" w:type="dxa"/>
            <w:tcBorders>
              <w:right w:val="single" w:sz="8" w:space="0" w:color="auto"/>
            </w:tcBorders>
            <w:tcMar>
              <w:left w:w="28" w:type="dxa"/>
              <w:right w:w="28" w:type="dxa"/>
            </w:tcMar>
            <w:vAlign w:val="center"/>
          </w:tcPr>
          <w:p w14:paraId="3C24857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81,100</w:t>
            </w:r>
          </w:p>
        </w:tc>
        <w:tc>
          <w:tcPr>
            <w:tcW w:w="634" w:type="dxa"/>
            <w:tcBorders>
              <w:left w:val="single" w:sz="8" w:space="0" w:color="auto"/>
              <w:right w:val="single" w:sz="4" w:space="0" w:color="auto"/>
            </w:tcBorders>
            <w:tcMar>
              <w:left w:w="28" w:type="dxa"/>
              <w:right w:w="28" w:type="dxa"/>
            </w:tcMar>
            <w:vAlign w:val="center"/>
          </w:tcPr>
          <w:p w14:paraId="6020B511"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43,800</w:t>
            </w:r>
          </w:p>
        </w:tc>
      </w:tr>
      <w:tr w:rsidR="00711FE4" w:rsidRPr="00711FE4" w14:paraId="61E92C46" w14:textId="77777777" w:rsidTr="00366F04">
        <w:trPr>
          <w:trHeight w:val="255"/>
          <w:jc w:val="center"/>
        </w:trPr>
        <w:tc>
          <w:tcPr>
            <w:tcW w:w="745" w:type="dxa"/>
            <w:vMerge/>
          </w:tcPr>
          <w:p w14:paraId="62E4D87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050B0F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2015</w:t>
            </w:r>
          </w:p>
        </w:tc>
        <w:tc>
          <w:tcPr>
            <w:tcW w:w="633" w:type="dxa"/>
            <w:tcMar>
              <w:left w:w="28" w:type="dxa"/>
              <w:right w:w="28" w:type="dxa"/>
            </w:tcMar>
            <w:vAlign w:val="center"/>
          </w:tcPr>
          <w:p w14:paraId="32A27B0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14,700</w:t>
            </w:r>
          </w:p>
        </w:tc>
        <w:tc>
          <w:tcPr>
            <w:tcW w:w="633" w:type="dxa"/>
            <w:tcMar>
              <w:left w:w="28" w:type="dxa"/>
              <w:right w:w="28" w:type="dxa"/>
            </w:tcMar>
            <w:vAlign w:val="center"/>
          </w:tcPr>
          <w:p w14:paraId="1E56A0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20,500</w:t>
            </w:r>
          </w:p>
        </w:tc>
        <w:tc>
          <w:tcPr>
            <w:tcW w:w="633" w:type="dxa"/>
            <w:tcMar>
              <w:left w:w="28" w:type="dxa"/>
              <w:right w:w="28" w:type="dxa"/>
            </w:tcMar>
            <w:vAlign w:val="center"/>
          </w:tcPr>
          <w:p w14:paraId="7C515DC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24,700</w:t>
            </w:r>
          </w:p>
        </w:tc>
        <w:tc>
          <w:tcPr>
            <w:tcW w:w="633" w:type="dxa"/>
            <w:tcMar>
              <w:left w:w="28" w:type="dxa"/>
              <w:right w:w="28" w:type="dxa"/>
            </w:tcMar>
            <w:vAlign w:val="center"/>
          </w:tcPr>
          <w:p w14:paraId="58877C0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29,500</w:t>
            </w:r>
          </w:p>
        </w:tc>
        <w:tc>
          <w:tcPr>
            <w:tcW w:w="633" w:type="dxa"/>
            <w:tcMar>
              <w:left w:w="28" w:type="dxa"/>
              <w:right w:w="28" w:type="dxa"/>
            </w:tcMar>
            <w:vAlign w:val="center"/>
          </w:tcPr>
          <w:p w14:paraId="60ADDF3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35,300</w:t>
            </w:r>
          </w:p>
        </w:tc>
        <w:tc>
          <w:tcPr>
            <w:tcW w:w="634" w:type="dxa"/>
            <w:tcMar>
              <w:left w:w="28" w:type="dxa"/>
              <w:right w:w="28" w:type="dxa"/>
            </w:tcMar>
            <w:vAlign w:val="center"/>
          </w:tcPr>
          <w:p w14:paraId="09588C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41,900</w:t>
            </w:r>
          </w:p>
        </w:tc>
        <w:tc>
          <w:tcPr>
            <w:tcW w:w="633" w:type="dxa"/>
            <w:tcMar>
              <w:left w:w="28" w:type="dxa"/>
              <w:right w:w="28" w:type="dxa"/>
            </w:tcMar>
            <w:vAlign w:val="center"/>
          </w:tcPr>
          <w:p w14:paraId="250E51D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49,500</w:t>
            </w:r>
          </w:p>
        </w:tc>
        <w:tc>
          <w:tcPr>
            <w:tcW w:w="633" w:type="dxa"/>
            <w:tcMar>
              <w:left w:w="28" w:type="dxa"/>
              <w:right w:w="28" w:type="dxa"/>
            </w:tcMar>
            <w:vAlign w:val="center"/>
          </w:tcPr>
          <w:p w14:paraId="3165539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60,800</w:t>
            </w:r>
          </w:p>
        </w:tc>
        <w:tc>
          <w:tcPr>
            <w:tcW w:w="633" w:type="dxa"/>
            <w:tcBorders>
              <w:right w:val="single" w:sz="8" w:space="0" w:color="auto"/>
            </w:tcBorders>
            <w:tcMar>
              <w:left w:w="28" w:type="dxa"/>
              <w:right w:w="28" w:type="dxa"/>
            </w:tcMar>
            <w:vAlign w:val="center"/>
          </w:tcPr>
          <w:p w14:paraId="1745403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81,700</w:t>
            </w:r>
          </w:p>
        </w:tc>
        <w:tc>
          <w:tcPr>
            <w:tcW w:w="634" w:type="dxa"/>
            <w:tcBorders>
              <w:left w:val="single" w:sz="8" w:space="0" w:color="auto"/>
              <w:right w:val="single" w:sz="4" w:space="0" w:color="auto"/>
            </w:tcBorders>
            <w:tcMar>
              <w:left w:w="28" w:type="dxa"/>
              <w:right w:w="28" w:type="dxa"/>
            </w:tcMar>
            <w:vAlign w:val="center"/>
          </w:tcPr>
          <w:p w14:paraId="56BE69AE" w14:textId="77777777" w:rsidR="00711FE4" w:rsidRPr="00711FE4" w:rsidRDefault="00711FE4" w:rsidP="00711FE4">
            <w:pPr>
              <w:spacing w:after="0" w:line="240" w:lineRule="auto"/>
              <w:jc w:val="center"/>
              <w:rPr>
                <w:rFonts w:ascii="Arial Mäori" w:eastAsia="Times New Roman" w:hAnsi="Arial Mäori" w:cs="Times New Roman"/>
                <w:color w:val="000000"/>
                <w:sz w:val="14"/>
                <w:szCs w:val="14"/>
                <w:lang w:val="en-GB"/>
              </w:rPr>
            </w:pPr>
            <w:r w:rsidRPr="00711FE4">
              <w:rPr>
                <w:rFonts w:ascii="Arial" w:eastAsia="Times New Roman" w:hAnsi="Arial"/>
                <w:color w:val="000000"/>
                <w:sz w:val="14"/>
                <w:szCs w:val="14"/>
                <w:lang w:val="en-GB"/>
              </w:rPr>
              <w:t>46,000</w:t>
            </w:r>
          </w:p>
        </w:tc>
      </w:tr>
      <w:tr w:rsidR="00711FE4" w:rsidRPr="00711FE4" w14:paraId="02931D73" w14:textId="77777777" w:rsidTr="00366F04">
        <w:trPr>
          <w:trHeight w:val="255"/>
          <w:jc w:val="center"/>
        </w:trPr>
        <w:tc>
          <w:tcPr>
            <w:tcW w:w="745" w:type="dxa"/>
            <w:vMerge/>
          </w:tcPr>
          <w:p w14:paraId="4954612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451F17D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2016</w:t>
            </w:r>
          </w:p>
        </w:tc>
        <w:tc>
          <w:tcPr>
            <w:tcW w:w="633" w:type="dxa"/>
            <w:tcMar>
              <w:left w:w="28" w:type="dxa"/>
              <w:right w:w="28" w:type="dxa"/>
            </w:tcMar>
            <w:vAlign w:val="center"/>
          </w:tcPr>
          <w:p w14:paraId="54E164D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14,800</w:t>
            </w:r>
          </w:p>
        </w:tc>
        <w:tc>
          <w:tcPr>
            <w:tcW w:w="633" w:type="dxa"/>
            <w:tcMar>
              <w:left w:w="28" w:type="dxa"/>
              <w:right w:w="28" w:type="dxa"/>
            </w:tcMar>
            <w:vAlign w:val="center"/>
          </w:tcPr>
          <w:p w14:paraId="65E5B97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20,600</w:t>
            </w:r>
          </w:p>
        </w:tc>
        <w:tc>
          <w:tcPr>
            <w:tcW w:w="633" w:type="dxa"/>
            <w:tcMar>
              <w:left w:w="28" w:type="dxa"/>
              <w:right w:w="28" w:type="dxa"/>
            </w:tcMar>
            <w:vAlign w:val="center"/>
          </w:tcPr>
          <w:p w14:paraId="3908B0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24,500</w:t>
            </w:r>
          </w:p>
        </w:tc>
        <w:tc>
          <w:tcPr>
            <w:tcW w:w="633" w:type="dxa"/>
            <w:tcMar>
              <w:left w:w="28" w:type="dxa"/>
              <w:right w:w="28" w:type="dxa"/>
            </w:tcMar>
            <w:vAlign w:val="center"/>
          </w:tcPr>
          <w:p w14:paraId="1D6011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29,400</w:t>
            </w:r>
          </w:p>
        </w:tc>
        <w:tc>
          <w:tcPr>
            <w:tcW w:w="633" w:type="dxa"/>
            <w:tcMar>
              <w:left w:w="28" w:type="dxa"/>
              <w:right w:w="28" w:type="dxa"/>
            </w:tcMar>
            <w:vAlign w:val="center"/>
          </w:tcPr>
          <w:p w14:paraId="098F169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34,800</w:t>
            </w:r>
          </w:p>
        </w:tc>
        <w:tc>
          <w:tcPr>
            <w:tcW w:w="634" w:type="dxa"/>
            <w:tcMar>
              <w:left w:w="28" w:type="dxa"/>
              <w:right w:w="28" w:type="dxa"/>
            </w:tcMar>
            <w:vAlign w:val="center"/>
          </w:tcPr>
          <w:p w14:paraId="516143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40,300</w:t>
            </w:r>
          </w:p>
        </w:tc>
        <w:tc>
          <w:tcPr>
            <w:tcW w:w="633" w:type="dxa"/>
            <w:tcMar>
              <w:left w:w="28" w:type="dxa"/>
              <w:right w:w="28" w:type="dxa"/>
            </w:tcMar>
            <w:vAlign w:val="center"/>
          </w:tcPr>
          <w:p w14:paraId="1B746B6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48,900</w:t>
            </w:r>
          </w:p>
        </w:tc>
        <w:tc>
          <w:tcPr>
            <w:tcW w:w="633" w:type="dxa"/>
            <w:tcMar>
              <w:left w:w="28" w:type="dxa"/>
              <w:right w:w="28" w:type="dxa"/>
            </w:tcMar>
            <w:vAlign w:val="center"/>
          </w:tcPr>
          <w:p w14:paraId="5C49B95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61,100</w:t>
            </w:r>
          </w:p>
        </w:tc>
        <w:tc>
          <w:tcPr>
            <w:tcW w:w="633" w:type="dxa"/>
            <w:tcBorders>
              <w:right w:val="single" w:sz="8" w:space="0" w:color="auto"/>
            </w:tcBorders>
            <w:tcMar>
              <w:left w:w="28" w:type="dxa"/>
              <w:right w:w="28" w:type="dxa"/>
            </w:tcMar>
            <w:vAlign w:val="center"/>
          </w:tcPr>
          <w:p w14:paraId="135743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81,100</w:t>
            </w:r>
          </w:p>
        </w:tc>
        <w:tc>
          <w:tcPr>
            <w:tcW w:w="634" w:type="dxa"/>
            <w:tcBorders>
              <w:left w:val="single" w:sz="8" w:space="0" w:color="auto"/>
              <w:right w:val="single" w:sz="4" w:space="0" w:color="auto"/>
            </w:tcBorders>
            <w:tcMar>
              <w:left w:w="28" w:type="dxa"/>
              <w:right w:w="28" w:type="dxa"/>
            </w:tcMar>
            <w:vAlign w:val="center"/>
          </w:tcPr>
          <w:p w14:paraId="15BCAF0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44,700</w:t>
            </w:r>
          </w:p>
        </w:tc>
      </w:tr>
      <w:tr w:rsidR="00711FE4" w:rsidRPr="00711FE4" w14:paraId="6225C9D8" w14:textId="77777777" w:rsidTr="00366F04">
        <w:trPr>
          <w:trHeight w:val="255"/>
          <w:jc w:val="center"/>
        </w:trPr>
        <w:tc>
          <w:tcPr>
            <w:tcW w:w="745" w:type="dxa"/>
            <w:vMerge/>
          </w:tcPr>
          <w:p w14:paraId="60DD74F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ADCACF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2017</w:t>
            </w:r>
          </w:p>
        </w:tc>
        <w:tc>
          <w:tcPr>
            <w:tcW w:w="633" w:type="dxa"/>
            <w:tcMar>
              <w:left w:w="28" w:type="dxa"/>
              <w:right w:w="28" w:type="dxa"/>
            </w:tcMar>
            <w:vAlign w:val="center"/>
          </w:tcPr>
          <w:p w14:paraId="6EE4D8B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16,300</w:t>
            </w:r>
          </w:p>
        </w:tc>
        <w:tc>
          <w:tcPr>
            <w:tcW w:w="633" w:type="dxa"/>
            <w:tcMar>
              <w:left w:w="28" w:type="dxa"/>
              <w:right w:w="28" w:type="dxa"/>
            </w:tcMar>
            <w:vAlign w:val="center"/>
          </w:tcPr>
          <w:p w14:paraId="5C5B0C3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22,100</w:t>
            </w:r>
          </w:p>
        </w:tc>
        <w:tc>
          <w:tcPr>
            <w:tcW w:w="633" w:type="dxa"/>
            <w:tcMar>
              <w:left w:w="28" w:type="dxa"/>
              <w:right w:w="28" w:type="dxa"/>
            </w:tcMar>
            <w:vAlign w:val="center"/>
          </w:tcPr>
          <w:p w14:paraId="2BF19B0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25,900</w:t>
            </w:r>
          </w:p>
        </w:tc>
        <w:tc>
          <w:tcPr>
            <w:tcW w:w="633" w:type="dxa"/>
            <w:tcMar>
              <w:left w:w="28" w:type="dxa"/>
              <w:right w:w="28" w:type="dxa"/>
            </w:tcMar>
            <w:vAlign w:val="center"/>
          </w:tcPr>
          <w:p w14:paraId="6ED5936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31,500</w:t>
            </w:r>
          </w:p>
        </w:tc>
        <w:tc>
          <w:tcPr>
            <w:tcW w:w="633" w:type="dxa"/>
            <w:tcMar>
              <w:left w:w="28" w:type="dxa"/>
              <w:right w:w="28" w:type="dxa"/>
            </w:tcMar>
            <w:vAlign w:val="center"/>
          </w:tcPr>
          <w:p w14:paraId="12853FF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37,700</w:t>
            </w:r>
          </w:p>
        </w:tc>
        <w:tc>
          <w:tcPr>
            <w:tcW w:w="634" w:type="dxa"/>
            <w:tcMar>
              <w:left w:w="28" w:type="dxa"/>
              <w:right w:w="28" w:type="dxa"/>
            </w:tcMar>
            <w:vAlign w:val="center"/>
          </w:tcPr>
          <w:p w14:paraId="1CF3ED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44,600</w:t>
            </w:r>
          </w:p>
        </w:tc>
        <w:tc>
          <w:tcPr>
            <w:tcW w:w="633" w:type="dxa"/>
            <w:tcMar>
              <w:left w:w="28" w:type="dxa"/>
              <w:right w:w="28" w:type="dxa"/>
            </w:tcMar>
            <w:vAlign w:val="center"/>
          </w:tcPr>
          <w:p w14:paraId="54F1E4D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51,600</w:t>
            </w:r>
          </w:p>
        </w:tc>
        <w:tc>
          <w:tcPr>
            <w:tcW w:w="633" w:type="dxa"/>
            <w:tcMar>
              <w:left w:w="28" w:type="dxa"/>
              <w:right w:w="28" w:type="dxa"/>
            </w:tcMar>
            <w:vAlign w:val="center"/>
          </w:tcPr>
          <w:p w14:paraId="5EE58BA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62,800</w:t>
            </w:r>
          </w:p>
        </w:tc>
        <w:tc>
          <w:tcPr>
            <w:tcW w:w="633" w:type="dxa"/>
            <w:tcBorders>
              <w:right w:val="single" w:sz="8" w:space="0" w:color="auto"/>
            </w:tcBorders>
            <w:tcMar>
              <w:left w:w="28" w:type="dxa"/>
              <w:right w:w="28" w:type="dxa"/>
            </w:tcMar>
            <w:vAlign w:val="center"/>
          </w:tcPr>
          <w:p w14:paraId="272CA88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84,500</w:t>
            </w:r>
          </w:p>
        </w:tc>
        <w:tc>
          <w:tcPr>
            <w:tcW w:w="634" w:type="dxa"/>
            <w:tcBorders>
              <w:left w:val="single" w:sz="8" w:space="0" w:color="auto"/>
              <w:right w:val="single" w:sz="4" w:space="0" w:color="auto"/>
            </w:tcBorders>
            <w:tcMar>
              <w:left w:w="28" w:type="dxa"/>
              <w:right w:w="28" w:type="dxa"/>
            </w:tcMar>
            <w:vAlign w:val="center"/>
          </w:tcPr>
          <w:p w14:paraId="7749B80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48,000</w:t>
            </w:r>
          </w:p>
        </w:tc>
      </w:tr>
      <w:tr w:rsidR="00711FE4" w:rsidRPr="00711FE4" w14:paraId="62BF8E29" w14:textId="77777777" w:rsidTr="00366F04">
        <w:trPr>
          <w:trHeight w:val="255"/>
          <w:jc w:val="center"/>
        </w:trPr>
        <w:tc>
          <w:tcPr>
            <w:tcW w:w="745" w:type="dxa"/>
            <w:vMerge/>
          </w:tcPr>
          <w:p w14:paraId="5EBD537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038AB1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2018</w:t>
            </w:r>
          </w:p>
        </w:tc>
        <w:tc>
          <w:tcPr>
            <w:tcW w:w="633" w:type="dxa"/>
            <w:tcMar>
              <w:left w:w="28" w:type="dxa"/>
              <w:right w:w="28" w:type="dxa"/>
            </w:tcMar>
            <w:vAlign w:val="center"/>
          </w:tcPr>
          <w:p w14:paraId="3908728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16,000</w:t>
            </w:r>
          </w:p>
        </w:tc>
        <w:tc>
          <w:tcPr>
            <w:tcW w:w="633" w:type="dxa"/>
            <w:tcMar>
              <w:left w:w="28" w:type="dxa"/>
              <w:right w:w="28" w:type="dxa"/>
            </w:tcMar>
            <w:vAlign w:val="center"/>
          </w:tcPr>
          <w:p w14:paraId="141EE22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21,700</w:t>
            </w:r>
          </w:p>
        </w:tc>
        <w:tc>
          <w:tcPr>
            <w:tcW w:w="633" w:type="dxa"/>
            <w:tcMar>
              <w:left w:w="28" w:type="dxa"/>
              <w:right w:w="28" w:type="dxa"/>
            </w:tcMar>
            <w:vAlign w:val="center"/>
          </w:tcPr>
          <w:p w14:paraId="7FD72A6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26,300</w:t>
            </w:r>
          </w:p>
        </w:tc>
        <w:tc>
          <w:tcPr>
            <w:tcW w:w="633" w:type="dxa"/>
            <w:tcMar>
              <w:left w:w="28" w:type="dxa"/>
              <w:right w:w="28" w:type="dxa"/>
            </w:tcMar>
            <w:vAlign w:val="center"/>
          </w:tcPr>
          <w:p w14:paraId="7C8317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31,900</w:t>
            </w:r>
          </w:p>
        </w:tc>
        <w:tc>
          <w:tcPr>
            <w:tcW w:w="633" w:type="dxa"/>
            <w:tcMar>
              <w:left w:w="28" w:type="dxa"/>
              <w:right w:w="28" w:type="dxa"/>
            </w:tcMar>
            <w:vAlign w:val="center"/>
          </w:tcPr>
          <w:p w14:paraId="4C2762D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38,400</w:t>
            </w:r>
          </w:p>
        </w:tc>
        <w:tc>
          <w:tcPr>
            <w:tcW w:w="634" w:type="dxa"/>
            <w:tcMar>
              <w:left w:w="28" w:type="dxa"/>
              <w:right w:w="28" w:type="dxa"/>
            </w:tcMar>
            <w:vAlign w:val="center"/>
          </w:tcPr>
          <w:p w14:paraId="1E0746F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45,000</w:t>
            </w:r>
          </w:p>
        </w:tc>
        <w:tc>
          <w:tcPr>
            <w:tcW w:w="633" w:type="dxa"/>
            <w:tcMar>
              <w:left w:w="28" w:type="dxa"/>
              <w:right w:w="28" w:type="dxa"/>
            </w:tcMar>
            <w:vAlign w:val="center"/>
          </w:tcPr>
          <w:p w14:paraId="183962E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53,100</w:t>
            </w:r>
          </w:p>
        </w:tc>
        <w:tc>
          <w:tcPr>
            <w:tcW w:w="633" w:type="dxa"/>
            <w:tcMar>
              <w:left w:w="28" w:type="dxa"/>
              <w:right w:w="28" w:type="dxa"/>
            </w:tcMar>
            <w:vAlign w:val="center"/>
          </w:tcPr>
          <w:p w14:paraId="6C94A34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64,800</w:t>
            </w:r>
          </w:p>
        </w:tc>
        <w:tc>
          <w:tcPr>
            <w:tcW w:w="633" w:type="dxa"/>
            <w:tcBorders>
              <w:right w:val="single" w:sz="8" w:space="0" w:color="auto"/>
            </w:tcBorders>
            <w:tcMar>
              <w:left w:w="28" w:type="dxa"/>
              <w:right w:w="28" w:type="dxa"/>
            </w:tcMar>
            <w:vAlign w:val="center"/>
          </w:tcPr>
          <w:p w14:paraId="1D48560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87,700</w:t>
            </w:r>
          </w:p>
        </w:tc>
        <w:tc>
          <w:tcPr>
            <w:tcW w:w="634" w:type="dxa"/>
            <w:tcBorders>
              <w:left w:val="single" w:sz="8" w:space="0" w:color="auto"/>
              <w:right w:val="single" w:sz="4" w:space="0" w:color="auto"/>
            </w:tcBorders>
            <w:tcMar>
              <w:left w:w="28" w:type="dxa"/>
              <w:right w:w="28" w:type="dxa"/>
            </w:tcMar>
            <w:vAlign w:val="center"/>
          </w:tcPr>
          <w:p w14:paraId="7B17FFD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48,500</w:t>
            </w:r>
          </w:p>
        </w:tc>
      </w:tr>
      <w:tr w:rsidR="00711FE4" w:rsidRPr="00711FE4" w14:paraId="25452A5F" w14:textId="77777777" w:rsidTr="00366F04">
        <w:trPr>
          <w:trHeight w:val="255"/>
          <w:jc w:val="center"/>
        </w:trPr>
        <w:tc>
          <w:tcPr>
            <w:tcW w:w="745" w:type="dxa"/>
            <w:vMerge w:val="restart"/>
          </w:tcPr>
          <w:p w14:paraId="69BDA2D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xml:space="preserve">HES-Admin </w:t>
            </w:r>
          </w:p>
        </w:tc>
        <w:tc>
          <w:tcPr>
            <w:tcW w:w="598" w:type="dxa"/>
            <w:tcMar>
              <w:left w:w="28" w:type="dxa"/>
              <w:right w:w="28" w:type="dxa"/>
            </w:tcMar>
            <w:vAlign w:val="center"/>
          </w:tcPr>
          <w:p w14:paraId="2B1C29A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2019</w:t>
            </w:r>
          </w:p>
        </w:tc>
        <w:tc>
          <w:tcPr>
            <w:tcW w:w="633" w:type="dxa"/>
            <w:tcMar>
              <w:left w:w="28" w:type="dxa"/>
              <w:right w:w="28" w:type="dxa"/>
            </w:tcMar>
            <w:vAlign w:val="center"/>
          </w:tcPr>
          <w:p w14:paraId="7276E3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16,500</w:t>
            </w:r>
          </w:p>
        </w:tc>
        <w:tc>
          <w:tcPr>
            <w:tcW w:w="633" w:type="dxa"/>
            <w:tcMar>
              <w:left w:w="28" w:type="dxa"/>
              <w:right w:w="28" w:type="dxa"/>
            </w:tcMar>
            <w:vAlign w:val="center"/>
          </w:tcPr>
          <w:p w14:paraId="5612E96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22,700</w:t>
            </w:r>
          </w:p>
        </w:tc>
        <w:tc>
          <w:tcPr>
            <w:tcW w:w="633" w:type="dxa"/>
            <w:tcMar>
              <w:left w:w="28" w:type="dxa"/>
              <w:right w:w="28" w:type="dxa"/>
            </w:tcMar>
            <w:vAlign w:val="center"/>
          </w:tcPr>
          <w:p w14:paraId="2E9089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27,400</w:t>
            </w:r>
          </w:p>
        </w:tc>
        <w:tc>
          <w:tcPr>
            <w:tcW w:w="633" w:type="dxa"/>
            <w:tcMar>
              <w:left w:w="28" w:type="dxa"/>
              <w:right w:w="28" w:type="dxa"/>
            </w:tcMar>
            <w:vAlign w:val="center"/>
          </w:tcPr>
          <w:p w14:paraId="79F9D97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33,000</w:t>
            </w:r>
          </w:p>
        </w:tc>
        <w:tc>
          <w:tcPr>
            <w:tcW w:w="633" w:type="dxa"/>
            <w:tcMar>
              <w:left w:w="28" w:type="dxa"/>
              <w:right w:w="28" w:type="dxa"/>
            </w:tcMar>
            <w:vAlign w:val="center"/>
          </w:tcPr>
          <w:p w14:paraId="01186BA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39,000</w:t>
            </w:r>
          </w:p>
        </w:tc>
        <w:tc>
          <w:tcPr>
            <w:tcW w:w="634" w:type="dxa"/>
            <w:tcMar>
              <w:left w:w="28" w:type="dxa"/>
              <w:right w:w="28" w:type="dxa"/>
            </w:tcMar>
            <w:vAlign w:val="center"/>
          </w:tcPr>
          <w:p w14:paraId="20E6627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46,000</w:t>
            </w:r>
          </w:p>
        </w:tc>
        <w:tc>
          <w:tcPr>
            <w:tcW w:w="633" w:type="dxa"/>
            <w:tcMar>
              <w:left w:w="28" w:type="dxa"/>
              <w:right w:w="28" w:type="dxa"/>
            </w:tcMar>
            <w:vAlign w:val="center"/>
          </w:tcPr>
          <w:p w14:paraId="415B908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53,800</w:t>
            </w:r>
          </w:p>
        </w:tc>
        <w:tc>
          <w:tcPr>
            <w:tcW w:w="633" w:type="dxa"/>
            <w:tcMar>
              <w:left w:w="28" w:type="dxa"/>
              <w:right w:w="28" w:type="dxa"/>
            </w:tcMar>
            <w:vAlign w:val="center"/>
          </w:tcPr>
          <w:p w14:paraId="70C4333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64,700</w:t>
            </w:r>
          </w:p>
        </w:tc>
        <w:tc>
          <w:tcPr>
            <w:tcW w:w="633" w:type="dxa"/>
            <w:tcBorders>
              <w:right w:val="single" w:sz="8" w:space="0" w:color="auto"/>
            </w:tcBorders>
            <w:tcMar>
              <w:left w:w="28" w:type="dxa"/>
              <w:right w:w="28" w:type="dxa"/>
            </w:tcMar>
            <w:vAlign w:val="center"/>
          </w:tcPr>
          <w:p w14:paraId="31EEA97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84,500</w:t>
            </w:r>
          </w:p>
        </w:tc>
        <w:tc>
          <w:tcPr>
            <w:tcW w:w="634" w:type="dxa"/>
            <w:tcBorders>
              <w:left w:val="single" w:sz="8" w:space="0" w:color="auto"/>
              <w:right w:val="single" w:sz="4" w:space="0" w:color="auto"/>
            </w:tcBorders>
            <w:tcMar>
              <w:left w:w="28" w:type="dxa"/>
              <w:right w:w="28" w:type="dxa"/>
            </w:tcMar>
            <w:vAlign w:val="center"/>
          </w:tcPr>
          <w:p w14:paraId="2BE903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47,500</w:t>
            </w:r>
          </w:p>
        </w:tc>
      </w:tr>
      <w:tr w:rsidR="00711FE4" w:rsidRPr="00711FE4" w14:paraId="0F9DC065" w14:textId="77777777" w:rsidTr="00366F04">
        <w:trPr>
          <w:trHeight w:val="255"/>
          <w:jc w:val="center"/>
        </w:trPr>
        <w:tc>
          <w:tcPr>
            <w:tcW w:w="745" w:type="dxa"/>
            <w:vMerge/>
          </w:tcPr>
          <w:p w14:paraId="69773B2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E2438C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2020</w:t>
            </w:r>
          </w:p>
        </w:tc>
        <w:tc>
          <w:tcPr>
            <w:tcW w:w="633" w:type="dxa"/>
            <w:tcMar>
              <w:left w:w="28" w:type="dxa"/>
              <w:right w:w="28" w:type="dxa"/>
            </w:tcMar>
            <w:vAlign w:val="center"/>
          </w:tcPr>
          <w:p w14:paraId="6EA40C2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16,700</w:t>
            </w:r>
          </w:p>
        </w:tc>
        <w:tc>
          <w:tcPr>
            <w:tcW w:w="633" w:type="dxa"/>
            <w:tcMar>
              <w:left w:w="28" w:type="dxa"/>
              <w:right w:w="28" w:type="dxa"/>
            </w:tcMar>
            <w:vAlign w:val="center"/>
          </w:tcPr>
          <w:p w14:paraId="2674164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22,900</w:t>
            </w:r>
          </w:p>
        </w:tc>
        <w:tc>
          <w:tcPr>
            <w:tcW w:w="633" w:type="dxa"/>
            <w:tcMar>
              <w:left w:w="28" w:type="dxa"/>
              <w:right w:w="28" w:type="dxa"/>
            </w:tcMar>
            <w:vAlign w:val="center"/>
          </w:tcPr>
          <w:p w14:paraId="4E878C6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27,600</w:t>
            </w:r>
          </w:p>
        </w:tc>
        <w:tc>
          <w:tcPr>
            <w:tcW w:w="633" w:type="dxa"/>
            <w:tcMar>
              <w:left w:w="28" w:type="dxa"/>
              <w:right w:w="28" w:type="dxa"/>
            </w:tcMar>
            <w:vAlign w:val="center"/>
          </w:tcPr>
          <w:p w14:paraId="4122AA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33,300</w:t>
            </w:r>
          </w:p>
        </w:tc>
        <w:tc>
          <w:tcPr>
            <w:tcW w:w="633" w:type="dxa"/>
            <w:tcMar>
              <w:left w:w="28" w:type="dxa"/>
              <w:right w:w="28" w:type="dxa"/>
            </w:tcMar>
            <w:vAlign w:val="center"/>
          </w:tcPr>
          <w:p w14:paraId="69F5E09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39,500</w:t>
            </w:r>
          </w:p>
        </w:tc>
        <w:tc>
          <w:tcPr>
            <w:tcW w:w="634" w:type="dxa"/>
            <w:tcMar>
              <w:left w:w="28" w:type="dxa"/>
              <w:right w:w="28" w:type="dxa"/>
            </w:tcMar>
            <w:vAlign w:val="center"/>
          </w:tcPr>
          <w:p w14:paraId="18B5633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46,200</w:t>
            </w:r>
          </w:p>
        </w:tc>
        <w:tc>
          <w:tcPr>
            <w:tcW w:w="633" w:type="dxa"/>
            <w:tcMar>
              <w:left w:w="28" w:type="dxa"/>
              <w:right w:w="28" w:type="dxa"/>
            </w:tcMar>
            <w:vAlign w:val="center"/>
          </w:tcPr>
          <w:p w14:paraId="01AADE9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54,300</w:t>
            </w:r>
          </w:p>
        </w:tc>
        <w:tc>
          <w:tcPr>
            <w:tcW w:w="633" w:type="dxa"/>
            <w:tcMar>
              <w:left w:w="28" w:type="dxa"/>
              <w:right w:w="28" w:type="dxa"/>
            </w:tcMar>
            <w:vAlign w:val="center"/>
          </w:tcPr>
          <w:p w14:paraId="132AED0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65,700</w:t>
            </w:r>
          </w:p>
        </w:tc>
        <w:tc>
          <w:tcPr>
            <w:tcW w:w="633" w:type="dxa"/>
            <w:tcBorders>
              <w:right w:val="single" w:sz="8" w:space="0" w:color="auto"/>
            </w:tcBorders>
            <w:tcMar>
              <w:left w:w="28" w:type="dxa"/>
              <w:right w:w="28" w:type="dxa"/>
            </w:tcMar>
            <w:vAlign w:val="center"/>
          </w:tcPr>
          <w:p w14:paraId="70D3DDA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84,500</w:t>
            </w:r>
          </w:p>
        </w:tc>
        <w:tc>
          <w:tcPr>
            <w:tcW w:w="634" w:type="dxa"/>
            <w:tcBorders>
              <w:left w:val="single" w:sz="8" w:space="0" w:color="auto"/>
              <w:right w:val="single" w:sz="4" w:space="0" w:color="auto"/>
            </w:tcBorders>
            <w:tcMar>
              <w:left w:w="28" w:type="dxa"/>
              <w:right w:w="28" w:type="dxa"/>
            </w:tcMar>
            <w:vAlign w:val="center"/>
          </w:tcPr>
          <w:p w14:paraId="0AEBB57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47,700</w:t>
            </w:r>
          </w:p>
        </w:tc>
      </w:tr>
      <w:tr w:rsidR="00711FE4" w:rsidRPr="00711FE4" w14:paraId="72FDBA65" w14:textId="77777777" w:rsidTr="00366F04">
        <w:trPr>
          <w:trHeight w:val="255"/>
          <w:jc w:val="center"/>
        </w:trPr>
        <w:tc>
          <w:tcPr>
            <w:tcW w:w="745" w:type="dxa"/>
            <w:vMerge/>
          </w:tcPr>
          <w:p w14:paraId="31EAA99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2783FC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2021</w:t>
            </w:r>
          </w:p>
        </w:tc>
        <w:tc>
          <w:tcPr>
            <w:tcW w:w="633" w:type="dxa"/>
            <w:tcMar>
              <w:left w:w="28" w:type="dxa"/>
              <w:right w:w="28" w:type="dxa"/>
            </w:tcMar>
            <w:vAlign w:val="center"/>
          </w:tcPr>
          <w:p w14:paraId="2A34555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18,200</w:t>
            </w:r>
          </w:p>
        </w:tc>
        <w:tc>
          <w:tcPr>
            <w:tcW w:w="633" w:type="dxa"/>
            <w:tcMar>
              <w:left w:w="28" w:type="dxa"/>
              <w:right w:w="28" w:type="dxa"/>
            </w:tcMar>
            <w:vAlign w:val="center"/>
          </w:tcPr>
          <w:p w14:paraId="34B9E6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24,500</w:t>
            </w:r>
          </w:p>
        </w:tc>
        <w:tc>
          <w:tcPr>
            <w:tcW w:w="633" w:type="dxa"/>
            <w:tcMar>
              <w:left w:w="28" w:type="dxa"/>
              <w:right w:w="28" w:type="dxa"/>
            </w:tcMar>
            <w:vAlign w:val="center"/>
          </w:tcPr>
          <w:p w14:paraId="5ADE195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29,800</w:t>
            </w:r>
          </w:p>
        </w:tc>
        <w:tc>
          <w:tcPr>
            <w:tcW w:w="633" w:type="dxa"/>
            <w:tcMar>
              <w:left w:w="28" w:type="dxa"/>
              <w:right w:w="28" w:type="dxa"/>
            </w:tcMar>
            <w:vAlign w:val="center"/>
          </w:tcPr>
          <w:p w14:paraId="15803F9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35,900</w:t>
            </w:r>
          </w:p>
        </w:tc>
        <w:tc>
          <w:tcPr>
            <w:tcW w:w="633" w:type="dxa"/>
            <w:tcMar>
              <w:left w:w="28" w:type="dxa"/>
              <w:right w:w="28" w:type="dxa"/>
            </w:tcMar>
            <w:vAlign w:val="center"/>
          </w:tcPr>
          <w:p w14:paraId="74140A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41,800</w:t>
            </w:r>
          </w:p>
        </w:tc>
        <w:tc>
          <w:tcPr>
            <w:tcW w:w="634" w:type="dxa"/>
            <w:tcMar>
              <w:left w:w="28" w:type="dxa"/>
              <w:right w:w="28" w:type="dxa"/>
            </w:tcMar>
            <w:vAlign w:val="center"/>
          </w:tcPr>
          <w:p w14:paraId="3FE1B70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48,200</w:t>
            </w:r>
          </w:p>
        </w:tc>
        <w:tc>
          <w:tcPr>
            <w:tcW w:w="633" w:type="dxa"/>
            <w:tcMar>
              <w:left w:w="28" w:type="dxa"/>
              <w:right w:w="28" w:type="dxa"/>
            </w:tcMar>
            <w:vAlign w:val="center"/>
          </w:tcPr>
          <w:p w14:paraId="5136FB2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56,700</w:t>
            </w:r>
          </w:p>
        </w:tc>
        <w:tc>
          <w:tcPr>
            <w:tcW w:w="633" w:type="dxa"/>
            <w:tcMar>
              <w:left w:w="28" w:type="dxa"/>
              <w:right w:w="28" w:type="dxa"/>
            </w:tcMar>
            <w:vAlign w:val="center"/>
          </w:tcPr>
          <w:p w14:paraId="454EEEA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67,900</w:t>
            </w:r>
          </w:p>
        </w:tc>
        <w:tc>
          <w:tcPr>
            <w:tcW w:w="633" w:type="dxa"/>
            <w:tcBorders>
              <w:right w:val="single" w:sz="8" w:space="0" w:color="auto"/>
            </w:tcBorders>
            <w:tcMar>
              <w:left w:w="28" w:type="dxa"/>
              <w:right w:w="28" w:type="dxa"/>
            </w:tcMar>
            <w:vAlign w:val="center"/>
          </w:tcPr>
          <w:p w14:paraId="002729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89,100</w:t>
            </w:r>
          </w:p>
        </w:tc>
        <w:tc>
          <w:tcPr>
            <w:tcW w:w="634" w:type="dxa"/>
            <w:tcBorders>
              <w:left w:val="single" w:sz="8" w:space="0" w:color="auto"/>
              <w:right w:val="single" w:sz="4" w:space="0" w:color="auto"/>
            </w:tcBorders>
            <w:tcMar>
              <w:left w:w="28" w:type="dxa"/>
              <w:right w:w="28" w:type="dxa"/>
            </w:tcMar>
            <w:vAlign w:val="center"/>
          </w:tcPr>
          <w:p w14:paraId="79815DF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49,900</w:t>
            </w:r>
          </w:p>
        </w:tc>
      </w:tr>
      <w:tr w:rsidR="00711FE4" w:rsidRPr="00711FE4" w14:paraId="15A0955B" w14:textId="77777777" w:rsidTr="00366F04">
        <w:trPr>
          <w:trHeight w:val="255"/>
          <w:jc w:val="center"/>
        </w:trPr>
        <w:tc>
          <w:tcPr>
            <w:tcW w:w="745" w:type="dxa"/>
            <w:vMerge/>
          </w:tcPr>
          <w:p w14:paraId="0AE4A6D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00E01F4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2022</w:t>
            </w:r>
          </w:p>
        </w:tc>
        <w:tc>
          <w:tcPr>
            <w:tcW w:w="633" w:type="dxa"/>
            <w:tcMar>
              <w:left w:w="28" w:type="dxa"/>
              <w:right w:w="28" w:type="dxa"/>
            </w:tcMar>
            <w:vAlign w:val="center"/>
          </w:tcPr>
          <w:p w14:paraId="311BC21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18,500</w:t>
            </w:r>
          </w:p>
        </w:tc>
        <w:tc>
          <w:tcPr>
            <w:tcW w:w="633" w:type="dxa"/>
            <w:tcMar>
              <w:left w:w="28" w:type="dxa"/>
              <w:right w:w="28" w:type="dxa"/>
            </w:tcMar>
            <w:vAlign w:val="center"/>
          </w:tcPr>
          <w:p w14:paraId="10F22FD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24,200</w:t>
            </w:r>
          </w:p>
        </w:tc>
        <w:tc>
          <w:tcPr>
            <w:tcW w:w="633" w:type="dxa"/>
            <w:tcMar>
              <w:left w:w="28" w:type="dxa"/>
              <w:right w:w="28" w:type="dxa"/>
            </w:tcMar>
            <w:vAlign w:val="center"/>
          </w:tcPr>
          <w:p w14:paraId="362252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29,700</w:t>
            </w:r>
          </w:p>
        </w:tc>
        <w:tc>
          <w:tcPr>
            <w:tcW w:w="633" w:type="dxa"/>
            <w:tcMar>
              <w:left w:w="28" w:type="dxa"/>
              <w:right w:w="28" w:type="dxa"/>
            </w:tcMar>
            <w:vAlign w:val="center"/>
          </w:tcPr>
          <w:p w14:paraId="5DD68A1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35,800</w:t>
            </w:r>
          </w:p>
        </w:tc>
        <w:tc>
          <w:tcPr>
            <w:tcW w:w="633" w:type="dxa"/>
            <w:tcMar>
              <w:left w:w="28" w:type="dxa"/>
              <w:right w:w="28" w:type="dxa"/>
            </w:tcMar>
            <w:vAlign w:val="center"/>
          </w:tcPr>
          <w:p w14:paraId="0A7D66B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42,000</w:t>
            </w:r>
          </w:p>
        </w:tc>
        <w:tc>
          <w:tcPr>
            <w:tcW w:w="634" w:type="dxa"/>
            <w:tcMar>
              <w:left w:w="28" w:type="dxa"/>
              <w:right w:w="28" w:type="dxa"/>
            </w:tcMar>
            <w:vAlign w:val="center"/>
          </w:tcPr>
          <w:p w14:paraId="07DAF8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49,400</w:t>
            </w:r>
          </w:p>
        </w:tc>
        <w:tc>
          <w:tcPr>
            <w:tcW w:w="633" w:type="dxa"/>
            <w:tcMar>
              <w:left w:w="28" w:type="dxa"/>
              <w:right w:w="28" w:type="dxa"/>
            </w:tcMar>
            <w:vAlign w:val="center"/>
          </w:tcPr>
          <w:p w14:paraId="768A037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58,100</w:t>
            </w:r>
          </w:p>
        </w:tc>
        <w:tc>
          <w:tcPr>
            <w:tcW w:w="633" w:type="dxa"/>
            <w:tcMar>
              <w:left w:w="28" w:type="dxa"/>
              <w:right w:w="28" w:type="dxa"/>
            </w:tcMar>
            <w:vAlign w:val="center"/>
          </w:tcPr>
          <w:p w14:paraId="27B3A32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69,000</w:t>
            </w:r>
          </w:p>
        </w:tc>
        <w:tc>
          <w:tcPr>
            <w:tcW w:w="633" w:type="dxa"/>
            <w:tcBorders>
              <w:right w:val="single" w:sz="8" w:space="0" w:color="auto"/>
            </w:tcBorders>
            <w:tcMar>
              <w:left w:w="28" w:type="dxa"/>
              <w:right w:w="28" w:type="dxa"/>
            </w:tcMar>
            <w:vAlign w:val="center"/>
          </w:tcPr>
          <w:p w14:paraId="3186EE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89,000</w:t>
            </w:r>
          </w:p>
        </w:tc>
        <w:tc>
          <w:tcPr>
            <w:tcW w:w="634" w:type="dxa"/>
            <w:tcBorders>
              <w:left w:val="single" w:sz="8" w:space="0" w:color="auto"/>
              <w:right w:val="single" w:sz="4" w:space="0" w:color="auto"/>
            </w:tcBorders>
            <w:tcMar>
              <w:left w:w="28" w:type="dxa"/>
              <w:right w:w="28" w:type="dxa"/>
            </w:tcMar>
            <w:vAlign w:val="center"/>
          </w:tcPr>
          <w:p w14:paraId="207A79D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49,600</w:t>
            </w:r>
          </w:p>
        </w:tc>
      </w:tr>
      <w:tr w:rsidR="00711FE4" w:rsidRPr="00711FE4" w14:paraId="7913923D" w14:textId="77777777" w:rsidTr="00366F04">
        <w:trPr>
          <w:trHeight w:val="255"/>
          <w:jc w:val="center"/>
        </w:trPr>
        <w:tc>
          <w:tcPr>
            <w:tcW w:w="745" w:type="dxa"/>
            <w:vMerge/>
          </w:tcPr>
          <w:p w14:paraId="4C8E87A5"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12F698A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2023</w:t>
            </w:r>
          </w:p>
        </w:tc>
        <w:tc>
          <w:tcPr>
            <w:tcW w:w="633" w:type="dxa"/>
            <w:tcMar>
              <w:left w:w="28" w:type="dxa"/>
              <w:right w:w="28" w:type="dxa"/>
            </w:tcMar>
            <w:vAlign w:val="center"/>
          </w:tcPr>
          <w:p w14:paraId="194A7A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17,600</w:t>
            </w:r>
          </w:p>
        </w:tc>
        <w:tc>
          <w:tcPr>
            <w:tcW w:w="633" w:type="dxa"/>
            <w:tcMar>
              <w:left w:w="28" w:type="dxa"/>
              <w:right w:w="28" w:type="dxa"/>
            </w:tcMar>
            <w:vAlign w:val="center"/>
          </w:tcPr>
          <w:p w14:paraId="595AF4D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23,200</w:t>
            </w:r>
          </w:p>
        </w:tc>
        <w:tc>
          <w:tcPr>
            <w:tcW w:w="633" w:type="dxa"/>
            <w:tcMar>
              <w:left w:w="28" w:type="dxa"/>
              <w:right w:w="28" w:type="dxa"/>
            </w:tcMar>
            <w:vAlign w:val="center"/>
          </w:tcPr>
          <w:p w14:paraId="1170E4E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28,700</w:t>
            </w:r>
          </w:p>
        </w:tc>
        <w:tc>
          <w:tcPr>
            <w:tcW w:w="633" w:type="dxa"/>
            <w:tcMar>
              <w:left w:w="28" w:type="dxa"/>
              <w:right w:w="28" w:type="dxa"/>
            </w:tcMar>
            <w:vAlign w:val="center"/>
          </w:tcPr>
          <w:p w14:paraId="33096BB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35,100</w:t>
            </w:r>
          </w:p>
        </w:tc>
        <w:tc>
          <w:tcPr>
            <w:tcW w:w="633" w:type="dxa"/>
            <w:tcMar>
              <w:left w:w="28" w:type="dxa"/>
              <w:right w:w="28" w:type="dxa"/>
            </w:tcMar>
            <w:vAlign w:val="center"/>
          </w:tcPr>
          <w:p w14:paraId="0B7665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41,300</w:t>
            </w:r>
          </w:p>
        </w:tc>
        <w:tc>
          <w:tcPr>
            <w:tcW w:w="634" w:type="dxa"/>
            <w:tcMar>
              <w:left w:w="28" w:type="dxa"/>
              <w:right w:w="28" w:type="dxa"/>
            </w:tcMar>
            <w:vAlign w:val="center"/>
          </w:tcPr>
          <w:p w14:paraId="582D7D1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48,200</w:t>
            </w:r>
          </w:p>
        </w:tc>
        <w:tc>
          <w:tcPr>
            <w:tcW w:w="633" w:type="dxa"/>
            <w:tcMar>
              <w:left w:w="28" w:type="dxa"/>
              <w:right w:w="28" w:type="dxa"/>
            </w:tcMar>
            <w:vAlign w:val="center"/>
          </w:tcPr>
          <w:p w14:paraId="6425881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56,400</w:t>
            </w:r>
          </w:p>
        </w:tc>
        <w:tc>
          <w:tcPr>
            <w:tcW w:w="633" w:type="dxa"/>
            <w:tcMar>
              <w:left w:w="28" w:type="dxa"/>
              <w:right w:w="28" w:type="dxa"/>
            </w:tcMar>
            <w:vAlign w:val="center"/>
          </w:tcPr>
          <w:p w14:paraId="0EE3C4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68,200</w:t>
            </w:r>
          </w:p>
        </w:tc>
        <w:tc>
          <w:tcPr>
            <w:tcW w:w="633" w:type="dxa"/>
            <w:tcBorders>
              <w:right w:val="single" w:sz="8" w:space="0" w:color="auto"/>
            </w:tcBorders>
            <w:tcMar>
              <w:left w:w="28" w:type="dxa"/>
              <w:right w:w="28" w:type="dxa"/>
            </w:tcMar>
            <w:vAlign w:val="center"/>
          </w:tcPr>
          <w:p w14:paraId="53011D5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87,400</w:t>
            </w:r>
          </w:p>
        </w:tc>
        <w:tc>
          <w:tcPr>
            <w:tcW w:w="634" w:type="dxa"/>
            <w:tcBorders>
              <w:left w:val="single" w:sz="8" w:space="0" w:color="auto"/>
              <w:right w:val="single" w:sz="4" w:space="0" w:color="auto"/>
            </w:tcBorders>
            <w:tcMar>
              <w:left w:w="28" w:type="dxa"/>
              <w:right w:w="28" w:type="dxa"/>
            </w:tcMar>
            <w:vAlign w:val="center"/>
          </w:tcPr>
          <w:p w14:paraId="6CCFC05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49,700</w:t>
            </w:r>
          </w:p>
        </w:tc>
      </w:tr>
      <w:tr w:rsidR="00711FE4" w:rsidRPr="00711FE4" w14:paraId="50BB1DC3" w14:textId="77777777" w:rsidTr="00366F04">
        <w:trPr>
          <w:trHeight w:val="255"/>
          <w:jc w:val="center"/>
        </w:trPr>
        <w:tc>
          <w:tcPr>
            <w:tcW w:w="745" w:type="dxa"/>
            <w:vMerge/>
          </w:tcPr>
          <w:p w14:paraId="7EDE221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98" w:type="dxa"/>
            <w:tcMar>
              <w:left w:w="28" w:type="dxa"/>
              <w:right w:w="28" w:type="dxa"/>
            </w:tcMar>
            <w:vAlign w:val="center"/>
          </w:tcPr>
          <w:p w14:paraId="2ACE0CB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2024</w:t>
            </w:r>
          </w:p>
        </w:tc>
        <w:tc>
          <w:tcPr>
            <w:tcW w:w="633" w:type="dxa"/>
            <w:tcMar>
              <w:left w:w="28" w:type="dxa"/>
              <w:right w:w="28" w:type="dxa"/>
            </w:tcMar>
            <w:vAlign w:val="center"/>
          </w:tcPr>
          <w:p w14:paraId="3DCBA6C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17,400</w:t>
            </w:r>
          </w:p>
        </w:tc>
        <w:tc>
          <w:tcPr>
            <w:tcW w:w="633" w:type="dxa"/>
            <w:tcMar>
              <w:left w:w="28" w:type="dxa"/>
              <w:right w:w="28" w:type="dxa"/>
            </w:tcMar>
            <w:vAlign w:val="center"/>
          </w:tcPr>
          <w:p w14:paraId="48C9B3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23,300</w:t>
            </w:r>
          </w:p>
        </w:tc>
        <w:tc>
          <w:tcPr>
            <w:tcW w:w="633" w:type="dxa"/>
            <w:tcMar>
              <w:left w:w="28" w:type="dxa"/>
              <w:right w:w="28" w:type="dxa"/>
            </w:tcMar>
            <w:vAlign w:val="center"/>
          </w:tcPr>
          <w:p w14:paraId="7D08553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29,000</w:t>
            </w:r>
          </w:p>
        </w:tc>
        <w:tc>
          <w:tcPr>
            <w:tcW w:w="633" w:type="dxa"/>
            <w:tcMar>
              <w:left w:w="28" w:type="dxa"/>
              <w:right w:w="28" w:type="dxa"/>
            </w:tcMar>
            <w:vAlign w:val="center"/>
          </w:tcPr>
          <w:p w14:paraId="43B9780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35,000</w:t>
            </w:r>
          </w:p>
        </w:tc>
        <w:tc>
          <w:tcPr>
            <w:tcW w:w="633" w:type="dxa"/>
            <w:tcMar>
              <w:left w:w="28" w:type="dxa"/>
              <w:right w:w="28" w:type="dxa"/>
            </w:tcMar>
            <w:vAlign w:val="center"/>
          </w:tcPr>
          <w:p w14:paraId="3D3E204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41,500</w:t>
            </w:r>
          </w:p>
        </w:tc>
        <w:tc>
          <w:tcPr>
            <w:tcW w:w="634" w:type="dxa"/>
            <w:tcMar>
              <w:left w:w="28" w:type="dxa"/>
              <w:right w:w="28" w:type="dxa"/>
            </w:tcMar>
            <w:vAlign w:val="center"/>
          </w:tcPr>
          <w:p w14:paraId="1368E9B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48,400</w:t>
            </w:r>
          </w:p>
        </w:tc>
        <w:tc>
          <w:tcPr>
            <w:tcW w:w="633" w:type="dxa"/>
            <w:tcMar>
              <w:left w:w="28" w:type="dxa"/>
              <w:right w:w="28" w:type="dxa"/>
            </w:tcMar>
            <w:vAlign w:val="center"/>
          </w:tcPr>
          <w:p w14:paraId="3ADA9B2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56,500</w:t>
            </w:r>
          </w:p>
        </w:tc>
        <w:tc>
          <w:tcPr>
            <w:tcW w:w="633" w:type="dxa"/>
            <w:tcMar>
              <w:left w:w="28" w:type="dxa"/>
              <w:right w:w="28" w:type="dxa"/>
            </w:tcMar>
            <w:vAlign w:val="center"/>
          </w:tcPr>
          <w:p w14:paraId="6F7EC4D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66,900</w:t>
            </w:r>
          </w:p>
        </w:tc>
        <w:tc>
          <w:tcPr>
            <w:tcW w:w="633" w:type="dxa"/>
            <w:tcBorders>
              <w:right w:val="single" w:sz="8" w:space="0" w:color="auto"/>
            </w:tcBorders>
            <w:tcMar>
              <w:left w:w="28" w:type="dxa"/>
              <w:right w:w="28" w:type="dxa"/>
            </w:tcMar>
            <w:vAlign w:val="center"/>
          </w:tcPr>
          <w:p w14:paraId="6D52433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86,700</w:t>
            </w:r>
          </w:p>
        </w:tc>
        <w:tc>
          <w:tcPr>
            <w:tcW w:w="634" w:type="dxa"/>
            <w:tcBorders>
              <w:left w:val="single" w:sz="8" w:space="0" w:color="auto"/>
              <w:right w:val="single" w:sz="4" w:space="0" w:color="auto"/>
            </w:tcBorders>
            <w:tcMar>
              <w:left w:w="28" w:type="dxa"/>
              <w:right w:w="28" w:type="dxa"/>
            </w:tcMar>
            <w:vAlign w:val="center"/>
          </w:tcPr>
          <w:p w14:paraId="07EAAB5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49,500</w:t>
            </w:r>
          </w:p>
        </w:tc>
      </w:tr>
      <w:tr w:rsidR="00711FE4" w:rsidRPr="00711FE4" w14:paraId="561FF092" w14:textId="77777777" w:rsidTr="00366F04">
        <w:trPr>
          <w:trHeight w:val="255"/>
          <w:jc w:val="center"/>
        </w:trPr>
        <w:tc>
          <w:tcPr>
            <w:tcW w:w="745" w:type="dxa"/>
          </w:tcPr>
          <w:p w14:paraId="3571ABC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HILS-Admin</w:t>
            </w:r>
          </w:p>
        </w:tc>
        <w:tc>
          <w:tcPr>
            <w:tcW w:w="598" w:type="dxa"/>
            <w:tcMar>
              <w:left w:w="28" w:type="dxa"/>
              <w:right w:w="28" w:type="dxa"/>
            </w:tcMar>
            <w:vAlign w:val="center"/>
          </w:tcPr>
          <w:p w14:paraId="64D8381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2025</w:t>
            </w:r>
          </w:p>
        </w:tc>
        <w:tc>
          <w:tcPr>
            <w:tcW w:w="633" w:type="dxa"/>
            <w:tcMar>
              <w:left w:w="28" w:type="dxa"/>
              <w:right w:w="28" w:type="dxa"/>
            </w:tcMar>
            <w:vAlign w:val="center"/>
          </w:tcPr>
          <w:p w14:paraId="55EC2CF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17,900</w:t>
            </w:r>
          </w:p>
        </w:tc>
        <w:tc>
          <w:tcPr>
            <w:tcW w:w="633" w:type="dxa"/>
            <w:tcMar>
              <w:left w:w="28" w:type="dxa"/>
              <w:right w:w="28" w:type="dxa"/>
            </w:tcMar>
            <w:vAlign w:val="center"/>
          </w:tcPr>
          <w:p w14:paraId="6086919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23,900</w:t>
            </w:r>
          </w:p>
        </w:tc>
        <w:tc>
          <w:tcPr>
            <w:tcW w:w="633" w:type="dxa"/>
            <w:tcMar>
              <w:left w:w="28" w:type="dxa"/>
              <w:right w:w="28" w:type="dxa"/>
            </w:tcMar>
            <w:vAlign w:val="center"/>
          </w:tcPr>
          <w:p w14:paraId="258C4A1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29,600</w:t>
            </w:r>
          </w:p>
        </w:tc>
        <w:tc>
          <w:tcPr>
            <w:tcW w:w="633" w:type="dxa"/>
            <w:tcMar>
              <w:left w:w="28" w:type="dxa"/>
              <w:right w:w="28" w:type="dxa"/>
            </w:tcMar>
            <w:vAlign w:val="center"/>
          </w:tcPr>
          <w:p w14:paraId="12030DF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35,800</w:t>
            </w:r>
          </w:p>
        </w:tc>
        <w:tc>
          <w:tcPr>
            <w:tcW w:w="633" w:type="dxa"/>
            <w:tcMar>
              <w:left w:w="28" w:type="dxa"/>
              <w:right w:w="28" w:type="dxa"/>
            </w:tcMar>
            <w:vAlign w:val="center"/>
          </w:tcPr>
          <w:p w14:paraId="1A3BFD7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42,300</w:t>
            </w:r>
          </w:p>
        </w:tc>
        <w:tc>
          <w:tcPr>
            <w:tcW w:w="634" w:type="dxa"/>
            <w:tcMar>
              <w:left w:w="28" w:type="dxa"/>
              <w:right w:w="28" w:type="dxa"/>
            </w:tcMar>
            <w:vAlign w:val="center"/>
          </w:tcPr>
          <w:p w14:paraId="0A76DF2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49,400</w:t>
            </w:r>
          </w:p>
        </w:tc>
        <w:tc>
          <w:tcPr>
            <w:tcW w:w="633" w:type="dxa"/>
            <w:tcMar>
              <w:left w:w="28" w:type="dxa"/>
              <w:right w:w="28" w:type="dxa"/>
            </w:tcMar>
            <w:vAlign w:val="center"/>
          </w:tcPr>
          <w:p w14:paraId="0D5B7B6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58,500</w:t>
            </w:r>
          </w:p>
        </w:tc>
        <w:tc>
          <w:tcPr>
            <w:tcW w:w="633" w:type="dxa"/>
            <w:tcMar>
              <w:left w:w="28" w:type="dxa"/>
              <w:right w:w="28" w:type="dxa"/>
            </w:tcMar>
            <w:vAlign w:val="center"/>
          </w:tcPr>
          <w:p w14:paraId="099962D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69,400</w:t>
            </w:r>
          </w:p>
        </w:tc>
        <w:tc>
          <w:tcPr>
            <w:tcW w:w="633" w:type="dxa"/>
            <w:tcBorders>
              <w:right w:val="single" w:sz="8" w:space="0" w:color="auto"/>
            </w:tcBorders>
            <w:tcMar>
              <w:left w:w="28" w:type="dxa"/>
              <w:right w:w="28" w:type="dxa"/>
            </w:tcMar>
            <w:vAlign w:val="center"/>
          </w:tcPr>
          <w:p w14:paraId="5C720F8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90,400</w:t>
            </w:r>
          </w:p>
        </w:tc>
        <w:tc>
          <w:tcPr>
            <w:tcW w:w="634" w:type="dxa"/>
            <w:tcBorders>
              <w:left w:val="single" w:sz="8" w:space="0" w:color="auto"/>
              <w:right w:val="single" w:sz="4" w:space="0" w:color="auto"/>
            </w:tcBorders>
            <w:tcMar>
              <w:left w:w="28" w:type="dxa"/>
              <w:right w:w="28" w:type="dxa"/>
            </w:tcMar>
            <w:vAlign w:val="center"/>
          </w:tcPr>
          <w:p w14:paraId="1ECA68B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51,100</w:t>
            </w:r>
          </w:p>
        </w:tc>
      </w:tr>
    </w:tbl>
    <w:p w14:paraId="225D04CE" w14:textId="77777777" w:rsidR="00711FE4" w:rsidRPr="00711FE4" w:rsidRDefault="00711FE4" w:rsidP="00711FE4">
      <w:pPr>
        <w:spacing w:after="0" w:line="240" w:lineRule="auto"/>
        <w:rPr>
          <w:rFonts w:ascii="Arial" w:eastAsia="Times New Roman" w:hAnsi="Arial" w:cs="Times New Roman"/>
          <w:sz w:val="22"/>
          <w:szCs w:val="20"/>
          <w:lang w:val="en-GB"/>
        </w:rPr>
      </w:pPr>
    </w:p>
    <w:p w14:paraId="658E1EA9" w14:textId="77777777" w:rsidR="00711FE4" w:rsidRPr="00711FE4" w:rsidRDefault="00711FE4" w:rsidP="00711FE4">
      <w:pPr>
        <w:spacing w:after="0" w:line="240" w:lineRule="auto"/>
        <w:rPr>
          <w:rFonts w:ascii="Arial" w:eastAsia="Times New Roman" w:hAnsi="Arial" w:cs="Times New Roman"/>
          <w:sz w:val="22"/>
          <w:szCs w:val="20"/>
          <w:lang w:val="en-GB"/>
        </w:rPr>
      </w:pPr>
    </w:p>
    <w:p w14:paraId="183B32B5" w14:textId="77777777" w:rsidR="00711FE4" w:rsidRPr="00711FE4" w:rsidRDefault="00711FE4" w:rsidP="00711FE4">
      <w:pPr>
        <w:spacing w:after="0" w:line="240" w:lineRule="auto"/>
        <w:rPr>
          <w:rFonts w:ascii="Arial" w:eastAsia="Times New Roman" w:hAnsi="Arial" w:cs="Times New Roman"/>
          <w:sz w:val="22"/>
          <w:szCs w:val="20"/>
          <w:lang w:val="en-GB"/>
        </w:rPr>
      </w:pPr>
    </w:p>
    <w:p w14:paraId="32150027" w14:textId="77777777" w:rsidR="00711FE4" w:rsidRPr="00711FE4" w:rsidRDefault="00711FE4" w:rsidP="00711FE4">
      <w:pPr>
        <w:spacing w:after="0" w:line="240" w:lineRule="auto"/>
        <w:rPr>
          <w:rFonts w:ascii="Arial" w:eastAsia="Times New Roman" w:hAnsi="Arial" w:cs="Times New Roman"/>
          <w:sz w:val="22"/>
          <w:szCs w:val="20"/>
          <w:lang w:val="en-GB"/>
        </w:rPr>
      </w:pPr>
    </w:p>
    <w:p w14:paraId="6AB3AD0F" w14:textId="77777777" w:rsidR="00711FE4" w:rsidRPr="00711FE4" w:rsidRDefault="00711FE4" w:rsidP="00711FE4">
      <w:pPr>
        <w:spacing w:after="0" w:line="240" w:lineRule="auto"/>
        <w:rPr>
          <w:rFonts w:ascii="Arial" w:eastAsia="Times New Roman" w:hAnsi="Arial" w:cs="Times New Roman"/>
          <w:sz w:val="22"/>
          <w:szCs w:val="20"/>
          <w:lang w:val="en-GB"/>
        </w:rPr>
      </w:pPr>
    </w:p>
    <w:p w14:paraId="0A0310F0" w14:textId="77777777" w:rsidR="00711FE4" w:rsidRPr="00711FE4" w:rsidRDefault="00711FE4" w:rsidP="00711FE4">
      <w:pPr>
        <w:spacing w:after="0" w:line="240" w:lineRule="auto"/>
        <w:rPr>
          <w:rFonts w:ascii="Arial" w:eastAsia="Times New Roman" w:hAnsi="Arial" w:cs="Times New Roman"/>
          <w:sz w:val="22"/>
          <w:szCs w:val="20"/>
          <w:lang w:val="en-GB"/>
        </w:rPr>
      </w:pPr>
    </w:p>
    <w:p w14:paraId="32AD7DA9" w14:textId="77777777" w:rsidR="00711FE4" w:rsidRPr="00711FE4" w:rsidRDefault="00711FE4" w:rsidP="00711FE4">
      <w:pPr>
        <w:spacing w:after="0" w:line="240" w:lineRule="auto"/>
        <w:rPr>
          <w:rFonts w:ascii="Arial" w:eastAsia="Times New Roman" w:hAnsi="Arial" w:cs="Times New Roman"/>
          <w:sz w:val="22"/>
          <w:szCs w:val="20"/>
          <w:lang w:val="en-GB"/>
        </w:rPr>
      </w:pPr>
    </w:p>
    <w:p w14:paraId="44BA9842" w14:textId="77777777" w:rsidR="00711FE4" w:rsidRPr="00711FE4" w:rsidRDefault="00711FE4" w:rsidP="00711FE4">
      <w:pPr>
        <w:spacing w:after="0" w:line="240" w:lineRule="auto"/>
        <w:rPr>
          <w:rFonts w:ascii="Arial" w:eastAsia="Times New Roman" w:hAnsi="Arial" w:cs="Times New Roman"/>
          <w:sz w:val="22"/>
          <w:szCs w:val="20"/>
          <w:lang w:val="en-GB"/>
        </w:rPr>
      </w:pPr>
    </w:p>
    <w:p w14:paraId="456FE9FA" w14:textId="77777777" w:rsidR="00711FE4" w:rsidRPr="00711FE4" w:rsidRDefault="00711FE4" w:rsidP="00711FE4">
      <w:pPr>
        <w:spacing w:after="0" w:line="240" w:lineRule="auto"/>
        <w:rPr>
          <w:rFonts w:ascii="Arial" w:eastAsia="Times New Roman" w:hAnsi="Arial" w:cs="Times New Roman"/>
          <w:sz w:val="22"/>
          <w:szCs w:val="20"/>
          <w:lang w:val="en-GB"/>
        </w:rPr>
      </w:pPr>
    </w:p>
    <w:p w14:paraId="716FF907" w14:textId="77777777" w:rsidR="00711FE4" w:rsidRPr="00711FE4" w:rsidRDefault="00711FE4" w:rsidP="00711FE4">
      <w:pPr>
        <w:spacing w:after="0" w:line="240" w:lineRule="auto"/>
        <w:rPr>
          <w:rFonts w:ascii="Arial" w:eastAsia="Times New Roman" w:hAnsi="Arial" w:cs="Times New Roman"/>
          <w:sz w:val="22"/>
          <w:szCs w:val="20"/>
          <w:lang w:val="en-GB"/>
        </w:rPr>
      </w:pPr>
    </w:p>
    <w:p w14:paraId="6FB1803E" w14:textId="77777777" w:rsidR="00711FE4" w:rsidRPr="00711FE4" w:rsidRDefault="00711FE4" w:rsidP="00711FE4">
      <w:pPr>
        <w:spacing w:after="0" w:line="240" w:lineRule="auto"/>
        <w:rPr>
          <w:rFonts w:ascii="Arial" w:eastAsia="Times New Roman" w:hAnsi="Arial" w:cs="Times New Roman"/>
          <w:sz w:val="22"/>
          <w:szCs w:val="20"/>
          <w:lang w:val="en-GB"/>
        </w:rPr>
      </w:pPr>
    </w:p>
    <w:p w14:paraId="0791D0B9" w14:textId="77777777" w:rsidR="00711FE4" w:rsidRPr="00711FE4" w:rsidRDefault="00711FE4" w:rsidP="00711FE4">
      <w:pPr>
        <w:spacing w:after="0" w:line="240" w:lineRule="auto"/>
        <w:rPr>
          <w:rFonts w:ascii="Arial" w:eastAsia="Times New Roman" w:hAnsi="Arial" w:cs="Times New Roman"/>
          <w:sz w:val="22"/>
          <w:szCs w:val="20"/>
          <w:lang w:val="en-GB"/>
        </w:rPr>
      </w:pPr>
    </w:p>
    <w:p w14:paraId="000108FA" w14:textId="77777777" w:rsidR="00711FE4" w:rsidRPr="00711FE4" w:rsidRDefault="00711FE4" w:rsidP="00711FE4">
      <w:pPr>
        <w:spacing w:after="0" w:line="240" w:lineRule="auto"/>
        <w:rPr>
          <w:rFonts w:ascii="Arial" w:eastAsia="Times New Roman" w:hAnsi="Arial" w:cs="Times New Roman"/>
          <w:sz w:val="22"/>
          <w:szCs w:val="20"/>
          <w:lang w:val="en-GB"/>
        </w:rPr>
      </w:pPr>
    </w:p>
    <w:p w14:paraId="42C20209" w14:textId="77777777" w:rsidR="00711FE4" w:rsidRPr="00711FE4" w:rsidRDefault="00711FE4" w:rsidP="00711FE4">
      <w:pPr>
        <w:spacing w:after="0" w:line="240" w:lineRule="auto"/>
        <w:rPr>
          <w:rFonts w:ascii="Arial" w:eastAsia="Times New Roman" w:hAnsi="Arial" w:cs="Times New Roman"/>
          <w:sz w:val="22"/>
          <w:szCs w:val="20"/>
          <w:lang w:val="en-GB"/>
        </w:rPr>
      </w:pPr>
    </w:p>
    <w:p w14:paraId="27D4FB59" w14:textId="77777777" w:rsidR="00711FE4" w:rsidRPr="00711FE4" w:rsidRDefault="00711FE4" w:rsidP="00711FE4">
      <w:pPr>
        <w:spacing w:after="0" w:line="240" w:lineRule="auto"/>
        <w:rPr>
          <w:rFonts w:ascii="Arial" w:eastAsia="Times New Roman" w:hAnsi="Arial" w:cs="Times New Roman"/>
          <w:sz w:val="22"/>
          <w:szCs w:val="20"/>
          <w:lang w:val="en-GB"/>
        </w:rPr>
      </w:pPr>
    </w:p>
    <w:p w14:paraId="30BB5223" w14:textId="77777777" w:rsidR="00711FE4" w:rsidRPr="00711FE4" w:rsidRDefault="00711FE4" w:rsidP="00711FE4">
      <w:pPr>
        <w:spacing w:after="0" w:line="240" w:lineRule="auto"/>
        <w:rPr>
          <w:rFonts w:ascii="Arial" w:eastAsia="Times New Roman" w:hAnsi="Arial" w:cs="Times New Roman"/>
          <w:sz w:val="22"/>
          <w:szCs w:val="20"/>
          <w:lang w:val="en-GB"/>
        </w:rPr>
      </w:pPr>
    </w:p>
    <w:p w14:paraId="1D4AC329" w14:textId="77777777" w:rsidR="00711FE4" w:rsidRPr="00711FE4" w:rsidRDefault="00711FE4" w:rsidP="00711FE4">
      <w:pPr>
        <w:spacing w:after="0" w:line="240" w:lineRule="auto"/>
        <w:rPr>
          <w:rFonts w:ascii="Arial" w:eastAsia="Times New Roman" w:hAnsi="Arial" w:cs="Times New Roman"/>
          <w:sz w:val="22"/>
          <w:szCs w:val="20"/>
          <w:lang w:val="en-GB"/>
        </w:rPr>
      </w:pPr>
    </w:p>
    <w:p w14:paraId="582DC972" w14:textId="77777777" w:rsidR="00711FE4" w:rsidRPr="00711FE4" w:rsidRDefault="00711FE4" w:rsidP="00711FE4">
      <w:pPr>
        <w:spacing w:after="0" w:line="240" w:lineRule="auto"/>
        <w:rPr>
          <w:rFonts w:ascii="Arial" w:eastAsia="Times New Roman" w:hAnsi="Arial" w:cs="Times New Roman"/>
          <w:sz w:val="22"/>
          <w:szCs w:val="20"/>
          <w:lang w:val="en-GB"/>
        </w:rPr>
      </w:pPr>
    </w:p>
    <w:p w14:paraId="6F95F42D" w14:textId="77777777" w:rsidR="00711FE4" w:rsidRPr="00711FE4" w:rsidRDefault="00711FE4" w:rsidP="00711FE4">
      <w:pPr>
        <w:spacing w:after="0" w:line="240" w:lineRule="auto"/>
        <w:rPr>
          <w:rFonts w:ascii="Arial" w:eastAsia="Times New Roman" w:hAnsi="Arial" w:cs="Times New Roman"/>
          <w:sz w:val="22"/>
          <w:szCs w:val="20"/>
          <w:lang w:val="en-GB"/>
        </w:rPr>
      </w:pPr>
    </w:p>
    <w:p w14:paraId="66C5536A" w14:textId="77777777" w:rsidR="00711FE4" w:rsidRPr="00711FE4" w:rsidRDefault="00711FE4" w:rsidP="00711FE4">
      <w:pPr>
        <w:spacing w:after="0" w:line="240" w:lineRule="auto"/>
        <w:rPr>
          <w:rFonts w:ascii="Arial" w:eastAsia="Times New Roman" w:hAnsi="Arial" w:cs="Times New Roman"/>
          <w:sz w:val="22"/>
          <w:szCs w:val="20"/>
          <w:lang w:val="en-GB"/>
        </w:rPr>
      </w:pPr>
    </w:p>
    <w:p w14:paraId="3B1DE718" w14:textId="77777777" w:rsidR="00711FE4" w:rsidRPr="00711FE4" w:rsidRDefault="00711FE4" w:rsidP="00711FE4">
      <w:pPr>
        <w:spacing w:after="0" w:line="240" w:lineRule="auto"/>
        <w:rPr>
          <w:rFonts w:ascii="Arial" w:eastAsia="Times New Roman" w:hAnsi="Arial" w:cs="Times New Roman"/>
          <w:sz w:val="22"/>
          <w:szCs w:val="20"/>
          <w:lang w:val="en-GB"/>
        </w:rPr>
      </w:pPr>
    </w:p>
    <w:p w14:paraId="0537588B" w14:textId="77777777" w:rsidR="00711FE4" w:rsidRPr="00711FE4" w:rsidRDefault="00711FE4" w:rsidP="00711FE4">
      <w:pPr>
        <w:spacing w:after="0" w:line="240" w:lineRule="auto"/>
        <w:rPr>
          <w:rFonts w:ascii="Arial" w:eastAsia="Times New Roman" w:hAnsi="Arial" w:cs="Times New Roman"/>
          <w:sz w:val="22"/>
          <w:szCs w:val="20"/>
          <w:lang w:val="en-GB"/>
        </w:rPr>
      </w:pPr>
    </w:p>
    <w:p w14:paraId="374C7149" w14:textId="77777777" w:rsidR="00711FE4" w:rsidRPr="00711FE4" w:rsidRDefault="00711FE4" w:rsidP="00711FE4">
      <w:pPr>
        <w:spacing w:after="0" w:line="240" w:lineRule="auto"/>
        <w:rPr>
          <w:rFonts w:ascii="Arial" w:eastAsia="Times New Roman" w:hAnsi="Arial" w:cs="Times New Roman"/>
          <w:sz w:val="22"/>
          <w:szCs w:val="20"/>
          <w:lang w:val="en-GB"/>
        </w:rPr>
      </w:pPr>
    </w:p>
    <w:p w14:paraId="0AA2DE7B" w14:textId="77777777" w:rsidR="00711FE4" w:rsidRPr="00711FE4" w:rsidRDefault="00711FE4" w:rsidP="00711FE4">
      <w:pPr>
        <w:spacing w:after="0" w:line="240" w:lineRule="auto"/>
        <w:rPr>
          <w:rFonts w:ascii="Arial" w:eastAsia="Times New Roman" w:hAnsi="Arial" w:cs="Times New Roman"/>
          <w:sz w:val="22"/>
          <w:szCs w:val="20"/>
          <w:lang w:val="en-GB"/>
        </w:rPr>
      </w:pPr>
    </w:p>
    <w:p w14:paraId="253DC9CF" w14:textId="77777777" w:rsidR="00711FE4" w:rsidRPr="00711FE4" w:rsidRDefault="00711FE4" w:rsidP="00711FE4">
      <w:pPr>
        <w:spacing w:after="0" w:line="240" w:lineRule="auto"/>
        <w:rPr>
          <w:rFonts w:ascii="Arial" w:eastAsia="Times New Roman" w:hAnsi="Arial" w:cs="Times New Roman"/>
          <w:sz w:val="22"/>
          <w:szCs w:val="20"/>
          <w:lang w:val="en-GB"/>
        </w:rPr>
      </w:pPr>
    </w:p>
    <w:p w14:paraId="4E73DBB8" w14:textId="77777777" w:rsidR="00711FE4" w:rsidRPr="00711FE4" w:rsidRDefault="00711FE4" w:rsidP="00711FE4">
      <w:pPr>
        <w:tabs>
          <w:tab w:val="center" w:pos="654"/>
        </w:tabs>
        <w:spacing w:after="0" w:line="240" w:lineRule="auto"/>
        <w:rPr>
          <w:rFonts w:ascii="Arial" w:eastAsia="Times New Roman" w:hAnsi="Arial" w:cs="Times New Roman"/>
          <w:sz w:val="22"/>
          <w:szCs w:val="20"/>
          <w:lang w:val="en-GB"/>
        </w:rPr>
      </w:pPr>
      <w:r w:rsidRPr="00711FE4">
        <w:rPr>
          <w:rFonts w:ascii="Arial" w:eastAsia="Times New Roman" w:hAnsi="Arial" w:cs="Times New Roman"/>
          <w:sz w:val="22"/>
          <w:szCs w:val="20"/>
          <w:lang w:val="en-GB"/>
        </w:rPr>
        <w:tab/>
      </w:r>
      <w:r w:rsidRPr="00711FE4">
        <w:rPr>
          <w:rFonts w:ascii="Arial" w:eastAsia="Times New Roman" w:hAnsi="Arial" w:cs="Times New Roman"/>
          <w:sz w:val="22"/>
          <w:szCs w:val="20"/>
          <w:lang w:val="en-GB"/>
        </w:rPr>
        <w:br/>
      </w:r>
    </w:p>
    <w:p w14:paraId="4DC113A9" w14:textId="77777777" w:rsidR="00711FE4" w:rsidRPr="00711FE4" w:rsidRDefault="00711FE4" w:rsidP="00711FE4">
      <w:pPr>
        <w:spacing w:after="0" w:line="240" w:lineRule="auto"/>
        <w:rPr>
          <w:rFonts w:ascii="Arial" w:eastAsia="Times New Roman" w:hAnsi="Arial" w:cs="Times New Roman"/>
          <w:sz w:val="22"/>
          <w:szCs w:val="20"/>
          <w:lang w:val="en-GB"/>
        </w:rPr>
      </w:pPr>
    </w:p>
    <w:p w14:paraId="031C10DE" w14:textId="77777777" w:rsidR="00711FE4" w:rsidRPr="00711FE4" w:rsidRDefault="00711FE4" w:rsidP="00711FE4">
      <w:pPr>
        <w:spacing w:after="0" w:line="240" w:lineRule="auto"/>
        <w:rPr>
          <w:rFonts w:ascii="Arial" w:eastAsia="Times New Roman" w:hAnsi="Arial" w:cs="Times New Roman"/>
          <w:sz w:val="22"/>
          <w:szCs w:val="20"/>
          <w:lang w:val="en-GB"/>
        </w:rPr>
      </w:pPr>
    </w:p>
    <w:p w14:paraId="66BFB949" w14:textId="77777777" w:rsidR="00711FE4" w:rsidRPr="00711FE4" w:rsidRDefault="00711FE4" w:rsidP="00711FE4">
      <w:pPr>
        <w:spacing w:after="0" w:line="240" w:lineRule="auto"/>
        <w:rPr>
          <w:rFonts w:ascii="Arial" w:eastAsia="Times New Roman" w:hAnsi="Arial" w:cs="Times New Roman"/>
          <w:sz w:val="22"/>
          <w:szCs w:val="20"/>
          <w:lang w:val="en-GB"/>
        </w:rPr>
      </w:pPr>
    </w:p>
    <w:p w14:paraId="64341EE7" w14:textId="77777777" w:rsidR="00711FE4" w:rsidRPr="00711FE4" w:rsidRDefault="00711FE4" w:rsidP="00711FE4">
      <w:pPr>
        <w:spacing w:after="0" w:line="240" w:lineRule="auto"/>
        <w:rPr>
          <w:rFonts w:ascii="Arial" w:eastAsia="Times New Roman" w:hAnsi="Arial"/>
          <w:b/>
          <w:color w:val="FF0000"/>
          <w:sz w:val="18"/>
          <w:szCs w:val="20"/>
          <w:highlight w:val="yellow"/>
          <w:lang w:val="en-GB"/>
        </w:rPr>
      </w:pPr>
      <w:r w:rsidRPr="00711FE4">
        <w:rPr>
          <w:rFonts w:ascii="Arial" w:eastAsia="Times New Roman" w:hAnsi="Arial"/>
          <w:b/>
          <w:color w:val="FF0000"/>
          <w:sz w:val="18"/>
          <w:szCs w:val="20"/>
          <w:highlight w:val="yellow"/>
          <w:lang w:val="en-GB"/>
        </w:rPr>
        <w:br w:type="page"/>
      </w:r>
    </w:p>
    <w:p w14:paraId="3E927EA7" w14:textId="77777777" w:rsidR="00711FE4" w:rsidRPr="00711FE4" w:rsidRDefault="00711FE4" w:rsidP="00711FE4">
      <w:pPr>
        <w:spacing w:after="0" w:line="240" w:lineRule="auto"/>
        <w:rPr>
          <w:rFonts w:ascii="Arial" w:eastAsia="Times New Roman" w:hAnsi="Arial"/>
          <w:b/>
          <w:color w:val="FF0000"/>
          <w:sz w:val="18"/>
          <w:szCs w:val="20"/>
          <w:highlight w:val="yellow"/>
          <w:lang w:val="en-GB"/>
        </w:rPr>
      </w:pPr>
    </w:p>
    <w:p w14:paraId="15119461" w14:textId="77777777" w:rsidR="00711FE4" w:rsidRPr="00711FE4" w:rsidRDefault="00711FE4" w:rsidP="00711FE4">
      <w:pPr>
        <w:spacing w:after="0" w:line="240" w:lineRule="auto"/>
        <w:jc w:val="center"/>
        <w:rPr>
          <w:rFonts w:ascii="Arial" w:eastAsia="Times New Roman" w:hAnsi="Arial"/>
          <w:b/>
          <w:color w:val="000000"/>
          <w:sz w:val="18"/>
          <w:szCs w:val="20"/>
          <w:lang w:val="en-GB"/>
        </w:rPr>
      </w:pPr>
    </w:p>
    <w:p w14:paraId="5E75FA32" w14:textId="36B4E3EB" w:rsidR="00711FE4" w:rsidRPr="00711FE4" w:rsidRDefault="00711FE4" w:rsidP="00711FE4">
      <w:pPr>
        <w:spacing w:after="0" w:line="240" w:lineRule="auto"/>
        <w:jc w:val="center"/>
        <w:rPr>
          <w:rFonts w:ascii="Arial" w:eastAsia="Times New Roman" w:hAnsi="Arial"/>
          <w:b/>
          <w:color w:val="FF0000"/>
          <w:sz w:val="18"/>
          <w:szCs w:val="20"/>
          <w:lang w:val="en-GB"/>
        </w:rPr>
      </w:pPr>
      <w:r w:rsidRPr="00711FE4">
        <w:rPr>
          <w:rFonts w:ascii="Arial" w:eastAsia="Times New Roman" w:hAnsi="Arial"/>
          <w:b/>
          <w:color w:val="000000"/>
          <w:sz w:val="18"/>
          <w:szCs w:val="20"/>
          <w:lang w:val="en-GB"/>
        </w:rPr>
        <w:t>Table 10.</w:t>
      </w:r>
      <w:r w:rsidR="0066370E">
        <w:rPr>
          <w:rFonts w:ascii="Arial" w:eastAsia="Times New Roman" w:hAnsi="Arial"/>
          <w:b/>
          <w:color w:val="000000"/>
          <w:sz w:val="18"/>
          <w:szCs w:val="20"/>
          <w:lang w:val="en-GB"/>
        </w:rPr>
        <w:t>3</w:t>
      </w:r>
    </w:p>
    <w:p w14:paraId="6F0C2967" w14:textId="77777777" w:rsidR="00711FE4" w:rsidRPr="00711FE4" w:rsidRDefault="00711FE4" w:rsidP="00711FE4">
      <w:pPr>
        <w:spacing w:line="240" w:lineRule="auto"/>
        <w:jc w:val="center"/>
        <w:rPr>
          <w:rFonts w:ascii="Arial" w:eastAsia="Times New Roman" w:hAnsi="Arial"/>
          <w:b/>
          <w:color w:val="000000"/>
          <w:lang w:val="en-GB"/>
        </w:rPr>
      </w:pPr>
      <w:r w:rsidRPr="00711FE4">
        <w:rPr>
          <w:rFonts w:ascii="Arial" w:eastAsia="Times New Roman" w:hAnsi="Arial"/>
          <w:b/>
          <w:color w:val="000000"/>
          <w:sz w:val="18"/>
          <w:szCs w:val="20"/>
          <w:lang w:val="en-GB"/>
        </w:rPr>
        <w:t>Decile means of equivalised household incomes (BHC), ($2025)</w:t>
      </w:r>
    </w:p>
    <w:tbl>
      <w:tblPr>
        <w:tblW w:w="8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573"/>
        <w:gridCol w:w="743"/>
        <w:gridCol w:w="740"/>
        <w:gridCol w:w="741"/>
        <w:gridCol w:w="741"/>
        <w:gridCol w:w="740"/>
        <w:gridCol w:w="741"/>
        <w:gridCol w:w="741"/>
        <w:gridCol w:w="740"/>
        <w:gridCol w:w="741"/>
        <w:gridCol w:w="741"/>
      </w:tblGrid>
      <w:tr w:rsidR="00711FE4" w:rsidRPr="00711FE4" w14:paraId="2E4F197F" w14:textId="77777777" w:rsidTr="00366F04">
        <w:tc>
          <w:tcPr>
            <w:tcW w:w="686" w:type="dxa"/>
            <w:vMerge w:val="restart"/>
            <w:tcBorders>
              <w:top w:val="single" w:sz="4" w:space="0" w:color="auto"/>
              <w:left w:val="single" w:sz="4" w:space="0" w:color="auto"/>
              <w:right w:val="single" w:sz="4" w:space="0" w:color="auto"/>
            </w:tcBorders>
          </w:tcPr>
          <w:p w14:paraId="409D3B12" w14:textId="77777777" w:rsidR="00711FE4" w:rsidRPr="00711FE4" w:rsidRDefault="00711FE4" w:rsidP="00711FE4">
            <w:pPr>
              <w:spacing w:before="40" w:after="40" w:line="240" w:lineRule="auto"/>
              <w:jc w:val="center"/>
              <w:rPr>
                <w:rFonts w:ascii="Arial" w:eastAsia="Times New Roman" w:hAnsi="Arial"/>
                <w:b/>
                <w:color w:val="000000"/>
                <w:sz w:val="14"/>
                <w:szCs w:val="16"/>
              </w:rPr>
            </w:pPr>
          </w:p>
        </w:tc>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6AEFF5AE"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HES year</w:t>
            </w:r>
          </w:p>
        </w:tc>
        <w:tc>
          <w:tcPr>
            <w:tcW w:w="7409" w:type="dxa"/>
            <w:gridSpan w:val="10"/>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2B113BE"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Negatives set to zero</w:t>
            </w:r>
          </w:p>
        </w:tc>
      </w:tr>
      <w:tr w:rsidR="00711FE4" w:rsidRPr="00711FE4" w14:paraId="0F3EED12" w14:textId="77777777" w:rsidTr="00366F04">
        <w:tc>
          <w:tcPr>
            <w:tcW w:w="686" w:type="dxa"/>
            <w:vMerge/>
            <w:tcBorders>
              <w:left w:val="single" w:sz="4" w:space="0" w:color="auto"/>
              <w:bottom w:val="single" w:sz="4" w:space="0" w:color="auto"/>
              <w:right w:val="single" w:sz="4" w:space="0" w:color="auto"/>
            </w:tcBorders>
          </w:tcPr>
          <w:p w14:paraId="2B91DCD4" w14:textId="77777777" w:rsidR="00711FE4" w:rsidRPr="00711FE4" w:rsidRDefault="00711FE4" w:rsidP="00711FE4">
            <w:pPr>
              <w:spacing w:after="0" w:line="240" w:lineRule="auto"/>
              <w:rPr>
                <w:rFonts w:ascii="Arial" w:eastAsia="Times New Roman" w:hAnsi="Arial"/>
                <w:b/>
                <w:color w:val="000000"/>
                <w:sz w:val="14"/>
                <w:szCs w:val="16"/>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15D173A1" w14:textId="77777777" w:rsidR="00711FE4" w:rsidRPr="00711FE4" w:rsidRDefault="00711FE4" w:rsidP="00711FE4">
            <w:pPr>
              <w:spacing w:after="0" w:line="240" w:lineRule="auto"/>
              <w:rPr>
                <w:rFonts w:ascii="Arial" w:eastAsia="Times New Roman" w:hAnsi="Arial"/>
                <w:b/>
                <w:color w:val="000000"/>
                <w:sz w:val="14"/>
                <w:szCs w:val="16"/>
              </w:rPr>
            </w:pPr>
          </w:p>
        </w:tc>
        <w:tc>
          <w:tcPr>
            <w:tcW w:w="743"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F4DAD53"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1</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1FF07B9"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2</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FD7EB05"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3</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95FFC1C"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4</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25767C2"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5</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E34500D"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6</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7EFBCA5"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7</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324C914"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8</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542D484"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9</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FDF940A" w14:textId="77777777" w:rsidR="00711FE4" w:rsidRPr="00711FE4" w:rsidRDefault="00711FE4" w:rsidP="00711FE4">
            <w:pPr>
              <w:spacing w:before="40" w:after="40" w:line="240" w:lineRule="auto"/>
              <w:jc w:val="center"/>
              <w:rPr>
                <w:rFonts w:ascii="Arial" w:eastAsia="Times New Roman" w:hAnsi="Arial"/>
                <w:b/>
                <w:color w:val="000000"/>
                <w:sz w:val="14"/>
                <w:szCs w:val="16"/>
              </w:rPr>
            </w:pPr>
            <w:r w:rsidRPr="00711FE4">
              <w:rPr>
                <w:rFonts w:ascii="Arial" w:eastAsia="Times New Roman" w:hAnsi="Arial"/>
                <w:b/>
                <w:color w:val="000000"/>
                <w:sz w:val="14"/>
                <w:szCs w:val="16"/>
              </w:rPr>
              <w:t>10</w:t>
            </w:r>
          </w:p>
        </w:tc>
      </w:tr>
      <w:tr w:rsidR="00711FE4" w:rsidRPr="00711FE4" w14:paraId="21488B95" w14:textId="77777777" w:rsidTr="00366F04">
        <w:trPr>
          <w:trHeight w:val="255"/>
        </w:trPr>
        <w:tc>
          <w:tcPr>
            <w:tcW w:w="686" w:type="dxa"/>
            <w:vMerge w:val="restart"/>
            <w:tcBorders>
              <w:top w:val="single" w:sz="4" w:space="0" w:color="auto"/>
              <w:left w:val="single" w:sz="4" w:space="0" w:color="auto"/>
              <w:right w:val="single" w:sz="4" w:space="0" w:color="auto"/>
            </w:tcBorders>
          </w:tcPr>
          <w:p w14:paraId="7C19902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xml:space="preserve">HES-TAWA </w:t>
            </w:r>
          </w:p>
        </w:tc>
        <w:tc>
          <w:tcPr>
            <w:tcW w:w="573" w:type="dxa"/>
            <w:tcBorders>
              <w:top w:val="single" w:sz="4" w:space="0" w:color="auto"/>
              <w:left w:val="single" w:sz="4" w:space="0" w:color="auto"/>
              <w:bottom w:val="single" w:sz="4" w:space="0" w:color="auto"/>
              <w:right w:val="single" w:sz="4" w:space="0" w:color="auto"/>
            </w:tcBorders>
            <w:vAlign w:val="center"/>
            <w:hideMark/>
          </w:tcPr>
          <w:p w14:paraId="7BBCD082"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val="en-GB"/>
              </w:rPr>
              <w:t>1982</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1597F40E"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13,600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17A751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1E98E3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8020F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214C60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1FE6A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84CE1F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885FE9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7852F1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60,100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B6B5F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80,500</w:t>
            </w:r>
          </w:p>
        </w:tc>
      </w:tr>
      <w:tr w:rsidR="00711FE4" w:rsidRPr="00711FE4" w14:paraId="0DC5830E" w14:textId="77777777" w:rsidTr="00366F04">
        <w:trPr>
          <w:trHeight w:val="255"/>
        </w:trPr>
        <w:tc>
          <w:tcPr>
            <w:tcW w:w="686" w:type="dxa"/>
            <w:vMerge/>
            <w:tcBorders>
              <w:top w:val="single" w:sz="4" w:space="0" w:color="auto"/>
              <w:left w:val="single" w:sz="4" w:space="0" w:color="auto"/>
              <w:right w:val="single" w:sz="4" w:space="0" w:color="auto"/>
            </w:tcBorders>
          </w:tcPr>
          <w:p w14:paraId="771F89C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tcPr>
          <w:p w14:paraId="0FF4748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1984</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30280AFB"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13,600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B3A1D2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F7CE5B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586609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F33A3D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B226BE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291E76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267A25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CCB3BA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2BBD071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80,400</w:t>
            </w:r>
          </w:p>
        </w:tc>
      </w:tr>
      <w:tr w:rsidR="00711FE4" w:rsidRPr="00711FE4" w14:paraId="1CBE83DE" w14:textId="77777777" w:rsidTr="00366F04">
        <w:trPr>
          <w:trHeight w:val="255"/>
        </w:trPr>
        <w:tc>
          <w:tcPr>
            <w:tcW w:w="686" w:type="dxa"/>
            <w:vMerge/>
            <w:tcBorders>
              <w:left w:val="single" w:sz="4" w:space="0" w:color="auto"/>
              <w:right w:val="single" w:sz="4" w:space="0" w:color="auto"/>
            </w:tcBorders>
          </w:tcPr>
          <w:p w14:paraId="6D415C1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7F75E9E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1986</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699BAC05"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13,600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42318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1811A0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0CFC8F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28,500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E5DB0C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B54991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781E17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CB48C5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577EEB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50CF27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77,300</w:t>
            </w:r>
          </w:p>
        </w:tc>
      </w:tr>
      <w:tr w:rsidR="00711FE4" w:rsidRPr="00711FE4" w14:paraId="3A4650CE" w14:textId="77777777" w:rsidTr="00366F04">
        <w:trPr>
          <w:trHeight w:val="255"/>
        </w:trPr>
        <w:tc>
          <w:tcPr>
            <w:tcW w:w="686" w:type="dxa"/>
            <w:vMerge/>
            <w:tcBorders>
              <w:left w:val="single" w:sz="4" w:space="0" w:color="auto"/>
              <w:right w:val="single" w:sz="4" w:space="0" w:color="auto"/>
            </w:tcBorders>
          </w:tcPr>
          <w:p w14:paraId="53D59DC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4513F6F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1988</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29F59F92"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13,600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EF76EF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568EC2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5382F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77B20A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9A02F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15CB7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43,400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D08C47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466842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BE9253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79,700</w:t>
            </w:r>
          </w:p>
        </w:tc>
      </w:tr>
      <w:tr w:rsidR="00711FE4" w:rsidRPr="00711FE4" w14:paraId="601E033C" w14:textId="77777777" w:rsidTr="00366F04">
        <w:trPr>
          <w:trHeight w:val="255"/>
        </w:trPr>
        <w:tc>
          <w:tcPr>
            <w:tcW w:w="686" w:type="dxa"/>
            <w:vMerge/>
            <w:tcBorders>
              <w:left w:val="single" w:sz="4" w:space="0" w:color="auto"/>
              <w:right w:val="single" w:sz="4" w:space="0" w:color="auto"/>
            </w:tcBorders>
          </w:tcPr>
          <w:p w14:paraId="3696B8C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4F3C01F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1990</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4C2324E3"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15,700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B4AE3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31964B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039611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28,400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44DF04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D0753C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D2635F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DF106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291025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01426B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95,500</w:t>
            </w:r>
          </w:p>
        </w:tc>
      </w:tr>
      <w:tr w:rsidR="00711FE4" w:rsidRPr="00711FE4" w14:paraId="39B19C4D" w14:textId="77777777" w:rsidTr="00366F04">
        <w:trPr>
          <w:trHeight w:val="255"/>
        </w:trPr>
        <w:tc>
          <w:tcPr>
            <w:tcW w:w="686" w:type="dxa"/>
            <w:vMerge/>
            <w:tcBorders>
              <w:left w:val="single" w:sz="4" w:space="0" w:color="auto"/>
              <w:right w:val="single" w:sz="4" w:space="0" w:color="auto"/>
            </w:tcBorders>
          </w:tcPr>
          <w:p w14:paraId="7A6EFCF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0EEABC3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1992</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5E42430B"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11,100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F12F3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50FD02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AB0D13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C57FB0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64654F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337947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647DDF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E1C32A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57,900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AD071F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87,200</w:t>
            </w:r>
          </w:p>
        </w:tc>
      </w:tr>
      <w:tr w:rsidR="00711FE4" w:rsidRPr="00711FE4" w14:paraId="6DBBE7EF" w14:textId="77777777" w:rsidTr="00366F04">
        <w:trPr>
          <w:trHeight w:val="255"/>
        </w:trPr>
        <w:tc>
          <w:tcPr>
            <w:tcW w:w="686" w:type="dxa"/>
            <w:vMerge/>
            <w:tcBorders>
              <w:left w:val="single" w:sz="4" w:space="0" w:color="auto"/>
              <w:right w:val="single" w:sz="4" w:space="0" w:color="auto"/>
            </w:tcBorders>
          </w:tcPr>
          <w:p w14:paraId="6DC601F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6045A82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1994</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6B51017C"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11,200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DB2F50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18,100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56EAE2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21B4F1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CB58E8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C28B55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0C1B99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2F916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8E5798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674E68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87,000</w:t>
            </w:r>
          </w:p>
        </w:tc>
      </w:tr>
      <w:tr w:rsidR="00711FE4" w:rsidRPr="00711FE4" w14:paraId="72E01B42" w14:textId="77777777" w:rsidTr="00366F04">
        <w:trPr>
          <w:trHeight w:val="255"/>
        </w:trPr>
        <w:tc>
          <w:tcPr>
            <w:tcW w:w="686" w:type="dxa"/>
            <w:vMerge/>
            <w:tcBorders>
              <w:left w:val="single" w:sz="4" w:space="0" w:color="auto"/>
              <w:right w:val="single" w:sz="4" w:space="0" w:color="auto"/>
            </w:tcBorders>
          </w:tcPr>
          <w:p w14:paraId="5CBDAC7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738D453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1996</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0DA42FFC"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11,900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ED19F9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19,800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AE4B49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22,400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2F17A3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25,400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4EB97E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D30658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4B3741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3784DF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49,000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95514B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0088B9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99,100</w:t>
            </w:r>
          </w:p>
        </w:tc>
      </w:tr>
      <w:tr w:rsidR="00711FE4" w:rsidRPr="00711FE4" w14:paraId="2C7682AC" w14:textId="77777777" w:rsidTr="00366F04">
        <w:trPr>
          <w:trHeight w:val="255"/>
        </w:trPr>
        <w:tc>
          <w:tcPr>
            <w:tcW w:w="686" w:type="dxa"/>
            <w:vMerge/>
            <w:tcBorders>
              <w:left w:val="single" w:sz="4" w:space="0" w:color="auto"/>
              <w:right w:val="single" w:sz="4" w:space="0" w:color="auto"/>
            </w:tcBorders>
          </w:tcPr>
          <w:p w14:paraId="1A82B96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240F52C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1998</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7AE846A7"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12,800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BEB801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49E8D5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23,600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1A1DE6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9DF244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07EF35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148F6C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7307C1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A15A7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BC0BF4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106,500</w:t>
            </w:r>
          </w:p>
        </w:tc>
      </w:tr>
      <w:tr w:rsidR="00711FE4" w:rsidRPr="00711FE4" w14:paraId="7007EED5" w14:textId="77777777" w:rsidTr="00366F04">
        <w:trPr>
          <w:trHeight w:val="255"/>
        </w:trPr>
        <w:tc>
          <w:tcPr>
            <w:tcW w:w="686" w:type="dxa"/>
            <w:vMerge/>
            <w:tcBorders>
              <w:left w:val="single" w:sz="4" w:space="0" w:color="auto"/>
              <w:right w:val="single" w:sz="4" w:space="0" w:color="auto"/>
            </w:tcBorders>
          </w:tcPr>
          <w:p w14:paraId="597FDAC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18F8B30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2001</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17F9BA63"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13,700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270387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631FDA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6DD994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E4E4B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CAAC0C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DB17D6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D25020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FCCB5E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B6BC23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111,700</w:t>
            </w:r>
          </w:p>
        </w:tc>
      </w:tr>
      <w:tr w:rsidR="00711FE4" w:rsidRPr="00711FE4" w14:paraId="478A24F3" w14:textId="77777777" w:rsidTr="00366F04">
        <w:trPr>
          <w:trHeight w:val="255"/>
        </w:trPr>
        <w:tc>
          <w:tcPr>
            <w:tcW w:w="686" w:type="dxa"/>
            <w:vMerge/>
            <w:tcBorders>
              <w:left w:val="single" w:sz="4" w:space="0" w:color="auto"/>
              <w:bottom w:val="single" w:sz="4" w:space="0" w:color="auto"/>
              <w:right w:val="single" w:sz="4" w:space="0" w:color="auto"/>
            </w:tcBorders>
          </w:tcPr>
          <w:p w14:paraId="7B625CA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0788AB6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2004</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2124BF07"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12,600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9C127E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21,400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224201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EEF9FB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29,500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9CE2F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60F97C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42,300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F3E098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A014DC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F117FF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70,300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D671B2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112,200</w:t>
            </w:r>
          </w:p>
        </w:tc>
      </w:tr>
      <w:tr w:rsidR="00711FE4" w:rsidRPr="00711FE4" w14:paraId="25A28060" w14:textId="77777777" w:rsidTr="00366F04">
        <w:trPr>
          <w:trHeight w:val="255"/>
        </w:trPr>
        <w:tc>
          <w:tcPr>
            <w:tcW w:w="686" w:type="dxa"/>
            <w:vMerge w:val="restart"/>
            <w:tcBorders>
              <w:top w:val="single" w:sz="4" w:space="0" w:color="auto"/>
              <w:left w:val="single" w:sz="4" w:space="0" w:color="auto"/>
              <w:right w:val="single" w:sz="4" w:space="0" w:color="auto"/>
            </w:tcBorders>
          </w:tcPr>
          <w:p w14:paraId="19B8607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p w14:paraId="51585A3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 xml:space="preserve">HES-TAWA </w:t>
            </w:r>
          </w:p>
        </w:tc>
        <w:tc>
          <w:tcPr>
            <w:tcW w:w="573" w:type="dxa"/>
            <w:tcBorders>
              <w:top w:val="single" w:sz="4" w:space="0" w:color="auto"/>
              <w:left w:val="single" w:sz="4" w:space="0" w:color="auto"/>
              <w:bottom w:val="single" w:sz="4" w:space="0" w:color="auto"/>
              <w:right w:val="single" w:sz="4" w:space="0" w:color="auto"/>
            </w:tcBorders>
            <w:vAlign w:val="center"/>
            <w:hideMark/>
          </w:tcPr>
          <w:p w14:paraId="4589CC4B"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2007</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526F2AB1"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16,900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DC5B32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476936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40154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20CA45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39,100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A0922D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45,100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B8AD41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52,400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7F780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61,700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D18CBC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75,500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B4E4B1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119,100</w:t>
            </w:r>
          </w:p>
        </w:tc>
      </w:tr>
      <w:tr w:rsidR="00711FE4" w:rsidRPr="00711FE4" w14:paraId="556DCF8D" w14:textId="77777777" w:rsidTr="00366F04">
        <w:trPr>
          <w:trHeight w:val="255"/>
        </w:trPr>
        <w:tc>
          <w:tcPr>
            <w:tcW w:w="686" w:type="dxa"/>
            <w:vMerge/>
            <w:tcBorders>
              <w:left w:val="single" w:sz="4" w:space="0" w:color="auto"/>
              <w:right w:val="single" w:sz="4" w:space="0" w:color="auto"/>
            </w:tcBorders>
          </w:tcPr>
          <w:p w14:paraId="6623BB5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03D7CC7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2008</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08CC6187"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18,300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3C63F8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77FDC7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F395A1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642A35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580F8C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FD5B32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446C17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97924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76,900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785071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135,300</w:t>
            </w:r>
          </w:p>
        </w:tc>
      </w:tr>
      <w:tr w:rsidR="00711FE4" w:rsidRPr="00711FE4" w14:paraId="32D62060" w14:textId="77777777" w:rsidTr="00366F04">
        <w:trPr>
          <w:trHeight w:val="255"/>
        </w:trPr>
        <w:tc>
          <w:tcPr>
            <w:tcW w:w="686" w:type="dxa"/>
            <w:vMerge/>
            <w:tcBorders>
              <w:left w:val="single" w:sz="4" w:space="0" w:color="auto"/>
              <w:right w:val="single" w:sz="4" w:space="0" w:color="auto"/>
            </w:tcBorders>
          </w:tcPr>
          <w:p w14:paraId="70C0380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19323C4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2009</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373F8AF8"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19,200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BC32CC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998A7B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0676C9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ABD33B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775FE6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4AD5FE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A44FA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34656C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78,700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C7C97B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135,900</w:t>
            </w:r>
          </w:p>
        </w:tc>
      </w:tr>
      <w:tr w:rsidR="00711FE4" w:rsidRPr="00711FE4" w14:paraId="6612C751" w14:textId="77777777" w:rsidTr="00366F04">
        <w:trPr>
          <w:trHeight w:val="255"/>
        </w:trPr>
        <w:tc>
          <w:tcPr>
            <w:tcW w:w="686" w:type="dxa"/>
            <w:vMerge/>
            <w:tcBorders>
              <w:left w:val="single" w:sz="4" w:space="0" w:color="auto"/>
              <w:right w:val="single" w:sz="4" w:space="0" w:color="auto"/>
            </w:tcBorders>
          </w:tcPr>
          <w:p w14:paraId="5BA4E03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5F3B441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2010</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7FAF646A"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18,700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6AC3C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8A1AB8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D3DD6E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869F74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43FD10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F4203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2888F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BED9E5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78,000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5E039B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130,500</w:t>
            </w:r>
          </w:p>
        </w:tc>
      </w:tr>
      <w:tr w:rsidR="00711FE4" w:rsidRPr="00711FE4" w14:paraId="1DDD40D6" w14:textId="77777777" w:rsidTr="00366F04">
        <w:trPr>
          <w:trHeight w:val="255"/>
        </w:trPr>
        <w:tc>
          <w:tcPr>
            <w:tcW w:w="686" w:type="dxa"/>
            <w:vMerge/>
            <w:tcBorders>
              <w:left w:val="single" w:sz="4" w:space="0" w:color="auto"/>
              <w:right w:val="single" w:sz="4" w:space="0" w:color="auto"/>
            </w:tcBorders>
          </w:tcPr>
          <w:p w14:paraId="7975643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27925A23"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2011</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3498C78F"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17,900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42C806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24,700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A47E0B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285984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A2F27D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E194E3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BDA29F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54,600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B87982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BE40FD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79,700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73F98F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144,200</w:t>
            </w:r>
          </w:p>
        </w:tc>
      </w:tr>
      <w:tr w:rsidR="00711FE4" w:rsidRPr="00711FE4" w14:paraId="4F204716" w14:textId="77777777" w:rsidTr="00366F04">
        <w:trPr>
          <w:trHeight w:val="255"/>
        </w:trPr>
        <w:tc>
          <w:tcPr>
            <w:tcW w:w="686" w:type="dxa"/>
            <w:vMerge/>
            <w:tcBorders>
              <w:left w:val="single" w:sz="4" w:space="0" w:color="auto"/>
              <w:right w:val="single" w:sz="4" w:space="0" w:color="auto"/>
            </w:tcBorders>
          </w:tcPr>
          <w:p w14:paraId="4C0D0F2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2C0C55D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2012</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7045014C"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19,100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24FC0A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89EFD9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6728C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37C492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20F09F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5FE872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0929F2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67,000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3F094C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81,200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F88689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130,900</w:t>
            </w:r>
          </w:p>
        </w:tc>
      </w:tr>
      <w:tr w:rsidR="00711FE4" w:rsidRPr="00711FE4" w14:paraId="630183F4" w14:textId="77777777" w:rsidTr="00366F04">
        <w:trPr>
          <w:trHeight w:val="255"/>
        </w:trPr>
        <w:tc>
          <w:tcPr>
            <w:tcW w:w="686" w:type="dxa"/>
            <w:vMerge/>
            <w:tcBorders>
              <w:left w:val="single" w:sz="4" w:space="0" w:color="auto"/>
              <w:right w:val="single" w:sz="4" w:space="0" w:color="auto"/>
            </w:tcBorders>
          </w:tcPr>
          <w:p w14:paraId="2453EA9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425C57C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2013</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6BA0902F"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18,900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9C856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25,800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5BBCC0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08F84D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CE7BA1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0DBE98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F9B286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E69C62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68,000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AE435C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82,500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FF05BE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144,100</w:t>
            </w:r>
          </w:p>
        </w:tc>
      </w:tr>
      <w:tr w:rsidR="00711FE4" w:rsidRPr="00711FE4" w14:paraId="44A9EB73" w14:textId="77777777" w:rsidTr="00366F04">
        <w:trPr>
          <w:trHeight w:val="255"/>
        </w:trPr>
        <w:tc>
          <w:tcPr>
            <w:tcW w:w="686" w:type="dxa"/>
            <w:vMerge/>
            <w:tcBorders>
              <w:left w:val="single" w:sz="4" w:space="0" w:color="auto"/>
              <w:right w:val="single" w:sz="4" w:space="0" w:color="auto"/>
            </w:tcBorders>
          </w:tcPr>
          <w:p w14:paraId="4C3010D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6B02E2D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2014</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68C55108"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18,600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4C294B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26,200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7D0378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9EE0FA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CDA5D1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0313D4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C07A5A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59,400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C69E21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71,000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514371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87,100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392754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148,200</w:t>
            </w:r>
          </w:p>
        </w:tc>
      </w:tr>
      <w:tr w:rsidR="00711FE4" w:rsidRPr="00711FE4" w14:paraId="3B39F5CF" w14:textId="77777777" w:rsidTr="00366F04">
        <w:trPr>
          <w:trHeight w:val="255"/>
        </w:trPr>
        <w:tc>
          <w:tcPr>
            <w:tcW w:w="686" w:type="dxa"/>
            <w:vMerge/>
            <w:tcBorders>
              <w:left w:val="single" w:sz="4" w:space="0" w:color="auto"/>
              <w:right w:val="single" w:sz="4" w:space="0" w:color="auto"/>
            </w:tcBorders>
          </w:tcPr>
          <w:p w14:paraId="45BA7FA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1EBF301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2015</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27A390DC"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20,200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8F9007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394C0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32,600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CBA5E8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4C9226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338CC1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4F9601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DE77FB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70,300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51B358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86,700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FE1F9D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164,900</w:t>
            </w:r>
          </w:p>
        </w:tc>
      </w:tr>
      <w:tr w:rsidR="00711FE4" w:rsidRPr="00711FE4" w14:paraId="6D25E023" w14:textId="77777777" w:rsidTr="00366F04">
        <w:trPr>
          <w:trHeight w:val="255"/>
        </w:trPr>
        <w:tc>
          <w:tcPr>
            <w:tcW w:w="686" w:type="dxa"/>
            <w:vMerge/>
            <w:tcBorders>
              <w:left w:val="single" w:sz="4" w:space="0" w:color="auto"/>
              <w:right w:val="single" w:sz="4" w:space="0" w:color="auto"/>
            </w:tcBorders>
          </w:tcPr>
          <w:p w14:paraId="3997DE1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122FF4A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2016</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54CA1591"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19,700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7AA468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27,700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A605D4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33,200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DE6EAB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38,700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EC6853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0F1143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BA1C3F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7E7E54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70,900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65382B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88,700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5CCADA4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154,400</w:t>
            </w:r>
          </w:p>
        </w:tc>
      </w:tr>
      <w:tr w:rsidR="00711FE4" w:rsidRPr="00711FE4" w14:paraId="39E3D51E" w14:textId="77777777" w:rsidTr="00366F04">
        <w:trPr>
          <w:trHeight w:val="255"/>
        </w:trPr>
        <w:tc>
          <w:tcPr>
            <w:tcW w:w="686" w:type="dxa"/>
            <w:vMerge/>
            <w:tcBorders>
              <w:left w:val="single" w:sz="4" w:space="0" w:color="auto"/>
              <w:right w:val="single" w:sz="4" w:space="0" w:color="auto"/>
            </w:tcBorders>
          </w:tcPr>
          <w:p w14:paraId="61149DF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6EFC10DF"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2017</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5720318C"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20,500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919AF7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96E09E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D7EC54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363E16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46,900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9CB22B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53,700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100328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62,300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F9E5F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72,800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79BAB7A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B25881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165,600</w:t>
            </w:r>
          </w:p>
        </w:tc>
      </w:tr>
      <w:tr w:rsidR="00711FE4" w:rsidRPr="00711FE4" w14:paraId="1017C4A7" w14:textId="77777777" w:rsidTr="00366F04">
        <w:trPr>
          <w:trHeight w:val="255"/>
        </w:trPr>
        <w:tc>
          <w:tcPr>
            <w:tcW w:w="686" w:type="dxa"/>
            <w:vMerge/>
            <w:tcBorders>
              <w:left w:val="single" w:sz="4" w:space="0" w:color="auto"/>
              <w:bottom w:val="single" w:sz="4" w:space="0" w:color="auto"/>
              <w:right w:val="single" w:sz="4" w:space="0" w:color="auto"/>
            </w:tcBorders>
          </w:tcPr>
          <w:p w14:paraId="7473C127"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hideMark/>
          </w:tcPr>
          <w:p w14:paraId="17C5EC8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2018</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hideMark/>
          </w:tcPr>
          <w:p w14:paraId="1F0FDE85"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20,300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ED8683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0F23B06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34,500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6733E4E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40,800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CE1E25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47,900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0B5DF3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2C40AA6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63,800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47D6FDF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74,500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1DD931C4"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hideMark/>
          </w:tcPr>
          <w:p w14:paraId="3056E18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164,600</w:t>
            </w:r>
          </w:p>
        </w:tc>
      </w:tr>
      <w:tr w:rsidR="00711FE4" w:rsidRPr="00711FE4" w14:paraId="626E5EE9" w14:textId="77777777" w:rsidTr="00366F04">
        <w:trPr>
          <w:trHeight w:val="255"/>
        </w:trPr>
        <w:tc>
          <w:tcPr>
            <w:tcW w:w="686" w:type="dxa"/>
            <w:vMerge w:val="restart"/>
            <w:tcBorders>
              <w:top w:val="single" w:sz="4" w:space="0" w:color="auto"/>
              <w:left w:val="single" w:sz="4" w:space="0" w:color="auto"/>
              <w:right w:val="single" w:sz="4" w:space="0" w:color="auto"/>
            </w:tcBorders>
          </w:tcPr>
          <w:p w14:paraId="7ADFF9C1"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HES-Admin</w:t>
            </w:r>
          </w:p>
        </w:tc>
        <w:tc>
          <w:tcPr>
            <w:tcW w:w="573" w:type="dxa"/>
            <w:tcBorders>
              <w:top w:val="single" w:sz="4" w:space="0" w:color="auto"/>
              <w:left w:val="single" w:sz="4" w:space="0" w:color="auto"/>
              <w:bottom w:val="single" w:sz="4" w:space="0" w:color="auto"/>
              <w:right w:val="single" w:sz="4" w:space="0" w:color="auto"/>
            </w:tcBorders>
            <w:vAlign w:val="center"/>
          </w:tcPr>
          <w:p w14:paraId="7D7D5F1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2019</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4DB4F60D"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20,500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25039B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28,900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AC24DD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B31D5D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41,600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1E5D95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9D0EEC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55,700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F65E76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36BCF8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74,400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A048DC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89,300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2BBF3C0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149,100</w:t>
            </w:r>
          </w:p>
        </w:tc>
      </w:tr>
      <w:tr w:rsidR="00711FE4" w:rsidRPr="00711FE4" w14:paraId="2BC986C6" w14:textId="77777777" w:rsidTr="00366F04">
        <w:trPr>
          <w:trHeight w:val="255"/>
        </w:trPr>
        <w:tc>
          <w:tcPr>
            <w:tcW w:w="686" w:type="dxa"/>
            <w:vMerge/>
            <w:tcBorders>
              <w:left w:val="single" w:sz="4" w:space="0" w:color="auto"/>
              <w:right w:val="single" w:sz="4" w:space="0" w:color="auto"/>
            </w:tcBorders>
          </w:tcPr>
          <w:p w14:paraId="3F3BFB58"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tcPr>
          <w:p w14:paraId="7B262B9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2020</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026445A3"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20,700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BD02DC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C79ABB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35,200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2BCD28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41,800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0E5A9C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48,800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5B054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56,000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8A488F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64,200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B27F0C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75,100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64CFC3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90,000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2741EA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147,300</w:t>
            </w:r>
          </w:p>
        </w:tc>
      </w:tr>
      <w:tr w:rsidR="00711FE4" w:rsidRPr="00711FE4" w14:paraId="383B3E0B" w14:textId="77777777" w:rsidTr="00366F04">
        <w:trPr>
          <w:trHeight w:val="255"/>
        </w:trPr>
        <w:tc>
          <w:tcPr>
            <w:tcW w:w="686" w:type="dxa"/>
            <w:vMerge/>
            <w:tcBorders>
              <w:left w:val="single" w:sz="4" w:space="0" w:color="auto"/>
              <w:right w:val="single" w:sz="4" w:space="0" w:color="auto"/>
            </w:tcBorders>
          </w:tcPr>
          <w:p w14:paraId="6D442F0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tcPr>
          <w:p w14:paraId="6BCDC662"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2021</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50409483"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22,000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88E499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5AB1F0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70D2D15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2B7045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222DC3B0"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0B9011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46CAEF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88230F9"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759D8D1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150,500</w:t>
            </w:r>
          </w:p>
        </w:tc>
      </w:tr>
      <w:tr w:rsidR="00711FE4" w:rsidRPr="00711FE4" w14:paraId="4A3AE5E2" w14:textId="77777777" w:rsidTr="00366F04">
        <w:trPr>
          <w:trHeight w:val="255"/>
        </w:trPr>
        <w:tc>
          <w:tcPr>
            <w:tcW w:w="686" w:type="dxa"/>
            <w:vMerge/>
            <w:tcBorders>
              <w:left w:val="single" w:sz="4" w:space="0" w:color="auto"/>
              <w:right w:val="single" w:sz="4" w:space="0" w:color="auto"/>
            </w:tcBorders>
          </w:tcPr>
          <w:p w14:paraId="53C801F0"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tcPr>
          <w:p w14:paraId="3AFF3B24"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2022</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6C8C9D95"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22,200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9863E3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E0E6D3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A80ECF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44,200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F10721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4F691F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58,600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24A5285"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84CB57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77,200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1D9BD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92,300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93FA8C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139,900</w:t>
            </w:r>
          </w:p>
        </w:tc>
      </w:tr>
      <w:tr w:rsidR="00711FE4" w:rsidRPr="00711FE4" w14:paraId="736E466F" w14:textId="77777777" w:rsidTr="00366F04">
        <w:trPr>
          <w:trHeight w:val="255"/>
        </w:trPr>
        <w:tc>
          <w:tcPr>
            <w:tcW w:w="686" w:type="dxa"/>
            <w:vMerge/>
            <w:tcBorders>
              <w:left w:val="single" w:sz="4" w:space="0" w:color="auto"/>
              <w:right w:val="single" w:sz="4" w:space="0" w:color="auto"/>
            </w:tcBorders>
          </w:tcPr>
          <w:p w14:paraId="5091F826"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tcPr>
          <w:p w14:paraId="0AE9BCF9"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2023</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440356E7"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22,100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F29A97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29,800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C573A5C"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36,400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966A62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43,300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1FFF72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50,400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3B8C79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58,000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2CCD4F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66,300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77124ED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76,500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4682CE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91,700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7B908C9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153,500</w:t>
            </w:r>
          </w:p>
        </w:tc>
      </w:tr>
      <w:tr w:rsidR="00711FE4" w:rsidRPr="00711FE4" w14:paraId="32852218" w14:textId="77777777" w:rsidTr="00366F04">
        <w:trPr>
          <w:trHeight w:val="255"/>
        </w:trPr>
        <w:tc>
          <w:tcPr>
            <w:tcW w:w="686" w:type="dxa"/>
            <w:vMerge/>
            <w:tcBorders>
              <w:left w:val="single" w:sz="4" w:space="0" w:color="auto"/>
              <w:right w:val="single" w:sz="4" w:space="0" w:color="auto"/>
            </w:tcBorders>
          </w:tcPr>
          <w:p w14:paraId="6890F88C"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p>
        </w:tc>
        <w:tc>
          <w:tcPr>
            <w:tcW w:w="573" w:type="dxa"/>
            <w:tcBorders>
              <w:top w:val="single" w:sz="4" w:space="0" w:color="auto"/>
              <w:left w:val="single" w:sz="4" w:space="0" w:color="auto"/>
              <w:bottom w:val="single" w:sz="4" w:space="0" w:color="auto"/>
              <w:right w:val="single" w:sz="4" w:space="0" w:color="auto"/>
            </w:tcBorders>
            <w:vAlign w:val="center"/>
          </w:tcPr>
          <w:p w14:paraId="1C9C062D"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2024</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28A5B4BB"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21,900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78132F3D"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30,400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308380A"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D5A9B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44,000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580466E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51,200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BECCA3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58,800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6177EF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66,800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E6DDC42"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76,900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7A7C1B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91,800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29BF7F58"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152,600</w:t>
            </w:r>
          </w:p>
        </w:tc>
      </w:tr>
      <w:tr w:rsidR="00711FE4" w:rsidRPr="00711FE4" w14:paraId="13EFA48C" w14:textId="77777777" w:rsidTr="00366F04">
        <w:trPr>
          <w:trHeight w:val="255"/>
        </w:trPr>
        <w:tc>
          <w:tcPr>
            <w:tcW w:w="686" w:type="dxa"/>
            <w:tcBorders>
              <w:left w:val="single" w:sz="4" w:space="0" w:color="auto"/>
              <w:bottom w:val="single" w:sz="4" w:space="0" w:color="auto"/>
              <w:right w:val="single" w:sz="4" w:space="0" w:color="auto"/>
            </w:tcBorders>
          </w:tcPr>
          <w:p w14:paraId="3879C55E"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HILS-Admin</w:t>
            </w:r>
          </w:p>
        </w:tc>
        <w:tc>
          <w:tcPr>
            <w:tcW w:w="573" w:type="dxa"/>
            <w:tcBorders>
              <w:top w:val="single" w:sz="4" w:space="0" w:color="auto"/>
              <w:left w:val="single" w:sz="4" w:space="0" w:color="auto"/>
              <w:bottom w:val="single" w:sz="4" w:space="0" w:color="auto"/>
              <w:right w:val="single" w:sz="4" w:space="0" w:color="auto"/>
            </w:tcBorders>
            <w:vAlign w:val="center"/>
          </w:tcPr>
          <w:p w14:paraId="3295680A" w14:textId="77777777" w:rsidR="00711FE4" w:rsidRPr="00711FE4" w:rsidRDefault="00711FE4" w:rsidP="00711FE4">
            <w:pPr>
              <w:spacing w:after="0" w:line="240" w:lineRule="auto"/>
              <w:jc w:val="center"/>
              <w:rPr>
                <w:rFonts w:ascii="Arial" w:eastAsia="Times New Roman" w:hAnsi="Arial"/>
                <w:b/>
                <w:bCs/>
                <w:color w:val="000000"/>
                <w:sz w:val="14"/>
                <w:szCs w:val="14"/>
                <w:lang w:val="en-GB"/>
              </w:rPr>
            </w:pPr>
            <w:r w:rsidRPr="00711FE4">
              <w:rPr>
                <w:rFonts w:ascii="Arial" w:eastAsia="Times New Roman" w:hAnsi="Arial"/>
                <w:b/>
                <w:bCs/>
                <w:color w:val="000000"/>
                <w:sz w:val="14"/>
                <w:szCs w:val="14"/>
                <w:lang w:val="en-GB"/>
              </w:rPr>
              <w:t>2025</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101" w:type="dxa"/>
              <w:bottom w:w="0" w:type="dxa"/>
              <w:right w:w="158" w:type="dxa"/>
            </w:tcMar>
            <w:vAlign w:val="center"/>
          </w:tcPr>
          <w:p w14:paraId="28C506A6" w14:textId="77777777" w:rsidR="00711FE4" w:rsidRPr="00711FE4" w:rsidRDefault="00711FE4" w:rsidP="00711FE4">
            <w:pPr>
              <w:spacing w:after="0" w:line="240" w:lineRule="auto"/>
              <w:jc w:val="center"/>
              <w:rPr>
                <w:rFonts w:ascii="Arial" w:eastAsia="Times New Roman" w:hAnsi="Arial"/>
                <w:i/>
                <w:iCs/>
                <w:color w:val="000000"/>
                <w:sz w:val="14"/>
                <w:szCs w:val="14"/>
                <w:lang w:val="en-GB"/>
              </w:rPr>
            </w:pPr>
            <w:r w:rsidRPr="00711FE4">
              <w:rPr>
                <w:rFonts w:ascii="Arial" w:eastAsia="Times New Roman" w:hAnsi="Arial"/>
                <w:i/>
                <w:iCs/>
                <w:color w:val="000000"/>
                <w:sz w:val="14"/>
                <w:szCs w:val="14"/>
                <w:lang w:val="en-GB"/>
              </w:rPr>
              <w:t>22,800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299CDEEE"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31,200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221150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37,700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4A30425F"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44,900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386F2363"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52,100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AAD5486"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59,800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06905E11"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68,800</w:t>
            </w:r>
          </w:p>
        </w:tc>
        <w:tc>
          <w:tcPr>
            <w:tcW w:w="740"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B756D4B"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79,300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12EEBC2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94,800</w:t>
            </w:r>
          </w:p>
        </w:tc>
        <w:tc>
          <w:tcPr>
            <w:tcW w:w="741" w:type="dxa"/>
            <w:tcBorders>
              <w:top w:val="single" w:sz="4" w:space="0" w:color="auto"/>
              <w:left w:val="single" w:sz="4" w:space="0" w:color="auto"/>
              <w:bottom w:val="single" w:sz="4" w:space="0" w:color="auto"/>
              <w:right w:val="single" w:sz="4" w:space="0" w:color="auto"/>
            </w:tcBorders>
            <w:tcMar>
              <w:top w:w="0" w:type="dxa"/>
              <w:left w:w="101" w:type="dxa"/>
              <w:bottom w:w="0" w:type="dxa"/>
              <w:right w:w="101" w:type="dxa"/>
            </w:tcMar>
            <w:vAlign w:val="center"/>
          </w:tcPr>
          <w:p w14:paraId="6BB4D8D7" w14:textId="77777777" w:rsidR="00711FE4" w:rsidRPr="00711FE4" w:rsidRDefault="00711FE4" w:rsidP="00711FE4">
            <w:pPr>
              <w:spacing w:after="0" w:line="240" w:lineRule="auto"/>
              <w:jc w:val="center"/>
              <w:rPr>
                <w:rFonts w:ascii="Arial" w:eastAsia="Times New Roman" w:hAnsi="Arial"/>
                <w:color w:val="000000"/>
                <w:sz w:val="14"/>
                <w:szCs w:val="14"/>
                <w:lang w:val="en-GB"/>
              </w:rPr>
            </w:pPr>
            <w:r w:rsidRPr="00711FE4">
              <w:rPr>
                <w:rFonts w:ascii="Arial" w:eastAsia="Times New Roman" w:hAnsi="Arial"/>
                <w:color w:val="000000"/>
                <w:sz w:val="14"/>
                <w:szCs w:val="14"/>
                <w:lang w:val="en-GB"/>
              </w:rPr>
              <w:t>156,300</w:t>
            </w:r>
          </w:p>
        </w:tc>
      </w:tr>
    </w:tbl>
    <w:p w14:paraId="6B884CD3" w14:textId="77777777" w:rsidR="00711FE4" w:rsidRPr="00711FE4" w:rsidRDefault="00711FE4" w:rsidP="00711FE4">
      <w:pPr>
        <w:spacing w:after="0" w:line="240" w:lineRule="exact"/>
        <w:jc w:val="both"/>
        <w:rPr>
          <w:rFonts w:ascii="Arial" w:eastAsia="Times New Roman" w:hAnsi="Arial" w:cs="Times New Roman"/>
          <w:color w:val="000000"/>
          <w:sz w:val="18"/>
          <w:szCs w:val="18"/>
        </w:rPr>
      </w:pPr>
      <w:r w:rsidRPr="00711FE4">
        <w:rPr>
          <w:rFonts w:ascii="Arial" w:eastAsia="Times New Roman" w:hAnsi="Arial" w:cs="Times New Roman"/>
          <w:noProof/>
          <w:color w:val="000000"/>
          <w:sz w:val="22"/>
          <w:szCs w:val="20"/>
          <w:lang w:val="en-GB"/>
        </w:rPr>
        <mc:AlternateContent>
          <mc:Choice Requires="wps">
            <w:drawing>
              <wp:anchor distT="0" distB="0" distL="114300" distR="114300" simplePos="0" relativeHeight="253186048" behindDoc="0" locked="0" layoutInCell="1" allowOverlap="1" wp14:anchorId="3CD353BB" wp14:editId="123FFFBC">
                <wp:simplePos x="0" y="0"/>
                <wp:positionH relativeFrom="column">
                  <wp:posOffset>984250</wp:posOffset>
                </wp:positionH>
                <wp:positionV relativeFrom="paragraph">
                  <wp:posOffset>45720</wp:posOffset>
                </wp:positionV>
                <wp:extent cx="0" cy="215900"/>
                <wp:effectExtent l="76200" t="38100" r="57150" b="12700"/>
                <wp:wrapNone/>
                <wp:docPr id="3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176F8" id="Straight Connector 1" o:spid="_x0000_s1026" style="position:absolute;flip:x y;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pt,3.6pt" to="7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">
                <v:stroke endarrow="block"/>
              </v:line>
            </w:pict>
          </mc:Fallback>
        </mc:AlternateContent>
      </w:r>
    </w:p>
    <w:p w14:paraId="66F81CCE" w14:textId="77777777" w:rsidR="00711FE4" w:rsidRPr="00711FE4" w:rsidRDefault="00711FE4" w:rsidP="00711FE4">
      <w:pPr>
        <w:tabs>
          <w:tab w:val="left" w:pos="1710"/>
        </w:tabs>
        <w:spacing w:after="0" w:line="240" w:lineRule="auto"/>
        <w:ind w:left="624"/>
        <w:jc w:val="both"/>
        <w:rPr>
          <w:rFonts w:ascii="Arial" w:eastAsia="Times New Roman" w:hAnsi="Arial" w:cs="Times New Roman"/>
          <w:sz w:val="16"/>
          <w:szCs w:val="18"/>
        </w:rPr>
      </w:pPr>
    </w:p>
    <w:p w14:paraId="5776093D" w14:textId="77777777" w:rsidR="00711FE4" w:rsidRPr="00711FE4" w:rsidRDefault="00711FE4" w:rsidP="00711FE4">
      <w:pPr>
        <w:tabs>
          <w:tab w:val="left" w:pos="1710"/>
        </w:tabs>
        <w:spacing w:after="0" w:line="240" w:lineRule="auto"/>
        <w:ind w:left="624"/>
        <w:jc w:val="both"/>
        <w:rPr>
          <w:rFonts w:ascii="Arial" w:eastAsia="Times New Roman" w:hAnsi="Arial" w:cs="Times New Roman"/>
          <w:sz w:val="16"/>
          <w:szCs w:val="18"/>
        </w:rPr>
      </w:pPr>
      <w:r w:rsidRPr="00711FE4">
        <w:rPr>
          <w:rFonts w:ascii="Arial" w:eastAsia="Times New Roman" w:hAnsi="Arial" w:cs="Times New Roman"/>
          <w:sz w:val="16"/>
          <w:szCs w:val="18"/>
        </w:rPr>
        <w:t>This report advises against the use of this Decile 1 column for reporting on trends for low-income HHs. See discussion at the beginning of this Appendix.</w:t>
      </w:r>
    </w:p>
    <w:p w14:paraId="664D5368" w14:textId="77777777" w:rsidR="00711FE4" w:rsidRPr="00711FE4" w:rsidRDefault="00711FE4" w:rsidP="00711FE4">
      <w:pPr>
        <w:spacing w:after="0" w:line="240" w:lineRule="auto"/>
        <w:rPr>
          <w:rFonts w:ascii="Arial" w:eastAsia="Times New Roman" w:hAnsi="Arial" w:cs="Times New Roman"/>
          <w:sz w:val="22"/>
          <w:szCs w:val="20"/>
          <w:lang w:val="en-GB"/>
        </w:rPr>
      </w:pPr>
    </w:p>
    <w:p w14:paraId="3F85AC5A" w14:textId="77777777" w:rsidR="00711FE4" w:rsidRPr="00711FE4" w:rsidRDefault="00711FE4" w:rsidP="00711FE4">
      <w:pPr>
        <w:spacing w:after="0" w:line="240" w:lineRule="auto"/>
        <w:rPr>
          <w:rFonts w:ascii="Arial" w:hAnsi="Arial"/>
          <w:b/>
          <w:bCs/>
          <w:color w:val="000000"/>
          <w:sz w:val="28"/>
          <w:szCs w:val="28"/>
        </w:rPr>
      </w:pPr>
      <w:r w:rsidRPr="00711FE4">
        <w:rPr>
          <w:rFonts w:ascii="Arial" w:hAnsi="Arial"/>
          <w:b/>
          <w:bCs/>
          <w:color w:val="000000"/>
          <w:sz w:val="28"/>
          <w:szCs w:val="28"/>
        </w:rPr>
        <w:br w:type="page"/>
      </w:r>
    </w:p>
    <w:p w14:paraId="0631BDEF" w14:textId="77777777" w:rsidR="00711FE4" w:rsidRPr="00711FE4" w:rsidRDefault="00711FE4" w:rsidP="00711FE4">
      <w:pPr>
        <w:spacing w:after="0" w:line="240" w:lineRule="auto"/>
        <w:rPr>
          <w:rFonts w:ascii="Arial" w:hAnsi="Arial"/>
          <w:b/>
          <w:bCs/>
          <w:color w:val="000000"/>
          <w:sz w:val="28"/>
          <w:szCs w:val="28"/>
        </w:rPr>
      </w:pPr>
      <w:r w:rsidRPr="00711FE4">
        <w:rPr>
          <w:rFonts w:ascii="Arial" w:hAnsi="Arial"/>
          <w:b/>
          <w:bCs/>
          <w:color w:val="000000"/>
          <w:sz w:val="28"/>
          <w:szCs w:val="28"/>
        </w:rPr>
        <w:lastRenderedPageBreak/>
        <w:t>Appendix 20</w:t>
      </w:r>
    </w:p>
    <w:p w14:paraId="3D502702" w14:textId="77777777" w:rsidR="00711FE4" w:rsidRPr="00711FE4" w:rsidRDefault="00711FE4" w:rsidP="00711FE4">
      <w:pPr>
        <w:spacing w:after="60"/>
        <w:rPr>
          <w:rFonts w:ascii="Arial" w:hAnsi="Arial"/>
          <w:b/>
          <w:bCs/>
          <w:color w:val="000000"/>
          <w:sz w:val="22"/>
        </w:rPr>
      </w:pPr>
    </w:p>
    <w:p w14:paraId="46F53F82"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t>Table 20.1</w:t>
      </w:r>
    </w:p>
    <w:p w14:paraId="49923884" w14:textId="77777777" w:rsidR="00711FE4" w:rsidRPr="00711FE4" w:rsidRDefault="00711FE4" w:rsidP="00711FE4">
      <w:pPr>
        <w:spacing w:after="60"/>
        <w:jc w:val="center"/>
        <w:rPr>
          <w:rFonts w:ascii="Arial" w:hAnsi="Arial"/>
          <w:color w:val="FF0000"/>
          <w:sz w:val="18"/>
          <w:szCs w:val="18"/>
        </w:rPr>
      </w:pPr>
      <w:r w:rsidRPr="00711FE4">
        <w:rPr>
          <w:rFonts w:ascii="Arial" w:hAnsi="Arial"/>
          <w:b/>
          <w:bCs/>
          <w:color w:val="000000"/>
          <w:sz w:val="18"/>
          <w:szCs w:val="18"/>
        </w:rPr>
        <w:t xml:space="preserve">Changes to questionnaire wording for all MWQ items in </w:t>
      </w:r>
      <w:bookmarkEnd w:id="47"/>
      <w:r w:rsidRPr="00711FE4">
        <w:rPr>
          <w:rFonts w:ascii="Arial" w:hAnsi="Arial"/>
          <w:b/>
          <w:bCs/>
          <w:color w:val="000000"/>
          <w:sz w:val="18"/>
          <w:szCs w:val="18"/>
        </w:rPr>
        <w:t>HILS compared with HES</w:t>
      </w:r>
      <w:r w:rsidRPr="00711FE4">
        <w:rPr>
          <w:rFonts w:ascii="Arial" w:hAnsi="Arial"/>
          <w:b/>
          <w:bCs/>
          <w:color w:val="000000"/>
          <w:sz w:val="22"/>
        </w:rPr>
        <w:t xml:space="preserve"> </w:t>
      </w:r>
      <w:r w:rsidRPr="00711FE4">
        <w:rPr>
          <w:rFonts w:ascii="Arial" w:hAnsi="Arial"/>
          <w:color w:val="FF0000"/>
          <w:sz w:val="18"/>
          <w:szCs w:val="18"/>
        </w:rPr>
        <w:t>(changes in red)</w:t>
      </w:r>
    </w:p>
    <w:p w14:paraId="098EF513" w14:textId="77777777" w:rsidR="00711FE4" w:rsidRPr="00711FE4" w:rsidRDefault="00711FE4" w:rsidP="00711FE4">
      <w:pPr>
        <w:spacing w:after="0" w:line="240" w:lineRule="auto"/>
        <w:ind w:firstLine="720"/>
        <w:rPr>
          <w:rFonts w:ascii="Arial" w:hAnsi="Arial"/>
          <w:color w:val="000000"/>
          <w:sz w:val="18"/>
          <w:szCs w:val="18"/>
        </w:rPr>
      </w:pPr>
      <w:r w:rsidRPr="00711FE4">
        <w:rPr>
          <w:rFonts w:ascii="Arial" w:hAnsi="Arial"/>
          <w:color w:val="000000"/>
          <w:sz w:val="18"/>
          <w:szCs w:val="18"/>
        </w:rPr>
        <w:t xml:space="preserve">DK = don’t know   </w:t>
      </w:r>
      <w:r w:rsidRPr="00711FE4">
        <w:rPr>
          <w:rFonts w:ascii="Arial" w:hAnsi="Arial"/>
          <w:color w:val="000000"/>
          <w:sz w:val="18"/>
          <w:szCs w:val="18"/>
        </w:rPr>
        <w:tab/>
      </w:r>
      <w:r w:rsidRPr="00711FE4">
        <w:rPr>
          <w:rFonts w:ascii="Arial" w:hAnsi="Arial"/>
          <w:color w:val="000000"/>
          <w:sz w:val="18"/>
          <w:szCs w:val="18"/>
        </w:rPr>
        <w:tab/>
        <w:t>RF = refuse to answer</w:t>
      </w:r>
    </w:p>
    <w:p w14:paraId="4C5C9A91" w14:textId="77777777" w:rsidR="00711FE4" w:rsidRPr="00711FE4" w:rsidRDefault="00711FE4" w:rsidP="00711FE4">
      <w:pPr>
        <w:spacing w:after="60"/>
        <w:ind w:firstLine="720"/>
        <w:rPr>
          <w:rFonts w:ascii="Arial" w:hAnsi="Arial"/>
          <w:color w:val="000000"/>
          <w:sz w:val="18"/>
          <w:szCs w:val="18"/>
        </w:rPr>
      </w:pPr>
      <w:r w:rsidRPr="00711FE4">
        <w:rPr>
          <w:rFonts w:ascii="Arial" w:hAnsi="Arial"/>
          <w:color w:val="000000"/>
          <w:sz w:val="18"/>
          <w:szCs w:val="18"/>
        </w:rPr>
        <w:t>ISP = individual spending</w:t>
      </w:r>
      <w:r w:rsidRPr="00711FE4">
        <w:rPr>
          <w:rFonts w:ascii="Arial" w:hAnsi="Arial"/>
          <w:color w:val="000000"/>
          <w:sz w:val="18"/>
          <w:szCs w:val="18"/>
        </w:rPr>
        <w:tab/>
      </w:r>
      <w:r w:rsidRPr="00711FE4">
        <w:rPr>
          <w:rFonts w:ascii="Arial" w:hAnsi="Arial"/>
          <w:color w:val="000000"/>
          <w:sz w:val="18"/>
          <w:szCs w:val="18"/>
        </w:rPr>
        <w:tab/>
        <w:t>HSP = household spending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3114"/>
        <w:gridCol w:w="3119"/>
        <w:gridCol w:w="709"/>
      </w:tblGrid>
      <w:tr w:rsidR="00711FE4" w:rsidRPr="00711FE4" w14:paraId="061A136B" w14:textId="77777777" w:rsidTr="00366F04">
        <w:trPr>
          <w:trHeight w:val="360"/>
        </w:trPr>
        <w:tc>
          <w:tcPr>
            <w:tcW w:w="992" w:type="dxa"/>
            <w:vMerge w:val="restart"/>
            <w:vAlign w:val="center"/>
            <w:hideMark/>
          </w:tcPr>
          <w:bookmarkEnd w:id="48"/>
          <w:p w14:paraId="17A27D27"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Short name</w:t>
            </w:r>
          </w:p>
        </w:tc>
        <w:tc>
          <w:tcPr>
            <w:tcW w:w="992" w:type="dxa"/>
            <w:vMerge w:val="restart"/>
            <w:vAlign w:val="center"/>
          </w:tcPr>
          <w:p w14:paraId="4FA7F7CA"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Deprivation response</w:t>
            </w:r>
          </w:p>
        </w:tc>
        <w:tc>
          <w:tcPr>
            <w:tcW w:w="6233" w:type="dxa"/>
            <w:gridSpan w:val="2"/>
            <w:vAlign w:val="center"/>
            <w:hideMark/>
          </w:tcPr>
          <w:p w14:paraId="79D9EA2E"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Changes for question wording, response options and introductory text</w:t>
            </w:r>
          </w:p>
        </w:tc>
        <w:tc>
          <w:tcPr>
            <w:tcW w:w="709" w:type="dxa"/>
            <w:vMerge w:val="restart"/>
            <w:vAlign w:val="center"/>
            <w:hideMark/>
          </w:tcPr>
          <w:p w14:paraId="37F9D2D5"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module</w:t>
            </w:r>
          </w:p>
        </w:tc>
      </w:tr>
      <w:tr w:rsidR="00711FE4" w:rsidRPr="00711FE4" w14:paraId="655E0D5D" w14:textId="77777777" w:rsidTr="00366F04">
        <w:trPr>
          <w:trHeight w:val="370"/>
        </w:trPr>
        <w:tc>
          <w:tcPr>
            <w:tcW w:w="992" w:type="dxa"/>
            <w:vMerge/>
            <w:vAlign w:val="center"/>
            <w:hideMark/>
          </w:tcPr>
          <w:p w14:paraId="3167A1C6"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992" w:type="dxa"/>
            <w:vMerge/>
          </w:tcPr>
          <w:p w14:paraId="6FB601B8"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p>
        </w:tc>
        <w:tc>
          <w:tcPr>
            <w:tcW w:w="3114" w:type="dxa"/>
            <w:vAlign w:val="center"/>
            <w:hideMark/>
          </w:tcPr>
          <w:p w14:paraId="346CD30D"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HES for DEP-17</w:t>
            </w:r>
          </w:p>
        </w:tc>
        <w:tc>
          <w:tcPr>
            <w:tcW w:w="3119" w:type="dxa"/>
            <w:vAlign w:val="center"/>
            <w:hideMark/>
          </w:tcPr>
          <w:p w14:paraId="4DE96014"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for MH-18</w:t>
            </w:r>
          </w:p>
        </w:tc>
        <w:tc>
          <w:tcPr>
            <w:tcW w:w="709" w:type="dxa"/>
            <w:vMerge/>
            <w:vAlign w:val="center"/>
            <w:hideMark/>
          </w:tcPr>
          <w:p w14:paraId="0D17CE9D" w14:textId="77777777" w:rsidR="00711FE4" w:rsidRPr="00711FE4" w:rsidRDefault="00711FE4" w:rsidP="00711FE4">
            <w:pPr>
              <w:spacing w:after="0" w:line="240" w:lineRule="auto"/>
              <w:rPr>
                <w:rFonts w:ascii="Calibri" w:eastAsia="Times New Roman" w:hAnsi="Calibri" w:cs="Calibri"/>
                <w:color w:val="000000"/>
                <w:sz w:val="14"/>
                <w:szCs w:val="14"/>
                <w:lang w:eastAsia="en-NZ"/>
              </w:rPr>
            </w:pPr>
          </w:p>
        </w:tc>
      </w:tr>
      <w:tr w:rsidR="00711FE4" w:rsidRPr="00711FE4" w14:paraId="64D47836" w14:textId="77777777" w:rsidTr="00366F04">
        <w:trPr>
          <w:trHeight w:val="1080"/>
        </w:trPr>
        <w:tc>
          <w:tcPr>
            <w:tcW w:w="1984" w:type="dxa"/>
            <w:gridSpan w:val="2"/>
            <w:shd w:val="clear" w:color="auto" w:fill="F2F2F2"/>
            <w:vAlign w:val="center"/>
            <w:hideMark/>
          </w:tcPr>
          <w:p w14:paraId="643388B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Ownership or participation</w:t>
            </w:r>
          </w:p>
        </w:tc>
        <w:tc>
          <w:tcPr>
            <w:tcW w:w="3114" w:type="dxa"/>
            <w:shd w:val="clear" w:color="auto" w:fill="F2F2F2"/>
            <w:vAlign w:val="center"/>
            <w:hideMark/>
          </w:tcPr>
          <w:p w14:paraId="280FDB53"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I'm now going to ask you about some things you may or may not have or do…</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xml:space="preserve">: </w:t>
            </w:r>
            <w:r w:rsidRPr="00711FE4">
              <w:rPr>
                <w:rFonts w:ascii="Arial" w:eastAsia="Times New Roman" w:hAnsi="Arial"/>
                <w:b/>
                <w:bCs/>
                <w:color w:val="000000"/>
                <w:sz w:val="14"/>
                <w:szCs w:val="14"/>
                <w:lang w:eastAsia="en-NZ"/>
              </w:rPr>
              <w:t>Don’t want, cost, other, DK, refuse</w:t>
            </w:r>
          </w:p>
        </w:tc>
        <w:tc>
          <w:tcPr>
            <w:tcW w:w="3119" w:type="dxa"/>
            <w:shd w:val="clear" w:color="auto" w:fill="F2F2F2"/>
            <w:vAlign w:val="center"/>
            <w:hideMark/>
          </w:tcPr>
          <w:p w14:paraId="035DBDA6"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 &amp; ISP intro- The next questions are about being forced to keep costs down…</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xml:space="preserve">: </w:t>
            </w:r>
            <w:r w:rsidRPr="00711FE4">
              <w:rPr>
                <w:rFonts w:ascii="Arial" w:eastAsia="Times New Roman" w:hAnsi="Arial"/>
                <w:b/>
                <w:bCs/>
                <w:color w:val="000000"/>
                <w:sz w:val="14"/>
                <w:szCs w:val="14"/>
                <w:lang w:eastAsia="en-NZ"/>
              </w:rPr>
              <w:t>Don’t want, cost, other, DK, refuse</w:t>
            </w:r>
          </w:p>
        </w:tc>
        <w:tc>
          <w:tcPr>
            <w:tcW w:w="709" w:type="dxa"/>
            <w:shd w:val="clear" w:color="auto" w:fill="F2F2F2"/>
            <w:vAlign w:val="center"/>
            <w:hideMark/>
          </w:tcPr>
          <w:p w14:paraId="3E412926"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r>
      <w:tr w:rsidR="00711FE4" w:rsidRPr="00711FE4" w14:paraId="3100E7F6" w14:textId="77777777" w:rsidTr="00366F04">
        <w:trPr>
          <w:trHeight w:val="360"/>
        </w:trPr>
        <w:tc>
          <w:tcPr>
            <w:tcW w:w="992" w:type="dxa"/>
            <w:vAlign w:val="center"/>
            <w:hideMark/>
          </w:tcPr>
          <w:p w14:paraId="46148E8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Shoes</w:t>
            </w:r>
          </w:p>
        </w:tc>
        <w:tc>
          <w:tcPr>
            <w:tcW w:w="992" w:type="dxa"/>
            <w:vAlign w:val="center"/>
          </w:tcPr>
          <w:p w14:paraId="1DAD966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114" w:type="dxa"/>
            <w:vAlign w:val="center"/>
            <w:hideMark/>
          </w:tcPr>
          <w:p w14:paraId="276EFB4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you have at least two pairs of shoes in </w:t>
            </w:r>
            <w:r w:rsidRPr="00711FE4">
              <w:rPr>
                <w:rFonts w:ascii="Arial" w:eastAsia="Times New Roman" w:hAnsi="Arial"/>
                <w:color w:val="FF0000"/>
                <w:sz w:val="14"/>
                <w:szCs w:val="14"/>
                <w:lang w:eastAsia="en-NZ"/>
              </w:rPr>
              <w:t>a</w:t>
            </w:r>
            <w:r w:rsidRPr="00711FE4">
              <w:rPr>
                <w:rFonts w:ascii="Arial" w:eastAsia="Times New Roman" w:hAnsi="Arial"/>
                <w:color w:val="000000"/>
                <w:sz w:val="14"/>
                <w:szCs w:val="14"/>
                <w:lang w:eastAsia="en-NZ"/>
              </w:rPr>
              <w:t xml:space="preserve"> good condition </w:t>
            </w:r>
            <w:r w:rsidRPr="00711FE4">
              <w:rPr>
                <w:rFonts w:ascii="Arial" w:eastAsia="Times New Roman" w:hAnsi="Arial"/>
                <w:color w:val="FF0000"/>
                <w:sz w:val="14"/>
                <w:szCs w:val="14"/>
                <w:lang w:eastAsia="en-NZ"/>
              </w:rPr>
              <w:t>that are</w:t>
            </w:r>
            <w:r w:rsidRPr="00711FE4">
              <w:rPr>
                <w:rFonts w:ascii="Arial" w:eastAsia="Times New Roman" w:hAnsi="Arial"/>
                <w:color w:val="000000"/>
                <w:sz w:val="14"/>
                <w:szCs w:val="14"/>
                <w:lang w:eastAsia="en-NZ"/>
              </w:rPr>
              <w:t xml:space="preserve"> suitable for your daily activities?</w:t>
            </w:r>
          </w:p>
        </w:tc>
        <w:tc>
          <w:tcPr>
            <w:tcW w:w="3119" w:type="dxa"/>
            <w:vAlign w:val="center"/>
            <w:hideMark/>
          </w:tcPr>
          <w:p w14:paraId="67ABA0A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at least two pairs of shoes in good condition, suitable for your daily activities? </w:t>
            </w:r>
          </w:p>
        </w:tc>
        <w:tc>
          <w:tcPr>
            <w:tcW w:w="709" w:type="dxa"/>
            <w:vAlign w:val="center"/>
            <w:hideMark/>
          </w:tcPr>
          <w:p w14:paraId="3E3FCF4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3A43A9D6" w14:textId="77777777" w:rsidTr="00366F04">
        <w:trPr>
          <w:trHeight w:val="360"/>
        </w:trPr>
        <w:tc>
          <w:tcPr>
            <w:tcW w:w="992" w:type="dxa"/>
            <w:vAlign w:val="center"/>
          </w:tcPr>
          <w:p w14:paraId="0ACF8F2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New clothes</w:t>
            </w:r>
          </w:p>
        </w:tc>
        <w:tc>
          <w:tcPr>
            <w:tcW w:w="992" w:type="dxa"/>
            <w:vAlign w:val="center"/>
          </w:tcPr>
          <w:p w14:paraId="57B47DC6"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4249F94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 you usually replace worn out clothes with new clothes, </w:t>
            </w:r>
            <w:r w:rsidRPr="00711FE4">
              <w:rPr>
                <w:rFonts w:ascii="Arial" w:hAnsi="Arial"/>
                <w:color w:val="ED0000"/>
                <w:kern w:val="2"/>
                <w:sz w:val="14"/>
                <w:szCs w:val="14"/>
                <w14:ligatures w14:val="standardContextual"/>
              </w:rPr>
              <w:t>rather than second-hand</w:t>
            </w:r>
            <w:r w:rsidRPr="00711FE4">
              <w:rPr>
                <w:rFonts w:ascii="Arial" w:hAnsi="Arial"/>
                <w:color w:val="000000"/>
                <w:kern w:val="2"/>
                <w:sz w:val="14"/>
                <w:szCs w:val="14"/>
                <w14:ligatures w14:val="standardContextual"/>
              </w:rPr>
              <w:t>?</w:t>
            </w:r>
          </w:p>
        </w:tc>
        <w:tc>
          <w:tcPr>
            <w:tcW w:w="3119" w:type="dxa"/>
            <w:vAlign w:val="center"/>
          </w:tcPr>
          <w:p w14:paraId="2AEC3B2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usually replace worn out clothes with new clothes?</w:t>
            </w:r>
          </w:p>
        </w:tc>
        <w:tc>
          <w:tcPr>
            <w:tcW w:w="709" w:type="dxa"/>
            <w:vAlign w:val="center"/>
          </w:tcPr>
          <w:p w14:paraId="43A55F3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2FAE1F51" w14:textId="77777777" w:rsidTr="00366F04">
        <w:trPr>
          <w:trHeight w:val="360"/>
        </w:trPr>
        <w:tc>
          <w:tcPr>
            <w:tcW w:w="992" w:type="dxa"/>
            <w:vAlign w:val="center"/>
            <w:hideMark/>
          </w:tcPr>
          <w:p w14:paraId="50D7483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Clothes for special</w:t>
            </w:r>
          </w:p>
        </w:tc>
        <w:tc>
          <w:tcPr>
            <w:tcW w:w="992" w:type="dxa"/>
            <w:vAlign w:val="center"/>
          </w:tcPr>
          <w:p w14:paraId="6DF9444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114" w:type="dxa"/>
            <w:vAlign w:val="center"/>
            <w:hideMark/>
          </w:tcPr>
          <w:p w14:paraId="0EBD7F1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suitable clothes for important or special occasions?</w:t>
            </w:r>
          </w:p>
        </w:tc>
        <w:tc>
          <w:tcPr>
            <w:tcW w:w="3119" w:type="dxa"/>
            <w:vAlign w:val="center"/>
            <w:hideMark/>
          </w:tcPr>
          <w:p w14:paraId="16C21FE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suitable clothes for important or special occasions? </w:t>
            </w:r>
          </w:p>
        </w:tc>
        <w:tc>
          <w:tcPr>
            <w:tcW w:w="709" w:type="dxa"/>
            <w:vAlign w:val="center"/>
            <w:hideMark/>
          </w:tcPr>
          <w:p w14:paraId="304DB1E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11928A27" w14:textId="77777777" w:rsidTr="00366F04">
        <w:trPr>
          <w:trHeight w:val="360"/>
        </w:trPr>
        <w:tc>
          <w:tcPr>
            <w:tcW w:w="992" w:type="dxa"/>
            <w:vAlign w:val="center"/>
          </w:tcPr>
          <w:p w14:paraId="45F435B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Contents ins</w:t>
            </w:r>
          </w:p>
        </w:tc>
        <w:tc>
          <w:tcPr>
            <w:tcW w:w="992" w:type="dxa"/>
            <w:vAlign w:val="center"/>
          </w:tcPr>
          <w:p w14:paraId="44BCF49C"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2000E3A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 </w:t>
            </w:r>
            <w:r w:rsidRPr="00711FE4">
              <w:rPr>
                <w:rFonts w:ascii="Arial" w:hAnsi="Arial"/>
                <w:color w:val="FF0000"/>
                <w:kern w:val="2"/>
                <w:sz w:val="14"/>
                <w:szCs w:val="14"/>
                <w14:ligatures w14:val="standardContextual"/>
              </w:rPr>
              <w:t>you</w:t>
            </w:r>
            <w:r w:rsidRPr="00711FE4">
              <w:rPr>
                <w:rFonts w:ascii="Arial" w:hAnsi="Arial"/>
                <w:color w:val="000000"/>
                <w:kern w:val="2"/>
                <w:sz w:val="14"/>
                <w:szCs w:val="14"/>
                <w14:ligatures w14:val="standardContextual"/>
              </w:rPr>
              <w:t xml:space="preserve"> have home contents insurance?</w:t>
            </w:r>
          </w:p>
        </w:tc>
        <w:tc>
          <w:tcPr>
            <w:tcW w:w="3119" w:type="dxa"/>
            <w:vAlign w:val="center"/>
          </w:tcPr>
          <w:p w14:paraId="5D2B705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Does your household have home contents insurance?</w:t>
            </w:r>
          </w:p>
        </w:tc>
        <w:tc>
          <w:tcPr>
            <w:tcW w:w="709" w:type="dxa"/>
            <w:vAlign w:val="center"/>
          </w:tcPr>
          <w:p w14:paraId="6681832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19C7DF72" w14:textId="77777777" w:rsidTr="00366F04">
        <w:trPr>
          <w:trHeight w:val="360"/>
        </w:trPr>
        <w:tc>
          <w:tcPr>
            <w:tcW w:w="992" w:type="dxa"/>
            <w:vAlign w:val="center"/>
            <w:hideMark/>
          </w:tcPr>
          <w:p w14:paraId="3DCAB91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Protein meal</w:t>
            </w:r>
          </w:p>
        </w:tc>
        <w:tc>
          <w:tcPr>
            <w:tcW w:w="992" w:type="dxa"/>
            <w:vAlign w:val="center"/>
          </w:tcPr>
          <w:p w14:paraId="252C30D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114" w:type="dxa"/>
            <w:vAlign w:val="center"/>
            <w:hideMark/>
          </w:tcPr>
          <w:p w14:paraId="2B59FDB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 meal with meat,</w:t>
            </w:r>
            <w:r w:rsidRPr="00711FE4">
              <w:rPr>
                <w:rFonts w:ascii="Arial" w:eastAsia="Times New Roman" w:hAnsi="Arial"/>
                <w:color w:val="FF0000"/>
                <w:sz w:val="14"/>
                <w:szCs w:val="14"/>
                <w:lang w:eastAsia="en-NZ"/>
              </w:rPr>
              <w:t xml:space="preserve"> fish, or chicken (or vegetarian equivalent) at least each</w:t>
            </w:r>
            <w:r w:rsidRPr="00711FE4">
              <w:rPr>
                <w:rFonts w:ascii="Arial" w:eastAsia="Times New Roman" w:hAnsi="Arial"/>
                <w:color w:val="000000"/>
                <w:sz w:val="14"/>
                <w:szCs w:val="14"/>
                <w:lang w:eastAsia="en-NZ"/>
              </w:rPr>
              <w:t xml:space="preserve"> second day?</w:t>
            </w:r>
          </w:p>
        </w:tc>
        <w:tc>
          <w:tcPr>
            <w:tcW w:w="3119" w:type="dxa"/>
            <w:vAlign w:val="center"/>
            <w:hideMark/>
          </w:tcPr>
          <w:p w14:paraId="366676D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 meal with</w:t>
            </w:r>
            <w:r w:rsidRPr="00711FE4">
              <w:rPr>
                <w:rFonts w:ascii="Arial" w:eastAsia="Times New Roman" w:hAnsi="Arial"/>
                <w:color w:val="FF0000"/>
                <w:sz w:val="14"/>
                <w:szCs w:val="14"/>
                <w:lang w:eastAsia="en-NZ"/>
              </w:rPr>
              <w:t xml:space="preserve"> meat, seafood, eggs, or plant-based protein at least every</w:t>
            </w:r>
            <w:r w:rsidRPr="00711FE4">
              <w:rPr>
                <w:rFonts w:ascii="Arial" w:eastAsia="Times New Roman" w:hAnsi="Arial"/>
                <w:color w:val="000000"/>
                <w:sz w:val="14"/>
                <w:szCs w:val="14"/>
                <w:lang w:eastAsia="en-NZ"/>
              </w:rPr>
              <w:t xml:space="preserve"> second day? </w:t>
            </w:r>
          </w:p>
        </w:tc>
        <w:tc>
          <w:tcPr>
            <w:tcW w:w="709" w:type="dxa"/>
            <w:vAlign w:val="center"/>
            <w:hideMark/>
          </w:tcPr>
          <w:p w14:paraId="13EA2CD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48F4B4BD" w14:textId="77777777" w:rsidTr="00366F04">
        <w:trPr>
          <w:trHeight w:val="360"/>
        </w:trPr>
        <w:tc>
          <w:tcPr>
            <w:tcW w:w="992" w:type="dxa"/>
            <w:vAlign w:val="center"/>
          </w:tcPr>
          <w:p w14:paraId="23D3E4F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Good bed</w:t>
            </w:r>
          </w:p>
        </w:tc>
        <w:tc>
          <w:tcPr>
            <w:tcW w:w="992" w:type="dxa"/>
            <w:vAlign w:val="center"/>
          </w:tcPr>
          <w:p w14:paraId="1304B02E"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35E7884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good bed to sleep in?</w:t>
            </w:r>
          </w:p>
        </w:tc>
        <w:tc>
          <w:tcPr>
            <w:tcW w:w="3119" w:type="dxa"/>
            <w:vAlign w:val="center"/>
          </w:tcPr>
          <w:p w14:paraId="0E634AF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good bed to sleep in?</w:t>
            </w:r>
          </w:p>
        </w:tc>
        <w:tc>
          <w:tcPr>
            <w:tcW w:w="709" w:type="dxa"/>
            <w:vAlign w:val="center"/>
          </w:tcPr>
          <w:p w14:paraId="1240547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4E4070CA" w14:textId="77777777" w:rsidTr="00366F04">
        <w:trPr>
          <w:trHeight w:val="360"/>
        </w:trPr>
        <w:tc>
          <w:tcPr>
            <w:tcW w:w="992" w:type="dxa"/>
            <w:vAlign w:val="center"/>
          </w:tcPr>
          <w:p w14:paraId="6EC6A54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Keep accomm warm</w:t>
            </w:r>
          </w:p>
        </w:tc>
        <w:tc>
          <w:tcPr>
            <w:tcW w:w="992" w:type="dxa"/>
            <w:vAlign w:val="center"/>
          </w:tcPr>
          <w:p w14:paraId="55BE8C5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w:t>
            </w:r>
          </w:p>
        </w:tc>
        <w:tc>
          <w:tcPr>
            <w:tcW w:w="3114" w:type="dxa"/>
            <w:vAlign w:val="center"/>
          </w:tcPr>
          <w:p w14:paraId="0A1B152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Can </w:t>
            </w:r>
            <w:r w:rsidRPr="00711FE4">
              <w:rPr>
                <w:rFonts w:ascii="Arial" w:hAnsi="Arial"/>
                <w:color w:val="ED0000"/>
                <w:kern w:val="2"/>
                <w:sz w:val="14"/>
                <w:szCs w:val="14"/>
                <w14:ligatures w14:val="standardContextual"/>
              </w:rPr>
              <w:t>you [and your partner]</w:t>
            </w:r>
            <w:r w:rsidRPr="00711FE4">
              <w:rPr>
                <w:rFonts w:ascii="Arial" w:hAnsi="Arial"/>
                <w:color w:val="000000"/>
                <w:kern w:val="2"/>
                <w:sz w:val="14"/>
                <w:szCs w:val="14"/>
                <w14:ligatures w14:val="standardContextual"/>
              </w:rPr>
              <w:t xml:space="preserve"> afford to keep </w:t>
            </w:r>
            <w:r w:rsidRPr="00711FE4">
              <w:rPr>
                <w:rFonts w:ascii="Arial" w:hAnsi="Arial"/>
                <w:color w:val="ED0000"/>
                <w:kern w:val="2"/>
                <w:sz w:val="14"/>
                <w:szCs w:val="14"/>
                <w14:ligatures w14:val="standardContextual"/>
              </w:rPr>
              <w:t>your accommodation</w:t>
            </w:r>
            <w:r w:rsidRPr="00711FE4">
              <w:rPr>
                <w:rFonts w:ascii="Arial" w:hAnsi="Arial"/>
                <w:color w:val="000000"/>
                <w:kern w:val="2"/>
                <w:sz w:val="14"/>
                <w:szCs w:val="14"/>
                <w14:ligatures w14:val="standardContextual"/>
              </w:rPr>
              <w:t xml:space="preserve"> adequately warm?</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Yes/No/DK/RF</w:t>
            </w:r>
          </w:p>
        </w:tc>
        <w:tc>
          <w:tcPr>
            <w:tcW w:w="3119" w:type="dxa"/>
            <w:vAlign w:val="center"/>
          </w:tcPr>
          <w:p w14:paraId="4C07B62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Can</w:t>
            </w:r>
            <w:r w:rsidRPr="00711FE4">
              <w:rPr>
                <w:rFonts w:ascii="Arial" w:hAnsi="Arial"/>
                <w:color w:val="ED0000"/>
                <w:kern w:val="2"/>
                <w:sz w:val="14"/>
                <w:szCs w:val="14"/>
                <w14:ligatures w14:val="standardContextual"/>
              </w:rPr>
              <w:t xml:space="preserve"> your household</w:t>
            </w:r>
            <w:r w:rsidRPr="00711FE4">
              <w:rPr>
                <w:rFonts w:ascii="Arial" w:hAnsi="Arial"/>
                <w:color w:val="000000"/>
                <w:kern w:val="2"/>
                <w:sz w:val="14"/>
                <w:szCs w:val="14"/>
                <w14:ligatures w14:val="standardContextual"/>
              </w:rPr>
              <w:t xml:space="preserve"> afford to keep </w:t>
            </w:r>
            <w:r w:rsidRPr="00711FE4">
              <w:rPr>
                <w:rFonts w:ascii="Arial" w:hAnsi="Arial"/>
                <w:color w:val="ED0000"/>
                <w:kern w:val="2"/>
                <w:sz w:val="14"/>
                <w:szCs w:val="14"/>
                <w14:ligatures w14:val="standardContextual"/>
              </w:rPr>
              <w:t>the dwelling</w:t>
            </w:r>
            <w:r w:rsidRPr="00711FE4">
              <w:rPr>
                <w:rFonts w:ascii="Arial" w:hAnsi="Arial"/>
                <w:color w:val="000000"/>
                <w:kern w:val="2"/>
                <w:sz w:val="14"/>
                <w:szCs w:val="14"/>
                <w14:ligatures w14:val="standardContextual"/>
              </w:rPr>
              <w:t xml:space="preserve"> adequately warm?</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Yes/No/DK/RF</w:t>
            </w:r>
          </w:p>
        </w:tc>
        <w:tc>
          <w:tcPr>
            <w:tcW w:w="709" w:type="dxa"/>
            <w:vAlign w:val="center"/>
          </w:tcPr>
          <w:p w14:paraId="5EE33A4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HOU</w:t>
            </w:r>
          </w:p>
        </w:tc>
      </w:tr>
      <w:tr w:rsidR="00711FE4" w:rsidRPr="00711FE4" w14:paraId="162D23B6" w14:textId="77777777" w:rsidTr="00366F04">
        <w:trPr>
          <w:trHeight w:val="360"/>
        </w:trPr>
        <w:tc>
          <w:tcPr>
            <w:tcW w:w="992" w:type="dxa"/>
            <w:shd w:val="clear" w:color="auto" w:fill="DBE5F1"/>
            <w:vAlign w:val="center"/>
          </w:tcPr>
          <w:p w14:paraId="1933E6E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w:t>
            </w:r>
          </w:p>
        </w:tc>
        <w:tc>
          <w:tcPr>
            <w:tcW w:w="992" w:type="dxa"/>
            <w:shd w:val="clear" w:color="auto" w:fill="DBE5F1"/>
            <w:vAlign w:val="center"/>
          </w:tcPr>
          <w:p w14:paraId="772DE68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w:t>
            </w:r>
          </w:p>
        </w:tc>
        <w:tc>
          <w:tcPr>
            <w:tcW w:w="6233" w:type="dxa"/>
            <w:gridSpan w:val="2"/>
            <w:shd w:val="clear" w:color="auto" w:fill="DBE5F1"/>
            <w:vAlign w:val="center"/>
          </w:tcPr>
          <w:p w14:paraId="36F10B1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xml:space="preserve">Note: this question in both HES and HILS does not have the “if no why not?” </w:t>
            </w:r>
          </w:p>
        </w:tc>
        <w:tc>
          <w:tcPr>
            <w:tcW w:w="709" w:type="dxa"/>
            <w:shd w:val="clear" w:color="auto" w:fill="DBE5F1"/>
            <w:vAlign w:val="center"/>
          </w:tcPr>
          <w:p w14:paraId="5842CFD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w:t>
            </w:r>
          </w:p>
        </w:tc>
      </w:tr>
      <w:tr w:rsidR="00711FE4" w:rsidRPr="00711FE4" w14:paraId="57DFEF14" w14:textId="77777777" w:rsidTr="00366F04">
        <w:trPr>
          <w:trHeight w:val="360"/>
        </w:trPr>
        <w:tc>
          <w:tcPr>
            <w:tcW w:w="992" w:type="dxa"/>
            <w:vAlign w:val="center"/>
          </w:tcPr>
          <w:p w14:paraId="5CBFA91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Gifts</w:t>
            </w:r>
          </w:p>
        </w:tc>
        <w:tc>
          <w:tcPr>
            <w:tcW w:w="992" w:type="dxa"/>
            <w:vAlign w:val="center"/>
          </w:tcPr>
          <w:p w14:paraId="3FC715D3"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539D0F2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give presents to family or friends on birthdays, Christmas, or other special occasions?</w:t>
            </w:r>
          </w:p>
        </w:tc>
        <w:tc>
          <w:tcPr>
            <w:tcW w:w="3119" w:type="dxa"/>
            <w:vAlign w:val="center"/>
          </w:tcPr>
          <w:p w14:paraId="4B5B1A4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give presents to family or friends on birthdays, Christmas, or other special occasions? </w:t>
            </w:r>
          </w:p>
        </w:tc>
        <w:tc>
          <w:tcPr>
            <w:tcW w:w="709" w:type="dxa"/>
            <w:vAlign w:val="center"/>
          </w:tcPr>
          <w:p w14:paraId="010C81E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2F85150D" w14:textId="77777777" w:rsidTr="00366F04">
        <w:trPr>
          <w:trHeight w:val="360"/>
        </w:trPr>
        <w:tc>
          <w:tcPr>
            <w:tcW w:w="992" w:type="dxa"/>
            <w:vAlign w:val="center"/>
          </w:tcPr>
          <w:p w14:paraId="44E3B7A5"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Local holidays</w:t>
            </w:r>
          </w:p>
        </w:tc>
        <w:tc>
          <w:tcPr>
            <w:tcW w:w="992" w:type="dxa"/>
            <w:vAlign w:val="center"/>
          </w:tcPr>
          <w:p w14:paraId="6F091107"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49DF1C7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usually have a holiday away from home for at least a week every year?</w:t>
            </w:r>
          </w:p>
        </w:tc>
        <w:tc>
          <w:tcPr>
            <w:tcW w:w="3119" w:type="dxa"/>
            <w:vAlign w:val="center"/>
          </w:tcPr>
          <w:p w14:paraId="0F5338A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usually have a holiday away from home for at least a week every year?</w:t>
            </w:r>
          </w:p>
        </w:tc>
        <w:tc>
          <w:tcPr>
            <w:tcW w:w="709" w:type="dxa"/>
            <w:vAlign w:val="center"/>
          </w:tcPr>
          <w:p w14:paraId="06B02B9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572980EC" w14:textId="77777777" w:rsidTr="00366F04">
        <w:trPr>
          <w:trHeight w:val="360"/>
        </w:trPr>
        <w:tc>
          <w:tcPr>
            <w:tcW w:w="992" w:type="dxa"/>
            <w:vAlign w:val="center"/>
          </w:tcPr>
          <w:p w14:paraId="1F855B5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Overseas holidays</w:t>
            </w:r>
          </w:p>
        </w:tc>
        <w:tc>
          <w:tcPr>
            <w:tcW w:w="992" w:type="dxa"/>
            <w:vAlign w:val="center"/>
          </w:tcPr>
          <w:p w14:paraId="5A0E7E69"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79145F8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holiday overseas at least every three years?</w:t>
            </w:r>
          </w:p>
        </w:tc>
        <w:tc>
          <w:tcPr>
            <w:tcW w:w="3119" w:type="dxa"/>
            <w:vAlign w:val="center"/>
          </w:tcPr>
          <w:p w14:paraId="1DA0BE2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holiday overseas at least every three years?</w:t>
            </w:r>
          </w:p>
        </w:tc>
        <w:tc>
          <w:tcPr>
            <w:tcW w:w="709" w:type="dxa"/>
            <w:vAlign w:val="center"/>
          </w:tcPr>
          <w:p w14:paraId="3AAB42A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5783B678" w14:textId="77777777" w:rsidTr="00366F04">
        <w:trPr>
          <w:trHeight w:val="360"/>
        </w:trPr>
        <w:tc>
          <w:tcPr>
            <w:tcW w:w="992" w:type="dxa"/>
            <w:vAlign w:val="center"/>
          </w:tcPr>
          <w:p w14:paraId="6E43BFA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Vehicle access</w:t>
            </w:r>
          </w:p>
        </w:tc>
        <w:tc>
          <w:tcPr>
            <w:tcW w:w="992" w:type="dxa"/>
            <w:vAlign w:val="center"/>
          </w:tcPr>
          <w:p w14:paraId="381CC61C"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42E8E2A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 </w:t>
            </w:r>
            <w:r w:rsidRPr="00711FE4">
              <w:rPr>
                <w:rFonts w:ascii="Arial" w:hAnsi="Arial"/>
                <w:color w:val="FF0000"/>
                <w:kern w:val="2"/>
                <w:sz w:val="14"/>
                <w:szCs w:val="14"/>
                <w14:ligatures w14:val="standardContextual"/>
              </w:rPr>
              <w:t>you</w:t>
            </w:r>
            <w:r w:rsidRPr="00711FE4">
              <w:rPr>
                <w:rFonts w:ascii="Arial" w:hAnsi="Arial"/>
                <w:color w:val="000000"/>
                <w:kern w:val="2"/>
                <w:sz w:val="14"/>
                <w:szCs w:val="14"/>
                <w14:ligatures w14:val="standardContextual"/>
              </w:rPr>
              <w:t xml:space="preserve"> have access to a </w:t>
            </w:r>
            <w:r w:rsidRPr="00711FE4">
              <w:rPr>
                <w:rFonts w:ascii="Arial" w:hAnsi="Arial"/>
                <w:color w:val="FF0000"/>
                <w:kern w:val="2"/>
                <w:sz w:val="14"/>
                <w:szCs w:val="14"/>
                <w14:ligatures w14:val="standardContextual"/>
              </w:rPr>
              <w:t xml:space="preserve">car or van </w:t>
            </w:r>
            <w:r w:rsidRPr="00711FE4">
              <w:rPr>
                <w:rFonts w:ascii="Arial" w:hAnsi="Arial"/>
                <w:color w:val="000000"/>
                <w:kern w:val="2"/>
                <w:sz w:val="14"/>
                <w:szCs w:val="14"/>
                <w14:ligatures w14:val="standardContextual"/>
              </w:rPr>
              <w:t>for personal use?</w:t>
            </w:r>
          </w:p>
        </w:tc>
        <w:tc>
          <w:tcPr>
            <w:tcW w:w="3119" w:type="dxa"/>
            <w:vAlign w:val="center"/>
          </w:tcPr>
          <w:p w14:paraId="7B4B3F1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Does </w:t>
            </w:r>
            <w:r w:rsidRPr="00711FE4">
              <w:rPr>
                <w:rFonts w:ascii="Arial" w:hAnsi="Arial"/>
                <w:color w:val="FF0000"/>
                <w:kern w:val="2"/>
                <w:sz w:val="14"/>
                <w:szCs w:val="14"/>
                <w14:ligatures w14:val="standardContextual"/>
              </w:rPr>
              <w:t>your household</w:t>
            </w:r>
            <w:r w:rsidRPr="00711FE4">
              <w:rPr>
                <w:rFonts w:ascii="Arial" w:hAnsi="Arial"/>
                <w:color w:val="000000"/>
                <w:kern w:val="2"/>
                <w:sz w:val="14"/>
                <w:szCs w:val="14"/>
                <w14:ligatures w14:val="standardContextual"/>
              </w:rPr>
              <w:t xml:space="preserve"> have access to a </w:t>
            </w:r>
            <w:r w:rsidRPr="00711FE4">
              <w:rPr>
                <w:rFonts w:ascii="Arial" w:hAnsi="Arial"/>
                <w:color w:val="FF0000"/>
                <w:kern w:val="2"/>
                <w:sz w:val="14"/>
                <w:szCs w:val="14"/>
                <w14:ligatures w14:val="standardContextual"/>
              </w:rPr>
              <w:t xml:space="preserve">vehicle </w:t>
            </w:r>
            <w:r w:rsidRPr="00711FE4">
              <w:rPr>
                <w:rFonts w:ascii="Arial" w:hAnsi="Arial"/>
                <w:color w:val="000000"/>
                <w:kern w:val="2"/>
                <w:sz w:val="14"/>
                <w:szCs w:val="14"/>
                <w14:ligatures w14:val="standardContextual"/>
              </w:rPr>
              <w:t>for private use?</w:t>
            </w:r>
          </w:p>
        </w:tc>
        <w:tc>
          <w:tcPr>
            <w:tcW w:w="709" w:type="dxa"/>
            <w:vAlign w:val="center"/>
          </w:tcPr>
          <w:p w14:paraId="10C1025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6302242F" w14:textId="77777777" w:rsidTr="00366F04">
        <w:trPr>
          <w:trHeight w:val="284"/>
        </w:trPr>
        <w:tc>
          <w:tcPr>
            <w:tcW w:w="992" w:type="dxa"/>
            <w:shd w:val="clear" w:color="auto" w:fill="DBE5F1"/>
            <w:vAlign w:val="center"/>
          </w:tcPr>
          <w:p w14:paraId="72FC04E3"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b/>
                <w:bCs/>
                <w:color w:val="000000"/>
                <w:kern w:val="2"/>
                <w:sz w:val="14"/>
                <w:szCs w:val="14"/>
                <w14:ligatures w14:val="standardContextual"/>
              </w:rPr>
              <w:t> </w:t>
            </w:r>
          </w:p>
        </w:tc>
        <w:tc>
          <w:tcPr>
            <w:tcW w:w="992" w:type="dxa"/>
            <w:shd w:val="clear" w:color="auto" w:fill="DBE5F1"/>
            <w:vAlign w:val="center"/>
          </w:tcPr>
          <w:p w14:paraId="49547CDD"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b/>
                <w:bCs/>
                <w:color w:val="000000"/>
                <w:kern w:val="2"/>
                <w:sz w:val="14"/>
                <w:szCs w:val="14"/>
                <w14:ligatures w14:val="standardContextual"/>
              </w:rPr>
              <w:t> </w:t>
            </w:r>
          </w:p>
        </w:tc>
        <w:tc>
          <w:tcPr>
            <w:tcW w:w="6233" w:type="dxa"/>
            <w:gridSpan w:val="2"/>
            <w:shd w:val="clear" w:color="auto" w:fill="DBE5F1"/>
            <w:vAlign w:val="center"/>
          </w:tcPr>
          <w:p w14:paraId="494702A0"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b/>
                <w:bCs/>
                <w:color w:val="000000"/>
                <w:kern w:val="2"/>
                <w:sz w:val="14"/>
                <w:szCs w:val="14"/>
                <w14:ligatures w14:val="standardContextual"/>
              </w:rPr>
              <w:t>Vehicle (in HILS) – could include motor bikes, scooters, bicycles, …</w:t>
            </w:r>
          </w:p>
        </w:tc>
        <w:tc>
          <w:tcPr>
            <w:tcW w:w="709" w:type="dxa"/>
            <w:shd w:val="clear" w:color="auto" w:fill="DBE5F1"/>
            <w:vAlign w:val="center"/>
          </w:tcPr>
          <w:p w14:paraId="443C93E2"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b/>
                <w:bCs/>
                <w:color w:val="000000"/>
                <w:kern w:val="2"/>
                <w:sz w:val="14"/>
                <w:szCs w:val="14"/>
                <w14:ligatures w14:val="standardContextual"/>
              </w:rPr>
              <w:t> </w:t>
            </w:r>
          </w:p>
        </w:tc>
      </w:tr>
      <w:tr w:rsidR="00711FE4" w:rsidRPr="00711FE4" w14:paraId="570D6897" w14:textId="77777777" w:rsidTr="00366F04">
        <w:trPr>
          <w:trHeight w:val="360"/>
        </w:trPr>
        <w:tc>
          <w:tcPr>
            <w:tcW w:w="992" w:type="dxa"/>
            <w:vAlign w:val="center"/>
          </w:tcPr>
          <w:p w14:paraId="64330C2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Computer &amp; internet</w:t>
            </w:r>
          </w:p>
        </w:tc>
        <w:tc>
          <w:tcPr>
            <w:tcW w:w="992" w:type="dxa"/>
            <w:vAlign w:val="center"/>
          </w:tcPr>
          <w:p w14:paraId="1566B972"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20E50C8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w:t>
            </w:r>
            <w:r w:rsidRPr="00711FE4">
              <w:rPr>
                <w:rFonts w:ascii="Arial" w:eastAsia="Times New Roman" w:hAnsi="Arial"/>
                <w:color w:val="FF0000"/>
                <w:sz w:val="14"/>
                <w:szCs w:val="14"/>
                <w:lang w:eastAsia="en-NZ"/>
              </w:rPr>
              <w:t>you</w:t>
            </w:r>
            <w:r w:rsidRPr="00711FE4">
              <w:rPr>
                <w:rFonts w:ascii="Arial" w:eastAsia="Times New Roman" w:hAnsi="Arial"/>
                <w:color w:val="000000"/>
                <w:sz w:val="14"/>
                <w:szCs w:val="14"/>
                <w:lang w:eastAsia="en-NZ"/>
              </w:rPr>
              <w:t xml:space="preserve"> have access to</w:t>
            </w:r>
            <w:r w:rsidRPr="00711FE4">
              <w:rPr>
                <w:rFonts w:ascii="Arial" w:eastAsia="Times New Roman" w:hAnsi="Arial"/>
                <w:color w:val="FF0000"/>
                <w:sz w:val="14"/>
                <w:szCs w:val="14"/>
                <w:lang w:eastAsia="en-NZ"/>
              </w:rPr>
              <w:t xml:space="preserve"> both</w:t>
            </w:r>
            <w:r w:rsidRPr="00711FE4">
              <w:rPr>
                <w:rFonts w:ascii="Arial" w:eastAsia="Times New Roman" w:hAnsi="Arial"/>
                <w:color w:val="000000"/>
                <w:sz w:val="14"/>
                <w:szCs w:val="14"/>
                <w:lang w:eastAsia="en-NZ"/>
              </w:rPr>
              <w:t xml:space="preserve"> a computer </w:t>
            </w:r>
            <w:r w:rsidRPr="00711FE4">
              <w:rPr>
                <w:rFonts w:ascii="Arial" w:eastAsia="Times New Roman" w:hAnsi="Arial"/>
                <w:color w:val="FF0000"/>
                <w:sz w:val="14"/>
                <w:szCs w:val="14"/>
                <w:lang w:eastAsia="en-NZ"/>
              </w:rPr>
              <w:t>and internet connection</w:t>
            </w: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at home</w:t>
            </w:r>
            <w:r w:rsidRPr="00711FE4">
              <w:rPr>
                <w:rFonts w:ascii="Arial" w:eastAsia="Times New Roman" w:hAnsi="Arial"/>
                <w:color w:val="000000"/>
                <w:sz w:val="14"/>
                <w:szCs w:val="14"/>
                <w:lang w:eastAsia="en-NZ"/>
              </w:rPr>
              <w:t>?</w:t>
            </w:r>
          </w:p>
        </w:tc>
        <w:tc>
          <w:tcPr>
            <w:tcW w:w="3119" w:type="dxa"/>
            <w:vAlign w:val="center"/>
          </w:tcPr>
          <w:p w14:paraId="0E1D6C4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(derived from Computer and Internet questions)</w:t>
            </w:r>
          </w:p>
        </w:tc>
        <w:tc>
          <w:tcPr>
            <w:tcW w:w="709" w:type="dxa"/>
            <w:vAlign w:val="center"/>
          </w:tcPr>
          <w:p w14:paraId="19CFE19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n/a</w:t>
            </w:r>
          </w:p>
        </w:tc>
      </w:tr>
      <w:tr w:rsidR="00711FE4" w:rsidRPr="00711FE4" w14:paraId="1CE66DB6" w14:textId="77777777" w:rsidTr="00366F04">
        <w:trPr>
          <w:trHeight w:val="360"/>
        </w:trPr>
        <w:tc>
          <w:tcPr>
            <w:tcW w:w="992" w:type="dxa"/>
            <w:vAlign w:val="center"/>
            <w:hideMark/>
          </w:tcPr>
          <w:p w14:paraId="38725EC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Computer</w:t>
            </w:r>
          </w:p>
        </w:tc>
        <w:tc>
          <w:tcPr>
            <w:tcW w:w="992" w:type="dxa"/>
            <w:vAlign w:val="center"/>
          </w:tcPr>
          <w:p w14:paraId="16AB67D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114" w:type="dxa"/>
            <w:vAlign w:val="center"/>
            <w:hideMark/>
          </w:tcPr>
          <w:p w14:paraId="48BB71A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n/a</w:t>
            </w:r>
          </w:p>
        </w:tc>
        <w:tc>
          <w:tcPr>
            <w:tcW w:w="3119" w:type="dxa"/>
            <w:vAlign w:val="center"/>
            <w:hideMark/>
          </w:tcPr>
          <w:p w14:paraId="5A03151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Does</w:t>
            </w:r>
            <w:r w:rsidRPr="00711FE4">
              <w:rPr>
                <w:rFonts w:ascii="Arial" w:eastAsia="Times New Roman" w:hAnsi="Arial"/>
                <w:color w:val="FF0000"/>
                <w:sz w:val="14"/>
                <w:szCs w:val="14"/>
                <w:lang w:eastAsia="en-NZ"/>
              </w:rPr>
              <w:t xml:space="preserve"> your household</w:t>
            </w:r>
            <w:r w:rsidRPr="00711FE4">
              <w:rPr>
                <w:rFonts w:ascii="Arial" w:eastAsia="Times New Roman" w:hAnsi="Arial"/>
                <w:color w:val="000000"/>
                <w:sz w:val="14"/>
                <w:szCs w:val="14"/>
                <w:lang w:eastAsia="en-NZ"/>
              </w:rPr>
              <w:t xml:space="preserve"> have access</w:t>
            </w:r>
            <w:r w:rsidRPr="00711FE4">
              <w:rPr>
                <w:rFonts w:ascii="Arial" w:eastAsia="Times New Roman" w:hAnsi="Arial"/>
                <w:color w:val="FF0000"/>
                <w:sz w:val="14"/>
                <w:szCs w:val="14"/>
                <w:lang w:eastAsia="en-NZ"/>
              </w:rPr>
              <w:t xml:space="preserve"> at home</w:t>
            </w:r>
            <w:r w:rsidRPr="00711FE4">
              <w:rPr>
                <w:rFonts w:ascii="Arial" w:eastAsia="Times New Roman" w:hAnsi="Arial"/>
                <w:color w:val="000000"/>
                <w:sz w:val="14"/>
                <w:szCs w:val="14"/>
                <w:lang w:eastAsia="en-NZ"/>
              </w:rPr>
              <w:t xml:space="preserve"> to a computer </w:t>
            </w:r>
            <w:r w:rsidRPr="00711FE4">
              <w:rPr>
                <w:rFonts w:ascii="Arial" w:eastAsia="Times New Roman" w:hAnsi="Arial"/>
                <w:color w:val="FF0000"/>
                <w:sz w:val="14"/>
                <w:szCs w:val="14"/>
                <w:lang w:eastAsia="en-NZ"/>
              </w:rPr>
              <w:t>such as a PC, laptop or tablet</w:t>
            </w:r>
            <w:r w:rsidRPr="00711FE4">
              <w:rPr>
                <w:rFonts w:ascii="Arial" w:eastAsia="Times New Roman" w:hAnsi="Arial"/>
                <w:color w:val="000000"/>
                <w:sz w:val="14"/>
                <w:szCs w:val="14"/>
                <w:lang w:eastAsia="en-NZ"/>
              </w:rPr>
              <w:t>?</w:t>
            </w:r>
          </w:p>
        </w:tc>
        <w:tc>
          <w:tcPr>
            <w:tcW w:w="709" w:type="dxa"/>
            <w:vAlign w:val="center"/>
            <w:hideMark/>
          </w:tcPr>
          <w:p w14:paraId="434DDB6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531A6B0D" w14:textId="77777777" w:rsidTr="00366F04">
        <w:trPr>
          <w:trHeight w:val="360"/>
        </w:trPr>
        <w:tc>
          <w:tcPr>
            <w:tcW w:w="992" w:type="dxa"/>
            <w:vAlign w:val="center"/>
            <w:hideMark/>
          </w:tcPr>
          <w:p w14:paraId="4F0BA58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Internet</w:t>
            </w:r>
          </w:p>
        </w:tc>
        <w:tc>
          <w:tcPr>
            <w:tcW w:w="992" w:type="dxa"/>
            <w:vAlign w:val="center"/>
          </w:tcPr>
          <w:p w14:paraId="0CDAE22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114" w:type="dxa"/>
            <w:vAlign w:val="center"/>
            <w:hideMark/>
          </w:tcPr>
          <w:p w14:paraId="4423848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n/a</w:t>
            </w:r>
          </w:p>
        </w:tc>
        <w:tc>
          <w:tcPr>
            <w:tcW w:w="3119" w:type="dxa"/>
            <w:vAlign w:val="center"/>
            <w:hideMark/>
          </w:tcPr>
          <w:p w14:paraId="21A11BD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Does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have an internet connection at home?</w:t>
            </w:r>
          </w:p>
        </w:tc>
        <w:tc>
          <w:tcPr>
            <w:tcW w:w="709" w:type="dxa"/>
            <w:vAlign w:val="center"/>
            <w:hideMark/>
          </w:tcPr>
          <w:p w14:paraId="3CB6FD2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3487A9BC" w14:textId="77777777" w:rsidTr="00366F04">
        <w:trPr>
          <w:trHeight w:val="280"/>
        </w:trPr>
        <w:tc>
          <w:tcPr>
            <w:tcW w:w="992" w:type="dxa"/>
            <w:shd w:val="clear" w:color="auto" w:fill="DBE5F1"/>
            <w:vAlign w:val="center"/>
            <w:hideMark/>
          </w:tcPr>
          <w:p w14:paraId="3789C02B"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c>
          <w:tcPr>
            <w:tcW w:w="992" w:type="dxa"/>
            <w:shd w:val="clear" w:color="auto" w:fill="DBE5F1"/>
            <w:vAlign w:val="center"/>
          </w:tcPr>
          <w:p w14:paraId="3A9E016C"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hAnsi="Arial"/>
                <w:b/>
                <w:bCs/>
                <w:color w:val="000000"/>
                <w:kern w:val="2"/>
                <w:sz w:val="14"/>
                <w:szCs w:val="14"/>
                <w14:ligatures w14:val="standardContextual"/>
              </w:rPr>
              <w:t> </w:t>
            </w:r>
          </w:p>
        </w:tc>
        <w:tc>
          <w:tcPr>
            <w:tcW w:w="6233" w:type="dxa"/>
            <w:gridSpan w:val="2"/>
            <w:shd w:val="clear" w:color="auto" w:fill="DBE5F1"/>
            <w:vAlign w:val="center"/>
            <w:hideMark/>
          </w:tcPr>
          <w:p w14:paraId="5AA950DE"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Note in HILS the computer and Internet questions are separate</w:t>
            </w:r>
          </w:p>
        </w:tc>
        <w:tc>
          <w:tcPr>
            <w:tcW w:w="709" w:type="dxa"/>
            <w:shd w:val="clear" w:color="auto" w:fill="DBE5F1"/>
            <w:vAlign w:val="center"/>
            <w:hideMark/>
          </w:tcPr>
          <w:p w14:paraId="2C903D2D"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r>
      <w:tr w:rsidR="00711FE4" w:rsidRPr="00711FE4" w14:paraId="3B9CF597" w14:textId="77777777" w:rsidTr="00366F04">
        <w:trPr>
          <w:trHeight w:val="280"/>
        </w:trPr>
        <w:tc>
          <w:tcPr>
            <w:tcW w:w="992" w:type="dxa"/>
            <w:vAlign w:val="center"/>
          </w:tcPr>
          <w:p w14:paraId="53876896"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Get together</w:t>
            </w:r>
          </w:p>
        </w:tc>
        <w:tc>
          <w:tcPr>
            <w:tcW w:w="992" w:type="dxa"/>
            <w:vAlign w:val="center"/>
          </w:tcPr>
          <w:p w14:paraId="0CC433CA" w14:textId="77777777" w:rsidR="00711FE4" w:rsidRPr="00711FE4" w:rsidRDefault="00711FE4" w:rsidP="00711FE4">
            <w:pPr>
              <w:spacing w:after="0" w:line="240" w:lineRule="auto"/>
              <w:jc w:val="center"/>
              <w:rPr>
                <w:rFonts w:ascii="Arial" w:hAnsi="Arial"/>
                <w:b/>
                <w:bCs/>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114" w:type="dxa"/>
            <w:vAlign w:val="center"/>
          </w:tcPr>
          <w:p w14:paraId="5E037212"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 xml:space="preserve">Do you </w:t>
            </w:r>
            <w:r w:rsidRPr="00711FE4">
              <w:rPr>
                <w:rFonts w:ascii="Arial" w:hAnsi="Arial"/>
                <w:color w:val="ED0000"/>
                <w:kern w:val="2"/>
                <w:sz w:val="14"/>
                <w:szCs w:val="14"/>
                <w14:ligatures w14:val="standardContextual"/>
              </w:rPr>
              <w:t>have a</w:t>
            </w:r>
            <w:r w:rsidRPr="00711FE4">
              <w:rPr>
                <w:rFonts w:ascii="Arial" w:hAnsi="Arial"/>
                <w:color w:val="000000"/>
                <w:kern w:val="2"/>
                <w:sz w:val="14"/>
                <w:szCs w:val="14"/>
                <w14:ligatures w14:val="standardContextual"/>
              </w:rPr>
              <w:t xml:space="preserve"> get together with friends or extended family for a</w:t>
            </w:r>
            <w:r w:rsidRPr="00711FE4">
              <w:rPr>
                <w:rFonts w:ascii="Arial" w:hAnsi="Arial"/>
                <w:color w:val="ED0000"/>
                <w:kern w:val="2"/>
                <w:sz w:val="14"/>
                <w:szCs w:val="14"/>
                <w14:ligatures w14:val="standardContextual"/>
              </w:rPr>
              <w:t xml:space="preserve"> drink or meal </w:t>
            </w:r>
            <w:r w:rsidRPr="00711FE4">
              <w:rPr>
                <w:rFonts w:ascii="Arial" w:hAnsi="Arial"/>
                <w:color w:val="000000"/>
                <w:kern w:val="2"/>
                <w:sz w:val="14"/>
                <w:szCs w:val="14"/>
                <w14:ligatures w14:val="standardContextual"/>
              </w:rPr>
              <w:t>at least once a month?</w:t>
            </w:r>
          </w:p>
        </w:tc>
        <w:tc>
          <w:tcPr>
            <w:tcW w:w="3119" w:type="dxa"/>
            <w:vAlign w:val="center"/>
          </w:tcPr>
          <w:p w14:paraId="453C0464"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 xml:space="preserve">Do you get together with friends or extended family for a </w:t>
            </w:r>
            <w:r w:rsidRPr="00711FE4">
              <w:rPr>
                <w:rFonts w:ascii="Arial" w:hAnsi="Arial"/>
                <w:color w:val="ED0000"/>
                <w:kern w:val="2"/>
                <w:sz w:val="14"/>
                <w:szCs w:val="14"/>
                <w14:ligatures w14:val="standardContextual"/>
              </w:rPr>
              <w:t>meal or a drink</w:t>
            </w:r>
            <w:r w:rsidRPr="00711FE4">
              <w:rPr>
                <w:rFonts w:ascii="Arial" w:hAnsi="Arial"/>
                <w:color w:val="000000"/>
                <w:kern w:val="2"/>
                <w:sz w:val="14"/>
                <w:szCs w:val="14"/>
                <w14:ligatures w14:val="standardContextual"/>
              </w:rPr>
              <w:t xml:space="preserve"> at least once a month?</w:t>
            </w:r>
          </w:p>
        </w:tc>
        <w:tc>
          <w:tcPr>
            <w:tcW w:w="709" w:type="dxa"/>
            <w:vAlign w:val="center"/>
          </w:tcPr>
          <w:p w14:paraId="2A8140BA"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16D6A2FC" w14:textId="77777777" w:rsidTr="00366F04">
        <w:trPr>
          <w:trHeight w:val="2160"/>
        </w:trPr>
        <w:tc>
          <w:tcPr>
            <w:tcW w:w="1984" w:type="dxa"/>
            <w:gridSpan w:val="2"/>
            <w:shd w:val="clear" w:color="auto" w:fill="F2F2F2"/>
            <w:vAlign w:val="center"/>
            <w:hideMark/>
          </w:tcPr>
          <w:p w14:paraId="0F86696A"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Economising</w:t>
            </w:r>
          </w:p>
        </w:tc>
        <w:tc>
          <w:tcPr>
            <w:tcW w:w="3114" w:type="dxa"/>
            <w:shd w:val="clear" w:color="auto" w:fill="F2F2F2"/>
            <w:vAlign w:val="center"/>
            <w:hideMark/>
          </w:tcPr>
          <w:p w14:paraId="3286CCE4" w14:textId="77777777" w:rsidR="00711FE4" w:rsidRPr="00711FE4" w:rsidRDefault="00711FE4" w:rsidP="00711FE4">
            <w:pPr>
              <w:spacing w:before="40" w:after="40" w:line="240" w:lineRule="auto"/>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711FE4">
              <w:rPr>
                <w:rFonts w:ascii="Arial" w:eastAsia="Times New Roman" w:hAnsi="Arial"/>
                <w:color w:val="FF0000"/>
                <w:sz w:val="14"/>
                <w:szCs w:val="14"/>
                <w:lang w:eastAsia="en-NZ"/>
              </w:rPr>
              <w:t xml:space="preserve">you </w:t>
            </w:r>
            <w:r w:rsidRPr="00711FE4">
              <w:rPr>
                <w:rFonts w:ascii="Arial" w:eastAsia="Times New Roman" w:hAnsi="Arial"/>
                <w:color w:val="242424"/>
                <w:sz w:val="14"/>
                <w:szCs w:val="14"/>
                <w:lang w:eastAsia="en-NZ"/>
              </w:rPr>
              <w:t xml:space="preserve">had to do any of the following things to keep down costs </w:t>
            </w:r>
            <w:r w:rsidRPr="00711FE4">
              <w:rPr>
                <w:rFonts w:ascii="Arial" w:eastAsia="Times New Roman" w:hAnsi="Arial"/>
                <w:b/>
                <w:bCs/>
                <w:color w:val="242424"/>
                <w:sz w:val="14"/>
                <w:szCs w:val="14"/>
                <w:lang w:eastAsia="en-NZ"/>
              </w:rPr>
              <w:t>in the last 12 months</w:t>
            </w:r>
            <w:r w:rsidRPr="00711FE4">
              <w:rPr>
                <w:rFonts w:ascii="Arial" w:eastAsia="Times New Roman" w:hAnsi="Arial"/>
                <w:color w:val="242424"/>
                <w:sz w:val="14"/>
                <w:szCs w:val="14"/>
                <w:lang w:eastAsia="en-NZ"/>
              </w:rPr>
              <w:t xml:space="preserve"> 'not at all', 'a little', or 'a lot': </w:t>
            </w:r>
            <w:r w:rsidRPr="00711FE4">
              <w:rPr>
                <w:rFonts w:ascii="Arial" w:eastAsia="Times New Roman" w:hAnsi="Arial"/>
                <w:color w:val="242424"/>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242424"/>
                <w:sz w:val="14"/>
                <w:szCs w:val="14"/>
                <w:lang w:eastAsia="en-NZ"/>
              </w:rPr>
              <w:t>- not at all</w:t>
            </w:r>
            <w:r w:rsidRPr="00711FE4">
              <w:rPr>
                <w:rFonts w:ascii="Arial" w:eastAsia="Times New Roman" w:hAnsi="Arial"/>
                <w:b/>
                <w:bCs/>
                <w:color w:val="242424"/>
                <w:sz w:val="14"/>
                <w:szCs w:val="14"/>
                <w:lang w:eastAsia="en-NZ"/>
              </w:rPr>
              <w:br/>
              <w:t>- a little</w:t>
            </w:r>
            <w:r w:rsidRPr="00711FE4">
              <w:rPr>
                <w:rFonts w:ascii="Arial" w:eastAsia="Times New Roman" w:hAnsi="Arial"/>
                <w:b/>
                <w:bCs/>
                <w:color w:val="242424"/>
                <w:sz w:val="14"/>
                <w:szCs w:val="14"/>
                <w:lang w:eastAsia="en-NZ"/>
              </w:rPr>
              <w:br/>
              <w:t>- a lot</w:t>
            </w:r>
            <w:r w:rsidRPr="00711FE4">
              <w:rPr>
                <w:rFonts w:ascii="Arial" w:eastAsia="Times New Roman" w:hAnsi="Arial"/>
                <w:b/>
                <w:bCs/>
                <w:color w:val="242424"/>
                <w:sz w:val="14"/>
                <w:szCs w:val="14"/>
                <w:lang w:eastAsia="en-NZ"/>
              </w:rPr>
              <w:br/>
              <w:t>DK/RF</w:t>
            </w:r>
          </w:p>
        </w:tc>
        <w:tc>
          <w:tcPr>
            <w:tcW w:w="3119" w:type="dxa"/>
            <w:shd w:val="clear" w:color="auto" w:fill="F2F2F2"/>
            <w:vAlign w:val="center"/>
            <w:hideMark/>
          </w:tcPr>
          <w:p w14:paraId="786F284F"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FF0000"/>
                <w:sz w:val="14"/>
                <w:szCs w:val="14"/>
                <w:lang w:eastAsia="en-NZ"/>
              </w:rPr>
              <w:t>HSP &amp; ISP intro- The next questions are about being forced to keep costs down.</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Looking at showcard P102, </w:t>
            </w:r>
            <w:r w:rsidRPr="00711FE4">
              <w:rPr>
                <w:rFonts w:ascii="Arial" w:eastAsia="Times New Roman" w:hAnsi="Arial"/>
                <w:b/>
                <w:bCs/>
                <w:color w:val="000000"/>
                <w:sz w:val="14"/>
                <w:szCs w:val="14"/>
                <w:lang w:eastAsia="en-NZ"/>
              </w:rPr>
              <w:t>in the last 12 months</w:t>
            </w:r>
            <w:r w:rsidRPr="00711FE4">
              <w:rPr>
                <w:rFonts w:ascii="Arial" w:eastAsia="Times New Roman" w:hAnsi="Arial"/>
                <w:color w:val="000000"/>
                <w:sz w:val="14"/>
                <w:szCs w:val="14"/>
                <w:lang w:eastAsia="en-NZ"/>
              </w:rPr>
              <w:t xml:space="preserve"> …</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 - a little</w:t>
            </w:r>
            <w:r w:rsidRPr="00711FE4">
              <w:rPr>
                <w:rFonts w:ascii="Arial" w:eastAsia="Times New Roman" w:hAnsi="Arial"/>
                <w:b/>
                <w:bCs/>
                <w:color w:val="000000"/>
                <w:sz w:val="14"/>
                <w:szCs w:val="14"/>
                <w:lang w:eastAsia="en-NZ"/>
              </w:rPr>
              <w:br/>
              <w:t>yes - a lot</w:t>
            </w:r>
            <w:r w:rsidRPr="00711FE4">
              <w:rPr>
                <w:rFonts w:ascii="Arial" w:eastAsia="Times New Roman" w:hAnsi="Arial"/>
                <w:b/>
                <w:bCs/>
                <w:color w:val="000000"/>
                <w:sz w:val="14"/>
                <w:szCs w:val="14"/>
                <w:lang w:eastAsia="en-NZ"/>
              </w:rPr>
              <w:br/>
              <w:t>no - not at all</w:t>
            </w:r>
            <w:r w:rsidRPr="00711FE4">
              <w:rPr>
                <w:rFonts w:ascii="Arial" w:eastAsia="Times New Roman" w:hAnsi="Arial"/>
                <w:b/>
                <w:bCs/>
                <w:color w:val="000000"/>
                <w:sz w:val="14"/>
                <w:szCs w:val="14"/>
                <w:lang w:eastAsia="en-NZ"/>
              </w:rPr>
              <w:br/>
              <w:t>DK/RF</w:t>
            </w:r>
          </w:p>
        </w:tc>
        <w:tc>
          <w:tcPr>
            <w:tcW w:w="709" w:type="dxa"/>
            <w:shd w:val="clear" w:color="auto" w:fill="F2F2F2"/>
            <w:vAlign w:val="center"/>
            <w:hideMark/>
          </w:tcPr>
          <w:p w14:paraId="5B6A449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34F80738" w14:textId="77777777" w:rsidTr="00366F04">
        <w:trPr>
          <w:trHeight w:val="360"/>
        </w:trPr>
        <w:tc>
          <w:tcPr>
            <w:tcW w:w="992" w:type="dxa"/>
            <w:vAlign w:val="center"/>
            <w:hideMark/>
          </w:tcPr>
          <w:p w14:paraId="43376B9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Fresh fruit &amp; veg</w:t>
            </w:r>
          </w:p>
        </w:tc>
        <w:tc>
          <w:tcPr>
            <w:tcW w:w="992" w:type="dxa"/>
            <w:vAlign w:val="center"/>
          </w:tcPr>
          <w:p w14:paraId="402896F1" w14:textId="77777777" w:rsidR="00711FE4" w:rsidRPr="00711FE4" w:rsidRDefault="00711FE4" w:rsidP="00711FE4">
            <w:pPr>
              <w:spacing w:after="0" w:line="240" w:lineRule="auto"/>
              <w:jc w:val="center"/>
              <w:rPr>
                <w:rFonts w:ascii="Arial" w:eastAsia="Times New Roman" w:hAnsi="Arial"/>
                <w:color w:val="242424"/>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70336FC4" w14:textId="77777777" w:rsidR="00711FE4" w:rsidRPr="00711FE4" w:rsidRDefault="00711FE4" w:rsidP="00711FE4">
            <w:pPr>
              <w:spacing w:before="40" w:after="40" w:line="240" w:lineRule="auto"/>
              <w:jc w:val="center"/>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go without fresh fruit and vegetables?</w:t>
            </w:r>
          </w:p>
        </w:tc>
        <w:tc>
          <w:tcPr>
            <w:tcW w:w="3119" w:type="dxa"/>
            <w:vAlign w:val="center"/>
            <w:hideMark/>
          </w:tcPr>
          <w:p w14:paraId="0053B8B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go without, </w:t>
            </w:r>
            <w:r w:rsidRPr="00711FE4">
              <w:rPr>
                <w:rFonts w:ascii="Arial" w:eastAsia="Times New Roman" w:hAnsi="Arial"/>
                <w:color w:val="FF0000"/>
                <w:sz w:val="14"/>
                <w:szCs w:val="14"/>
                <w:lang w:eastAsia="en-NZ"/>
              </w:rPr>
              <w:t>or cut back on</w:t>
            </w:r>
            <w:r w:rsidRPr="00711FE4">
              <w:rPr>
                <w:rFonts w:ascii="Arial" w:eastAsia="Times New Roman" w:hAnsi="Arial"/>
                <w:color w:val="000000"/>
                <w:sz w:val="14"/>
                <w:szCs w:val="14"/>
                <w:lang w:eastAsia="en-NZ"/>
              </w:rPr>
              <w:t>, fresh fruit and vegetables?</w:t>
            </w:r>
          </w:p>
        </w:tc>
        <w:tc>
          <w:tcPr>
            <w:tcW w:w="709" w:type="dxa"/>
            <w:vAlign w:val="center"/>
            <w:hideMark/>
          </w:tcPr>
          <w:p w14:paraId="26E186A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759AF9CE" w14:textId="77777777" w:rsidTr="00366F04">
        <w:trPr>
          <w:trHeight w:val="360"/>
        </w:trPr>
        <w:tc>
          <w:tcPr>
            <w:tcW w:w="992" w:type="dxa"/>
            <w:vAlign w:val="center"/>
            <w:hideMark/>
          </w:tcPr>
          <w:p w14:paraId="2A39C0F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lastRenderedPageBreak/>
              <w:t>Cheaper / less meat</w:t>
            </w:r>
          </w:p>
        </w:tc>
        <w:tc>
          <w:tcPr>
            <w:tcW w:w="992" w:type="dxa"/>
            <w:vAlign w:val="center"/>
          </w:tcPr>
          <w:p w14:paraId="04ABAFF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498AB5C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buy cheaper cuts of meat or buy less meat than </w:t>
            </w:r>
            <w:r w:rsidRPr="00711FE4">
              <w:rPr>
                <w:rFonts w:ascii="Arial" w:eastAsia="Times New Roman" w:hAnsi="Arial"/>
                <w:color w:val="FF0000"/>
                <w:sz w:val="14"/>
                <w:szCs w:val="14"/>
                <w:lang w:eastAsia="en-NZ"/>
              </w:rPr>
              <w:t>you would</w:t>
            </w:r>
            <w:r w:rsidRPr="00711FE4">
              <w:rPr>
                <w:rFonts w:ascii="Arial" w:eastAsia="Times New Roman" w:hAnsi="Arial"/>
                <w:color w:val="000000"/>
                <w:sz w:val="14"/>
                <w:szCs w:val="14"/>
                <w:lang w:eastAsia="en-NZ"/>
              </w:rPr>
              <w:t xml:space="preserve"> like?</w:t>
            </w:r>
          </w:p>
        </w:tc>
        <w:tc>
          <w:tcPr>
            <w:tcW w:w="3119" w:type="dxa"/>
            <w:vAlign w:val="center"/>
            <w:hideMark/>
          </w:tcPr>
          <w:p w14:paraId="696D6B3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buy cheaper cuts of meat, or buy less meat than </w:t>
            </w:r>
            <w:r w:rsidRPr="00711FE4">
              <w:rPr>
                <w:rFonts w:ascii="Arial" w:eastAsia="Times New Roman" w:hAnsi="Arial"/>
                <w:color w:val="FF0000"/>
                <w:sz w:val="14"/>
                <w:szCs w:val="14"/>
                <w:lang w:eastAsia="en-NZ"/>
              </w:rPr>
              <w:t>you'd</w:t>
            </w:r>
            <w:r w:rsidRPr="00711FE4">
              <w:rPr>
                <w:rFonts w:ascii="Arial" w:eastAsia="Times New Roman" w:hAnsi="Arial"/>
                <w:color w:val="000000"/>
                <w:sz w:val="14"/>
                <w:szCs w:val="14"/>
                <w:lang w:eastAsia="en-NZ"/>
              </w:rPr>
              <w:t xml:space="preserve"> like?</w:t>
            </w:r>
          </w:p>
        </w:tc>
        <w:tc>
          <w:tcPr>
            <w:tcW w:w="709" w:type="dxa"/>
            <w:vAlign w:val="center"/>
            <w:hideMark/>
          </w:tcPr>
          <w:p w14:paraId="25B6EC7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034ADA9E" w14:textId="77777777" w:rsidTr="00366F04">
        <w:trPr>
          <w:trHeight w:val="280"/>
        </w:trPr>
        <w:tc>
          <w:tcPr>
            <w:tcW w:w="992" w:type="dxa"/>
            <w:vAlign w:val="center"/>
            <w:hideMark/>
          </w:tcPr>
          <w:p w14:paraId="556E4CD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Put up with cold</w:t>
            </w:r>
          </w:p>
        </w:tc>
        <w:tc>
          <w:tcPr>
            <w:tcW w:w="992" w:type="dxa"/>
            <w:vAlign w:val="center"/>
          </w:tcPr>
          <w:p w14:paraId="0386E1C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6891151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put up with feeling cold?</w:t>
            </w:r>
          </w:p>
        </w:tc>
        <w:tc>
          <w:tcPr>
            <w:tcW w:w="3119" w:type="dxa"/>
            <w:vAlign w:val="center"/>
            <w:hideMark/>
          </w:tcPr>
          <w:p w14:paraId="20E3063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put up with feeling cold? </w:t>
            </w:r>
          </w:p>
        </w:tc>
        <w:tc>
          <w:tcPr>
            <w:tcW w:w="709" w:type="dxa"/>
            <w:vAlign w:val="center"/>
            <w:hideMark/>
          </w:tcPr>
          <w:p w14:paraId="40727DA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56FE1FAB" w14:textId="77777777" w:rsidTr="00366F04">
        <w:trPr>
          <w:trHeight w:val="540"/>
        </w:trPr>
        <w:tc>
          <w:tcPr>
            <w:tcW w:w="992" w:type="dxa"/>
            <w:vAlign w:val="center"/>
            <w:hideMark/>
          </w:tcPr>
          <w:p w14:paraId="69B1914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Local trips</w:t>
            </w:r>
          </w:p>
        </w:tc>
        <w:tc>
          <w:tcPr>
            <w:tcW w:w="992" w:type="dxa"/>
            <w:vAlign w:val="center"/>
          </w:tcPr>
          <w:p w14:paraId="5C200FC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5509A60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do without or cut back on </w:t>
            </w:r>
            <w:r w:rsidRPr="00711FE4">
              <w:rPr>
                <w:rFonts w:ascii="Arial" w:eastAsia="Times New Roman" w:hAnsi="Arial"/>
                <w:color w:val="FF0000"/>
                <w:sz w:val="14"/>
                <w:szCs w:val="14"/>
                <w:lang w:eastAsia="en-NZ"/>
              </w:rPr>
              <w:t>trips to the shops or other local places</w:t>
            </w:r>
            <w:r w:rsidRPr="00711FE4">
              <w:rPr>
                <w:rFonts w:ascii="Arial" w:eastAsia="Times New Roman" w:hAnsi="Arial"/>
                <w:color w:val="000000"/>
                <w:sz w:val="14"/>
                <w:szCs w:val="14"/>
                <w:lang w:eastAsia="en-NZ"/>
              </w:rPr>
              <w:t>?</w:t>
            </w:r>
          </w:p>
        </w:tc>
        <w:tc>
          <w:tcPr>
            <w:tcW w:w="3119" w:type="dxa"/>
            <w:vAlign w:val="center"/>
            <w:hideMark/>
          </w:tcPr>
          <w:p w14:paraId="6E33FE0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to keep costs down,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do without or cut back on </w:t>
            </w:r>
            <w:r w:rsidRPr="00711FE4">
              <w:rPr>
                <w:rFonts w:ascii="Arial" w:eastAsia="Times New Roman" w:hAnsi="Arial"/>
                <w:color w:val="FF0000"/>
                <w:sz w:val="14"/>
                <w:szCs w:val="14"/>
                <w:lang w:eastAsia="en-NZ"/>
              </w:rPr>
              <w:t>visits to local places, including the shops?</w:t>
            </w:r>
            <w:r w:rsidRPr="00711FE4">
              <w:rPr>
                <w:rFonts w:ascii="Arial" w:eastAsia="Times New Roman" w:hAnsi="Arial"/>
                <w:color w:val="000000"/>
                <w:sz w:val="14"/>
                <w:szCs w:val="14"/>
                <w:lang w:eastAsia="en-NZ"/>
              </w:rPr>
              <w:t> </w:t>
            </w:r>
          </w:p>
        </w:tc>
        <w:tc>
          <w:tcPr>
            <w:tcW w:w="709" w:type="dxa"/>
            <w:vAlign w:val="center"/>
            <w:hideMark/>
          </w:tcPr>
          <w:p w14:paraId="5BA4A94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1B680860" w14:textId="77777777" w:rsidTr="00366F04">
        <w:trPr>
          <w:trHeight w:val="360"/>
        </w:trPr>
        <w:tc>
          <w:tcPr>
            <w:tcW w:w="992" w:type="dxa"/>
            <w:vAlign w:val="center"/>
            <w:hideMark/>
          </w:tcPr>
          <w:p w14:paraId="6E11C30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Appliances</w:t>
            </w:r>
          </w:p>
        </w:tc>
        <w:tc>
          <w:tcPr>
            <w:tcW w:w="992" w:type="dxa"/>
            <w:vAlign w:val="center"/>
          </w:tcPr>
          <w:p w14:paraId="3A73D09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0815093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delay replacing or repairing broken or damaged</w:t>
            </w:r>
            <w:r w:rsidRPr="00711FE4">
              <w:rPr>
                <w:rFonts w:ascii="Arial" w:eastAsia="Times New Roman" w:hAnsi="Arial"/>
                <w:color w:val="000000"/>
                <w:sz w:val="14"/>
                <w:szCs w:val="14"/>
                <w:lang w:eastAsia="en-NZ"/>
              </w:rPr>
              <w:t xml:space="preserve"> appliances?</w:t>
            </w:r>
          </w:p>
        </w:tc>
        <w:tc>
          <w:tcPr>
            <w:tcW w:w="3119" w:type="dxa"/>
            <w:vAlign w:val="center"/>
            <w:hideMark/>
          </w:tcPr>
          <w:p w14:paraId="2A105CB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 xml:space="preserve">the household had to put off </w:t>
            </w:r>
            <w:r w:rsidRPr="00711FE4">
              <w:rPr>
                <w:rFonts w:ascii="Arial" w:eastAsia="Times New Roman" w:hAnsi="Arial"/>
                <w:color w:val="000000"/>
                <w:sz w:val="14"/>
                <w:szCs w:val="14"/>
                <w:lang w:eastAsia="en-NZ"/>
              </w:rPr>
              <w:t>replacing or repairing appliances?</w:t>
            </w:r>
          </w:p>
        </w:tc>
        <w:tc>
          <w:tcPr>
            <w:tcW w:w="709" w:type="dxa"/>
            <w:vAlign w:val="center"/>
            <w:hideMark/>
          </w:tcPr>
          <w:p w14:paraId="50C11C5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725A1559" w14:textId="77777777" w:rsidTr="00366F04">
        <w:trPr>
          <w:trHeight w:val="360"/>
        </w:trPr>
        <w:tc>
          <w:tcPr>
            <w:tcW w:w="992" w:type="dxa"/>
            <w:vAlign w:val="center"/>
          </w:tcPr>
          <w:p w14:paraId="0116002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Furniture</w:t>
            </w:r>
          </w:p>
        </w:tc>
        <w:tc>
          <w:tcPr>
            <w:tcW w:w="992" w:type="dxa"/>
            <w:vAlign w:val="center"/>
          </w:tcPr>
          <w:p w14:paraId="44109143"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a lot</w:t>
            </w:r>
          </w:p>
        </w:tc>
        <w:tc>
          <w:tcPr>
            <w:tcW w:w="3114" w:type="dxa"/>
            <w:vAlign w:val="center"/>
          </w:tcPr>
          <w:p w14:paraId="4AA1A0E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ED0000"/>
                <w:kern w:val="2"/>
                <w:sz w:val="14"/>
                <w:szCs w:val="14"/>
                <w14:ligatures w14:val="standardContextual"/>
              </w:rPr>
              <w:t xml:space="preserve">… delay </w:t>
            </w:r>
            <w:r w:rsidRPr="00711FE4">
              <w:rPr>
                <w:rFonts w:ascii="Arial" w:hAnsi="Arial"/>
                <w:color w:val="000000"/>
                <w:kern w:val="2"/>
                <w:sz w:val="14"/>
                <w:szCs w:val="14"/>
                <w14:ligatures w14:val="standardContextual"/>
              </w:rPr>
              <w:t>replacing or repairing</w:t>
            </w:r>
            <w:r w:rsidRPr="00711FE4">
              <w:rPr>
                <w:rFonts w:ascii="Arial" w:hAnsi="Arial"/>
                <w:color w:val="ED0000"/>
                <w:kern w:val="2"/>
                <w:sz w:val="14"/>
                <w:szCs w:val="14"/>
                <w14:ligatures w14:val="standardContextual"/>
              </w:rPr>
              <w:t xml:space="preserve"> broken or worn-out</w:t>
            </w:r>
            <w:r w:rsidRPr="00711FE4">
              <w:rPr>
                <w:rFonts w:ascii="Arial" w:hAnsi="Arial"/>
                <w:color w:val="000000"/>
                <w:kern w:val="2"/>
                <w:sz w:val="14"/>
                <w:szCs w:val="14"/>
                <w14:ligatures w14:val="standardContextual"/>
              </w:rPr>
              <w:t xml:space="preserve"> furniture?</w:t>
            </w:r>
          </w:p>
        </w:tc>
        <w:tc>
          <w:tcPr>
            <w:tcW w:w="3119" w:type="dxa"/>
            <w:vAlign w:val="center"/>
          </w:tcPr>
          <w:p w14:paraId="35A713B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 has </w:t>
            </w:r>
            <w:r w:rsidRPr="00711FE4">
              <w:rPr>
                <w:rFonts w:ascii="Arial" w:hAnsi="Arial"/>
                <w:color w:val="FF0000"/>
                <w:kern w:val="2"/>
                <w:sz w:val="14"/>
                <w:szCs w:val="14"/>
                <w14:ligatures w14:val="standardContextual"/>
              </w:rPr>
              <w:t xml:space="preserve">the household had to put </w:t>
            </w:r>
            <w:r w:rsidRPr="00711FE4">
              <w:rPr>
                <w:rFonts w:ascii="Arial" w:hAnsi="Arial"/>
                <w:color w:val="ED0000"/>
                <w:kern w:val="2"/>
                <w:sz w:val="14"/>
                <w:szCs w:val="14"/>
                <w14:ligatures w14:val="standardContextual"/>
              </w:rPr>
              <w:t>off</w:t>
            </w:r>
            <w:r w:rsidRPr="00711FE4">
              <w:rPr>
                <w:rFonts w:ascii="Arial" w:hAnsi="Arial"/>
                <w:color w:val="000000"/>
                <w:kern w:val="2"/>
                <w:sz w:val="14"/>
                <w:szCs w:val="14"/>
                <w14:ligatures w14:val="standardContextual"/>
              </w:rPr>
              <w:t xml:space="preserve"> replacing or repairing furniture?</w:t>
            </w:r>
          </w:p>
        </w:tc>
        <w:tc>
          <w:tcPr>
            <w:tcW w:w="709" w:type="dxa"/>
            <w:vAlign w:val="center"/>
          </w:tcPr>
          <w:p w14:paraId="65AB293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71C449C7" w14:textId="77777777" w:rsidTr="00366F04">
        <w:trPr>
          <w:trHeight w:val="360"/>
        </w:trPr>
        <w:tc>
          <w:tcPr>
            <w:tcW w:w="992" w:type="dxa"/>
            <w:vAlign w:val="center"/>
          </w:tcPr>
          <w:p w14:paraId="04F1F1C5"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Hobbies</w:t>
            </w:r>
          </w:p>
        </w:tc>
        <w:tc>
          <w:tcPr>
            <w:tcW w:w="992" w:type="dxa"/>
            <w:vAlign w:val="center"/>
          </w:tcPr>
          <w:p w14:paraId="50D4BE8C"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a lot</w:t>
            </w:r>
          </w:p>
        </w:tc>
        <w:tc>
          <w:tcPr>
            <w:tcW w:w="3114" w:type="dxa"/>
            <w:vAlign w:val="center"/>
          </w:tcPr>
          <w:p w14:paraId="0C9EF29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spend less on hobbies or other special interests than you would like?</w:t>
            </w:r>
          </w:p>
        </w:tc>
        <w:tc>
          <w:tcPr>
            <w:tcW w:w="3119" w:type="dxa"/>
            <w:vAlign w:val="center"/>
          </w:tcPr>
          <w:p w14:paraId="48CDCD7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  to keep costs down, have you </w:t>
            </w:r>
            <w:r w:rsidRPr="00711FE4">
              <w:rPr>
                <w:rFonts w:ascii="Arial" w:hAnsi="Arial"/>
                <w:color w:val="FF0000"/>
                <w:kern w:val="2"/>
                <w:sz w:val="14"/>
                <w:szCs w:val="14"/>
                <w14:ligatures w14:val="standardContextual"/>
              </w:rPr>
              <w:t>ever</w:t>
            </w:r>
            <w:r w:rsidRPr="00711FE4">
              <w:rPr>
                <w:rFonts w:ascii="Arial" w:hAnsi="Arial"/>
                <w:color w:val="000000"/>
                <w:kern w:val="2"/>
                <w:sz w:val="14"/>
                <w:szCs w:val="14"/>
                <w14:ligatures w14:val="standardContextual"/>
              </w:rPr>
              <w:t xml:space="preserve"> had to spend less on hobbies or other special interests than you would like?</w:t>
            </w:r>
          </w:p>
        </w:tc>
        <w:tc>
          <w:tcPr>
            <w:tcW w:w="709" w:type="dxa"/>
            <w:vAlign w:val="center"/>
          </w:tcPr>
          <w:p w14:paraId="1A4F5D8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2C9FE079" w14:textId="77777777" w:rsidTr="00366F04">
        <w:trPr>
          <w:trHeight w:val="280"/>
        </w:trPr>
        <w:tc>
          <w:tcPr>
            <w:tcW w:w="992" w:type="dxa"/>
            <w:vAlign w:val="center"/>
            <w:hideMark/>
          </w:tcPr>
          <w:p w14:paraId="124F3E8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Doctor</w:t>
            </w:r>
          </w:p>
        </w:tc>
        <w:tc>
          <w:tcPr>
            <w:tcW w:w="992" w:type="dxa"/>
            <w:vAlign w:val="center"/>
          </w:tcPr>
          <w:p w14:paraId="051F400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1AE804B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postpone</w:t>
            </w:r>
            <w:r w:rsidRPr="00711FE4">
              <w:rPr>
                <w:rFonts w:ascii="Arial" w:eastAsia="Times New Roman" w:hAnsi="Arial"/>
                <w:color w:val="000000"/>
                <w:sz w:val="14"/>
                <w:szCs w:val="14"/>
                <w:lang w:eastAsia="en-NZ"/>
              </w:rPr>
              <w:t xml:space="preserve"> or put off visits to the doctor?</w:t>
            </w:r>
          </w:p>
        </w:tc>
        <w:tc>
          <w:tcPr>
            <w:tcW w:w="3119" w:type="dxa"/>
            <w:vAlign w:val="center"/>
            <w:hideMark/>
          </w:tcPr>
          <w:p w14:paraId="520AA95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put off going to the doctor? </w:t>
            </w:r>
          </w:p>
        </w:tc>
        <w:tc>
          <w:tcPr>
            <w:tcW w:w="709" w:type="dxa"/>
            <w:vAlign w:val="center"/>
            <w:hideMark/>
          </w:tcPr>
          <w:p w14:paraId="7E0F50E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4DDDE40D" w14:textId="77777777" w:rsidTr="00366F04">
        <w:trPr>
          <w:trHeight w:val="280"/>
        </w:trPr>
        <w:tc>
          <w:tcPr>
            <w:tcW w:w="992" w:type="dxa"/>
            <w:vAlign w:val="center"/>
            <w:hideMark/>
          </w:tcPr>
          <w:p w14:paraId="0C73561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Dentist</w:t>
            </w:r>
          </w:p>
        </w:tc>
        <w:tc>
          <w:tcPr>
            <w:tcW w:w="992" w:type="dxa"/>
            <w:vAlign w:val="center"/>
          </w:tcPr>
          <w:p w14:paraId="3FBAFC9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114" w:type="dxa"/>
            <w:vAlign w:val="center"/>
            <w:hideMark/>
          </w:tcPr>
          <w:p w14:paraId="0379CC5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postpone</w:t>
            </w:r>
            <w:r w:rsidRPr="00711FE4">
              <w:rPr>
                <w:rFonts w:ascii="Arial" w:eastAsia="Times New Roman" w:hAnsi="Arial"/>
                <w:color w:val="000000"/>
                <w:sz w:val="14"/>
                <w:szCs w:val="14"/>
                <w:lang w:eastAsia="en-NZ"/>
              </w:rPr>
              <w:t xml:space="preserve"> or put off visits to the dentist?</w:t>
            </w:r>
          </w:p>
        </w:tc>
        <w:tc>
          <w:tcPr>
            <w:tcW w:w="3119" w:type="dxa"/>
            <w:vAlign w:val="center"/>
            <w:hideMark/>
          </w:tcPr>
          <w:p w14:paraId="72A1972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put off going to the dentist? </w:t>
            </w:r>
          </w:p>
        </w:tc>
        <w:tc>
          <w:tcPr>
            <w:tcW w:w="709" w:type="dxa"/>
            <w:vAlign w:val="center"/>
            <w:hideMark/>
          </w:tcPr>
          <w:p w14:paraId="3C31643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725E6C05" w14:textId="77777777" w:rsidTr="00366F04">
        <w:trPr>
          <w:trHeight w:val="280"/>
        </w:trPr>
        <w:tc>
          <w:tcPr>
            <w:tcW w:w="1984" w:type="dxa"/>
            <w:gridSpan w:val="2"/>
            <w:shd w:val="clear" w:color="auto" w:fill="F2F2F2"/>
            <w:vAlign w:val="center"/>
            <w:hideMark/>
          </w:tcPr>
          <w:p w14:paraId="5482934C"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Housing problems</w:t>
            </w:r>
          </w:p>
        </w:tc>
        <w:tc>
          <w:tcPr>
            <w:tcW w:w="3114" w:type="dxa"/>
            <w:shd w:val="clear" w:color="auto" w:fill="F2F2F2"/>
            <w:vAlign w:val="center"/>
            <w:hideMark/>
          </w:tcPr>
          <w:p w14:paraId="3059BCE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3119" w:type="dxa"/>
            <w:shd w:val="clear" w:color="auto" w:fill="F2F2F2"/>
            <w:vAlign w:val="center"/>
            <w:hideMark/>
          </w:tcPr>
          <w:p w14:paraId="7DAFB749"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eastAsia="Times New Roman" w:hAnsi="Arial"/>
                <w:color w:val="A6A6A6"/>
                <w:sz w:val="14"/>
                <w:szCs w:val="14"/>
                <w:lang w:eastAsia="en-NZ"/>
              </w:rPr>
              <w:t> </w:t>
            </w:r>
          </w:p>
        </w:tc>
        <w:tc>
          <w:tcPr>
            <w:tcW w:w="709" w:type="dxa"/>
            <w:shd w:val="clear" w:color="auto" w:fill="F2F2F2"/>
            <w:vAlign w:val="center"/>
            <w:hideMark/>
          </w:tcPr>
          <w:p w14:paraId="59176A8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37F5BAB5" w14:textId="77777777" w:rsidTr="00366F04">
        <w:trPr>
          <w:trHeight w:val="280"/>
        </w:trPr>
        <w:tc>
          <w:tcPr>
            <w:tcW w:w="992" w:type="dxa"/>
            <w:vAlign w:val="center"/>
          </w:tcPr>
          <w:p w14:paraId="2B62F7C0"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Damp/mould problem</w:t>
            </w:r>
          </w:p>
        </w:tc>
        <w:tc>
          <w:tcPr>
            <w:tcW w:w="992" w:type="dxa"/>
            <w:vAlign w:val="center"/>
          </w:tcPr>
          <w:p w14:paraId="0EC74503"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major problem</w:t>
            </w:r>
          </w:p>
        </w:tc>
        <w:tc>
          <w:tcPr>
            <w:tcW w:w="3114" w:type="dxa"/>
            <w:vAlign w:val="center"/>
          </w:tcPr>
          <w:p w14:paraId="0DAF49C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Does</w:t>
            </w:r>
            <w:r w:rsidRPr="00711FE4">
              <w:rPr>
                <w:rFonts w:ascii="Arial" w:hAnsi="Arial"/>
                <w:color w:val="FF0000"/>
                <w:kern w:val="2"/>
                <w:sz w:val="14"/>
                <w:szCs w:val="14"/>
                <w14:ligatures w14:val="standardContextual"/>
              </w:rPr>
              <w:t xml:space="preserve"> your accommodation </w:t>
            </w:r>
            <w:r w:rsidRPr="00711FE4">
              <w:rPr>
                <w:rFonts w:ascii="Arial" w:hAnsi="Arial"/>
                <w:color w:val="000000"/>
                <w:kern w:val="2"/>
                <w:sz w:val="14"/>
                <w:szCs w:val="14"/>
                <w14:ligatures w14:val="standardContextual"/>
              </w:rPr>
              <w:t xml:space="preserve">have </w:t>
            </w:r>
            <w:r w:rsidRPr="00711FE4">
              <w:rPr>
                <w:rFonts w:ascii="Arial" w:hAnsi="Arial"/>
                <w:color w:val="FF0000"/>
                <w:kern w:val="2"/>
                <w:sz w:val="14"/>
                <w:szCs w:val="14"/>
                <w14:ligatures w14:val="standardContextual"/>
              </w:rPr>
              <w:t xml:space="preserve">no problem, a minor problem, or a major problem with </w:t>
            </w:r>
            <w:r w:rsidRPr="00711FE4">
              <w:rPr>
                <w:rFonts w:ascii="Arial" w:hAnsi="Arial"/>
                <w:color w:val="000000"/>
                <w:kern w:val="2"/>
                <w:sz w:val="14"/>
                <w:szCs w:val="14"/>
                <w14:ligatures w14:val="standardContextual"/>
              </w:rPr>
              <w:t>dampness or mould?</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 problem</w:t>
            </w:r>
            <w:r w:rsidRPr="00711FE4">
              <w:rPr>
                <w:rFonts w:ascii="Arial" w:hAnsi="Arial"/>
                <w:b/>
                <w:bCs/>
                <w:color w:val="000000"/>
                <w:kern w:val="2"/>
                <w:sz w:val="14"/>
                <w:szCs w:val="14"/>
                <w14:ligatures w14:val="standardContextual"/>
              </w:rPr>
              <w:br/>
              <w:t>minor problem</w:t>
            </w:r>
            <w:r w:rsidRPr="00711FE4">
              <w:rPr>
                <w:rFonts w:ascii="Arial" w:hAnsi="Arial"/>
                <w:b/>
                <w:bCs/>
                <w:color w:val="000000"/>
                <w:kern w:val="2"/>
                <w:sz w:val="14"/>
                <w:szCs w:val="14"/>
                <w14:ligatures w14:val="standardContextual"/>
              </w:rPr>
              <w:br/>
              <w:t>major problem</w:t>
            </w:r>
            <w:r w:rsidRPr="00711FE4">
              <w:rPr>
                <w:rFonts w:ascii="Arial" w:hAnsi="Arial"/>
                <w:b/>
                <w:bCs/>
                <w:color w:val="000000"/>
                <w:kern w:val="2"/>
                <w:sz w:val="14"/>
                <w:szCs w:val="14"/>
                <w14:ligatures w14:val="standardContextual"/>
              </w:rPr>
              <w:br/>
              <w:t>DK/RF</w:t>
            </w:r>
          </w:p>
        </w:tc>
        <w:tc>
          <w:tcPr>
            <w:tcW w:w="3119" w:type="dxa"/>
            <w:vAlign w:val="center"/>
          </w:tcPr>
          <w:p w14:paraId="18AE07ED"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hAnsi="Arial"/>
                <w:color w:val="000000"/>
                <w:kern w:val="2"/>
                <w:sz w:val="14"/>
                <w:szCs w:val="14"/>
                <w14:ligatures w14:val="standardContextual"/>
              </w:rPr>
              <w:t>Is</w:t>
            </w:r>
            <w:r w:rsidRPr="00711FE4">
              <w:rPr>
                <w:rFonts w:ascii="Arial" w:hAnsi="Arial"/>
                <w:color w:val="FF0000"/>
                <w:kern w:val="2"/>
                <w:sz w:val="14"/>
                <w:szCs w:val="14"/>
                <w14:ligatures w14:val="standardContextual"/>
              </w:rPr>
              <w:t xml:space="preserve"> there a problem with </w:t>
            </w:r>
            <w:r w:rsidRPr="00711FE4">
              <w:rPr>
                <w:rFonts w:ascii="Arial" w:hAnsi="Arial"/>
                <w:color w:val="000000"/>
                <w:kern w:val="2"/>
                <w:sz w:val="14"/>
                <w:szCs w:val="14"/>
                <w14:ligatures w14:val="standardContextual"/>
              </w:rPr>
              <w:t>mould or damp</w:t>
            </w:r>
            <w:r w:rsidRPr="00711FE4">
              <w:rPr>
                <w:rFonts w:ascii="Arial" w:hAnsi="Arial"/>
                <w:color w:val="FF0000"/>
                <w:kern w:val="2"/>
                <w:sz w:val="14"/>
                <w:szCs w:val="14"/>
                <w14:ligatures w14:val="standardContextual"/>
              </w:rPr>
              <w:t xml:space="preserve"> in your dwelling?</w:t>
            </w:r>
            <w:r w:rsidRPr="00711FE4">
              <w:rPr>
                <w:rFonts w:ascii="Arial" w:hAnsi="Arial"/>
                <w:color w:val="FF0000"/>
                <w:kern w:val="2"/>
                <w:sz w:val="14"/>
                <w:szCs w:val="14"/>
                <w14:ligatures w14:val="standardContextual"/>
              </w:rPr>
              <w:br/>
            </w:r>
            <w:r w:rsidRPr="00711FE4">
              <w:rPr>
                <w:rFonts w:ascii="Arial" w:hAnsi="Arial"/>
                <w:b/>
                <w:bCs/>
                <w:kern w:val="2"/>
                <w:sz w:val="14"/>
                <w:szCs w:val="14"/>
                <w14:ligatures w14:val="standardContextual"/>
              </w:rPr>
              <w:t xml:space="preserve">Yes/No/DK/RF </w:t>
            </w:r>
            <w:r w:rsidRPr="00711FE4">
              <w:rPr>
                <w:rFonts w:ascii="Arial" w:hAnsi="Arial"/>
                <w:b/>
                <w:bCs/>
                <w:kern w:val="2"/>
                <w:sz w:val="14"/>
                <w:szCs w:val="14"/>
                <w14:ligatures w14:val="standardContextual"/>
              </w:rPr>
              <w:br/>
            </w:r>
            <w:r w:rsidRPr="00711FE4">
              <w:rPr>
                <w:rFonts w:ascii="Arial" w:hAnsi="Arial"/>
                <w:color w:val="000000"/>
                <w:kern w:val="2"/>
                <w:sz w:val="14"/>
                <w:szCs w:val="14"/>
                <w14:ligatures w14:val="standardContextual"/>
              </w:rPr>
              <w:br/>
              <w:t xml:space="preserve">If </w:t>
            </w:r>
            <w:r w:rsidRPr="00711FE4">
              <w:rPr>
                <w:rFonts w:ascii="Arial" w:hAnsi="Arial"/>
                <w:b/>
                <w:bCs/>
                <w:color w:val="000000"/>
                <w:kern w:val="2"/>
                <w:sz w:val="14"/>
                <w:szCs w:val="14"/>
                <w14:ligatures w14:val="standardContextual"/>
              </w:rPr>
              <w:t>Yes</w:t>
            </w:r>
            <w:r w:rsidRPr="00711FE4">
              <w:rPr>
                <w:rFonts w:ascii="Arial" w:hAnsi="Arial"/>
                <w:color w:val="000000"/>
                <w:kern w:val="2"/>
                <w:sz w:val="14"/>
                <w:szCs w:val="14"/>
                <w14:ligatures w14:val="standardContextual"/>
              </w:rPr>
              <w:t xml:space="preserve">- </w:t>
            </w:r>
            <w:r w:rsidRPr="00711FE4">
              <w:rPr>
                <w:rFonts w:ascii="Arial" w:hAnsi="Arial"/>
                <w:color w:val="000000"/>
                <w:kern w:val="2"/>
                <w:sz w:val="14"/>
                <w:szCs w:val="14"/>
                <w14:ligatures w14:val="standardContextual"/>
              </w:rPr>
              <w:br/>
              <w:t xml:space="preserve">Would you say it's a </w:t>
            </w:r>
            <w:r w:rsidRPr="00711FE4">
              <w:rPr>
                <w:rFonts w:ascii="Arial" w:hAnsi="Arial"/>
                <w:color w:val="FF0000"/>
                <w:kern w:val="2"/>
                <w:sz w:val="14"/>
                <w:szCs w:val="14"/>
                <w14:ligatures w14:val="standardContextual"/>
              </w:rPr>
              <w:t>major problem or a minor problem</w:t>
            </w:r>
            <w:r w:rsidRPr="00711FE4">
              <w:rPr>
                <w:rFonts w:ascii="Arial" w:hAnsi="Arial"/>
                <w:color w:val="000000"/>
                <w:kern w:val="2"/>
                <w:sz w:val="14"/>
                <w:szCs w:val="14"/>
                <w14:ligatures w14:val="standardContextual"/>
              </w:rPr>
              <w:t>?</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major problem</w:t>
            </w:r>
            <w:r w:rsidRPr="00711FE4">
              <w:rPr>
                <w:rFonts w:ascii="Arial" w:hAnsi="Arial"/>
                <w:b/>
                <w:bCs/>
                <w:color w:val="000000"/>
                <w:kern w:val="2"/>
                <w:sz w:val="14"/>
                <w:szCs w:val="14"/>
                <w14:ligatures w14:val="standardContextual"/>
              </w:rPr>
              <w:br/>
              <w:t>minor problem</w:t>
            </w:r>
            <w:r w:rsidRPr="00711FE4">
              <w:rPr>
                <w:rFonts w:ascii="Arial" w:hAnsi="Arial"/>
                <w:b/>
                <w:bCs/>
                <w:color w:val="000000"/>
                <w:kern w:val="2"/>
                <w:sz w:val="14"/>
                <w:szCs w:val="14"/>
                <w14:ligatures w14:val="standardContextual"/>
              </w:rPr>
              <w:br/>
              <w:t>DK/RF</w:t>
            </w:r>
          </w:p>
        </w:tc>
        <w:tc>
          <w:tcPr>
            <w:tcW w:w="709" w:type="dxa"/>
            <w:vAlign w:val="center"/>
          </w:tcPr>
          <w:p w14:paraId="6772BE2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HOU</w:t>
            </w:r>
          </w:p>
        </w:tc>
      </w:tr>
      <w:tr w:rsidR="00711FE4" w:rsidRPr="00711FE4" w14:paraId="4848A600" w14:textId="77777777" w:rsidTr="00366F04">
        <w:trPr>
          <w:trHeight w:val="280"/>
        </w:trPr>
        <w:tc>
          <w:tcPr>
            <w:tcW w:w="992" w:type="dxa"/>
            <w:vAlign w:val="center"/>
          </w:tcPr>
          <w:p w14:paraId="690871BE"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Accomm warm problem</w:t>
            </w:r>
          </w:p>
        </w:tc>
        <w:tc>
          <w:tcPr>
            <w:tcW w:w="992" w:type="dxa"/>
            <w:vAlign w:val="center"/>
          </w:tcPr>
          <w:p w14:paraId="04006483"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 </w:t>
            </w:r>
          </w:p>
        </w:tc>
        <w:tc>
          <w:tcPr>
            <w:tcW w:w="3114" w:type="dxa"/>
            <w:vAlign w:val="center"/>
          </w:tcPr>
          <w:p w14:paraId="1E1CAAF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Does your accommodation have no problem/minor/major problem with heating and/or keeping it warm in winter?</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 problem</w:t>
            </w:r>
            <w:r w:rsidRPr="00711FE4">
              <w:rPr>
                <w:rFonts w:ascii="Arial" w:hAnsi="Arial"/>
                <w:b/>
                <w:bCs/>
                <w:color w:val="000000"/>
                <w:kern w:val="2"/>
                <w:sz w:val="14"/>
                <w:szCs w:val="14"/>
                <w14:ligatures w14:val="standardContextual"/>
              </w:rPr>
              <w:br/>
              <w:t>minor problem</w:t>
            </w:r>
            <w:r w:rsidRPr="00711FE4">
              <w:rPr>
                <w:rFonts w:ascii="Arial" w:hAnsi="Arial"/>
                <w:b/>
                <w:bCs/>
                <w:color w:val="000000"/>
                <w:kern w:val="2"/>
                <w:sz w:val="14"/>
                <w:szCs w:val="14"/>
                <w14:ligatures w14:val="standardContextual"/>
              </w:rPr>
              <w:br/>
              <w:t>major problem</w:t>
            </w:r>
            <w:r w:rsidRPr="00711FE4">
              <w:rPr>
                <w:rFonts w:ascii="Arial" w:hAnsi="Arial"/>
                <w:b/>
                <w:bCs/>
                <w:color w:val="000000"/>
                <w:kern w:val="2"/>
                <w:sz w:val="14"/>
                <w:szCs w:val="14"/>
                <w14:ligatures w14:val="standardContextual"/>
              </w:rPr>
              <w:br/>
              <w:t>DK/RF</w:t>
            </w:r>
          </w:p>
        </w:tc>
        <w:tc>
          <w:tcPr>
            <w:tcW w:w="3119" w:type="dxa"/>
            <w:vAlign w:val="center"/>
          </w:tcPr>
          <w:p w14:paraId="4CD69F9D"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hAnsi="Arial"/>
                <w:color w:val="A6A6A6"/>
                <w:kern w:val="2"/>
                <w:sz w:val="14"/>
                <w:szCs w:val="14"/>
                <w14:ligatures w14:val="standardContextual"/>
              </w:rPr>
              <w:t>question was removed in LIA</w:t>
            </w:r>
          </w:p>
        </w:tc>
        <w:tc>
          <w:tcPr>
            <w:tcW w:w="709" w:type="dxa"/>
            <w:vAlign w:val="center"/>
          </w:tcPr>
          <w:p w14:paraId="60B62F7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w:t>
            </w:r>
          </w:p>
        </w:tc>
      </w:tr>
      <w:tr w:rsidR="00711FE4" w:rsidRPr="00711FE4" w14:paraId="4070F1DD" w14:textId="77777777" w:rsidTr="00366F04">
        <w:trPr>
          <w:trHeight w:val="280"/>
        </w:trPr>
        <w:tc>
          <w:tcPr>
            <w:tcW w:w="992" w:type="dxa"/>
            <w:vAlign w:val="center"/>
          </w:tcPr>
          <w:p w14:paraId="261534CE"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Crowding</w:t>
            </w:r>
          </w:p>
        </w:tc>
        <w:tc>
          <w:tcPr>
            <w:tcW w:w="992" w:type="dxa"/>
            <w:vAlign w:val="center"/>
          </w:tcPr>
          <w:p w14:paraId="16977E68"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1+ or 2+ extra bedrooms required</w:t>
            </w:r>
          </w:p>
        </w:tc>
        <w:tc>
          <w:tcPr>
            <w:tcW w:w="3114" w:type="dxa"/>
            <w:vAlign w:val="center"/>
          </w:tcPr>
          <w:p w14:paraId="4CD91EC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(derived variable = Canadian Index)</w:t>
            </w:r>
          </w:p>
        </w:tc>
        <w:tc>
          <w:tcPr>
            <w:tcW w:w="3119" w:type="dxa"/>
            <w:vAlign w:val="center"/>
          </w:tcPr>
          <w:p w14:paraId="407E2DE1"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hAnsi="Arial"/>
                <w:color w:val="000000"/>
                <w:kern w:val="2"/>
                <w:sz w:val="14"/>
                <w:szCs w:val="14"/>
                <w14:ligatures w14:val="standardContextual"/>
              </w:rPr>
              <w:t>(derived variable = Canadian Index)</w:t>
            </w:r>
          </w:p>
        </w:tc>
        <w:tc>
          <w:tcPr>
            <w:tcW w:w="709" w:type="dxa"/>
            <w:vAlign w:val="center"/>
          </w:tcPr>
          <w:p w14:paraId="43B2E11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w:t>
            </w:r>
          </w:p>
        </w:tc>
      </w:tr>
      <w:tr w:rsidR="00711FE4" w:rsidRPr="00711FE4" w14:paraId="667CDD15" w14:textId="77777777" w:rsidTr="00366F04">
        <w:trPr>
          <w:trHeight w:val="280"/>
        </w:trPr>
        <w:tc>
          <w:tcPr>
            <w:tcW w:w="1984" w:type="dxa"/>
            <w:gridSpan w:val="2"/>
            <w:shd w:val="clear" w:color="auto" w:fill="F2F2F2"/>
            <w:vAlign w:val="center"/>
          </w:tcPr>
          <w:p w14:paraId="47FB76F6"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Freedoms / restrictions</w:t>
            </w:r>
          </w:p>
        </w:tc>
        <w:tc>
          <w:tcPr>
            <w:tcW w:w="3114" w:type="dxa"/>
            <w:shd w:val="clear" w:color="auto" w:fill="F2F2F2"/>
            <w:vAlign w:val="center"/>
          </w:tcPr>
          <w:p w14:paraId="150FA6B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tc>
        <w:tc>
          <w:tcPr>
            <w:tcW w:w="3119" w:type="dxa"/>
            <w:shd w:val="clear" w:color="auto" w:fill="F2F2F2"/>
            <w:vAlign w:val="center"/>
          </w:tcPr>
          <w:p w14:paraId="147C85AB" w14:textId="77777777" w:rsidR="00711FE4" w:rsidRPr="00711FE4" w:rsidRDefault="00711FE4" w:rsidP="00711FE4">
            <w:pPr>
              <w:spacing w:before="40" w:after="40" w:line="240" w:lineRule="auto"/>
              <w:rPr>
                <w:rFonts w:ascii="Arial" w:eastAsia="Times New Roman" w:hAnsi="Arial"/>
                <w:color w:val="A6A6A6"/>
                <w:sz w:val="14"/>
                <w:szCs w:val="14"/>
                <w:lang w:eastAsia="en-NZ"/>
              </w:rPr>
            </w:pPr>
          </w:p>
        </w:tc>
        <w:tc>
          <w:tcPr>
            <w:tcW w:w="709" w:type="dxa"/>
            <w:shd w:val="clear" w:color="auto" w:fill="F2F2F2"/>
            <w:vAlign w:val="center"/>
          </w:tcPr>
          <w:p w14:paraId="08209EE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p>
        </w:tc>
      </w:tr>
      <w:tr w:rsidR="00711FE4" w:rsidRPr="00711FE4" w14:paraId="1C418ECE" w14:textId="77777777" w:rsidTr="00366F04">
        <w:trPr>
          <w:trHeight w:val="274"/>
        </w:trPr>
        <w:tc>
          <w:tcPr>
            <w:tcW w:w="992" w:type="dxa"/>
            <w:vAlign w:val="center"/>
          </w:tcPr>
          <w:p w14:paraId="5F3A4E5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Personal money</w:t>
            </w:r>
          </w:p>
        </w:tc>
        <w:tc>
          <w:tcPr>
            <w:tcW w:w="992" w:type="dxa"/>
            <w:vAlign w:val="center"/>
          </w:tcPr>
          <w:p w14:paraId="5ADB2B2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none / under $10</w:t>
            </w:r>
          </w:p>
        </w:tc>
        <w:tc>
          <w:tcPr>
            <w:tcW w:w="3114" w:type="dxa"/>
            <w:vAlign w:val="center"/>
          </w:tcPr>
          <w:p w14:paraId="25144E9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About how much money</w:t>
            </w:r>
            <w:r w:rsidRPr="00711FE4">
              <w:rPr>
                <w:rFonts w:ascii="Arial" w:hAnsi="Arial"/>
                <w:color w:val="ED0000"/>
                <w:kern w:val="2"/>
                <w:sz w:val="14"/>
                <w:szCs w:val="14"/>
                <w14:ligatures w14:val="standardContextual"/>
              </w:rPr>
              <w:t xml:space="preserve">, </w:t>
            </w:r>
            <w:r w:rsidRPr="00711FE4">
              <w:rPr>
                <w:rFonts w:ascii="Arial" w:hAnsi="Arial"/>
                <w:color w:val="000000"/>
                <w:kern w:val="2"/>
                <w:sz w:val="14"/>
                <w:szCs w:val="14"/>
                <w14:ligatures w14:val="standardContextual"/>
              </w:rPr>
              <w:t xml:space="preserve">on average, do you have each week for spending on </w:t>
            </w:r>
            <w:r w:rsidRPr="00711FE4">
              <w:rPr>
                <w:rFonts w:ascii="Arial" w:hAnsi="Arial"/>
                <w:color w:val="ED0000"/>
                <w:kern w:val="2"/>
                <w:sz w:val="14"/>
                <w:szCs w:val="14"/>
                <w14:ligatures w14:val="standardContextual"/>
              </w:rPr>
              <w:t>things for</w:t>
            </w:r>
            <w:r w:rsidRPr="00711FE4">
              <w:rPr>
                <w:rFonts w:ascii="Arial" w:hAnsi="Arial"/>
                <w:color w:val="000000"/>
                <w:kern w:val="2"/>
                <w:sz w:val="14"/>
                <w:szCs w:val="14"/>
                <w14:ligatures w14:val="standardContextual"/>
              </w:rPr>
              <w:t xml:space="preserve"> </w:t>
            </w:r>
            <w:r w:rsidRPr="00711FE4">
              <w:rPr>
                <w:rFonts w:ascii="Arial" w:hAnsi="Arial"/>
                <w:color w:val="FF0000"/>
                <w:kern w:val="2"/>
                <w:sz w:val="14"/>
                <w:szCs w:val="14"/>
                <w14:ligatures w14:val="standardContextual"/>
              </w:rPr>
              <w:t xml:space="preserve">yourself </w:t>
            </w:r>
            <w:r w:rsidRPr="00711FE4">
              <w:rPr>
                <w:rFonts w:ascii="Arial" w:hAnsi="Arial"/>
                <w:color w:val="ED0000"/>
                <w:kern w:val="2"/>
                <w:sz w:val="14"/>
                <w:szCs w:val="14"/>
                <w14:ligatures w14:val="standardContextual"/>
              </w:rPr>
              <w:t>without consulting anyone else</w:t>
            </w:r>
            <w:r w:rsidRPr="00711FE4">
              <w:rPr>
                <w:rFonts w:ascii="Arial" w:hAnsi="Arial"/>
                <w:color w:val="000000"/>
                <w:kern w:val="2"/>
                <w:sz w:val="14"/>
                <w:szCs w:val="14"/>
                <w14:ligatures w14:val="standardContextual"/>
              </w:rPr>
              <w:t>?</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none / under $10 / $10 – $25 / $26 – $50 / more than $50 / DK / RF</w:t>
            </w:r>
          </w:p>
        </w:tc>
        <w:tc>
          <w:tcPr>
            <w:tcW w:w="3119" w:type="dxa"/>
            <w:vAlign w:val="center"/>
          </w:tcPr>
          <w:p w14:paraId="1716D5C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About how much money on average do you have each week for </w:t>
            </w:r>
            <w:r w:rsidRPr="00711FE4">
              <w:rPr>
                <w:rFonts w:ascii="Arial" w:hAnsi="Arial"/>
                <w:color w:val="FF0000"/>
                <w:kern w:val="2"/>
                <w:sz w:val="14"/>
                <w:szCs w:val="14"/>
                <w14:ligatures w14:val="standardContextual"/>
              </w:rPr>
              <w:t>spending on yourself</w:t>
            </w:r>
            <w:r w:rsidRPr="00711FE4">
              <w:rPr>
                <w:rFonts w:ascii="Arial" w:hAnsi="Arial"/>
                <w:color w:val="000000"/>
                <w:kern w:val="2"/>
                <w:sz w:val="14"/>
                <w:szCs w:val="14"/>
                <w14:ligatures w14:val="standardContextual"/>
              </w:rPr>
              <w:t>?</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None / under $10 / $10 – $25 / $26 – $50 / more than $50 / DK / RF</w:t>
            </w:r>
          </w:p>
        </w:tc>
        <w:tc>
          <w:tcPr>
            <w:tcW w:w="709" w:type="dxa"/>
            <w:vAlign w:val="center"/>
          </w:tcPr>
          <w:p w14:paraId="62135F7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5EF96555" w14:textId="77777777" w:rsidTr="00366F04">
        <w:trPr>
          <w:trHeight w:val="274"/>
        </w:trPr>
        <w:tc>
          <w:tcPr>
            <w:tcW w:w="992" w:type="dxa"/>
            <w:vAlign w:val="center"/>
          </w:tcPr>
          <w:p w14:paraId="1A10280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Limited by money</w:t>
            </w:r>
          </w:p>
        </w:tc>
        <w:tc>
          <w:tcPr>
            <w:tcW w:w="992" w:type="dxa"/>
            <w:vAlign w:val="center"/>
          </w:tcPr>
          <w:p w14:paraId="78DBD740"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very limited</w:t>
            </w:r>
          </w:p>
        </w:tc>
        <w:tc>
          <w:tcPr>
            <w:tcW w:w="3114" w:type="dxa"/>
            <w:vAlign w:val="center"/>
          </w:tcPr>
          <w:p w14:paraId="24DD9C2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When buying, or thinking about buying, clothes or shoes for yourself, how much do you usually feel limited by the money available?</w:t>
            </w:r>
            <w:r w:rsidRPr="00711FE4">
              <w:rPr>
                <w:rFonts w:ascii="Arial" w:eastAsia="Times New Roman" w:hAnsi="Arial"/>
                <w:color w:val="000000"/>
                <w:sz w:val="14"/>
                <w:szCs w:val="14"/>
                <w:lang w:eastAsia="en-NZ"/>
              </w:rPr>
              <w:br/>
              <w:t>If no money available, select 'very limited'</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limited / a little limited / quite limited / very limited / DK / RF</w:t>
            </w:r>
          </w:p>
        </w:tc>
        <w:tc>
          <w:tcPr>
            <w:tcW w:w="3119" w:type="dxa"/>
            <w:vAlign w:val="center"/>
          </w:tcPr>
          <w:p w14:paraId="64BB446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When buying or thinking about buying clothes or shoes for yourself, how much do you feel limited by the money you have available?</w:t>
            </w:r>
            <w:r w:rsidRPr="00711FE4">
              <w:rPr>
                <w:rFonts w:ascii="Arial" w:eastAsia="Times New Roman" w:hAnsi="Arial"/>
                <w:color w:val="000000"/>
                <w:sz w:val="14"/>
                <w:szCs w:val="14"/>
                <w:lang w:eastAsia="en-NZ"/>
              </w:rPr>
              <w:br/>
              <w:t>If no money available, select 'very limited'.</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limited / a little limited / quite limited / very limited / DK / RF</w:t>
            </w:r>
          </w:p>
        </w:tc>
        <w:tc>
          <w:tcPr>
            <w:tcW w:w="709" w:type="dxa"/>
            <w:vAlign w:val="center"/>
          </w:tcPr>
          <w:p w14:paraId="7F3CEA6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49367A59" w14:textId="77777777" w:rsidTr="00366F04">
        <w:trPr>
          <w:trHeight w:val="274"/>
        </w:trPr>
        <w:tc>
          <w:tcPr>
            <w:tcW w:w="992" w:type="dxa"/>
            <w:vAlign w:val="center"/>
          </w:tcPr>
          <w:p w14:paraId="20B147B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Non-essential item</w:t>
            </w:r>
          </w:p>
        </w:tc>
        <w:tc>
          <w:tcPr>
            <w:tcW w:w="992" w:type="dxa"/>
            <w:vAlign w:val="center"/>
          </w:tcPr>
          <w:p w14:paraId="4C192F84"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very limited or couldn't buy it</w:t>
            </w:r>
          </w:p>
        </w:tc>
        <w:tc>
          <w:tcPr>
            <w:tcW w:w="3114" w:type="dxa"/>
            <w:vAlign w:val="center"/>
          </w:tcPr>
          <w:p w14:paraId="7D40B45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Imagine that you have</w:t>
            </w:r>
            <w:r w:rsidRPr="00711FE4">
              <w:rPr>
                <w:rFonts w:ascii="Arial" w:hAnsi="Arial"/>
                <w:color w:val="ED0000"/>
                <w:kern w:val="2"/>
                <w:sz w:val="14"/>
                <w:szCs w:val="14"/>
                <w14:ligatures w14:val="standardContextual"/>
              </w:rPr>
              <w:t xml:space="preserve"> come across an item in a shop or on the internet that you would </w:t>
            </w:r>
            <w:r w:rsidRPr="00711FE4">
              <w:rPr>
                <w:rFonts w:ascii="Arial" w:hAnsi="Arial"/>
                <w:color w:val="000000"/>
                <w:kern w:val="2"/>
                <w:sz w:val="14"/>
                <w:szCs w:val="14"/>
                <w14:ligatures w14:val="standardContextual"/>
              </w:rPr>
              <w:t>really like to have</w:t>
            </w:r>
            <w:r w:rsidRPr="00711FE4">
              <w:rPr>
                <w:rFonts w:ascii="Arial" w:hAnsi="Arial"/>
                <w:color w:val="ED0000"/>
                <w:kern w:val="2"/>
                <w:sz w:val="14"/>
                <w:szCs w:val="14"/>
                <w14:ligatures w14:val="standardContextual"/>
              </w:rPr>
              <w:t>. It has a price tag of $300</w:t>
            </w:r>
            <w:r w:rsidRPr="00711FE4">
              <w:rPr>
                <w:rFonts w:ascii="Arial" w:hAnsi="Arial"/>
                <w:color w:val="000000"/>
                <w:kern w:val="2"/>
                <w:sz w:val="14"/>
                <w:szCs w:val="14"/>
                <w14:ligatures w14:val="standardContextual"/>
              </w:rPr>
              <w:t>. It is not an essential item for accommodation, food, clothing, or other necessities – it’s an extra.</w:t>
            </w:r>
            <w:r w:rsidRPr="00711FE4">
              <w:rPr>
                <w:rFonts w:ascii="Arial" w:hAnsi="Arial"/>
                <w:color w:val="ED0000"/>
                <w:kern w:val="2"/>
                <w:sz w:val="14"/>
                <w:szCs w:val="14"/>
                <w14:ligatures w14:val="standardContextual"/>
              </w:rPr>
              <w:t xml:space="preserve"> If this happened in the next month</w:t>
            </w:r>
            <w:r w:rsidRPr="00711FE4">
              <w:rPr>
                <w:rFonts w:ascii="Arial" w:hAnsi="Arial"/>
                <w:color w:val="000000"/>
                <w:kern w:val="2"/>
                <w:sz w:val="14"/>
                <w:szCs w:val="14"/>
                <w14:ligatures w14:val="standardContextual"/>
              </w:rPr>
              <w:t>, how limited would you feel about buying it?</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not at all limited / a little limited / quite limited / very limited / couldn't buy it / DK / RF</w:t>
            </w:r>
          </w:p>
        </w:tc>
        <w:tc>
          <w:tcPr>
            <w:tcW w:w="3119" w:type="dxa"/>
            <w:vAlign w:val="center"/>
          </w:tcPr>
          <w:p w14:paraId="3653623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Imagine </w:t>
            </w:r>
            <w:r w:rsidRPr="00711FE4">
              <w:rPr>
                <w:rFonts w:ascii="Arial" w:hAnsi="Arial"/>
                <w:color w:val="ED0000"/>
                <w:kern w:val="2"/>
                <w:sz w:val="14"/>
                <w:szCs w:val="14"/>
                <w14:ligatures w14:val="standardContextual"/>
              </w:rPr>
              <w:t>there's something</w:t>
            </w:r>
            <w:r w:rsidRPr="00711FE4">
              <w:rPr>
                <w:rFonts w:ascii="Arial" w:hAnsi="Arial"/>
                <w:color w:val="000000"/>
                <w:kern w:val="2"/>
                <w:sz w:val="14"/>
                <w:szCs w:val="14"/>
                <w14:ligatures w14:val="standardContextual"/>
              </w:rPr>
              <w:t xml:space="preserve"> you'd really like to have which costs</w:t>
            </w:r>
            <w:r w:rsidRPr="00711FE4">
              <w:rPr>
                <w:rFonts w:ascii="Arial" w:hAnsi="Arial"/>
                <w:color w:val="ED0000"/>
                <w:kern w:val="2"/>
                <w:sz w:val="14"/>
                <w:szCs w:val="14"/>
                <w14:ligatures w14:val="standardContextual"/>
              </w:rPr>
              <w:t xml:space="preserve"> $400.</w:t>
            </w:r>
            <w:r w:rsidRPr="00711FE4">
              <w:rPr>
                <w:rFonts w:ascii="Arial" w:hAnsi="Arial"/>
                <w:color w:val="000000"/>
                <w:kern w:val="2"/>
                <w:sz w:val="14"/>
                <w:szCs w:val="14"/>
                <w14:ligatures w14:val="standardContextual"/>
              </w:rPr>
              <w:t xml:space="preserve"> It's not an essential item for accommodation, food, clothing, or other necessities - it's an extra. Looking at showcard P111, if this happened in the next month, how limited, if at all, would you feel about buying it?</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not at all limited / a little limited / quite limited / very limited / couldn't buy it / DK / RF</w:t>
            </w:r>
          </w:p>
        </w:tc>
        <w:tc>
          <w:tcPr>
            <w:tcW w:w="709" w:type="dxa"/>
            <w:vAlign w:val="center"/>
          </w:tcPr>
          <w:p w14:paraId="37EAE3E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7AE158F1" w14:textId="77777777" w:rsidTr="00366F04">
        <w:trPr>
          <w:trHeight w:val="900"/>
        </w:trPr>
        <w:tc>
          <w:tcPr>
            <w:tcW w:w="992" w:type="dxa"/>
            <w:vAlign w:val="center"/>
            <w:hideMark/>
          </w:tcPr>
          <w:p w14:paraId="4A00893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Unexpected $500</w:t>
            </w:r>
          </w:p>
        </w:tc>
        <w:tc>
          <w:tcPr>
            <w:tcW w:w="992" w:type="dxa"/>
            <w:vAlign w:val="center"/>
          </w:tcPr>
          <w:p w14:paraId="119CD78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w:t>
            </w:r>
          </w:p>
        </w:tc>
        <w:tc>
          <w:tcPr>
            <w:tcW w:w="3114" w:type="dxa"/>
            <w:vAlign w:val="center"/>
            <w:hideMark/>
          </w:tcPr>
          <w:p w14:paraId="49041F2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color w:val="FF0000"/>
                <w:sz w:val="14"/>
                <w:szCs w:val="14"/>
                <w:lang w:eastAsia="en-NZ"/>
              </w:rPr>
              <w:t>you [or your partner]</w:t>
            </w:r>
            <w:r w:rsidRPr="00711FE4">
              <w:rPr>
                <w:rFonts w:ascii="Arial" w:eastAsia="Times New Roman" w:hAnsi="Arial"/>
                <w:color w:val="000000"/>
                <w:sz w:val="14"/>
                <w:szCs w:val="14"/>
                <w:lang w:eastAsia="en-NZ"/>
              </w:rPr>
              <w:t xml:space="preserve"> had an unexpected and unavoidable expense of $500 in the next week, could you pay it </w:t>
            </w:r>
            <w:r w:rsidRPr="00711FE4">
              <w:rPr>
                <w:rFonts w:ascii="Arial" w:eastAsia="Times New Roman" w:hAnsi="Arial"/>
                <w:color w:val="FF0000"/>
                <w:sz w:val="14"/>
                <w:szCs w:val="14"/>
                <w:lang w:eastAsia="en-NZ"/>
              </w:rPr>
              <w:t xml:space="preserve">within </w:t>
            </w:r>
            <w:r w:rsidRPr="00711FE4">
              <w:rPr>
                <w:rFonts w:ascii="Arial" w:eastAsia="Times New Roman" w:hAnsi="Arial"/>
                <w:color w:val="000000"/>
                <w:sz w:val="14"/>
                <w:szCs w:val="14"/>
                <w:lang w:eastAsia="en-NZ"/>
              </w:rPr>
              <w:t>a month without borrowing? </w:t>
            </w:r>
            <w:r w:rsidRPr="00711FE4">
              <w:rPr>
                <w:rFonts w:ascii="Arial" w:eastAsia="Times New Roman" w:hAnsi="Arial"/>
                <w:color w:val="000000"/>
                <w:sz w:val="6"/>
                <w:szCs w:val="6"/>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p>
        </w:tc>
        <w:tc>
          <w:tcPr>
            <w:tcW w:w="3119" w:type="dxa"/>
            <w:vAlign w:val="center"/>
            <w:hideMark/>
          </w:tcPr>
          <w:p w14:paraId="3E2B998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had an unexpected and unavoidable expense of $500 in the next week, could you pay it </w:t>
            </w:r>
            <w:r w:rsidRPr="00711FE4">
              <w:rPr>
                <w:rFonts w:ascii="Arial" w:eastAsia="Times New Roman" w:hAnsi="Arial"/>
                <w:color w:val="FF0000"/>
                <w:sz w:val="14"/>
                <w:szCs w:val="14"/>
                <w:lang w:eastAsia="en-NZ"/>
              </w:rPr>
              <w:t xml:space="preserve">within </w:t>
            </w:r>
            <w:r w:rsidRPr="00711FE4">
              <w:rPr>
                <w:rFonts w:ascii="Arial" w:eastAsia="Times New Roman" w:hAnsi="Arial"/>
                <w:color w:val="000000"/>
                <w:sz w:val="14"/>
                <w:szCs w:val="14"/>
                <w:lang w:eastAsia="en-NZ"/>
              </w:rPr>
              <w:t>a month without borrowing?</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p>
        </w:tc>
        <w:tc>
          <w:tcPr>
            <w:tcW w:w="709" w:type="dxa"/>
            <w:vAlign w:val="center"/>
            <w:hideMark/>
          </w:tcPr>
          <w:p w14:paraId="29AD5D4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0CFA92FA" w14:textId="77777777" w:rsidTr="00366F04">
        <w:trPr>
          <w:trHeight w:val="900"/>
        </w:trPr>
        <w:tc>
          <w:tcPr>
            <w:tcW w:w="992" w:type="dxa"/>
            <w:vAlign w:val="center"/>
          </w:tcPr>
          <w:p w14:paraId="321E0D1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Unexpected $2000</w:t>
            </w:r>
          </w:p>
        </w:tc>
        <w:tc>
          <w:tcPr>
            <w:tcW w:w="992" w:type="dxa"/>
            <w:vAlign w:val="center"/>
          </w:tcPr>
          <w:p w14:paraId="45E7EDDD"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 xml:space="preserve">no </w:t>
            </w:r>
          </w:p>
          <w:p w14:paraId="6D9D02F6"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(or no to Unexpected$500)</w:t>
            </w:r>
          </w:p>
        </w:tc>
        <w:tc>
          <w:tcPr>
            <w:tcW w:w="3114" w:type="dxa"/>
            <w:vAlign w:val="center"/>
          </w:tcPr>
          <w:p w14:paraId="3B8782B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(if yes to qUnexpected500) - And what If </w:t>
            </w:r>
            <w:r w:rsidRPr="00711FE4">
              <w:rPr>
                <w:rFonts w:ascii="Arial" w:hAnsi="Arial"/>
                <w:color w:val="ED0000"/>
                <w:kern w:val="2"/>
                <w:sz w:val="14"/>
                <w:szCs w:val="14"/>
                <w14:ligatures w14:val="standardContextual"/>
              </w:rPr>
              <w:t>you [or your partner]</w:t>
            </w:r>
            <w:r w:rsidRPr="00711FE4">
              <w:rPr>
                <w:rFonts w:ascii="Arial" w:hAnsi="Arial"/>
                <w:color w:val="000000"/>
                <w:kern w:val="2"/>
                <w:sz w:val="14"/>
                <w:szCs w:val="14"/>
                <w14:ligatures w14:val="standardContextual"/>
              </w:rPr>
              <w:t xml:space="preserve"> had an unexpected and unavoidable expense of </w:t>
            </w:r>
            <w:r w:rsidRPr="00711FE4">
              <w:rPr>
                <w:rFonts w:ascii="Arial" w:hAnsi="Arial"/>
                <w:color w:val="FF0000"/>
                <w:kern w:val="2"/>
                <w:sz w:val="14"/>
                <w:szCs w:val="14"/>
                <w14:ligatures w14:val="standardContextual"/>
              </w:rPr>
              <w:t xml:space="preserve">$1500 </w:t>
            </w:r>
            <w:r w:rsidRPr="00711FE4">
              <w:rPr>
                <w:rFonts w:ascii="Arial" w:hAnsi="Arial"/>
                <w:color w:val="000000"/>
                <w:kern w:val="2"/>
                <w:sz w:val="14"/>
                <w:szCs w:val="14"/>
                <w14:ligatures w14:val="standardContextual"/>
              </w:rPr>
              <w:t>in the next week? Could you pay that amount within a month without borrowing? </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lastRenderedPageBreak/>
              <w:br/>
            </w:r>
            <w:r w:rsidRPr="00711FE4">
              <w:rPr>
                <w:rFonts w:ascii="Arial" w:hAnsi="Arial"/>
                <w:b/>
                <w:bCs/>
                <w:color w:val="000000"/>
                <w:kern w:val="2"/>
                <w:sz w:val="14"/>
                <w:szCs w:val="14"/>
                <w14:ligatures w14:val="standardContextual"/>
              </w:rPr>
              <w:t>yes/no/DK/RF</w:t>
            </w:r>
          </w:p>
        </w:tc>
        <w:tc>
          <w:tcPr>
            <w:tcW w:w="3119" w:type="dxa"/>
            <w:vAlign w:val="center"/>
          </w:tcPr>
          <w:p w14:paraId="58AF71B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lastRenderedPageBreak/>
              <w:t xml:space="preserve">(if yes to qUnexpected500) - And what if </w:t>
            </w:r>
            <w:r w:rsidRPr="00711FE4">
              <w:rPr>
                <w:rFonts w:ascii="Arial" w:hAnsi="Arial"/>
                <w:color w:val="ED0000"/>
                <w:kern w:val="2"/>
                <w:sz w:val="14"/>
                <w:szCs w:val="14"/>
                <w14:ligatures w14:val="standardContextual"/>
              </w:rPr>
              <w:t>your household</w:t>
            </w:r>
            <w:r w:rsidRPr="00711FE4">
              <w:rPr>
                <w:rFonts w:ascii="Arial" w:hAnsi="Arial"/>
                <w:color w:val="000000"/>
                <w:kern w:val="2"/>
                <w:sz w:val="14"/>
                <w:szCs w:val="14"/>
                <w14:ligatures w14:val="standardContextual"/>
              </w:rPr>
              <w:t xml:space="preserve"> had an unexpected and unavoidable expense of</w:t>
            </w:r>
            <w:r w:rsidRPr="00711FE4">
              <w:rPr>
                <w:rFonts w:ascii="Arial" w:hAnsi="Arial"/>
                <w:color w:val="ED0000"/>
                <w:kern w:val="2"/>
                <w:sz w:val="14"/>
                <w:szCs w:val="14"/>
                <w14:ligatures w14:val="standardContextual"/>
              </w:rPr>
              <w:t xml:space="preserve"> $2000</w:t>
            </w:r>
            <w:r w:rsidRPr="00711FE4">
              <w:rPr>
                <w:rFonts w:ascii="Arial" w:hAnsi="Arial"/>
                <w:color w:val="000000"/>
                <w:kern w:val="2"/>
                <w:sz w:val="14"/>
                <w:szCs w:val="14"/>
                <w14:ligatures w14:val="standardContextual"/>
              </w:rPr>
              <w:t xml:space="preserve"> in the next week. Could you pay</w:t>
            </w:r>
            <w:r w:rsidRPr="00711FE4">
              <w:rPr>
                <w:rFonts w:ascii="Arial" w:hAnsi="Arial"/>
                <w:color w:val="ED0000"/>
                <w:kern w:val="2"/>
                <w:sz w:val="14"/>
                <w:szCs w:val="14"/>
                <w14:ligatures w14:val="standardContextual"/>
              </w:rPr>
              <w:t xml:space="preserve"> </w:t>
            </w:r>
            <w:r w:rsidRPr="00711FE4">
              <w:rPr>
                <w:rFonts w:ascii="Arial" w:hAnsi="Arial"/>
                <w:color w:val="000000"/>
                <w:kern w:val="2"/>
                <w:sz w:val="14"/>
                <w:szCs w:val="14"/>
                <w14:ligatures w14:val="standardContextual"/>
              </w:rPr>
              <w:t>that amount within a month without borrowing?</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lastRenderedPageBreak/>
              <w:br/>
            </w:r>
            <w:r w:rsidRPr="00711FE4">
              <w:rPr>
                <w:rFonts w:ascii="Arial" w:hAnsi="Arial"/>
                <w:b/>
                <w:bCs/>
                <w:color w:val="000000"/>
                <w:kern w:val="2"/>
                <w:sz w:val="14"/>
                <w:szCs w:val="14"/>
                <w14:ligatures w14:val="standardContextual"/>
              </w:rPr>
              <w:t>yes/no/DK/RF</w:t>
            </w:r>
          </w:p>
        </w:tc>
        <w:tc>
          <w:tcPr>
            <w:tcW w:w="709" w:type="dxa"/>
            <w:vAlign w:val="center"/>
          </w:tcPr>
          <w:p w14:paraId="5DAB3AC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lastRenderedPageBreak/>
              <w:t>HSP</w:t>
            </w:r>
          </w:p>
        </w:tc>
      </w:tr>
      <w:tr w:rsidR="00711FE4" w:rsidRPr="00711FE4" w14:paraId="7C24685E" w14:textId="77777777" w:rsidTr="00366F04">
        <w:trPr>
          <w:trHeight w:val="1440"/>
        </w:trPr>
        <w:tc>
          <w:tcPr>
            <w:tcW w:w="1984" w:type="dxa"/>
            <w:gridSpan w:val="2"/>
            <w:shd w:val="clear" w:color="auto" w:fill="F2F2F2"/>
            <w:vAlign w:val="center"/>
            <w:hideMark/>
          </w:tcPr>
          <w:p w14:paraId="03E53A85"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Financial strain</w:t>
            </w:r>
          </w:p>
        </w:tc>
        <w:tc>
          <w:tcPr>
            <w:tcW w:w="3114" w:type="dxa"/>
            <w:shd w:val="clear" w:color="auto" w:fill="F2F2F2"/>
            <w:vAlign w:val="center"/>
            <w:hideMark/>
          </w:tcPr>
          <w:p w14:paraId="0C02AE8D"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In the last 12 months, have any of the following happened to you or your partner because of a shortage of money?</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For each item use showcard S6 to tell me if it happened ‘not at all’, ‘once only’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 once only / more than once / DK / RF</w:t>
            </w:r>
          </w:p>
        </w:tc>
        <w:tc>
          <w:tcPr>
            <w:tcW w:w="3119" w:type="dxa"/>
            <w:shd w:val="clear" w:color="auto" w:fill="F2F2F2"/>
            <w:vAlign w:val="center"/>
            <w:hideMark/>
          </w:tcPr>
          <w:p w14:paraId="5DEF0D78"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Because of a shortage of money, in the last 12 months…</w:t>
            </w:r>
          </w:p>
        </w:tc>
        <w:tc>
          <w:tcPr>
            <w:tcW w:w="709" w:type="dxa"/>
            <w:shd w:val="clear" w:color="auto" w:fill="F2F2F2"/>
            <w:vAlign w:val="center"/>
            <w:hideMark/>
          </w:tcPr>
          <w:p w14:paraId="36E4A1E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23B0950A" w14:textId="77777777" w:rsidTr="00366F04">
        <w:trPr>
          <w:trHeight w:val="1440"/>
        </w:trPr>
        <w:tc>
          <w:tcPr>
            <w:tcW w:w="992" w:type="dxa"/>
            <w:vAlign w:val="center"/>
            <w:hideMark/>
          </w:tcPr>
          <w:p w14:paraId="1BC4E09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utilities</w:t>
            </w:r>
          </w:p>
        </w:tc>
        <w:tc>
          <w:tcPr>
            <w:tcW w:w="992" w:type="dxa"/>
            <w:vAlign w:val="center"/>
          </w:tcPr>
          <w:p w14:paraId="6AE9308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3114" w:type="dxa"/>
            <w:vAlign w:val="center"/>
            <w:hideMark/>
          </w:tcPr>
          <w:p w14:paraId="0EF8DC2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r w:rsidRPr="00711FE4">
              <w:rPr>
                <w:rFonts w:ascii="Arial" w:eastAsia="Times New Roman" w:hAnsi="Arial"/>
                <w:color w:val="ED0000"/>
                <w:sz w:val="14"/>
                <w:szCs w:val="14"/>
                <w:lang w:eastAsia="en-NZ"/>
              </w:rPr>
              <w:t xml:space="preserve"> you could not</w:t>
            </w:r>
            <w:r w:rsidRPr="00711FE4">
              <w:rPr>
                <w:rFonts w:ascii="Arial" w:eastAsia="Times New Roman" w:hAnsi="Arial"/>
                <w:color w:val="000000"/>
                <w:sz w:val="14"/>
                <w:szCs w:val="14"/>
                <w:lang w:eastAsia="en-NZ"/>
              </w:rPr>
              <w:t xml:space="preserve"> pay electricity, gas, rates, or water bills </w:t>
            </w:r>
            <w:r w:rsidRPr="00711FE4">
              <w:rPr>
                <w:rFonts w:ascii="Arial" w:eastAsia="Times New Roman" w:hAnsi="Arial"/>
                <w:color w:val="FF0000"/>
                <w:sz w:val="14"/>
                <w:szCs w:val="14"/>
                <w:lang w:eastAsia="en-NZ"/>
              </w:rPr>
              <w:t>on time</w:t>
            </w:r>
            <w:r w:rsidRPr="00711FE4">
              <w:rPr>
                <w:rFonts w:ascii="Arial" w:eastAsia="Times New Roman" w:hAnsi="Arial"/>
                <w:color w:val="000000"/>
                <w:sz w:val="14"/>
                <w:szCs w:val="14"/>
                <w:lang w:eastAsia="en-NZ"/>
              </w:rPr>
              <w:t>?</w:t>
            </w:r>
          </w:p>
        </w:tc>
        <w:tc>
          <w:tcPr>
            <w:tcW w:w="3119" w:type="dxa"/>
            <w:vAlign w:val="center"/>
            <w:hideMark/>
          </w:tcPr>
          <w:p w14:paraId="7C21B35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has</w:t>
            </w:r>
            <w:r w:rsidRPr="00711FE4">
              <w:rPr>
                <w:rFonts w:ascii="Arial" w:eastAsia="Times New Roman" w:hAnsi="Arial"/>
                <w:color w:val="FF0000"/>
                <w:sz w:val="14"/>
                <w:szCs w:val="14"/>
                <w:lang w:eastAsia="en-NZ"/>
              </w:rPr>
              <w:t xml:space="preserve"> your household ever been late </w:t>
            </w:r>
            <w:r w:rsidRPr="00711FE4">
              <w:rPr>
                <w:rFonts w:ascii="Arial" w:eastAsia="Times New Roman" w:hAnsi="Arial"/>
                <w:color w:val="000000"/>
                <w:sz w:val="14"/>
                <w:szCs w:val="14"/>
                <w:lang w:eastAsia="en-NZ"/>
              </w:rPr>
              <w:t>paying electricity, gas, rates, or water bills?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yes</w:t>
            </w:r>
            <w:r w:rsidRPr="00711FE4">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c>
          <w:tcPr>
            <w:tcW w:w="709" w:type="dxa"/>
            <w:vAlign w:val="center"/>
            <w:hideMark/>
          </w:tcPr>
          <w:p w14:paraId="33E9997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4771E531" w14:textId="77777777" w:rsidTr="00366F04">
        <w:trPr>
          <w:trHeight w:val="1440"/>
        </w:trPr>
        <w:tc>
          <w:tcPr>
            <w:tcW w:w="992" w:type="dxa"/>
            <w:vAlign w:val="center"/>
          </w:tcPr>
          <w:p w14:paraId="4852665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Late pay loans/HP</w:t>
            </w:r>
          </w:p>
        </w:tc>
        <w:tc>
          <w:tcPr>
            <w:tcW w:w="992" w:type="dxa"/>
            <w:vAlign w:val="center"/>
          </w:tcPr>
          <w:p w14:paraId="1C2C086C"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more than once</w:t>
            </w:r>
          </w:p>
        </w:tc>
        <w:tc>
          <w:tcPr>
            <w:tcW w:w="3114" w:type="dxa"/>
            <w:vAlign w:val="center"/>
          </w:tcPr>
          <w:p w14:paraId="604BC64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 </w:t>
            </w:r>
            <w:r w:rsidRPr="00711FE4">
              <w:rPr>
                <w:rFonts w:ascii="Arial" w:hAnsi="Arial"/>
                <w:color w:val="FF0000"/>
                <w:kern w:val="2"/>
                <w:sz w:val="14"/>
                <w:szCs w:val="14"/>
                <w14:ligatures w14:val="standardContextual"/>
              </w:rPr>
              <w:t xml:space="preserve">you </w:t>
            </w:r>
            <w:r w:rsidRPr="00711FE4">
              <w:rPr>
                <w:rFonts w:ascii="Arial" w:hAnsi="Arial"/>
                <w:color w:val="ED0000"/>
                <w:kern w:val="2"/>
                <w:sz w:val="14"/>
                <w:szCs w:val="14"/>
                <w14:ligatures w14:val="standardContextual"/>
              </w:rPr>
              <w:t>could not</w:t>
            </w:r>
            <w:r w:rsidRPr="00711FE4">
              <w:rPr>
                <w:rFonts w:ascii="Arial" w:hAnsi="Arial"/>
                <w:color w:val="000000"/>
                <w:kern w:val="2"/>
                <w:sz w:val="14"/>
                <w:szCs w:val="14"/>
                <w14:ligatures w14:val="standardContextual"/>
              </w:rPr>
              <w:t xml:space="preserve"> </w:t>
            </w:r>
            <w:r w:rsidRPr="00711FE4">
              <w:rPr>
                <w:rFonts w:ascii="Arial" w:hAnsi="Arial"/>
                <w:color w:val="ED0000"/>
                <w:kern w:val="2"/>
                <w:sz w:val="14"/>
                <w:szCs w:val="14"/>
                <w14:ligatures w14:val="standardContextual"/>
              </w:rPr>
              <w:t xml:space="preserve">pay </w:t>
            </w:r>
            <w:r w:rsidRPr="00711FE4">
              <w:rPr>
                <w:rFonts w:ascii="Arial" w:hAnsi="Arial"/>
                <w:color w:val="000000"/>
                <w:kern w:val="2"/>
                <w:sz w:val="14"/>
                <w:szCs w:val="14"/>
                <w14:ligatures w14:val="standardContextual"/>
              </w:rPr>
              <w:t xml:space="preserve">hire purchase or other loan payments </w:t>
            </w:r>
            <w:r w:rsidRPr="00711FE4">
              <w:rPr>
                <w:rFonts w:ascii="Arial" w:hAnsi="Arial"/>
                <w:color w:val="ED0000"/>
                <w:kern w:val="2"/>
                <w:sz w:val="14"/>
                <w:szCs w:val="14"/>
                <w14:ligatures w14:val="standardContextual"/>
              </w:rPr>
              <w:t>on time?</w:t>
            </w:r>
          </w:p>
        </w:tc>
        <w:tc>
          <w:tcPr>
            <w:tcW w:w="3119" w:type="dxa"/>
            <w:vAlign w:val="center"/>
          </w:tcPr>
          <w:p w14:paraId="5602E16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has</w:t>
            </w:r>
            <w:r w:rsidRPr="00711FE4">
              <w:rPr>
                <w:rFonts w:ascii="Arial" w:hAnsi="Arial"/>
                <w:color w:val="FF0000"/>
                <w:kern w:val="2"/>
                <w:sz w:val="14"/>
                <w:szCs w:val="14"/>
                <w14:ligatures w14:val="standardContextual"/>
              </w:rPr>
              <w:t xml:space="preserve"> your household ever been late </w:t>
            </w:r>
            <w:r w:rsidRPr="00711FE4">
              <w:rPr>
                <w:rFonts w:ascii="Arial" w:hAnsi="Arial"/>
                <w:color w:val="000000"/>
                <w:kern w:val="2"/>
                <w:sz w:val="14"/>
                <w:szCs w:val="14"/>
                <w14:ligatures w14:val="standardContextual"/>
              </w:rPr>
              <w:t>paying hire purchase or other loan repayments?</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yes/no/DK/RF</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t>If yes, in the last 12 months how many times has your household been unable to pay hire purchase or other loan repayments on time - once, or more than once?</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once/more than once/DK/RF</w:t>
            </w:r>
          </w:p>
        </w:tc>
        <w:tc>
          <w:tcPr>
            <w:tcW w:w="709" w:type="dxa"/>
            <w:vAlign w:val="center"/>
          </w:tcPr>
          <w:p w14:paraId="478EAC3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25B8F997" w14:textId="77777777" w:rsidTr="00366F04">
        <w:trPr>
          <w:trHeight w:val="1078"/>
        </w:trPr>
        <w:tc>
          <w:tcPr>
            <w:tcW w:w="992" w:type="dxa"/>
            <w:vAlign w:val="center"/>
          </w:tcPr>
          <w:p w14:paraId="7772648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Late pay rent/mort</w:t>
            </w:r>
          </w:p>
        </w:tc>
        <w:tc>
          <w:tcPr>
            <w:tcW w:w="992" w:type="dxa"/>
            <w:vAlign w:val="center"/>
          </w:tcPr>
          <w:p w14:paraId="7A86DC03"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more than once</w:t>
            </w:r>
          </w:p>
        </w:tc>
        <w:tc>
          <w:tcPr>
            <w:tcW w:w="3114" w:type="dxa"/>
            <w:vAlign w:val="center"/>
          </w:tcPr>
          <w:p w14:paraId="22B36AF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 </w:t>
            </w:r>
            <w:r w:rsidRPr="00711FE4">
              <w:rPr>
                <w:rFonts w:ascii="Arial" w:hAnsi="Arial"/>
                <w:color w:val="ED0000"/>
                <w:kern w:val="2"/>
                <w:sz w:val="14"/>
                <w:szCs w:val="14"/>
                <w14:ligatures w14:val="standardContextual"/>
              </w:rPr>
              <w:t>you could not</w:t>
            </w:r>
            <w:r w:rsidRPr="00711FE4">
              <w:rPr>
                <w:rFonts w:ascii="Arial" w:hAnsi="Arial"/>
                <w:color w:val="000000"/>
                <w:kern w:val="2"/>
                <w:sz w:val="14"/>
                <w:szCs w:val="14"/>
                <w14:ligatures w14:val="standardContextual"/>
              </w:rPr>
              <w:t xml:space="preserve"> pay rent or mortgage </w:t>
            </w:r>
            <w:r w:rsidRPr="00711FE4">
              <w:rPr>
                <w:rFonts w:ascii="Arial" w:hAnsi="Arial"/>
                <w:color w:val="ED0000"/>
                <w:kern w:val="2"/>
                <w:sz w:val="14"/>
                <w:szCs w:val="14"/>
                <w14:ligatures w14:val="standardContextual"/>
              </w:rPr>
              <w:t>on time</w:t>
            </w:r>
            <w:r w:rsidRPr="00711FE4">
              <w:rPr>
                <w:rFonts w:ascii="Arial" w:hAnsi="Arial"/>
                <w:color w:val="000000"/>
                <w:kern w:val="2"/>
                <w:sz w:val="14"/>
                <w:szCs w:val="14"/>
                <w14:ligatures w14:val="standardContextual"/>
              </w:rPr>
              <w:t>?</w:t>
            </w:r>
          </w:p>
        </w:tc>
        <w:tc>
          <w:tcPr>
            <w:tcW w:w="3119" w:type="dxa"/>
            <w:vAlign w:val="center"/>
          </w:tcPr>
          <w:p w14:paraId="581BFDD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ED0000"/>
                <w:kern w:val="2"/>
                <w:sz w:val="14"/>
                <w:szCs w:val="14"/>
                <w14:ligatures w14:val="standardContextual"/>
              </w:rPr>
              <w:t>… has your household ever been late</w:t>
            </w:r>
            <w:r w:rsidRPr="00711FE4">
              <w:rPr>
                <w:rFonts w:ascii="Arial" w:hAnsi="Arial"/>
                <w:color w:val="000000"/>
                <w:kern w:val="2"/>
                <w:sz w:val="14"/>
                <w:szCs w:val="14"/>
                <w14:ligatures w14:val="standardContextual"/>
              </w:rPr>
              <w:t xml:space="preserve"> paying the rent/mortgage?</w:t>
            </w:r>
            <w:r w:rsidRPr="00711FE4">
              <w:rPr>
                <w:rFonts w:ascii="Arial" w:hAnsi="Arial"/>
                <w:color w:val="ED0000"/>
                <w:kern w:val="2"/>
                <w:sz w:val="14"/>
                <w:szCs w:val="14"/>
                <w14:ligatures w14:val="standardContextual"/>
              </w:rPr>
              <w:br/>
            </w:r>
            <w:r w:rsidRPr="00711FE4">
              <w:rPr>
                <w:rFonts w:ascii="Arial" w:hAnsi="Arial"/>
                <w:b/>
                <w:bCs/>
                <w:kern w:val="2"/>
                <w:sz w:val="14"/>
                <w:szCs w:val="14"/>
                <w14:ligatures w14:val="standardContextual"/>
              </w:rPr>
              <w:t>yes/no/DK/RF</w:t>
            </w:r>
            <w:r w:rsidRPr="00711FE4">
              <w:rPr>
                <w:rFonts w:ascii="Arial" w:hAnsi="Arial"/>
                <w:b/>
                <w:bCs/>
                <w:kern w:val="2"/>
                <w:sz w:val="14"/>
                <w:szCs w:val="14"/>
                <w14:ligatures w14:val="standardContextual"/>
              </w:rPr>
              <w:br/>
            </w:r>
            <w:r w:rsidRPr="00711FE4">
              <w:rPr>
                <w:rFonts w:ascii="Arial" w:hAnsi="Arial"/>
                <w:kern w:val="2"/>
                <w:sz w:val="14"/>
                <w:szCs w:val="14"/>
                <w14:ligatures w14:val="standardContextual"/>
              </w:rPr>
              <w:br/>
              <w:t xml:space="preserve">If yes, how many times </w:t>
            </w:r>
            <w:r w:rsidRPr="00711FE4">
              <w:rPr>
                <w:rFonts w:ascii="Arial" w:hAnsi="Arial"/>
                <w:color w:val="FF0000"/>
                <w:kern w:val="2"/>
                <w:sz w:val="14"/>
                <w:szCs w:val="14"/>
                <w14:ligatures w14:val="standardContextual"/>
              </w:rPr>
              <w:t>did that happen</w:t>
            </w:r>
            <w:r w:rsidRPr="00711FE4">
              <w:rPr>
                <w:rFonts w:ascii="Arial" w:hAnsi="Arial"/>
                <w:kern w:val="2"/>
                <w:sz w:val="14"/>
                <w:szCs w:val="14"/>
                <w14:ligatures w14:val="standardContextual"/>
              </w:rPr>
              <w:t xml:space="preserve"> - once or more than once?</w:t>
            </w:r>
            <w:r w:rsidRPr="00711FE4">
              <w:rPr>
                <w:rFonts w:ascii="Arial" w:hAnsi="Arial"/>
                <w:kern w:val="2"/>
                <w:sz w:val="14"/>
                <w:szCs w:val="14"/>
                <w14:ligatures w14:val="standardContextual"/>
              </w:rPr>
              <w:br/>
            </w:r>
            <w:r w:rsidRPr="00711FE4">
              <w:rPr>
                <w:rFonts w:ascii="Arial" w:hAnsi="Arial"/>
                <w:b/>
                <w:bCs/>
                <w:kern w:val="2"/>
                <w:sz w:val="14"/>
                <w:szCs w:val="14"/>
                <w14:ligatures w14:val="standardContextual"/>
              </w:rPr>
              <w:t>once/more than once/DK/RF</w:t>
            </w:r>
          </w:p>
        </w:tc>
        <w:tc>
          <w:tcPr>
            <w:tcW w:w="709" w:type="dxa"/>
            <w:vAlign w:val="center"/>
          </w:tcPr>
          <w:p w14:paraId="44E5249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560EE442" w14:textId="77777777" w:rsidTr="00366F04">
        <w:trPr>
          <w:trHeight w:val="416"/>
        </w:trPr>
        <w:tc>
          <w:tcPr>
            <w:tcW w:w="992" w:type="dxa"/>
            <w:noWrap/>
            <w:vAlign w:val="center"/>
            <w:hideMark/>
          </w:tcPr>
          <w:p w14:paraId="444BD5B2"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car bills</w:t>
            </w:r>
          </w:p>
        </w:tc>
        <w:tc>
          <w:tcPr>
            <w:tcW w:w="992" w:type="dxa"/>
            <w:vAlign w:val="center"/>
          </w:tcPr>
          <w:p w14:paraId="2C51DE3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3114" w:type="dxa"/>
            <w:vAlign w:val="center"/>
            <w:hideMark/>
          </w:tcPr>
          <w:p w14:paraId="5BC6A19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you could not pay</w:t>
            </w:r>
            <w:r w:rsidRPr="00711FE4">
              <w:rPr>
                <w:rFonts w:ascii="Arial" w:eastAsia="Times New Roman" w:hAnsi="Arial"/>
                <w:color w:val="000000"/>
                <w:sz w:val="14"/>
                <w:szCs w:val="14"/>
                <w:lang w:eastAsia="en-NZ"/>
              </w:rPr>
              <w:t xml:space="preserve"> for car insurance, registration, or warrant of fitness </w:t>
            </w:r>
            <w:r w:rsidRPr="00711FE4">
              <w:rPr>
                <w:rFonts w:ascii="Arial" w:eastAsia="Times New Roman" w:hAnsi="Arial"/>
                <w:color w:val="FF0000"/>
                <w:sz w:val="14"/>
                <w:szCs w:val="14"/>
                <w:lang w:eastAsia="en-NZ"/>
              </w:rPr>
              <w:t>on time</w:t>
            </w:r>
            <w:r w:rsidRPr="00711FE4">
              <w:rPr>
                <w:rFonts w:ascii="Arial" w:eastAsia="Times New Roman" w:hAnsi="Arial"/>
                <w:color w:val="000000"/>
                <w:sz w:val="14"/>
                <w:szCs w:val="14"/>
                <w:lang w:eastAsia="en-NZ"/>
              </w:rPr>
              <w:t>?</w:t>
            </w:r>
          </w:p>
        </w:tc>
        <w:tc>
          <w:tcPr>
            <w:tcW w:w="3119" w:type="dxa"/>
            <w:vAlign w:val="center"/>
            <w:hideMark/>
          </w:tcPr>
          <w:p w14:paraId="6E3143B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...has</w:t>
            </w:r>
            <w:r w:rsidRPr="00711FE4">
              <w:rPr>
                <w:rFonts w:ascii="Arial" w:eastAsia="Times New Roman" w:hAnsi="Arial"/>
                <w:color w:val="FF0000"/>
                <w:sz w:val="14"/>
                <w:szCs w:val="14"/>
                <w:lang w:eastAsia="en-NZ"/>
              </w:rPr>
              <w:t xml:space="preserve"> your household ever been late</w:t>
            </w:r>
            <w:r w:rsidRPr="00711FE4">
              <w:rPr>
                <w:rFonts w:ascii="Arial" w:eastAsia="Times New Roman" w:hAnsi="Arial"/>
                <w:color w:val="000000"/>
                <w:sz w:val="14"/>
                <w:szCs w:val="14"/>
                <w:lang w:eastAsia="en-NZ"/>
              </w:rPr>
              <w:t xml:space="preserve"> paying car insurance, registration, or warrant of fitness?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c>
          <w:tcPr>
            <w:tcW w:w="709" w:type="dxa"/>
            <w:vAlign w:val="center"/>
            <w:hideMark/>
          </w:tcPr>
          <w:p w14:paraId="72FFAFF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2E6041C9" w14:textId="77777777" w:rsidTr="00366F04">
        <w:trPr>
          <w:trHeight w:val="1440"/>
        </w:trPr>
        <w:tc>
          <w:tcPr>
            <w:tcW w:w="992" w:type="dxa"/>
            <w:noWrap/>
            <w:vAlign w:val="center"/>
            <w:hideMark/>
          </w:tcPr>
          <w:p w14:paraId="14579B1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Borrow from family</w:t>
            </w:r>
          </w:p>
        </w:tc>
        <w:tc>
          <w:tcPr>
            <w:tcW w:w="992" w:type="dxa"/>
            <w:vAlign w:val="center"/>
          </w:tcPr>
          <w:p w14:paraId="7FE6408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3114" w:type="dxa"/>
            <w:vAlign w:val="center"/>
            <w:hideMark/>
          </w:tcPr>
          <w:p w14:paraId="3F47A16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r w:rsidRPr="00711FE4">
              <w:rPr>
                <w:rFonts w:eastAsia="Times New Roman"/>
                <w:color w:val="000000"/>
                <w:sz w:val="14"/>
                <w:szCs w:val="14"/>
                <w:lang w:eastAsia="en-NZ"/>
              </w:rPr>
              <w:t xml:space="preserve"> </w:t>
            </w:r>
            <w:r w:rsidRPr="00711FE4">
              <w:rPr>
                <w:rFonts w:ascii="Arial" w:eastAsia="Times New Roman" w:hAnsi="Arial"/>
                <w:color w:val="FF0000"/>
                <w:sz w:val="14"/>
                <w:szCs w:val="14"/>
                <w:lang w:eastAsia="en-NZ"/>
              </w:rPr>
              <w:t xml:space="preserve">you borrowed from </w:t>
            </w:r>
            <w:r w:rsidRPr="00711FE4">
              <w:rPr>
                <w:rFonts w:ascii="Arial" w:eastAsia="Times New Roman" w:hAnsi="Arial"/>
                <w:color w:val="000000"/>
                <w:sz w:val="14"/>
                <w:szCs w:val="14"/>
                <w:lang w:eastAsia="en-NZ"/>
              </w:rPr>
              <w:t>family or friends to meet everyday living costs?</w:t>
            </w:r>
          </w:p>
        </w:tc>
        <w:tc>
          <w:tcPr>
            <w:tcW w:w="3119" w:type="dxa"/>
            <w:vAlign w:val="center"/>
            <w:hideMark/>
          </w:tcPr>
          <w:p w14:paraId="3A0835E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ever </w:t>
            </w:r>
            <w:r w:rsidRPr="00711FE4">
              <w:rPr>
                <w:rFonts w:ascii="Arial" w:eastAsia="Times New Roman" w:hAnsi="Arial"/>
                <w:color w:val="000000"/>
                <w:sz w:val="14"/>
                <w:szCs w:val="14"/>
                <w:lang w:eastAsia="en-NZ"/>
              </w:rPr>
              <w:t>borrowed from family or friends to meet everyday living costs?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If yes, in the last 12 months how many times has your household borrowed from family or friends to meet everyday living costs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c>
          <w:tcPr>
            <w:tcW w:w="709" w:type="dxa"/>
            <w:vAlign w:val="center"/>
            <w:hideMark/>
          </w:tcPr>
          <w:p w14:paraId="6808A2F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33D9A2B3" w14:textId="77777777" w:rsidTr="00366F04">
        <w:trPr>
          <w:trHeight w:val="1440"/>
        </w:trPr>
        <w:tc>
          <w:tcPr>
            <w:tcW w:w="992" w:type="dxa"/>
            <w:noWrap/>
            <w:vAlign w:val="center"/>
          </w:tcPr>
          <w:p w14:paraId="3DC8790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Community help</w:t>
            </w:r>
          </w:p>
        </w:tc>
        <w:tc>
          <w:tcPr>
            <w:tcW w:w="992" w:type="dxa"/>
            <w:vAlign w:val="center"/>
          </w:tcPr>
          <w:p w14:paraId="4ED73C62"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more than once</w:t>
            </w:r>
          </w:p>
        </w:tc>
        <w:tc>
          <w:tcPr>
            <w:tcW w:w="3114" w:type="dxa"/>
            <w:vAlign w:val="center"/>
          </w:tcPr>
          <w:p w14:paraId="323462B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you received help</w:t>
            </w:r>
            <w:r w:rsidRPr="00711FE4">
              <w:rPr>
                <w:rFonts w:ascii="Arial" w:hAnsi="Arial"/>
                <w:color w:val="ED0000"/>
                <w:kern w:val="2"/>
                <w:sz w:val="14"/>
                <w:szCs w:val="14"/>
                <w14:ligatures w14:val="standardContextual"/>
              </w:rPr>
              <w:t xml:space="preserve"> in the form of food, clothes or money</w:t>
            </w:r>
            <w:r w:rsidRPr="00711FE4">
              <w:rPr>
                <w:rFonts w:ascii="Arial" w:hAnsi="Arial"/>
                <w:color w:val="000000"/>
                <w:kern w:val="2"/>
                <w:sz w:val="14"/>
                <w:szCs w:val="14"/>
                <w14:ligatures w14:val="standardContextual"/>
              </w:rPr>
              <w:t xml:space="preserve"> from a welfare/community organisation such as a </w:t>
            </w:r>
            <w:r w:rsidRPr="00711FE4">
              <w:rPr>
                <w:rFonts w:ascii="Arial" w:hAnsi="Arial"/>
                <w:color w:val="ED0000"/>
                <w:kern w:val="2"/>
                <w:sz w:val="14"/>
                <w:szCs w:val="14"/>
                <w14:ligatures w14:val="standardContextual"/>
              </w:rPr>
              <w:t>church or</w:t>
            </w:r>
            <w:r w:rsidRPr="00711FE4">
              <w:rPr>
                <w:rFonts w:ascii="Arial" w:hAnsi="Arial"/>
                <w:color w:val="000000"/>
                <w:kern w:val="2"/>
                <w:sz w:val="14"/>
                <w:szCs w:val="14"/>
                <w14:ligatures w14:val="standardContextual"/>
              </w:rPr>
              <w:t xml:space="preserve"> foodbank?</w:t>
            </w:r>
          </w:p>
        </w:tc>
        <w:tc>
          <w:tcPr>
            <w:tcW w:w="3119" w:type="dxa"/>
            <w:vAlign w:val="center"/>
          </w:tcPr>
          <w:p w14:paraId="1EBB6AD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 has </w:t>
            </w:r>
            <w:r w:rsidRPr="00711FE4">
              <w:rPr>
                <w:rFonts w:ascii="Arial" w:hAnsi="Arial"/>
                <w:color w:val="FF0000"/>
                <w:kern w:val="2"/>
                <w:sz w:val="14"/>
                <w:szCs w:val="14"/>
                <w14:ligatures w14:val="standardContextual"/>
              </w:rPr>
              <w:t>your household</w:t>
            </w:r>
            <w:r w:rsidRPr="00711FE4">
              <w:rPr>
                <w:rFonts w:ascii="Arial" w:hAnsi="Arial"/>
                <w:color w:val="000000"/>
                <w:kern w:val="2"/>
                <w:sz w:val="14"/>
                <w:szCs w:val="14"/>
                <w14:ligatures w14:val="standardContextual"/>
              </w:rPr>
              <w:t xml:space="preserve"> </w:t>
            </w:r>
            <w:r w:rsidRPr="00711FE4">
              <w:rPr>
                <w:rFonts w:ascii="Arial" w:hAnsi="Arial"/>
                <w:color w:val="FF0000"/>
                <w:kern w:val="2"/>
                <w:sz w:val="14"/>
                <w:szCs w:val="14"/>
                <w14:ligatures w14:val="standardContextual"/>
              </w:rPr>
              <w:t xml:space="preserve">ever </w:t>
            </w:r>
            <w:r w:rsidRPr="00711FE4">
              <w:rPr>
                <w:rFonts w:ascii="Arial" w:hAnsi="Arial"/>
                <w:color w:val="000000"/>
                <w:kern w:val="2"/>
                <w:sz w:val="14"/>
                <w:szCs w:val="14"/>
                <w14:ligatures w14:val="standardContextual"/>
              </w:rPr>
              <w:t xml:space="preserve">received help from a welfare or community organisation such as a foodbank? </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yes/no/DK/RF</w:t>
            </w:r>
            <w:r w:rsidRPr="00711FE4">
              <w:rPr>
                <w:rFonts w:ascii="Arial" w:hAnsi="Arial"/>
                <w:b/>
                <w:bCs/>
                <w:color w:val="000000"/>
                <w:kern w:val="2"/>
                <w:sz w:val="14"/>
                <w:szCs w:val="14"/>
                <w14:ligatures w14:val="standardContextual"/>
              </w:rPr>
              <w:br/>
            </w:r>
            <w:r w:rsidRPr="00711FE4">
              <w:rPr>
                <w:rFonts w:ascii="Arial" w:hAnsi="Arial"/>
                <w:color w:val="000000"/>
                <w:kern w:val="2"/>
                <w:sz w:val="14"/>
                <w:szCs w:val="14"/>
                <w14:ligatures w14:val="standardContextual"/>
              </w:rPr>
              <w:br/>
              <w:t>If yes, in the last 12 months how many times has your household received help from a welfare or community organisation - once, or more than once?</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once/more than once/DK/RF</w:t>
            </w:r>
          </w:p>
        </w:tc>
        <w:tc>
          <w:tcPr>
            <w:tcW w:w="709" w:type="dxa"/>
            <w:vAlign w:val="center"/>
          </w:tcPr>
          <w:p w14:paraId="16FE463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648FBAB4" w14:textId="77777777" w:rsidTr="00366F04">
        <w:trPr>
          <w:trHeight w:val="284"/>
        </w:trPr>
        <w:tc>
          <w:tcPr>
            <w:tcW w:w="1984" w:type="dxa"/>
            <w:gridSpan w:val="2"/>
            <w:shd w:val="clear" w:color="auto" w:fill="F2F2F2"/>
            <w:noWrap/>
            <w:vAlign w:val="center"/>
          </w:tcPr>
          <w:p w14:paraId="3F436F44" w14:textId="77777777" w:rsidR="00711FE4" w:rsidRPr="00711FE4" w:rsidRDefault="00711FE4" w:rsidP="00711FE4">
            <w:pPr>
              <w:spacing w:after="0" w:line="240" w:lineRule="auto"/>
              <w:jc w:val="center"/>
              <w:rPr>
                <w:rFonts w:ascii="Arial" w:hAnsi="Arial"/>
                <w:b/>
                <w:bCs/>
                <w:color w:val="000000"/>
                <w:kern w:val="2"/>
                <w:sz w:val="14"/>
                <w:szCs w:val="14"/>
                <w14:ligatures w14:val="standardContextual"/>
              </w:rPr>
            </w:pPr>
            <w:r w:rsidRPr="00711FE4">
              <w:rPr>
                <w:rFonts w:ascii="Arial" w:hAnsi="Arial"/>
                <w:b/>
                <w:bCs/>
                <w:color w:val="000000"/>
                <w:kern w:val="2"/>
                <w:sz w:val="14"/>
                <w:szCs w:val="14"/>
                <w14:ligatures w14:val="standardContextual"/>
              </w:rPr>
              <w:t>Global self-ratings</w:t>
            </w:r>
          </w:p>
        </w:tc>
        <w:tc>
          <w:tcPr>
            <w:tcW w:w="3114" w:type="dxa"/>
            <w:shd w:val="clear" w:color="auto" w:fill="F2F2F2"/>
            <w:vAlign w:val="center"/>
          </w:tcPr>
          <w:p w14:paraId="19104D10"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p>
        </w:tc>
        <w:tc>
          <w:tcPr>
            <w:tcW w:w="3119" w:type="dxa"/>
            <w:shd w:val="clear" w:color="auto" w:fill="F2F2F2"/>
            <w:vAlign w:val="center"/>
          </w:tcPr>
          <w:p w14:paraId="21690B9F"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p>
        </w:tc>
        <w:tc>
          <w:tcPr>
            <w:tcW w:w="709" w:type="dxa"/>
            <w:shd w:val="clear" w:color="auto" w:fill="F2F2F2"/>
            <w:vAlign w:val="center"/>
          </w:tcPr>
          <w:p w14:paraId="55EF9E10"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p>
        </w:tc>
      </w:tr>
      <w:tr w:rsidR="00711FE4" w:rsidRPr="00711FE4" w14:paraId="7894885D" w14:textId="77777777" w:rsidTr="00366F04">
        <w:trPr>
          <w:trHeight w:val="284"/>
        </w:trPr>
        <w:tc>
          <w:tcPr>
            <w:tcW w:w="992" w:type="dxa"/>
            <w:noWrap/>
            <w:vAlign w:val="center"/>
          </w:tcPr>
          <w:p w14:paraId="78FA84FF"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Income enough</w:t>
            </w:r>
          </w:p>
        </w:tc>
        <w:tc>
          <w:tcPr>
            <w:tcW w:w="992" w:type="dxa"/>
            <w:vAlign w:val="center"/>
          </w:tcPr>
          <w:p w14:paraId="3DCD2346"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not enough</w:t>
            </w:r>
          </w:p>
        </w:tc>
        <w:tc>
          <w:tcPr>
            <w:tcW w:w="3114" w:type="dxa"/>
            <w:vAlign w:val="center"/>
          </w:tcPr>
          <w:p w14:paraId="01CEF8FE"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 xml:space="preserve">I'd like you to think about how well </w:t>
            </w:r>
            <w:r w:rsidRPr="00711FE4">
              <w:rPr>
                <w:rFonts w:ascii="Arial" w:hAnsi="Arial"/>
                <w:color w:val="FF0000"/>
                <w:kern w:val="2"/>
                <w:sz w:val="14"/>
                <w:szCs w:val="14"/>
                <w14:ligatures w14:val="standardContextual"/>
              </w:rPr>
              <w:t xml:space="preserve">you and your partner’s combined </w:t>
            </w:r>
            <w:r w:rsidRPr="00711FE4">
              <w:rPr>
                <w:rFonts w:ascii="Arial" w:hAnsi="Arial"/>
                <w:color w:val="000000"/>
                <w:kern w:val="2"/>
                <w:sz w:val="14"/>
                <w:szCs w:val="14"/>
                <w14:ligatures w14:val="standardContextual"/>
              </w:rPr>
              <w:t>total income meets your everyday needs for such things as accommodation, food, clothing, and other necessities. Would</w:t>
            </w:r>
            <w:r w:rsidRPr="00711FE4">
              <w:rPr>
                <w:rFonts w:ascii="Arial" w:hAnsi="Arial"/>
                <w:color w:val="ED0000"/>
                <w:kern w:val="2"/>
                <w:sz w:val="14"/>
                <w:szCs w:val="14"/>
                <w14:ligatures w14:val="standardContextual"/>
              </w:rPr>
              <w:t xml:space="preserve"> you say you have not enough money, only just enough money, enough money, or more than enough money?</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not enough / only just enough / enough / more than enough</w:t>
            </w:r>
          </w:p>
        </w:tc>
        <w:tc>
          <w:tcPr>
            <w:tcW w:w="3119" w:type="dxa"/>
            <w:vAlign w:val="center"/>
          </w:tcPr>
          <w:p w14:paraId="7C32E377"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How</w:t>
            </w:r>
            <w:r w:rsidRPr="00711FE4">
              <w:rPr>
                <w:rFonts w:ascii="Arial" w:hAnsi="Arial"/>
                <w:color w:val="ED0000"/>
                <w:kern w:val="2"/>
                <w:sz w:val="14"/>
                <w:szCs w:val="14"/>
                <w14:ligatures w14:val="standardContextual"/>
              </w:rPr>
              <w:t xml:space="preserve"> well does your combined household income meet your everyday needs - things like accommodation, food, clothing, and other necessities?</w:t>
            </w:r>
            <w:r w:rsidRPr="00711FE4">
              <w:rPr>
                <w:rFonts w:ascii="Arial" w:hAnsi="Arial"/>
                <w:color w:val="ED0000"/>
                <w:kern w:val="2"/>
                <w:sz w:val="14"/>
                <w:szCs w:val="14"/>
                <w14:ligatures w14:val="standardContextual"/>
              </w:rPr>
              <w:br/>
            </w:r>
            <w:r w:rsidRPr="00711FE4">
              <w:rPr>
                <w:rFonts w:ascii="Arial" w:hAnsi="Arial"/>
                <w:b/>
                <w:bCs/>
                <w:kern w:val="2"/>
                <w:sz w:val="14"/>
                <w:szCs w:val="14"/>
                <w14:ligatures w14:val="standardContextual"/>
              </w:rPr>
              <w:t>not enough / only just enough / enough / more than enough</w:t>
            </w:r>
          </w:p>
        </w:tc>
        <w:tc>
          <w:tcPr>
            <w:tcW w:w="709" w:type="dxa"/>
            <w:vAlign w:val="center"/>
          </w:tcPr>
          <w:p w14:paraId="474D391A"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HSP</w:t>
            </w:r>
          </w:p>
        </w:tc>
      </w:tr>
      <w:tr w:rsidR="00711FE4" w:rsidRPr="00711FE4" w14:paraId="1101DBB7" w14:textId="77777777" w:rsidTr="00366F04">
        <w:trPr>
          <w:trHeight w:val="284"/>
        </w:trPr>
        <w:tc>
          <w:tcPr>
            <w:tcW w:w="992" w:type="dxa"/>
            <w:noWrap/>
            <w:vAlign w:val="center"/>
          </w:tcPr>
          <w:p w14:paraId="75404387"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lastRenderedPageBreak/>
              <w:t>Life satisfaction</w:t>
            </w:r>
          </w:p>
        </w:tc>
        <w:tc>
          <w:tcPr>
            <w:tcW w:w="992" w:type="dxa"/>
            <w:vAlign w:val="center"/>
          </w:tcPr>
          <w:p w14:paraId="3D6B9A0A"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0-6</w:t>
            </w:r>
          </w:p>
        </w:tc>
        <w:tc>
          <w:tcPr>
            <w:tcW w:w="3114" w:type="dxa"/>
            <w:vAlign w:val="center"/>
          </w:tcPr>
          <w:p w14:paraId="64013F2F"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I’m now going to ask you a very general question about your life as a whole. This includes all areas of your life, not just what we have talked about so far.</w:t>
            </w:r>
            <w:r w:rsidRPr="00711FE4">
              <w:rPr>
                <w:rFonts w:ascii="Arial" w:hAnsi="Arial"/>
                <w:color w:val="000000"/>
                <w:kern w:val="2"/>
                <w:sz w:val="14"/>
                <w:szCs w:val="14"/>
                <w14:ligatures w14:val="standardContextual"/>
              </w:rPr>
              <w:br/>
              <w:t>Looking at showcard S8, where zero is completely dissatisfied, and ten is completely satisfied, how do you feel about your life as a whole?</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0-10/DK/RF</w:t>
            </w:r>
          </w:p>
        </w:tc>
        <w:tc>
          <w:tcPr>
            <w:tcW w:w="3119" w:type="dxa"/>
            <w:vAlign w:val="center"/>
          </w:tcPr>
          <w:p w14:paraId="1EE1C7D7"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ED0000"/>
                <w:kern w:val="2"/>
                <w:sz w:val="14"/>
                <w:szCs w:val="14"/>
                <w14:ligatures w14:val="standardContextual"/>
              </w:rPr>
              <w:t>On a scale of zero to ten, where zero is completely dissatisfied, and ten is completely satisfied</w:t>
            </w:r>
            <w:r w:rsidRPr="00711FE4">
              <w:rPr>
                <w:rFonts w:ascii="Arial" w:hAnsi="Arial"/>
                <w:color w:val="000000"/>
                <w:kern w:val="2"/>
                <w:sz w:val="14"/>
                <w:szCs w:val="14"/>
                <w14:ligatures w14:val="standardContextual"/>
              </w:rPr>
              <w:t>, how do you feel about your life as a whole?</w:t>
            </w:r>
            <w:r w:rsidRPr="00711FE4">
              <w:rPr>
                <w:rFonts w:ascii="Arial" w:hAnsi="Arial"/>
                <w:color w:val="000000"/>
                <w:kern w:val="2"/>
                <w:sz w:val="14"/>
                <w:szCs w:val="14"/>
                <w14:ligatures w14:val="standardContextual"/>
              </w:rPr>
              <w:br/>
            </w:r>
            <w:r w:rsidRPr="00711FE4">
              <w:rPr>
                <w:rFonts w:ascii="Arial" w:hAnsi="Arial"/>
                <w:b/>
                <w:bCs/>
                <w:kern w:val="2"/>
                <w:sz w:val="14"/>
                <w:szCs w:val="14"/>
                <w14:ligatures w14:val="standardContextual"/>
              </w:rPr>
              <w:t>0-10/DK/RF</w:t>
            </w:r>
          </w:p>
        </w:tc>
        <w:tc>
          <w:tcPr>
            <w:tcW w:w="709" w:type="dxa"/>
            <w:vAlign w:val="center"/>
          </w:tcPr>
          <w:p w14:paraId="56BC4DCF"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IND and SCD</w:t>
            </w:r>
          </w:p>
        </w:tc>
      </w:tr>
      <w:tr w:rsidR="00711FE4" w:rsidRPr="00711FE4" w14:paraId="33171CAE" w14:textId="77777777" w:rsidTr="00366F04">
        <w:trPr>
          <w:trHeight w:val="284"/>
        </w:trPr>
        <w:tc>
          <w:tcPr>
            <w:tcW w:w="992" w:type="dxa"/>
            <w:shd w:val="clear" w:color="auto" w:fill="DBE5F1"/>
            <w:noWrap/>
            <w:vAlign w:val="center"/>
          </w:tcPr>
          <w:p w14:paraId="0F56A2F9"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 </w:t>
            </w:r>
          </w:p>
        </w:tc>
        <w:tc>
          <w:tcPr>
            <w:tcW w:w="992" w:type="dxa"/>
            <w:shd w:val="clear" w:color="auto" w:fill="DBE5F1"/>
            <w:vAlign w:val="center"/>
          </w:tcPr>
          <w:p w14:paraId="09B6D35F"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 </w:t>
            </w:r>
          </w:p>
        </w:tc>
        <w:tc>
          <w:tcPr>
            <w:tcW w:w="6233" w:type="dxa"/>
            <w:gridSpan w:val="2"/>
            <w:shd w:val="clear" w:color="auto" w:fill="DBE5F1"/>
            <w:vAlign w:val="center"/>
          </w:tcPr>
          <w:p w14:paraId="45D79DBB"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HES – Lifesat is asked at the end of the MW section, after all the general HH/ind Qs but before the child specific ones.</w:t>
            </w:r>
            <w:r w:rsidRPr="00711FE4">
              <w:rPr>
                <w:rFonts w:ascii="Arial" w:hAnsi="Arial"/>
                <w:color w:val="000000"/>
                <w:kern w:val="2"/>
                <w:sz w:val="14"/>
                <w:szCs w:val="14"/>
                <w14:ligatures w14:val="standardContextual"/>
              </w:rPr>
              <w:br/>
              <w:t>HILS – Lifesat is asked attend on individual demographics eg age, dob, how long in NZ</w:t>
            </w:r>
          </w:p>
        </w:tc>
        <w:tc>
          <w:tcPr>
            <w:tcW w:w="709" w:type="dxa"/>
            <w:shd w:val="clear" w:color="auto" w:fill="DBE5F1"/>
            <w:vAlign w:val="center"/>
          </w:tcPr>
          <w:p w14:paraId="7BCAEDF0"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 </w:t>
            </w:r>
          </w:p>
        </w:tc>
      </w:tr>
    </w:tbl>
    <w:p w14:paraId="18B408DE" w14:textId="77777777" w:rsidR="00711FE4" w:rsidRPr="00711FE4" w:rsidRDefault="00711FE4" w:rsidP="00711FE4">
      <w:pPr>
        <w:rPr>
          <w:rFonts w:ascii="Arial" w:hAnsi="Arial"/>
          <w:kern w:val="2"/>
          <w14:ligatures w14:val="standardContextual"/>
        </w:rPr>
      </w:pPr>
    </w:p>
    <w:p w14:paraId="4DC4F554" w14:textId="77777777" w:rsidR="00711FE4" w:rsidRPr="00711FE4" w:rsidRDefault="00711FE4" w:rsidP="00711FE4">
      <w:pPr>
        <w:rPr>
          <w:rFonts w:ascii="Arial" w:hAnsi="Arial"/>
          <w:kern w:val="2"/>
          <w14:ligatures w14:val="standardContextual"/>
        </w:rPr>
      </w:pPr>
    </w:p>
    <w:p w14:paraId="180478B3" w14:textId="77777777" w:rsidR="00711FE4" w:rsidRPr="00711FE4" w:rsidRDefault="00711FE4" w:rsidP="00711FE4">
      <w:pPr>
        <w:spacing w:after="0" w:line="240" w:lineRule="auto"/>
        <w:rPr>
          <w:rFonts w:ascii="Arial" w:hAnsi="Arial"/>
          <w:b/>
          <w:bCs/>
          <w:color w:val="000000"/>
          <w:sz w:val="18"/>
          <w:szCs w:val="18"/>
        </w:rPr>
      </w:pPr>
      <w:bookmarkStart w:id="49" w:name="_Hlk210816059"/>
      <w:r w:rsidRPr="00711FE4">
        <w:rPr>
          <w:rFonts w:ascii="Arial" w:hAnsi="Arial"/>
          <w:b/>
          <w:bCs/>
          <w:color w:val="000000"/>
          <w:sz w:val="18"/>
          <w:szCs w:val="18"/>
        </w:rPr>
        <w:br w:type="page"/>
      </w:r>
    </w:p>
    <w:bookmarkEnd w:id="49"/>
    <w:p w14:paraId="7E97350E" w14:textId="2CE20259" w:rsidR="00711FE4" w:rsidRPr="00711FE4" w:rsidRDefault="00711FE4" w:rsidP="00711FE4">
      <w:pPr>
        <w:spacing w:after="0" w:line="240" w:lineRule="auto"/>
        <w:jc w:val="center"/>
        <w:rPr>
          <w:rFonts w:ascii="Arial" w:hAnsi="Arial"/>
          <w:b/>
          <w:bCs/>
          <w:color w:val="FF0000"/>
          <w:sz w:val="18"/>
          <w:szCs w:val="18"/>
        </w:rPr>
      </w:pPr>
      <w:r w:rsidRPr="00711FE4">
        <w:rPr>
          <w:rFonts w:ascii="Arial" w:hAnsi="Arial"/>
          <w:b/>
          <w:bCs/>
          <w:color w:val="000000"/>
          <w:sz w:val="18"/>
          <w:szCs w:val="18"/>
        </w:rPr>
        <w:lastRenderedPageBreak/>
        <w:t>Table 20.2</w:t>
      </w:r>
    </w:p>
    <w:p w14:paraId="09DB459D"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t xml:space="preserve">Item lists for the HES-based DEP-17 and the HILS-based MH-18: </w:t>
      </w:r>
    </w:p>
    <w:p w14:paraId="3C0A3E53" w14:textId="77777777" w:rsidR="00711FE4" w:rsidRPr="00711FE4" w:rsidRDefault="00711FE4" w:rsidP="00711FE4">
      <w:pPr>
        <w:spacing w:line="240" w:lineRule="auto"/>
        <w:jc w:val="center"/>
        <w:rPr>
          <w:rFonts w:ascii="Arial" w:hAnsi="Arial"/>
          <w:b/>
          <w:bCs/>
          <w:color w:val="000000"/>
          <w:sz w:val="18"/>
          <w:szCs w:val="18"/>
        </w:rPr>
      </w:pPr>
      <w:r w:rsidRPr="00711FE4">
        <w:rPr>
          <w:rFonts w:ascii="Arial" w:hAnsi="Arial"/>
          <w:b/>
          <w:bCs/>
          <w:color w:val="000000"/>
          <w:sz w:val="18"/>
          <w:szCs w:val="18"/>
        </w:rPr>
        <w:t>short-form for reference when using Table A20.2b below</w:t>
      </w:r>
    </w:p>
    <w:tbl>
      <w:tblPr>
        <w:tblW w:w="6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418"/>
        <w:gridCol w:w="708"/>
        <w:gridCol w:w="1134"/>
        <w:gridCol w:w="1134"/>
      </w:tblGrid>
      <w:tr w:rsidR="00711FE4" w:rsidRPr="00711FE4" w14:paraId="405A7BA4" w14:textId="77777777" w:rsidTr="00366F04">
        <w:trPr>
          <w:trHeight w:val="360"/>
          <w:jc w:val="center"/>
        </w:trPr>
        <w:tc>
          <w:tcPr>
            <w:tcW w:w="2274" w:type="dxa"/>
            <w:vMerge w:val="restart"/>
            <w:vAlign w:val="center"/>
            <w:hideMark/>
          </w:tcPr>
          <w:p w14:paraId="7005C905"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Short name</w:t>
            </w:r>
          </w:p>
        </w:tc>
        <w:tc>
          <w:tcPr>
            <w:tcW w:w="1418" w:type="dxa"/>
            <w:vMerge w:val="restart"/>
            <w:vAlign w:val="center"/>
          </w:tcPr>
          <w:p w14:paraId="28FDC0F9"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Deprivation response</w:t>
            </w:r>
          </w:p>
        </w:tc>
        <w:tc>
          <w:tcPr>
            <w:tcW w:w="708" w:type="dxa"/>
            <w:vMerge w:val="restart"/>
            <w:vAlign w:val="center"/>
            <w:hideMark/>
          </w:tcPr>
          <w:p w14:paraId="29E0E98C"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module</w:t>
            </w:r>
          </w:p>
        </w:tc>
        <w:tc>
          <w:tcPr>
            <w:tcW w:w="2268" w:type="dxa"/>
            <w:gridSpan w:val="2"/>
            <w:vAlign w:val="center"/>
            <w:hideMark/>
          </w:tcPr>
          <w:p w14:paraId="346C7893" w14:textId="77777777" w:rsidR="00711FE4" w:rsidRPr="00711FE4" w:rsidRDefault="00711FE4" w:rsidP="00711FE4">
            <w:pPr>
              <w:spacing w:after="0" w:line="240" w:lineRule="auto"/>
              <w:jc w:val="center"/>
              <w:rPr>
                <w:rFonts w:ascii="Arial" w:eastAsia="Times New Roman" w:hAnsi="Arial"/>
                <w:b/>
                <w:bCs/>
                <w:color w:val="000000"/>
                <w:sz w:val="14"/>
                <w:szCs w:val="14"/>
                <w:highlight w:val="darkRed"/>
                <w:lang w:eastAsia="en-NZ"/>
              </w:rPr>
            </w:pPr>
            <w:r w:rsidRPr="00711FE4">
              <w:rPr>
                <w:rFonts w:ascii="Arial" w:eastAsia="Times New Roman" w:hAnsi="Arial"/>
                <w:b/>
                <w:bCs/>
                <w:color w:val="000000"/>
                <w:sz w:val="14"/>
                <w:szCs w:val="14"/>
                <w:lang w:eastAsia="en-NZ"/>
              </w:rPr>
              <w:t>Indices</w:t>
            </w:r>
          </w:p>
        </w:tc>
      </w:tr>
      <w:tr w:rsidR="00711FE4" w:rsidRPr="00711FE4" w14:paraId="3EF94465" w14:textId="77777777" w:rsidTr="00366F04">
        <w:trPr>
          <w:trHeight w:val="370"/>
          <w:jc w:val="center"/>
        </w:trPr>
        <w:tc>
          <w:tcPr>
            <w:tcW w:w="2274" w:type="dxa"/>
            <w:vMerge/>
            <w:vAlign w:val="center"/>
            <w:hideMark/>
          </w:tcPr>
          <w:p w14:paraId="6A460D0E"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1418" w:type="dxa"/>
            <w:vMerge/>
          </w:tcPr>
          <w:p w14:paraId="1C6FC10F"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p>
        </w:tc>
        <w:tc>
          <w:tcPr>
            <w:tcW w:w="708" w:type="dxa"/>
            <w:vMerge/>
            <w:vAlign w:val="center"/>
            <w:hideMark/>
          </w:tcPr>
          <w:p w14:paraId="064E104E" w14:textId="77777777" w:rsidR="00711FE4" w:rsidRPr="00711FE4" w:rsidRDefault="00711FE4" w:rsidP="00711FE4">
            <w:pPr>
              <w:spacing w:after="0" w:line="240" w:lineRule="auto"/>
              <w:rPr>
                <w:rFonts w:ascii="Calibri" w:eastAsia="Times New Roman" w:hAnsi="Calibri" w:cs="Calibri"/>
                <w:color w:val="000000"/>
                <w:sz w:val="14"/>
                <w:szCs w:val="14"/>
                <w:lang w:eastAsia="en-NZ"/>
              </w:rPr>
            </w:pPr>
          </w:p>
        </w:tc>
        <w:tc>
          <w:tcPr>
            <w:tcW w:w="1134" w:type="dxa"/>
            <w:vAlign w:val="center"/>
            <w:hideMark/>
          </w:tcPr>
          <w:p w14:paraId="7BD4281F" w14:textId="77777777" w:rsidR="00711FE4" w:rsidRPr="00711FE4" w:rsidRDefault="00711FE4" w:rsidP="00711FE4">
            <w:pPr>
              <w:spacing w:after="0" w:line="240" w:lineRule="auto"/>
              <w:ind w:left="-113" w:right="-113"/>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DEP-17</w:t>
            </w:r>
          </w:p>
        </w:tc>
        <w:tc>
          <w:tcPr>
            <w:tcW w:w="1134" w:type="dxa"/>
            <w:vAlign w:val="center"/>
            <w:hideMark/>
          </w:tcPr>
          <w:p w14:paraId="1514186A" w14:textId="77777777" w:rsidR="00711FE4" w:rsidRPr="00711FE4" w:rsidRDefault="00711FE4" w:rsidP="00711FE4">
            <w:pPr>
              <w:spacing w:after="0" w:line="240" w:lineRule="auto"/>
              <w:ind w:left="-113" w:right="-113"/>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MH-18</w:t>
            </w:r>
          </w:p>
        </w:tc>
      </w:tr>
      <w:tr w:rsidR="00711FE4" w:rsidRPr="00711FE4" w14:paraId="77DB2D2A" w14:textId="77777777" w:rsidTr="00366F04">
        <w:trPr>
          <w:trHeight w:val="255"/>
          <w:jc w:val="center"/>
        </w:trPr>
        <w:tc>
          <w:tcPr>
            <w:tcW w:w="3692" w:type="dxa"/>
            <w:gridSpan w:val="2"/>
            <w:shd w:val="clear" w:color="auto" w:fill="F2F2F2"/>
            <w:vAlign w:val="center"/>
            <w:hideMark/>
          </w:tcPr>
          <w:p w14:paraId="7BC19EC5"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Ownership or participation</w:t>
            </w:r>
          </w:p>
        </w:tc>
        <w:tc>
          <w:tcPr>
            <w:tcW w:w="708" w:type="dxa"/>
            <w:shd w:val="clear" w:color="auto" w:fill="F2F2F2"/>
            <w:vAlign w:val="center"/>
            <w:hideMark/>
          </w:tcPr>
          <w:p w14:paraId="4DF4E1BA"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c>
          <w:tcPr>
            <w:tcW w:w="1134" w:type="dxa"/>
            <w:shd w:val="clear" w:color="auto" w:fill="F2F2F2"/>
            <w:vAlign w:val="center"/>
            <w:hideMark/>
          </w:tcPr>
          <w:p w14:paraId="468487A5"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c>
          <w:tcPr>
            <w:tcW w:w="1134" w:type="dxa"/>
            <w:shd w:val="clear" w:color="auto" w:fill="F2F2F2"/>
            <w:vAlign w:val="center"/>
            <w:hideMark/>
          </w:tcPr>
          <w:p w14:paraId="65548E12"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r>
      <w:tr w:rsidR="00711FE4" w:rsidRPr="00711FE4" w14:paraId="5D7AF8B2" w14:textId="77777777" w:rsidTr="00366F04">
        <w:trPr>
          <w:trHeight w:val="255"/>
          <w:jc w:val="center"/>
        </w:trPr>
        <w:tc>
          <w:tcPr>
            <w:tcW w:w="2274" w:type="dxa"/>
            <w:vAlign w:val="center"/>
            <w:hideMark/>
          </w:tcPr>
          <w:p w14:paraId="2E60A24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Shoes</w:t>
            </w:r>
          </w:p>
        </w:tc>
        <w:tc>
          <w:tcPr>
            <w:tcW w:w="1418" w:type="dxa"/>
            <w:vAlign w:val="center"/>
          </w:tcPr>
          <w:p w14:paraId="4C3EB87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708" w:type="dxa"/>
            <w:vAlign w:val="center"/>
            <w:hideMark/>
          </w:tcPr>
          <w:p w14:paraId="1D368C7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50B65FCE"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7F8647BC"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451F7920" w14:textId="77777777" w:rsidTr="00366F04">
        <w:trPr>
          <w:trHeight w:val="255"/>
          <w:jc w:val="center"/>
        </w:trPr>
        <w:tc>
          <w:tcPr>
            <w:tcW w:w="2274" w:type="dxa"/>
            <w:vAlign w:val="center"/>
            <w:hideMark/>
          </w:tcPr>
          <w:p w14:paraId="51A3B92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Clothes for special</w:t>
            </w:r>
          </w:p>
        </w:tc>
        <w:tc>
          <w:tcPr>
            <w:tcW w:w="1418" w:type="dxa"/>
            <w:vAlign w:val="center"/>
          </w:tcPr>
          <w:p w14:paraId="1103DE8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708" w:type="dxa"/>
            <w:vAlign w:val="center"/>
            <w:hideMark/>
          </w:tcPr>
          <w:p w14:paraId="5C7B7E3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08A6A44F"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7BFA1C60"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0798D9D6" w14:textId="77777777" w:rsidTr="00366F04">
        <w:trPr>
          <w:trHeight w:val="255"/>
          <w:jc w:val="center"/>
        </w:trPr>
        <w:tc>
          <w:tcPr>
            <w:tcW w:w="2274" w:type="dxa"/>
            <w:vAlign w:val="center"/>
          </w:tcPr>
          <w:p w14:paraId="637689FA"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Contents ins</w:t>
            </w:r>
          </w:p>
        </w:tc>
        <w:tc>
          <w:tcPr>
            <w:tcW w:w="1418" w:type="dxa"/>
            <w:vAlign w:val="center"/>
          </w:tcPr>
          <w:p w14:paraId="5598355A"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708" w:type="dxa"/>
            <w:vAlign w:val="center"/>
          </w:tcPr>
          <w:p w14:paraId="4B43AF5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c>
          <w:tcPr>
            <w:tcW w:w="1134" w:type="dxa"/>
            <w:vAlign w:val="center"/>
          </w:tcPr>
          <w:p w14:paraId="7EAB4B50"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Y</w:t>
            </w:r>
          </w:p>
        </w:tc>
        <w:tc>
          <w:tcPr>
            <w:tcW w:w="1134" w:type="dxa"/>
            <w:vAlign w:val="center"/>
          </w:tcPr>
          <w:p w14:paraId="0C7535AD"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Y</w:t>
            </w:r>
          </w:p>
        </w:tc>
      </w:tr>
      <w:tr w:rsidR="00711FE4" w:rsidRPr="00711FE4" w14:paraId="40D869E8" w14:textId="77777777" w:rsidTr="00366F04">
        <w:trPr>
          <w:trHeight w:val="255"/>
          <w:jc w:val="center"/>
        </w:trPr>
        <w:tc>
          <w:tcPr>
            <w:tcW w:w="2274" w:type="dxa"/>
            <w:vAlign w:val="center"/>
            <w:hideMark/>
          </w:tcPr>
          <w:p w14:paraId="0DE98BC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Protein meal</w:t>
            </w:r>
          </w:p>
        </w:tc>
        <w:tc>
          <w:tcPr>
            <w:tcW w:w="1418" w:type="dxa"/>
            <w:vAlign w:val="center"/>
          </w:tcPr>
          <w:p w14:paraId="53A360F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708" w:type="dxa"/>
            <w:vAlign w:val="center"/>
            <w:hideMark/>
          </w:tcPr>
          <w:p w14:paraId="3DCC25F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5BD8878F"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1CD56034"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46F23736" w14:textId="77777777" w:rsidTr="00366F04">
        <w:trPr>
          <w:trHeight w:val="255"/>
          <w:jc w:val="center"/>
        </w:trPr>
        <w:tc>
          <w:tcPr>
            <w:tcW w:w="2274" w:type="dxa"/>
            <w:vAlign w:val="center"/>
          </w:tcPr>
          <w:p w14:paraId="4963B9E7"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Gifts</w:t>
            </w:r>
          </w:p>
        </w:tc>
        <w:tc>
          <w:tcPr>
            <w:tcW w:w="1418" w:type="dxa"/>
            <w:vAlign w:val="center"/>
          </w:tcPr>
          <w:p w14:paraId="11DFBDD8"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708" w:type="dxa"/>
            <w:vAlign w:val="center"/>
          </w:tcPr>
          <w:p w14:paraId="4F82C2A9"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ISP</w:t>
            </w:r>
          </w:p>
        </w:tc>
        <w:tc>
          <w:tcPr>
            <w:tcW w:w="1134" w:type="dxa"/>
            <w:vAlign w:val="center"/>
          </w:tcPr>
          <w:p w14:paraId="6672BA43"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Y</w:t>
            </w:r>
          </w:p>
        </w:tc>
        <w:tc>
          <w:tcPr>
            <w:tcW w:w="1134" w:type="dxa"/>
            <w:vAlign w:val="center"/>
          </w:tcPr>
          <w:p w14:paraId="5A60999E"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Y</w:t>
            </w:r>
          </w:p>
        </w:tc>
      </w:tr>
      <w:tr w:rsidR="00711FE4" w:rsidRPr="00711FE4" w14:paraId="2D4891CF" w14:textId="77777777" w:rsidTr="00366F04">
        <w:trPr>
          <w:trHeight w:val="255"/>
          <w:jc w:val="center"/>
        </w:trPr>
        <w:tc>
          <w:tcPr>
            <w:tcW w:w="2274" w:type="dxa"/>
            <w:vAlign w:val="center"/>
          </w:tcPr>
          <w:p w14:paraId="553CF346"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Good bed</w:t>
            </w:r>
          </w:p>
        </w:tc>
        <w:tc>
          <w:tcPr>
            <w:tcW w:w="1418" w:type="dxa"/>
            <w:vAlign w:val="center"/>
          </w:tcPr>
          <w:p w14:paraId="1E4DAA69"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708" w:type="dxa"/>
            <w:vAlign w:val="center"/>
          </w:tcPr>
          <w:p w14:paraId="248F39CA"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eastAsia="Times New Roman" w:hAnsi="Arial"/>
                <w:color w:val="000000"/>
                <w:sz w:val="14"/>
                <w:szCs w:val="14"/>
                <w:lang w:eastAsia="en-NZ"/>
              </w:rPr>
              <w:t>ISP</w:t>
            </w:r>
          </w:p>
        </w:tc>
        <w:tc>
          <w:tcPr>
            <w:tcW w:w="1134" w:type="dxa"/>
            <w:vAlign w:val="center"/>
          </w:tcPr>
          <w:p w14:paraId="25A8C457"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w:t>
            </w:r>
          </w:p>
        </w:tc>
        <w:tc>
          <w:tcPr>
            <w:tcW w:w="1134" w:type="dxa"/>
            <w:vAlign w:val="center"/>
          </w:tcPr>
          <w:p w14:paraId="5680FBCB"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Y</w:t>
            </w:r>
          </w:p>
        </w:tc>
      </w:tr>
      <w:tr w:rsidR="00711FE4" w:rsidRPr="00711FE4" w14:paraId="122DE702" w14:textId="77777777" w:rsidTr="00366F04">
        <w:trPr>
          <w:trHeight w:val="255"/>
          <w:jc w:val="center"/>
        </w:trPr>
        <w:tc>
          <w:tcPr>
            <w:tcW w:w="2274" w:type="dxa"/>
            <w:vAlign w:val="center"/>
          </w:tcPr>
          <w:p w14:paraId="540E7DBA"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eastAsia="Times New Roman" w:hAnsi="Arial"/>
                <w:color w:val="000000"/>
                <w:sz w:val="14"/>
                <w:szCs w:val="14"/>
                <w:lang w:eastAsia="en-NZ"/>
              </w:rPr>
              <w:t>Computer &amp; internet</w:t>
            </w:r>
          </w:p>
        </w:tc>
        <w:tc>
          <w:tcPr>
            <w:tcW w:w="1418" w:type="dxa"/>
            <w:vAlign w:val="center"/>
          </w:tcPr>
          <w:p w14:paraId="4AFA2601"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708" w:type="dxa"/>
            <w:vAlign w:val="center"/>
          </w:tcPr>
          <w:p w14:paraId="7990E19B"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HSP</w:t>
            </w:r>
          </w:p>
        </w:tc>
        <w:tc>
          <w:tcPr>
            <w:tcW w:w="1134" w:type="dxa"/>
            <w:vAlign w:val="center"/>
          </w:tcPr>
          <w:p w14:paraId="462BF111"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w:t>
            </w:r>
          </w:p>
        </w:tc>
        <w:tc>
          <w:tcPr>
            <w:tcW w:w="1134" w:type="dxa"/>
            <w:vAlign w:val="center"/>
          </w:tcPr>
          <w:p w14:paraId="1ECBF976" w14:textId="77777777" w:rsidR="00711FE4" w:rsidRPr="00711FE4" w:rsidRDefault="00711FE4" w:rsidP="00711FE4">
            <w:pPr>
              <w:spacing w:after="0" w:line="240" w:lineRule="auto"/>
              <w:ind w:left="-57" w:right="-57"/>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Y</w:t>
            </w:r>
          </w:p>
        </w:tc>
      </w:tr>
      <w:tr w:rsidR="00711FE4" w:rsidRPr="00711FE4" w14:paraId="2D3D90EC" w14:textId="77777777" w:rsidTr="00366F04">
        <w:trPr>
          <w:trHeight w:val="255"/>
          <w:jc w:val="center"/>
        </w:trPr>
        <w:tc>
          <w:tcPr>
            <w:tcW w:w="3692" w:type="dxa"/>
            <w:gridSpan w:val="2"/>
            <w:shd w:val="clear" w:color="auto" w:fill="F2F2F2"/>
            <w:vAlign w:val="center"/>
            <w:hideMark/>
          </w:tcPr>
          <w:p w14:paraId="0603E19E"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Economising</w:t>
            </w:r>
          </w:p>
        </w:tc>
        <w:tc>
          <w:tcPr>
            <w:tcW w:w="708" w:type="dxa"/>
            <w:shd w:val="clear" w:color="auto" w:fill="F2F2F2"/>
            <w:vAlign w:val="center"/>
            <w:hideMark/>
          </w:tcPr>
          <w:p w14:paraId="5DF30C1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shd w:val="clear" w:color="auto" w:fill="F2F2F2"/>
            <w:vAlign w:val="center"/>
          </w:tcPr>
          <w:p w14:paraId="5024AAB2"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p>
        </w:tc>
        <w:tc>
          <w:tcPr>
            <w:tcW w:w="1134" w:type="dxa"/>
            <w:shd w:val="clear" w:color="auto" w:fill="F2F2F2"/>
            <w:vAlign w:val="center"/>
          </w:tcPr>
          <w:p w14:paraId="29B559AA"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p>
        </w:tc>
      </w:tr>
      <w:tr w:rsidR="00711FE4" w:rsidRPr="00711FE4" w14:paraId="45B77E40" w14:textId="77777777" w:rsidTr="00366F04">
        <w:trPr>
          <w:trHeight w:val="255"/>
          <w:jc w:val="center"/>
        </w:trPr>
        <w:tc>
          <w:tcPr>
            <w:tcW w:w="2274" w:type="dxa"/>
            <w:vAlign w:val="center"/>
            <w:hideMark/>
          </w:tcPr>
          <w:p w14:paraId="2DED701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Fresh fruit &amp; veg</w:t>
            </w:r>
          </w:p>
        </w:tc>
        <w:tc>
          <w:tcPr>
            <w:tcW w:w="1418" w:type="dxa"/>
            <w:vAlign w:val="center"/>
          </w:tcPr>
          <w:p w14:paraId="08F32C8F" w14:textId="77777777" w:rsidR="00711FE4" w:rsidRPr="00711FE4" w:rsidRDefault="00711FE4" w:rsidP="00711FE4">
            <w:pPr>
              <w:spacing w:after="0" w:line="240" w:lineRule="auto"/>
              <w:jc w:val="center"/>
              <w:rPr>
                <w:rFonts w:ascii="Arial" w:eastAsia="Times New Roman" w:hAnsi="Arial"/>
                <w:color w:val="242424"/>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74010E8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6796AA01"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1A04D04B"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700B8F1A" w14:textId="77777777" w:rsidTr="00366F04">
        <w:trPr>
          <w:trHeight w:val="255"/>
          <w:jc w:val="center"/>
        </w:trPr>
        <w:tc>
          <w:tcPr>
            <w:tcW w:w="2274" w:type="dxa"/>
            <w:vAlign w:val="center"/>
            <w:hideMark/>
          </w:tcPr>
          <w:p w14:paraId="2B732F2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Cheaper / less meat</w:t>
            </w:r>
          </w:p>
        </w:tc>
        <w:tc>
          <w:tcPr>
            <w:tcW w:w="1418" w:type="dxa"/>
            <w:vAlign w:val="center"/>
          </w:tcPr>
          <w:p w14:paraId="7CE48CB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66F7F08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50D311A1"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4C583C3B"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3D63C8D8" w14:textId="77777777" w:rsidTr="00366F04">
        <w:trPr>
          <w:trHeight w:val="255"/>
          <w:jc w:val="center"/>
        </w:trPr>
        <w:tc>
          <w:tcPr>
            <w:tcW w:w="2274" w:type="dxa"/>
            <w:vAlign w:val="center"/>
            <w:hideMark/>
          </w:tcPr>
          <w:p w14:paraId="067DD95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Put up with cold</w:t>
            </w:r>
          </w:p>
        </w:tc>
        <w:tc>
          <w:tcPr>
            <w:tcW w:w="1418" w:type="dxa"/>
            <w:vAlign w:val="center"/>
          </w:tcPr>
          <w:p w14:paraId="250708D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19E9EE3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3E64F8AB"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42A48A8B"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746E1111" w14:textId="77777777" w:rsidTr="00366F04">
        <w:trPr>
          <w:trHeight w:val="255"/>
          <w:jc w:val="center"/>
        </w:trPr>
        <w:tc>
          <w:tcPr>
            <w:tcW w:w="2274" w:type="dxa"/>
            <w:vAlign w:val="center"/>
            <w:hideMark/>
          </w:tcPr>
          <w:p w14:paraId="381CD1D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Local trips</w:t>
            </w:r>
          </w:p>
        </w:tc>
        <w:tc>
          <w:tcPr>
            <w:tcW w:w="1418" w:type="dxa"/>
            <w:vAlign w:val="center"/>
          </w:tcPr>
          <w:p w14:paraId="44AB415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78F6290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168FDE03"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2844DA0E"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p>
        </w:tc>
      </w:tr>
      <w:tr w:rsidR="00711FE4" w:rsidRPr="00711FE4" w14:paraId="31DC21D4" w14:textId="77777777" w:rsidTr="00366F04">
        <w:trPr>
          <w:trHeight w:val="255"/>
          <w:jc w:val="center"/>
        </w:trPr>
        <w:tc>
          <w:tcPr>
            <w:tcW w:w="2274" w:type="dxa"/>
            <w:vAlign w:val="center"/>
            <w:hideMark/>
          </w:tcPr>
          <w:p w14:paraId="3D91AC0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Appliances</w:t>
            </w:r>
          </w:p>
        </w:tc>
        <w:tc>
          <w:tcPr>
            <w:tcW w:w="1418" w:type="dxa"/>
            <w:vAlign w:val="center"/>
          </w:tcPr>
          <w:p w14:paraId="1881E70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4A87F65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5D03484B"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61F93E69"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3B4D0FE7" w14:textId="77777777" w:rsidTr="00366F04">
        <w:trPr>
          <w:trHeight w:val="255"/>
          <w:jc w:val="center"/>
        </w:trPr>
        <w:tc>
          <w:tcPr>
            <w:tcW w:w="2274" w:type="dxa"/>
            <w:vAlign w:val="center"/>
            <w:hideMark/>
          </w:tcPr>
          <w:p w14:paraId="650A9A2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Doctor</w:t>
            </w:r>
          </w:p>
        </w:tc>
        <w:tc>
          <w:tcPr>
            <w:tcW w:w="1418" w:type="dxa"/>
            <w:vAlign w:val="center"/>
          </w:tcPr>
          <w:p w14:paraId="62C7D53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274B175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06CB2A38"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3B1F5001"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0237BCA8" w14:textId="77777777" w:rsidTr="00366F04">
        <w:trPr>
          <w:trHeight w:val="255"/>
          <w:jc w:val="center"/>
        </w:trPr>
        <w:tc>
          <w:tcPr>
            <w:tcW w:w="2274" w:type="dxa"/>
            <w:vAlign w:val="center"/>
            <w:hideMark/>
          </w:tcPr>
          <w:p w14:paraId="1667ED15"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Dentist</w:t>
            </w:r>
          </w:p>
        </w:tc>
        <w:tc>
          <w:tcPr>
            <w:tcW w:w="1418" w:type="dxa"/>
            <w:vAlign w:val="center"/>
          </w:tcPr>
          <w:p w14:paraId="2BFF022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708" w:type="dxa"/>
            <w:vAlign w:val="center"/>
            <w:hideMark/>
          </w:tcPr>
          <w:p w14:paraId="7101EBC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71C017AC"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71591997"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0A0D5877" w14:textId="77777777" w:rsidTr="00366F04">
        <w:trPr>
          <w:trHeight w:val="255"/>
          <w:jc w:val="center"/>
        </w:trPr>
        <w:tc>
          <w:tcPr>
            <w:tcW w:w="3692" w:type="dxa"/>
            <w:gridSpan w:val="2"/>
            <w:shd w:val="clear" w:color="auto" w:fill="F2F2F2"/>
            <w:vAlign w:val="center"/>
            <w:hideMark/>
          </w:tcPr>
          <w:p w14:paraId="2F4D23D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Freedoms / restrictions</w:t>
            </w:r>
          </w:p>
        </w:tc>
        <w:tc>
          <w:tcPr>
            <w:tcW w:w="708" w:type="dxa"/>
            <w:shd w:val="clear" w:color="auto" w:fill="F2F2F2"/>
            <w:vAlign w:val="center"/>
            <w:hideMark/>
          </w:tcPr>
          <w:p w14:paraId="3D63D7E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shd w:val="clear" w:color="auto" w:fill="F2F2F2"/>
            <w:vAlign w:val="center"/>
          </w:tcPr>
          <w:p w14:paraId="3A5E94A2"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p>
        </w:tc>
        <w:tc>
          <w:tcPr>
            <w:tcW w:w="1134" w:type="dxa"/>
            <w:shd w:val="clear" w:color="auto" w:fill="F2F2F2"/>
            <w:vAlign w:val="center"/>
          </w:tcPr>
          <w:p w14:paraId="5978CAEA"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p>
        </w:tc>
      </w:tr>
      <w:tr w:rsidR="00711FE4" w:rsidRPr="00711FE4" w14:paraId="53E2F11E" w14:textId="77777777" w:rsidTr="00366F04">
        <w:trPr>
          <w:trHeight w:val="255"/>
          <w:jc w:val="center"/>
        </w:trPr>
        <w:tc>
          <w:tcPr>
            <w:tcW w:w="2274" w:type="dxa"/>
            <w:vAlign w:val="center"/>
            <w:hideMark/>
          </w:tcPr>
          <w:p w14:paraId="3D077E75"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Limited by money</w:t>
            </w:r>
          </w:p>
        </w:tc>
        <w:tc>
          <w:tcPr>
            <w:tcW w:w="1418" w:type="dxa"/>
            <w:vAlign w:val="center"/>
          </w:tcPr>
          <w:p w14:paraId="638B354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very limited</w:t>
            </w:r>
          </w:p>
        </w:tc>
        <w:tc>
          <w:tcPr>
            <w:tcW w:w="708" w:type="dxa"/>
            <w:vAlign w:val="center"/>
            <w:hideMark/>
          </w:tcPr>
          <w:p w14:paraId="6E88D34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4" w:type="dxa"/>
            <w:vAlign w:val="center"/>
          </w:tcPr>
          <w:p w14:paraId="121DC10E"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1A83F88D"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3814EA57" w14:textId="77777777" w:rsidTr="00366F04">
        <w:trPr>
          <w:trHeight w:val="255"/>
          <w:jc w:val="center"/>
        </w:trPr>
        <w:tc>
          <w:tcPr>
            <w:tcW w:w="2274" w:type="dxa"/>
            <w:vAlign w:val="center"/>
            <w:hideMark/>
          </w:tcPr>
          <w:p w14:paraId="4448F912"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Unexpected $500</w:t>
            </w:r>
          </w:p>
        </w:tc>
        <w:tc>
          <w:tcPr>
            <w:tcW w:w="1418" w:type="dxa"/>
            <w:vAlign w:val="center"/>
          </w:tcPr>
          <w:p w14:paraId="3E87F3F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w:t>
            </w:r>
          </w:p>
        </w:tc>
        <w:tc>
          <w:tcPr>
            <w:tcW w:w="708" w:type="dxa"/>
            <w:vAlign w:val="center"/>
            <w:hideMark/>
          </w:tcPr>
          <w:p w14:paraId="00A72F1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28C5349B"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307FF634"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408AE655" w14:textId="77777777" w:rsidTr="00366F04">
        <w:trPr>
          <w:trHeight w:val="255"/>
          <w:jc w:val="center"/>
        </w:trPr>
        <w:tc>
          <w:tcPr>
            <w:tcW w:w="3692" w:type="dxa"/>
            <w:gridSpan w:val="2"/>
            <w:shd w:val="clear" w:color="auto" w:fill="F2F2F2"/>
            <w:vAlign w:val="center"/>
            <w:hideMark/>
          </w:tcPr>
          <w:p w14:paraId="156EEBB4"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Financial strain</w:t>
            </w:r>
          </w:p>
        </w:tc>
        <w:tc>
          <w:tcPr>
            <w:tcW w:w="708" w:type="dxa"/>
            <w:shd w:val="clear" w:color="auto" w:fill="F2F2F2"/>
            <w:vAlign w:val="center"/>
            <w:hideMark/>
          </w:tcPr>
          <w:p w14:paraId="5B551D5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shd w:val="clear" w:color="auto" w:fill="F2F2F2"/>
            <w:vAlign w:val="center"/>
          </w:tcPr>
          <w:p w14:paraId="6B52D72F"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p>
        </w:tc>
        <w:tc>
          <w:tcPr>
            <w:tcW w:w="1134" w:type="dxa"/>
            <w:shd w:val="clear" w:color="auto" w:fill="F2F2F2"/>
            <w:vAlign w:val="center"/>
          </w:tcPr>
          <w:p w14:paraId="641624B3"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p>
        </w:tc>
      </w:tr>
      <w:tr w:rsidR="00711FE4" w:rsidRPr="00711FE4" w14:paraId="35F18B4E" w14:textId="77777777" w:rsidTr="00366F04">
        <w:trPr>
          <w:trHeight w:val="255"/>
          <w:jc w:val="center"/>
        </w:trPr>
        <w:tc>
          <w:tcPr>
            <w:tcW w:w="2274" w:type="dxa"/>
            <w:vAlign w:val="center"/>
            <w:hideMark/>
          </w:tcPr>
          <w:p w14:paraId="2BB315A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utilities</w:t>
            </w:r>
          </w:p>
        </w:tc>
        <w:tc>
          <w:tcPr>
            <w:tcW w:w="1418" w:type="dxa"/>
            <w:vAlign w:val="center"/>
          </w:tcPr>
          <w:p w14:paraId="1052B28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708" w:type="dxa"/>
            <w:vAlign w:val="center"/>
            <w:hideMark/>
          </w:tcPr>
          <w:p w14:paraId="4F97155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7219BA6F"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601237BF"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4DEFC87C" w14:textId="77777777" w:rsidTr="00366F04">
        <w:trPr>
          <w:trHeight w:val="255"/>
          <w:jc w:val="center"/>
        </w:trPr>
        <w:tc>
          <w:tcPr>
            <w:tcW w:w="2274" w:type="dxa"/>
            <w:noWrap/>
            <w:vAlign w:val="center"/>
            <w:hideMark/>
          </w:tcPr>
          <w:p w14:paraId="0E79FEE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car bills</w:t>
            </w:r>
          </w:p>
        </w:tc>
        <w:tc>
          <w:tcPr>
            <w:tcW w:w="1418" w:type="dxa"/>
            <w:vAlign w:val="center"/>
          </w:tcPr>
          <w:p w14:paraId="793506B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708" w:type="dxa"/>
            <w:vAlign w:val="center"/>
            <w:hideMark/>
          </w:tcPr>
          <w:p w14:paraId="02504F3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5DFAA5B3"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73B3A5E2"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7A44553D" w14:textId="77777777" w:rsidTr="00366F04">
        <w:trPr>
          <w:trHeight w:val="255"/>
          <w:jc w:val="center"/>
        </w:trPr>
        <w:tc>
          <w:tcPr>
            <w:tcW w:w="2274" w:type="dxa"/>
            <w:noWrap/>
            <w:vAlign w:val="center"/>
            <w:hideMark/>
          </w:tcPr>
          <w:p w14:paraId="02EB20C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Borrow from family</w:t>
            </w:r>
          </w:p>
        </w:tc>
        <w:tc>
          <w:tcPr>
            <w:tcW w:w="1418" w:type="dxa"/>
            <w:vAlign w:val="center"/>
          </w:tcPr>
          <w:p w14:paraId="1155431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708" w:type="dxa"/>
            <w:vAlign w:val="center"/>
            <w:hideMark/>
          </w:tcPr>
          <w:p w14:paraId="0EFAB5A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4" w:type="dxa"/>
            <w:vAlign w:val="center"/>
          </w:tcPr>
          <w:p w14:paraId="431877CD"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vAlign w:val="center"/>
          </w:tcPr>
          <w:p w14:paraId="1CB8D807" w14:textId="77777777" w:rsidR="00711FE4" w:rsidRPr="00711FE4" w:rsidRDefault="00711FE4" w:rsidP="00711FE4">
            <w:pPr>
              <w:spacing w:after="0" w:line="240" w:lineRule="auto"/>
              <w:ind w:left="-57" w:right="-57"/>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bl>
    <w:p w14:paraId="2A86F70E" w14:textId="77777777" w:rsidR="00711FE4" w:rsidRPr="00711FE4" w:rsidRDefault="00711FE4" w:rsidP="00711FE4">
      <w:pPr>
        <w:spacing w:before="40" w:after="0" w:line="240" w:lineRule="auto"/>
        <w:ind w:left="1276" w:right="1514"/>
        <w:rPr>
          <w:rFonts w:ascii="Arial" w:hAnsi="Arial"/>
          <w:kern w:val="2"/>
          <w:sz w:val="16"/>
          <w:szCs w:val="16"/>
          <w14:ligatures w14:val="standardContextual"/>
        </w:rPr>
      </w:pPr>
      <w:r w:rsidRPr="00711FE4">
        <w:rPr>
          <w:rFonts w:ascii="Arial" w:hAnsi="Arial"/>
          <w:kern w:val="2"/>
          <w:sz w:val="16"/>
          <w:szCs w:val="16"/>
          <w14:ligatures w14:val="standardContextual"/>
        </w:rPr>
        <w:t>Table note:</w:t>
      </w:r>
    </w:p>
    <w:p w14:paraId="16C08B29" w14:textId="77777777" w:rsidR="00711FE4" w:rsidRPr="00711FE4" w:rsidRDefault="00711FE4">
      <w:pPr>
        <w:numPr>
          <w:ilvl w:val="0"/>
          <w:numId w:val="108"/>
        </w:numPr>
        <w:spacing w:after="0" w:line="240" w:lineRule="auto"/>
        <w:ind w:left="1560" w:right="1513" w:hanging="142"/>
        <w:contextualSpacing/>
        <w:rPr>
          <w:rFonts w:ascii="Arial" w:hAnsi="Arial"/>
          <w:kern w:val="2"/>
          <w:sz w:val="16"/>
          <w:szCs w:val="16"/>
          <w14:ligatures w14:val="standardContextual"/>
        </w:rPr>
      </w:pPr>
      <w:r w:rsidRPr="00711FE4">
        <w:rPr>
          <w:rFonts w:ascii="Arial" w:hAnsi="Arial"/>
          <w:kern w:val="2"/>
          <w:sz w:val="16"/>
          <w:szCs w:val="16"/>
          <w14:ligatures w14:val="standardContextual"/>
        </w:rPr>
        <w:t xml:space="preserve">The table is intended to give an overall guide only – the detail of the wording of some of the items changed from HES to HILS. See </w:t>
      </w:r>
      <w:r w:rsidRPr="00711FE4">
        <w:rPr>
          <w:rFonts w:ascii="Arial" w:hAnsi="Arial"/>
          <w:b/>
          <w:bCs/>
          <w:kern w:val="2"/>
          <w:sz w:val="16"/>
          <w:szCs w:val="16"/>
          <w14:ligatures w14:val="standardContextual"/>
        </w:rPr>
        <w:t>Table A20.3b</w:t>
      </w:r>
      <w:r w:rsidRPr="00711FE4">
        <w:rPr>
          <w:rFonts w:ascii="Arial" w:hAnsi="Arial"/>
          <w:kern w:val="2"/>
          <w:sz w:val="16"/>
          <w:szCs w:val="16"/>
          <w14:ligatures w14:val="standardContextual"/>
        </w:rPr>
        <w:t xml:space="preserve"> below for detail </w:t>
      </w:r>
    </w:p>
    <w:p w14:paraId="73A76AC6" w14:textId="77777777" w:rsidR="00711FE4" w:rsidRPr="00711FE4" w:rsidRDefault="00711FE4" w:rsidP="00711FE4">
      <w:pPr>
        <w:rPr>
          <w:rFonts w:ascii="Arial" w:hAnsi="Arial"/>
          <w:kern w:val="2"/>
          <w14:ligatures w14:val="standardContextual"/>
        </w:rPr>
      </w:pPr>
    </w:p>
    <w:p w14:paraId="78B827AF" w14:textId="77777777" w:rsidR="00711FE4" w:rsidRPr="00711FE4" w:rsidRDefault="00711FE4" w:rsidP="00711FE4">
      <w:pPr>
        <w:spacing w:after="0" w:line="240" w:lineRule="auto"/>
        <w:rPr>
          <w:rFonts w:ascii="Arial" w:hAnsi="Arial"/>
          <w:b/>
          <w:bCs/>
          <w:color w:val="000000"/>
          <w:sz w:val="18"/>
          <w:szCs w:val="18"/>
        </w:rPr>
      </w:pPr>
      <w:r w:rsidRPr="00711FE4">
        <w:rPr>
          <w:rFonts w:ascii="Arial" w:hAnsi="Arial"/>
          <w:b/>
          <w:bCs/>
          <w:color w:val="000000"/>
          <w:sz w:val="18"/>
          <w:szCs w:val="18"/>
        </w:rPr>
        <w:br w:type="page"/>
      </w:r>
    </w:p>
    <w:p w14:paraId="4BD76B38" w14:textId="5D11B9B0"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lastRenderedPageBreak/>
        <w:t>Table 20.3</w:t>
      </w:r>
    </w:p>
    <w:p w14:paraId="22392CEB" w14:textId="77777777" w:rsidR="00711FE4" w:rsidRPr="00711FE4" w:rsidRDefault="00711FE4" w:rsidP="00711FE4">
      <w:pPr>
        <w:spacing w:after="60"/>
        <w:jc w:val="center"/>
        <w:rPr>
          <w:rFonts w:ascii="Arial" w:hAnsi="Arial"/>
          <w:color w:val="FF0000"/>
          <w:sz w:val="18"/>
          <w:szCs w:val="18"/>
        </w:rPr>
      </w:pPr>
      <w:r w:rsidRPr="00711FE4">
        <w:rPr>
          <w:rFonts w:ascii="Arial" w:hAnsi="Arial"/>
          <w:b/>
          <w:bCs/>
          <w:color w:val="000000"/>
          <w:sz w:val="18"/>
          <w:szCs w:val="18"/>
        </w:rPr>
        <w:t>Changes to questionnaire wording for items used in HILS for MH-18 compared with what was used in HES for DEP-17</w:t>
      </w:r>
      <w:r w:rsidRPr="00711FE4">
        <w:rPr>
          <w:rFonts w:ascii="Arial" w:hAnsi="Arial"/>
          <w:b/>
          <w:bCs/>
          <w:color w:val="000000"/>
          <w:sz w:val="22"/>
        </w:rPr>
        <w:t xml:space="preserve"> </w:t>
      </w:r>
      <w:r w:rsidRPr="00711FE4">
        <w:rPr>
          <w:rFonts w:ascii="Arial" w:hAnsi="Arial"/>
          <w:color w:val="FF0000"/>
          <w:sz w:val="18"/>
          <w:szCs w:val="18"/>
        </w:rPr>
        <w:t>(changes in red)</w:t>
      </w:r>
    </w:p>
    <w:p w14:paraId="067D0A97" w14:textId="77777777" w:rsidR="00711FE4" w:rsidRPr="00711FE4" w:rsidRDefault="00711FE4" w:rsidP="00711FE4">
      <w:pPr>
        <w:spacing w:after="0" w:line="240" w:lineRule="auto"/>
        <w:ind w:firstLine="720"/>
        <w:rPr>
          <w:rFonts w:ascii="Arial" w:hAnsi="Arial"/>
          <w:color w:val="000000"/>
          <w:sz w:val="16"/>
          <w:szCs w:val="16"/>
        </w:rPr>
      </w:pPr>
      <w:r w:rsidRPr="00711FE4">
        <w:rPr>
          <w:rFonts w:ascii="Arial" w:hAnsi="Arial"/>
          <w:color w:val="000000"/>
          <w:sz w:val="16"/>
          <w:szCs w:val="16"/>
        </w:rPr>
        <w:t xml:space="preserve">DK = don’t know   </w:t>
      </w:r>
      <w:r w:rsidRPr="00711FE4">
        <w:rPr>
          <w:rFonts w:ascii="Arial" w:hAnsi="Arial"/>
          <w:color w:val="000000"/>
          <w:sz w:val="16"/>
          <w:szCs w:val="16"/>
        </w:rPr>
        <w:tab/>
      </w:r>
      <w:r w:rsidRPr="00711FE4">
        <w:rPr>
          <w:rFonts w:ascii="Arial" w:hAnsi="Arial"/>
          <w:color w:val="000000"/>
          <w:sz w:val="16"/>
          <w:szCs w:val="16"/>
        </w:rPr>
        <w:tab/>
      </w:r>
      <w:r w:rsidRPr="00711FE4">
        <w:rPr>
          <w:rFonts w:ascii="Arial" w:hAnsi="Arial"/>
          <w:color w:val="000000"/>
          <w:sz w:val="16"/>
          <w:szCs w:val="16"/>
        </w:rPr>
        <w:tab/>
        <w:t>RF = refuse to answer</w:t>
      </w:r>
    </w:p>
    <w:p w14:paraId="060C06D2" w14:textId="77777777" w:rsidR="00711FE4" w:rsidRPr="00711FE4" w:rsidRDefault="00711FE4" w:rsidP="00711FE4">
      <w:pPr>
        <w:spacing w:after="60"/>
        <w:ind w:firstLine="720"/>
        <w:rPr>
          <w:rFonts w:ascii="Arial" w:hAnsi="Arial"/>
          <w:color w:val="000000"/>
          <w:sz w:val="16"/>
          <w:szCs w:val="16"/>
        </w:rPr>
      </w:pPr>
      <w:r w:rsidRPr="00711FE4">
        <w:rPr>
          <w:rFonts w:ascii="Arial" w:hAnsi="Arial"/>
          <w:color w:val="000000"/>
          <w:sz w:val="16"/>
          <w:szCs w:val="16"/>
        </w:rPr>
        <w:t>ISP = individual spending</w:t>
      </w:r>
      <w:r w:rsidRPr="00711FE4">
        <w:rPr>
          <w:rFonts w:ascii="Arial" w:hAnsi="Arial"/>
          <w:color w:val="000000"/>
          <w:sz w:val="16"/>
          <w:szCs w:val="16"/>
        </w:rPr>
        <w:tab/>
      </w:r>
      <w:r w:rsidRPr="00711FE4">
        <w:rPr>
          <w:rFonts w:ascii="Arial" w:hAnsi="Arial"/>
          <w:color w:val="000000"/>
          <w:sz w:val="16"/>
          <w:szCs w:val="16"/>
        </w:rPr>
        <w:tab/>
        <w:t>HSP = household spending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3398"/>
        <w:gridCol w:w="3685"/>
      </w:tblGrid>
      <w:tr w:rsidR="00711FE4" w:rsidRPr="00711FE4" w14:paraId="7F8DB245" w14:textId="77777777" w:rsidTr="00366F04">
        <w:trPr>
          <w:trHeight w:val="360"/>
        </w:trPr>
        <w:tc>
          <w:tcPr>
            <w:tcW w:w="992" w:type="dxa"/>
            <w:vMerge w:val="restart"/>
            <w:vAlign w:val="center"/>
            <w:hideMark/>
          </w:tcPr>
          <w:p w14:paraId="166E501A"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Short name</w:t>
            </w:r>
          </w:p>
        </w:tc>
        <w:tc>
          <w:tcPr>
            <w:tcW w:w="992" w:type="dxa"/>
            <w:vMerge w:val="restart"/>
            <w:vAlign w:val="center"/>
          </w:tcPr>
          <w:p w14:paraId="2103B68F"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Deprivation response</w:t>
            </w:r>
          </w:p>
        </w:tc>
        <w:tc>
          <w:tcPr>
            <w:tcW w:w="7083" w:type="dxa"/>
            <w:gridSpan w:val="2"/>
            <w:vAlign w:val="center"/>
            <w:hideMark/>
          </w:tcPr>
          <w:p w14:paraId="267F5FDF"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Question wording</w:t>
            </w:r>
          </w:p>
        </w:tc>
      </w:tr>
      <w:tr w:rsidR="00711FE4" w:rsidRPr="00711FE4" w14:paraId="4464B6F0" w14:textId="77777777" w:rsidTr="00366F04">
        <w:trPr>
          <w:trHeight w:val="370"/>
        </w:trPr>
        <w:tc>
          <w:tcPr>
            <w:tcW w:w="992" w:type="dxa"/>
            <w:vMerge/>
            <w:vAlign w:val="center"/>
            <w:hideMark/>
          </w:tcPr>
          <w:p w14:paraId="79FCED1C"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992" w:type="dxa"/>
            <w:vMerge/>
          </w:tcPr>
          <w:p w14:paraId="772148AC"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p>
        </w:tc>
        <w:tc>
          <w:tcPr>
            <w:tcW w:w="3398" w:type="dxa"/>
            <w:vAlign w:val="center"/>
            <w:hideMark/>
          </w:tcPr>
          <w:p w14:paraId="52EDF847"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HES</w:t>
            </w:r>
          </w:p>
        </w:tc>
        <w:tc>
          <w:tcPr>
            <w:tcW w:w="3685" w:type="dxa"/>
            <w:vAlign w:val="center"/>
            <w:hideMark/>
          </w:tcPr>
          <w:p w14:paraId="0E5A9722"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w:t>
            </w:r>
          </w:p>
        </w:tc>
      </w:tr>
      <w:tr w:rsidR="00711FE4" w:rsidRPr="00711FE4" w14:paraId="2B34AE1D" w14:textId="77777777" w:rsidTr="00366F04">
        <w:trPr>
          <w:trHeight w:val="1080"/>
        </w:trPr>
        <w:tc>
          <w:tcPr>
            <w:tcW w:w="1984" w:type="dxa"/>
            <w:gridSpan w:val="2"/>
            <w:shd w:val="clear" w:color="auto" w:fill="F2F2F2"/>
            <w:vAlign w:val="center"/>
            <w:hideMark/>
          </w:tcPr>
          <w:p w14:paraId="66CAE8E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Ownership or participation</w:t>
            </w:r>
          </w:p>
        </w:tc>
        <w:tc>
          <w:tcPr>
            <w:tcW w:w="3398" w:type="dxa"/>
            <w:shd w:val="clear" w:color="auto" w:fill="F2F2F2"/>
            <w:vAlign w:val="center"/>
            <w:hideMark/>
          </w:tcPr>
          <w:p w14:paraId="1154FBD3"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I'm now going to ask you about some things you may or may not have or do…</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xml:space="preserve">: </w:t>
            </w:r>
            <w:r w:rsidRPr="00711FE4">
              <w:rPr>
                <w:rFonts w:ascii="Arial" w:eastAsia="Times New Roman" w:hAnsi="Arial"/>
                <w:b/>
                <w:bCs/>
                <w:color w:val="000000"/>
                <w:sz w:val="14"/>
                <w:szCs w:val="14"/>
                <w:lang w:eastAsia="en-NZ"/>
              </w:rPr>
              <w:t>Don’t want, cost, other, DK, refuse</w:t>
            </w:r>
          </w:p>
        </w:tc>
        <w:tc>
          <w:tcPr>
            <w:tcW w:w="3685" w:type="dxa"/>
            <w:shd w:val="clear" w:color="auto" w:fill="F2F2F2"/>
            <w:vAlign w:val="center"/>
            <w:hideMark/>
          </w:tcPr>
          <w:p w14:paraId="044D7957"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 &amp; ISP intro- The next questions are about being forced to keep costs down…</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xml:space="preserve">: </w:t>
            </w:r>
            <w:r w:rsidRPr="00711FE4">
              <w:rPr>
                <w:rFonts w:ascii="Arial" w:eastAsia="Times New Roman" w:hAnsi="Arial"/>
                <w:b/>
                <w:bCs/>
                <w:color w:val="000000"/>
                <w:sz w:val="14"/>
                <w:szCs w:val="14"/>
                <w:lang w:eastAsia="en-NZ"/>
              </w:rPr>
              <w:t>Don’t want, cost, other, DK, refuse</w:t>
            </w:r>
          </w:p>
        </w:tc>
      </w:tr>
      <w:tr w:rsidR="00711FE4" w:rsidRPr="00711FE4" w14:paraId="7206648D" w14:textId="77777777" w:rsidTr="00366F04">
        <w:trPr>
          <w:trHeight w:val="360"/>
        </w:trPr>
        <w:tc>
          <w:tcPr>
            <w:tcW w:w="992" w:type="dxa"/>
            <w:vAlign w:val="center"/>
            <w:hideMark/>
          </w:tcPr>
          <w:p w14:paraId="1F08482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Shoes</w:t>
            </w:r>
          </w:p>
        </w:tc>
        <w:tc>
          <w:tcPr>
            <w:tcW w:w="992" w:type="dxa"/>
            <w:vAlign w:val="center"/>
          </w:tcPr>
          <w:p w14:paraId="1BC4F42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398" w:type="dxa"/>
            <w:vAlign w:val="center"/>
            <w:hideMark/>
          </w:tcPr>
          <w:p w14:paraId="6DD7834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you have at least two pairs of shoes in </w:t>
            </w:r>
            <w:r w:rsidRPr="00711FE4">
              <w:rPr>
                <w:rFonts w:ascii="Arial" w:eastAsia="Times New Roman" w:hAnsi="Arial"/>
                <w:color w:val="FF0000"/>
                <w:sz w:val="14"/>
                <w:szCs w:val="14"/>
                <w:lang w:eastAsia="en-NZ"/>
              </w:rPr>
              <w:t>a</w:t>
            </w:r>
            <w:r w:rsidRPr="00711FE4">
              <w:rPr>
                <w:rFonts w:ascii="Arial" w:eastAsia="Times New Roman" w:hAnsi="Arial"/>
                <w:color w:val="000000"/>
                <w:sz w:val="14"/>
                <w:szCs w:val="14"/>
                <w:lang w:eastAsia="en-NZ"/>
              </w:rPr>
              <w:t xml:space="preserve"> good condition </w:t>
            </w:r>
            <w:r w:rsidRPr="00711FE4">
              <w:rPr>
                <w:rFonts w:ascii="Arial" w:eastAsia="Times New Roman" w:hAnsi="Arial"/>
                <w:color w:val="FF0000"/>
                <w:sz w:val="14"/>
                <w:szCs w:val="14"/>
                <w:lang w:eastAsia="en-NZ"/>
              </w:rPr>
              <w:t>that are</w:t>
            </w:r>
            <w:r w:rsidRPr="00711FE4">
              <w:rPr>
                <w:rFonts w:ascii="Arial" w:eastAsia="Times New Roman" w:hAnsi="Arial"/>
                <w:color w:val="000000"/>
                <w:sz w:val="14"/>
                <w:szCs w:val="14"/>
                <w:lang w:eastAsia="en-NZ"/>
              </w:rPr>
              <w:t xml:space="preserve"> suitable for your daily activities?</w:t>
            </w:r>
          </w:p>
        </w:tc>
        <w:tc>
          <w:tcPr>
            <w:tcW w:w="3685" w:type="dxa"/>
            <w:vAlign w:val="center"/>
            <w:hideMark/>
          </w:tcPr>
          <w:p w14:paraId="7FD38E4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at least two pairs of shoes in good condition, suitable for your daily activities? </w:t>
            </w:r>
          </w:p>
        </w:tc>
      </w:tr>
      <w:tr w:rsidR="00711FE4" w:rsidRPr="00711FE4" w14:paraId="4520EE8D" w14:textId="77777777" w:rsidTr="00366F04">
        <w:trPr>
          <w:trHeight w:val="360"/>
        </w:trPr>
        <w:tc>
          <w:tcPr>
            <w:tcW w:w="992" w:type="dxa"/>
            <w:vAlign w:val="center"/>
            <w:hideMark/>
          </w:tcPr>
          <w:p w14:paraId="7A4C73E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Clothes for special</w:t>
            </w:r>
          </w:p>
        </w:tc>
        <w:tc>
          <w:tcPr>
            <w:tcW w:w="992" w:type="dxa"/>
            <w:vAlign w:val="center"/>
          </w:tcPr>
          <w:p w14:paraId="62082AE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398" w:type="dxa"/>
            <w:vAlign w:val="center"/>
            <w:hideMark/>
          </w:tcPr>
          <w:p w14:paraId="6E63D29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suitable clothes for important or special occasions?</w:t>
            </w:r>
          </w:p>
        </w:tc>
        <w:tc>
          <w:tcPr>
            <w:tcW w:w="3685" w:type="dxa"/>
            <w:vAlign w:val="center"/>
            <w:hideMark/>
          </w:tcPr>
          <w:p w14:paraId="0692B47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suitable clothes for important or special occasions? </w:t>
            </w:r>
          </w:p>
        </w:tc>
      </w:tr>
      <w:tr w:rsidR="00711FE4" w:rsidRPr="00711FE4" w14:paraId="54A881EC" w14:textId="77777777" w:rsidTr="00366F04">
        <w:trPr>
          <w:trHeight w:val="360"/>
        </w:trPr>
        <w:tc>
          <w:tcPr>
            <w:tcW w:w="992" w:type="dxa"/>
            <w:vAlign w:val="center"/>
          </w:tcPr>
          <w:p w14:paraId="1B6C641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Contents ins</w:t>
            </w:r>
          </w:p>
        </w:tc>
        <w:tc>
          <w:tcPr>
            <w:tcW w:w="992" w:type="dxa"/>
            <w:vAlign w:val="center"/>
          </w:tcPr>
          <w:p w14:paraId="2848FADC"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398" w:type="dxa"/>
            <w:vAlign w:val="center"/>
          </w:tcPr>
          <w:p w14:paraId="12CC935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 </w:t>
            </w:r>
            <w:r w:rsidRPr="00711FE4">
              <w:rPr>
                <w:rFonts w:ascii="Arial" w:hAnsi="Arial"/>
                <w:color w:val="FF0000"/>
                <w:kern w:val="2"/>
                <w:sz w:val="14"/>
                <w:szCs w:val="14"/>
                <w14:ligatures w14:val="standardContextual"/>
              </w:rPr>
              <w:t>you</w:t>
            </w:r>
            <w:r w:rsidRPr="00711FE4">
              <w:rPr>
                <w:rFonts w:ascii="Arial" w:hAnsi="Arial"/>
                <w:color w:val="000000"/>
                <w:kern w:val="2"/>
                <w:sz w:val="14"/>
                <w:szCs w:val="14"/>
                <w14:ligatures w14:val="standardContextual"/>
              </w:rPr>
              <w:t xml:space="preserve"> have home contents insurance?</w:t>
            </w:r>
          </w:p>
        </w:tc>
        <w:tc>
          <w:tcPr>
            <w:tcW w:w="3685" w:type="dxa"/>
            <w:vAlign w:val="center"/>
          </w:tcPr>
          <w:p w14:paraId="4D3DBDD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Does your household have home contents insurance?</w:t>
            </w:r>
          </w:p>
        </w:tc>
      </w:tr>
      <w:tr w:rsidR="00711FE4" w:rsidRPr="00711FE4" w14:paraId="7159DB64" w14:textId="77777777" w:rsidTr="00366F04">
        <w:trPr>
          <w:trHeight w:val="360"/>
        </w:trPr>
        <w:tc>
          <w:tcPr>
            <w:tcW w:w="992" w:type="dxa"/>
            <w:vAlign w:val="center"/>
            <w:hideMark/>
          </w:tcPr>
          <w:p w14:paraId="5F8D2A0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Protein meal</w:t>
            </w:r>
          </w:p>
        </w:tc>
        <w:tc>
          <w:tcPr>
            <w:tcW w:w="992" w:type="dxa"/>
            <w:vAlign w:val="center"/>
          </w:tcPr>
          <w:p w14:paraId="4591381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Don't have - cost</w:t>
            </w:r>
          </w:p>
        </w:tc>
        <w:tc>
          <w:tcPr>
            <w:tcW w:w="3398" w:type="dxa"/>
            <w:vAlign w:val="center"/>
            <w:hideMark/>
          </w:tcPr>
          <w:p w14:paraId="6F21880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 meal with meat,</w:t>
            </w:r>
            <w:r w:rsidRPr="00711FE4">
              <w:rPr>
                <w:rFonts w:ascii="Arial" w:eastAsia="Times New Roman" w:hAnsi="Arial"/>
                <w:color w:val="FF0000"/>
                <w:sz w:val="14"/>
                <w:szCs w:val="14"/>
                <w:lang w:eastAsia="en-NZ"/>
              </w:rPr>
              <w:t xml:space="preserve"> fish, or chicken (or vegetarian equivalent) at least each</w:t>
            </w:r>
            <w:r w:rsidRPr="00711FE4">
              <w:rPr>
                <w:rFonts w:ascii="Arial" w:eastAsia="Times New Roman" w:hAnsi="Arial"/>
                <w:color w:val="000000"/>
                <w:sz w:val="14"/>
                <w:szCs w:val="14"/>
                <w:lang w:eastAsia="en-NZ"/>
              </w:rPr>
              <w:t xml:space="preserve"> second day?</w:t>
            </w:r>
          </w:p>
        </w:tc>
        <w:tc>
          <w:tcPr>
            <w:tcW w:w="3685" w:type="dxa"/>
            <w:vAlign w:val="center"/>
            <w:hideMark/>
          </w:tcPr>
          <w:p w14:paraId="746C147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 meal with</w:t>
            </w:r>
            <w:r w:rsidRPr="00711FE4">
              <w:rPr>
                <w:rFonts w:ascii="Arial" w:eastAsia="Times New Roman" w:hAnsi="Arial"/>
                <w:color w:val="FF0000"/>
                <w:sz w:val="14"/>
                <w:szCs w:val="14"/>
                <w:lang w:eastAsia="en-NZ"/>
              </w:rPr>
              <w:t xml:space="preserve"> meat, seafood, eggs, or plant-based protein at least every</w:t>
            </w:r>
            <w:r w:rsidRPr="00711FE4">
              <w:rPr>
                <w:rFonts w:ascii="Arial" w:eastAsia="Times New Roman" w:hAnsi="Arial"/>
                <w:color w:val="000000"/>
                <w:sz w:val="14"/>
                <w:szCs w:val="14"/>
                <w:lang w:eastAsia="en-NZ"/>
              </w:rPr>
              <w:t xml:space="preserve"> second day? </w:t>
            </w:r>
          </w:p>
        </w:tc>
      </w:tr>
      <w:tr w:rsidR="00711FE4" w:rsidRPr="00711FE4" w14:paraId="5011C5CE" w14:textId="77777777" w:rsidTr="00366F04">
        <w:trPr>
          <w:trHeight w:val="360"/>
        </w:trPr>
        <w:tc>
          <w:tcPr>
            <w:tcW w:w="992" w:type="dxa"/>
            <w:vAlign w:val="center"/>
          </w:tcPr>
          <w:p w14:paraId="1F42742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Gifts</w:t>
            </w:r>
          </w:p>
        </w:tc>
        <w:tc>
          <w:tcPr>
            <w:tcW w:w="992" w:type="dxa"/>
            <w:vAlign w:val="center"/>
          </w:tcPr>
          <w:p w14:paraId="536EDA80"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Don't have - cost</w:t>
            </w:r>
          </w:p>
        </w:tc>
        <w:tc>
          <w:tcPr>
            <w:tcW w:w="3398" w:type="dxa"/>
            <w:vAlign w:val="center"/>
          </w:tcPr>
          <w:p w14:paraId="5EC154A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give presents to family or friends on birthdays, Christmas, or other special occasions?</w:t>
            </w:r>
          </w:p>
        </w:tc>
        <w:tc>
          <w:tcPr>
            <w:tcW w:w="3685" w:type="dxa"/>
            <w:vAlign w:val="center"/>
          </w:tcPr>
          <w:p w14:paraId="39D8DFE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give presents to family or friends on birthdays, Christmas, or other special occasions? </w:t>
            </w:r>
          </w:p>
        </w:tc>
      </w:tr>
      <w:tr w:rsidR="00711FE4" w:rsidRPr="00711FE4" w14:paraId="50BEE108" w14:textId="77777777" w:rsidTr="00366F04">
        <w:trPr>
          <w:trHeight w:val="2160"/>
        </w:trPr>
        <w:tc>
          <w:tcPr>
            <w:tcW w:w="1984" w:type="dxa"/>
            <w:gridSpan w:val="2"/>
            <w:shd w:val="clear" w:color="auto" w:fill="F2F2F2"/>
            <w:vAlign w:val="center"/>
            <w:hideMark/>
          </w:tcPr>
          <w:p w14:paraId="54DE4E78"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Economising</w:t>
            </w:r>
          </w:p>
        </w:tc>
        <w:tc>
          <w:tcPr>
            <w:tcW w:w="3398" w:type="dxa"/>
            <w:shd w:val="clear" w:color="auto" w:fill="F2F2F2"/>
            <w:vAlign w:val="center"/>
            <w:hideMark/>
          </w:tcPr>
          <w:p w14:paraId="6F753B3D" w14:textId="77777777" w:rsidR="00711FE4" w:rsidRPr="00711FE4" w:rsidRDefault="00711FE4" w:rsidP="00711FE4">
            <w:pPr>
              <w:spacing w:before="40" w:after="40" w:line="240" w:lineRule="auto"/>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711FE4">
              <w:rPr>
                <w:rFonts w:ascii="Arial" w:eastAsia="Times New Roman" w:hAnsi="Arial"/>
                <w:color w:val="FF0000"/>
                <w:sz w:val="14"/>
                <w:szCs w:val="14"/>
                <w:lang w:eastAsia="en-NZ"/>
              </w:rPr>
              <w:t xml:space="preserve">you </w:t>
            </w:r>
            <w:r w:rsidRPr="00711FE4">
              <w:rPr>
                <w:rFonts w:ascii="Arial" w:eastAsia="Times New Roman" w:hAnsi="Arial"/>
                <w:color w:val="242424"/>
                <w:sz w:val="14"/>
                <w:szCs w:val="14"/>
                <w:lang w:eastAsia="en-NZ"/>
              </w:rPr>
              <w:t xml:space="preserve">had to do any of the following things to keep down costs </w:t>
            </w:r>
            <w:r w:rsidRPr="00711FE4">
              <w:rPr>
                <w:rFonts w:ascii="Arial" w:eastAsia="Times New Roman" w:hAnsi="Arial"/>
                <w:b/>
                <w:bCs/>
                <w:color w:val="242424"/>
                <w:sz w:val="14"/>
                <w:szCs w:val="14"/>
                <w:lang w:eastAsia="en-NZ"/>
              </w:rPr>
              <w:t>in the last 12 months</w:t>
            </w:r>
            <w:r w:rsidRPr="00711FE4">
              <w:rPr>
                <w:rFonts w:ascii="Arial" w:eastAsia="Times New Roman" w:hAnsi="Arial"/>
                <w:color w:val="242424"/>
                <w:sz w:val="14"/>
                <w:szCs w:val="14"/>
                <w:lang w:eastAsia="en-NZ"/>
              </w:rPr>
              <w:t xml:space="preserve"> 'not at all', 'a little', or 'a lot': </w:t>
            </w:r>
            <w:r w:rsidRPr="00711FE4">
              <w:rPr>
                <w:rFonts w:ascii="Arial" w:eastAsia="Times New Roman" w:hAnsi="Arial"/>
                <w:color w:val="242424"/>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242424"/>
                <w:sz w:val="14"/>
                <w:szCs w:val="14"/>
                <w:lang w:eastAsia="en-NZ"/>
              </w:rPr>
              <w:t>- not at all</w:t>
            </w:r>
            <w:r w:rsidRPr="00711FE4">
              <w:rPr>
                <w:rFonts w:ascii="Arial" w:eastAsia="Times New Roman" w:hAnsi="Arial"/>
                <w:b/>
                <w:bCs/>
                <w:color w:val="242424"/>
                <w:sz w:val="14"/>
                <w:szCs w:val="14"/>
                <w:lang w:eastAsia="en-NZ"/>
              </w:rPr>
              <w:br/>
              <w:t>- a little</w:t>
            </w:r>
            <w:r w:rsidRPr="00711FE4">
              <w:rPr>
                <w:rFonts w:ascii="Arial" w:eastAsia="Times New Roman" w:hAnsi="Arial"/>
                <w:b/>
                <w:bCs/>
                <w:color w:val="242424"/>
                <w:sz w:val="14"/>
                <w:szCs w:val="14"/>
                <w:lang w:eastAsia="en-NZ"/>
              </w:rPr>
              <w:br/>
              <w:t>- a lot</w:t>
            </w:r>
            <w:r w:rsidRPr="00711FE4">
              <w:rPr>
                <w:rFonts w:ascii="Arial" w:eastAsia="Times New Roman" w:hAnsi="Arial"/>
                <w:b/>
                <w:bCs/>
                <w:color w:val="242424"/>
                <w:sz w:val="14"/>
                <w:szCs w:val="14"/>
                <w:lang w:eastAsia="en-NZ"/>
              </w:rPr>
              <w:br/>
              <w:t>DK/RF</w:t>
            </w:r>
          </w:p>
        </w:tc>
        <w:tc>
          <w:tcPr>
            <w:tcW w:w="3685" w:type="dxa"/>
            <w:shd w:val="clear" w:color="auto" w:fill="F2F2F2"/>
            <w:vAlign w:val="center"/>
            <w:hideMark/>
          </w:tcPr>
          <w:p w14:paraId="7F6E97B4"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HSP &amp; ISP intro- The next questions are about being forced to keep costs down. </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Looking at showcard P102, </w:t>
            </w:r>
            <w:r w:rsidRPr="00711FE4">
              <w:rPr>
                <w:rFonts w:ascii="Arial" w:eastAsia="Times New Roman" w:hAnsi="Arial"/>
                <w:b/>
                <w:bCs/>
                <w:color w:val="000000"/>
                <w:sz w:val="14"/>
                <w:szCs w:val="14"/>
                <w:lang w:eastAsia="en-NZ"/>
              </w:rPr>
              <w:t>in the last 12 months</w:t>
            </w:r>
            <w:r w:rsidRPr="00711FE4">
              <w:rPr>
                <w:rFonts w:ascii="Arial" w:eastAsia="Times New Roman" w:hAnsi="Arial"/>
                <w:color w:val="000000"/>
                <w:sz w:val="14"/>
                <w:szCs w:val="14"/>
                <w:lang w:eastAsia="en-NZ"/>
              </w:rPr>
              <w:t xml:space="preserve"> …</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 - a little</w:t>
            </w:r>
            <w:r w:rsidRPr="00711FE4">
              <w:rPr>
                <w:rFonts w:ascii="Arial" w:eastAsia="Times New Roman" w:hAnsi="Arial"/>
                <w:b/>
                <w:bCs/>
                <w:color w:val="000000"/>
                <w:sz w:val="14"/>
                <w:szCs w:val="14"/>
                <w:lang w:eastAsia="en-NZ"/>
              </w:rPr>
              <w:br/>
              <w:t>yes - a lot</w:t>
            </w:r>
            <w:r w:rsidRPr="00711FE4">
              <w:rPr>
                <w:rFonts w:ascii="Arial" w:eastAsia="Times New Roman" w:hAnsi="Arial"/>
                <w:b/>
                <w:bCs/>
                <w:color w:val="000000"/>
                <w:sz w:val="14"/>
                <w:szCs w:val="14"/>
                <w:lang w:eastAsia="en-NZ"/>
              </w:rPr>
              <w:br/>
              <w:t>no - not at all</w:t>
            </w:r>
            <w:r w:rsidRPr="00711FE4">
              <w:rPr>
                <w:rFonts w:ascii="Arial" w:eastAsia="Times New Roman" w:hAnsi="Arial"/>
                <w:b/>
                <w:bCs/>
                <w:color w:val="000000"/>
                <w:sz w:val="14"/>
                <w:szCs w:val="14"/>
                <w:lang w:eastAsia="en-NZ"/>
              </w:rPr>
              <w:br/>
              <w:t>DK/RF</w:t>
            </w:r>
          </w:p>
        </w:tc>
      </w:tr>
      <w:tr w:rsidR="00711FE4" w:rsidRPr="00711FE4" w14:paraId="52669FB6" w14:textId="77777777" w:rsidTr="00366F04">
        <w:trPr>
          <w:trHeight w:val="360"/>
        </w:trPr>
        <w:tc>
          <w:tcPr>
            <w:tcW w:w="992" w:type="dxa"/>
            <w:vAlign w:val="center"/>
            <w:hideMark/>
          </w:tcPr>
          <w:p w14:paraId="45CBC77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Fresh fruit &amp; veg</w:t>
            </w:r>
          </w:p>
        </w:tc>
        <w:tc>
          <w:tcPr>
            <w:tcW w:w="992" w:type="dxa"/>
            <w:vAlign w:val="center"/>
          </w:tcPr>
          <w:p w14:paraId="35B139F0" w14:textId="77777777" w:rsidR="00711FE4" w:rsidRPr="00711FE4" w:rsidRDefault="00711FE4" w:rsidP="00711FE4">
            <w:pPr>
              <w:spacing w:after="0" w:line="240" w:lineRule="auto"/>
              <w:jc w:val="center"/>
              <w:rPr>
                <w:rFonts w:ascii="Arial" w:eastAsia="Times New Roman" w:hAnsi="Arial"/>
                <w:color w:val="242424"/>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6B088E1E" w14:textId="77777777" w:rsidR="00711FE4" w:rsidRPr="00711FE4" w:rsidRDefault="00711FE4" w:rsidP="00711FE4">
            <w:pPr>
              <w:spacing w:before="40" w:after="40" w:line="240" w:lineRule="auto"/>
              <w:jc w:val="center"/>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go without fresh fruit and vegetables?</w:t>
            </w:r>
          </w:p>
        </w:tc>
        <w:tc>
          <w:tcPr>
            <w:tcW w:w="3685" w:type="dxa"/>
            <w:vAlign w:val="center"/>
            <w:hideMark/>
          </w:tcPr>
          <w:p w14:paraId="4240FE3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go without, </w:t>
            </w:r>
            <w:r w:rsidRPr="00711FE4">
              <w:rPr>
                <w:rFonts w:ascii="Arial" w:eastAsia="Times New Roman" w:hAnsi="Arial"/>
                <w:color w:val="FF0000"/>
                <w:sz w:val="14"/>
                <w:szCs w:val="14"/>
                <w:lang w:eastAsia="en-NZ"/>
              </w:rPr>
              <w:t>or cut back on</w:t>
            </w:r>
            <w:r w:rsidRPr="00711FE4">
              <w:rPr>
                <w:rFonts w:ascii="Arial" w:eastAsia="Times New Roman" w:hAnsi="Arial"/>
                <w:color w:val="000000"/>
                <w:sz w:val="14"/>
                <w:szCs w:val="14"/>
                <w:lang w:eastAsia="en-NZ"/>
              </w:rPr>
              <w:t>, fresh fruit and vegetables?</w:t>
            </w:r>
          </w:p>
        </w:tc>
      </w:tr>
      <w:tr w:rsidR="00711FE4" w:rsidRPr="00711FE4" w14:paraId="20E8CE7E" w14:textId="77777777" w:rsidTr="00366F04">
        <w:trPr>
          <w:trHeight w:val="360"/>
        </w:trPr>
        <w:tc>
          <w:tcPr>
            <w:tcW w:w="992" w:type="dxa"/>
            <w:vAlign w:val="center"/>
            <w:hideMark/>
          </w:tcPr>
          <w:p w14:paraId="4609E76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Cheaper / less meat</w:t>
            </w:r>
          </w:p>
        </w:tc>
        <w:tc>
          <w:tcPr>
            <w:tcW w:w="992" w:type="dxa"/>
            <w:vAlign w:val="center"/>
          </w:tcPr>
          <w:p w14:paraId="04FE3B0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282C07C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buy cheaper cuts of meat or buy less meat than </w:t>
            </w:r>
            <w:r w:rsidRPr="00711FE4">
              <w:rPr>
                <w:rFonts w:ascii="Arial" w:eastAsia="Times New Roman" w:hAnsi="Arial"/>
                <w:color w:val="FF0000"/>
                <w:sz w:val="14"/>
                <w:szCs w:val="14"/>
                <w:lang w:eastAsia="en-NZ"/>
              </w:rPr>
              <w:t>you would</w:t>
            </w:r>
            <w:r w:rsidRPr="00711FE4">
              <w:rPr>
                <w:rFonts w:ascii="Arial" w:eastAsia="Times New Roman" w:hAnsi="Arial"/>
                <w:color w:val="000000"/>
                <w:sz w:val="14"/>
                <w:szCs w:val="14"/>
                <w:lang w:eastAsia="en-NZ"/>
              </w:rPr>
              <w:t xml:space="preserve"> like?</w:t>
            </w:r>
          </w:p>
        </w:tc>
        <w:tc>
          <w:tcPr>
            <w:tcW w:w="3685" w:type="dxa"/>
            <w:vAlign w:val="center"/>
            <w:hideMark/>
          </w:tcPr>
          <w:p w14:paraId="3C338E5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buy cheaper cuts of meat, or buy less meat than </w:t>
            </w:r>
            <w:r w:rsidRPr="00711FE4">
              <w:rPr>
                <w:rFonts w:ascii="Arial" w:eastAsia="Times New Roman" w:hAnsi="Arial"/>
                <w:color w:val="FF0000"/>
                <w:sz w:val="14"/>
                <w:szCs w:val="14"/>
                <w:lang w:eastAsia="en-NZ"/>
              </w:rPr>
              <w:t>you'd</w:t>
            </w:r>
            <w:r w:rsidRPr="00711FE4">
              <w:rPr>
                <w:rFonts w:ascii="Arial" w:eastAsia="Times New Roman" w:hAnsi="Arial"/>
                <w:color w:val="000000"/>
                <w:sz w:val="14"/>
                <w:szCs w:val="14"/>
                <w:lang w:eastAsia="en-NZ"/>
              </w:rPr>
              <w:t xml:space="preserve"> like?</w:t>
            </w:r>
          </w:p>
        </w:tc>
      </w:tr>
      <w:tr w:rsidR="00711FE4" w:rsidRPr="00711FE4" w14:paraId="08A2BE5C" w14:textId="77777777" w:rsidTr="00366F04">
        <w:trPr>
          <w:trHeight w:val="280"/>
        </w:trPr>
        <w:tc>
          <w:tcPr>
            <w:tcW w:w="992" w:type="dxa"/>
            <w:vAlign w:val="center"/>
            <w:hideMark/>
          </w:tcPr>
          <w:p w14:paraId="1E46694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Put up with cold</w:t>
            </w:r>
          </w:p>
        </w:tc>
        <w:tc>
          <w:tcPr>
            <w:tcW w:w="992" w:type="dxa"/>
            <w:vAlign w:val="center"/>
          </w:tcPr>
          <w:p w14:paraId="0E428B4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29E640F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put up with feeling cold?</w:t>
            </w:r>
          </w:p>
        </w:tc>
        <w:tc>
          <w:tcPr>
            <w:tcW w:w="3685" w:type="dxa"/>
            <w:vAlign w:val="center"/>
            <w:hideMark/>
          </w:tcPr>
          <w:p w14:paraId="01572E9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put up with feeling cold? </w:t>
            </w:r>
          </w:p>
        </w:tc>
      </w:tr>
      <w:tr w:rsidR="00711FE4" w:rsidRPr="00711FE4" w14:paraId="5F013AA2" w14:textId="77777777" w:rsidTr="00366F04">
        <w:trPr>
          <w:trHeight w:val="540"/>
        </w:trPr>
        <w:tc>
          <w:tcPr>
            <w:tcW w:w="992" w:type="dxa"/>
            <w:vAlign w:val="center"/>
            <w:hideMark/>
          </w:tcPr>
          <w:p w14:paraId="666D73B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Local trips</w:t>
            </w:r>
          </w:p>
        </w:tc>
        <w:tc>
          <w:tcPr>
            <w:tcW w:w="992" w:type="dxa"/>
            <w:vAlign w:val="center"/>
          </w:tcPr>
          <w:p w14:paraId="0FFC08F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52F165D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do without or cut back on </w:t>
            </w:r>
            <w:r w:rsidRPr="00711FE4">
              <w:rPr>
                <w:rFonts w:ascii="Arial" w:eastAsia="Times New Roman" w:hAnsi="Arial"/>
                <w:color w:val="FF0000"/>
                <w:sz w:val="14"/>
                <w:szCs w:val="14"/>
                <w:lang w:eastAsia="en-NZ"/>
              </w:rPr>
              <w:t>trips to the shops or other local places</w:t>
            </w:r>
            <w:r w:rsidRPr="00711FE4">
              <w:rPr>
                <w:rFonts w:ascii="Arial" w:eastAsia="Times New Roman" w:hAnsi="Arial"/>
                <w:color w:val="000000"/>
                <w:sz w:val="14"/>
                <w:szCs w:val="14"/>
                <w:lang w:eastAsia="en-NZ"/>
              </w:rPr>
              <w:t>?</w:t>
            </w:r>
          </w:p>
        </w:tc>
        <w:tc>
          <w:tcPr>
            <w:tcW w:w="3685" w:type="dxa"/>
            <w:vAlign w:val="center"/>
            <w:hideMark/>
          </w:tcPr>
          <w:p w14:paraId="11DCCF1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to keep costs down,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do without or cut back on </w:t>
            </w:r>
            <w:r w:rsidRPr="00711FE4">
              <w:rPr>
                <w:rFonts w:ascii="Arial" w:eastAsia="Times New Roman" w:hAnsi="Arial"/>
                <w:color w:val="FF0000"/>
                <w:sz w:val="14"/>
                <w:szCs w:val="14"/>
                <w:lang w:eastAsia="en-NZ"/>
              </w:rPr>
              <w:t>visits to local places, including the shops?</w:t>
            </w:r>
            <w:r w:rsidRPr="00711FE4">
              <w:rPr>
                <w:rFonts w:ascii="Arial" w:eastAsia="Times New Roman" w:hAnsi="Arial"/>
                <w:color w:val="000000"/>
                <w:sz w:val="14"/>
                <w:szCs w:val="14"/>
                <w:lang w:eastAsia="en-NZ"/>
              </w:rPr>
              <w:t> </w:t>
            </w:r>
          </w:p>
        </w:tc>
      </w:tr>
      <w:tr w:rsidR="00711FE4" w:rsidRPr="00711FE4" w14:paraId="4BA24AE6" w14:textId="77777777" w:rsidTr="00366F04">
        <w:trPr>
          <w:trHeight w:val="360"/>
        </w:trPr>
        <w:tc>
          <w:tcPr>
            <w:tcW w:w="992" w:type="dxa"/>
            <w:vAlign w:val="center"/>
            <w:hideMark/>
          </w:tcPr>
          <w:p w14:paraId="4D33492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Appliances</w:t>
            </w:r>
          </w:p>
        </w:tc>
        <w:tc>
          <w:tcPr>
            <w:tcW w:w="992" w:type="dxa"/>
            <w:vAlign w:val="center"/>
          </w:tcPr>
          <w:p w14:paraId="438ADB2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41071E0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delay replacing or repairing broken or damaged</w:t>
            </w:r>
            <w:r w:rsidRPr="00711FE4">
              <w:rPr>
                <w:rFonts w:ascii="Arial" w:eastAsia="Times New Roman" w:hAnsi="Arial"/>
                <w:color w:val="000000"/>
                <w:sz w:val="14"/>
                <w:szCs w:val="14"/>
                <w:lang w:eastAsia="en-NZ"/>
              </w:rPr>
              <w:t xml:space="preserve"> appliances?</w:t>
            </w:r>
          </w:p>
        </w:tc>
        <w:tc>
          <w:tcPr>
            <w:tcW w:w="3685" w:type="dxa"/>
            <w:vAlign w:val="center"/>
            <w:hideMark/>
          </w:tcPr>
          <w:p w14:paraId="49187DE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 xml:space="preserve">the household had to put off </w:t>
            </w:r>
            <w:r w:rsidRPr="00711FE4">
              <w:rPr>
                <w:rFonts w:ascii="Arial" w:eastAsia="Times New Roman" w:hAnsi="Arial"/>
                <w:color w:val="000000"/>
                <w:sz w:val="14"/>
                <w:szCs w:val="14"/>
                <w:lang w:eastAsia="en-NZ"/>
              </w:rPr>
              <w:t>replacing or repairing appliances?</w:t>
            </w:r>
          </w:p>
        </w:tc>
      </w:tr>
      <w:tr w:rsidR="00711FE4" w:rsidRPr="00711FE4" w14:paraId="6725CBB9" w14:textId="77777777" w:rsidTr="00366F04">
        <w:trPr>
          <w:trHeight w:val="280"/>
        </w:trPr>
        <w:tc>
          <w:tcPr>
            <w:tcW w:w="992" w:type="dxa"/>
            <w:vAlign w:val="center"/>
            <w:hideMark/>
          </w:tcPr>
          <w:p w14:paraId="2C2046C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Doctor</w:t>
            </w:r>
          </w:p>
        </w:tc>
        <w:tc>
          <w:tcPr>
            <w:tcW w:w="992" w:type="dxa"/>
            <w:vAlign w:val="center"/>
          </w:tcPr>
          <w:p w14:paraId="6D48F9D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23A699D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postpone</w:t>
            </w:r>
            <w:r w:rsidRPr="00711FE4">
              <w:rPr>
                <w:rFonts w:ascii="Arial" w:eastAsia="Times New Roman" w:hAnsi="Arial"/>
                <w:color w:val="000000"/>
                <w:sz w:val="14"/>
                <w:szCs w:val="14"/>
                <w:lang w:eastAsia="en-NZ"/>
              </w:rPr>
              <w:t xml:space="preserve"> or put off visits to the doctor?</w:t>
            </w:r>
          </w:p>
        </w:tc>
        <w:tc>
          <w:tcPr>
            <w:tcW w:w="3685" w:type="dxa"/>
            <w:vAlign w:val="center"/>
            <w:hideMark/>
          </w:tcPr>
          <w:p w14:paraId="4969491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put off going to the doctor? </w:t>
            </w:r>
          </w:p>
        </w:tc>
      </w:tr>
      <w:tr w:rsidR="00711FE4" w:rsidRPr="00711FE4" w14:paraId="5DD2441F" w14:textId="77777777" w:rsidTr="00366F04">
        <w:trPr>
          <w:trHeight w:val="280"/>
        </w:trPr>
        <w:tc>
          <w:tcPr>
            <w:tcW w:w="992" w:type="dxa"/>
            <w:vAlign w:val="center"/>
            <w:hideMark/>
          </w:tcPr>
          <w:p w14:paraId="3005664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Dentist</w:t>
            </w:r>
          </w:p>
        </w:tc>
        <w:tc>
          <w:tcPr>
            <w:tcW w:w="992" w:type="dxa"/>
            <w:vAlign w:val="center"/>
          </w:tcPr>
          <w:p w14:paraId="5A31851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a lot</w:t>
            </w:r>
          </w:p>
        </w:tc>
        <w:tc>
          <w:tcPr>
            <w:tcW w:w="3398" w:type="dxa"/>
            <w:vAlign w:val="center"/>
            <w:hideMark/>
          </w:tcPr>
          <w:p w14:paraId="38CC82C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postpone</w:t>
            </w:r>
            <w:r w:rsidRPr="00711FE4">
              <w:rPr>
                <w:rFonts w:ascii="Arial" w:eastAsia="Times New Roman" w:hAnsi="Arial"/>
                <w:color w:val="000000"/>
                <w:sz w:val="14"/>
                <w:szCs w:val="14"/>
                <w:lang w:eastAsia="en-NZ"/>
              </w:rPr>
              <w:t xml:space="preserve"> or put off visits to the dentist?</w:t>
            </w:r>
          </w:p>
        </w:tc>
        <w:tc>
          <w:tcPr>
            <w:tcW w:w="3685" w:type="dxa"/>
            <w:vAlign w:val="center"/>
            <w:hideMark/>
          </w:tcPr>
          <w:p w14:paraId="18C1CC9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put off going to the dentist? </w:t>
            </w:r>
          </w:p>
        </w:tc>
      </w:tr>
      <w:tr w:rsidR="00711FE4" w:rsidRPr="00711FE4" w14:paraId="4AC3DB62" w14:textId="77777777" w:rsidTr="00366F04">
        <w:trPr>
          <w:trHeight w:val="280"/>
        </w:trPr>
        <w:tc>
          <w:tcPr>
            <w:tcW w:w="1984" w:type="dxa"/>
            <w:gridSpan w:val="2"/>
            <w:shd w:val="clear" w:color="auto" w:fill="F2F2F2"/>
            <w:vAlign w:val="center"/>
            <w:hideMark/>
          </w:tcPr>
          <w:p w14:paraId="668C4ADA"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Freedoms / restrictions</w:t>
            </w:r>
          </w:p>
        </w:tc>
        <w:tc>
          <w:tcPr>
            <w:tcW w:w="3398" w:type="dxa"/>
            <w:shd w:val="clear" w:color="auto" w:fill="F2F2F2"/>
            <w:vAlign w:val="center"/>
            <w:hideMark/>
          </w:tcPr>
          <w:p w14:paraId="2F20751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3685" w:type="dxa"/>
            <w:shd w:val="clear" w:color="auto" w:fill="F2F2F2"/>
            <w:vAlign w:val="center"/>
            <w:hideMark/>
          </w:tcPr>
          <w:p w14:paraId="0B39FDA2"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eastAsia="Times New Roman" w:hAnsi="Arial"/>
                <w:color w:val="A6A6A6"/>
                <w:sz w:val="14"/>
                <w:szCs w:val="14"/>
                <w:lang w:eastAsia="en-NZ"/>
              </w:rPr>
              <w:t> </w:t>
            </w:r>
          </w:p>
        </w:tc>
      </w:tr>
      <w:tr w:rsidR="00711FE4" w:rsidRPr="00711FE4" w14:paraId="4C6765B0" w14:textId="77777777" w:rsidTr="00366F04">
        <w:trPr>
          <w:trHeight w:val="274"/>
        </w:trPr>
        <w:tc>
          <w:tcPr>
            <w:tcW w:w="992" w:type="dxa"/>
            <w:vAlign w:val="center"/>
            <w:hideMark/>
          </w:tcPr>
          <w:p w14:paraId="56C42CE5"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Limited by money</w:t>
            </w:r>
          </w:p>
        </w:tc>
        <w:tc>
          <w:tcPr>
            <w:tcW w:w="992" w:type="dxa"/>
            <w:vAlign w:val="center"/>
          </w:tcPr>
          <w:p w14:paraId="3EFB356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very limited</w:t>
            </w:r>
          </w:p>
        </w:tc>
        <w:tc>
          <w:tcPr>
            <w:tcW w:w="3398" w:type="dxa"/>
            <w:vAlign w:val="center"/>
            <w:hideMark/>
          </w:tcPr>
          <w:p w14:paraId="463D16B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When buying, or thinking about buying, clothes or shoes for yourself, how much do you usually feel limited by the money available?</w:t>
            </w:r>
            <w:r w:rsidRPr="00711FE4">
              <w:rPr>
                <w:rFonts w:ascii="Arial" w:eastAsia="Times New Roman" w:hAnsi="Arial"/>
                <w:color w:val="000000"/>
                <w:sz w:val="14"/>
                <w:szCs w:val="14"/>
                <w:lang w:eastAsia="en-NZ"/>
              </w:rPr>
              <w:br/>
              <w:t>If no money available, select 'very limited'</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limited / a little limited / quite limited / very limited / DK / RF</w:t>
            </w:r>
          </w:p>
        </w:tc>
        <w:tc>
          <w:tcPr>
            <w:tcW w:w="3685" w:type="dxa"/>
            <w:vAlign w:val="center"/>
            <w:hideMark/>
          </w:tcPr>
          <w:p w14:paraId="309E852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When buying or thinking about buying clothes or shoes for yourself, how much do you feel limited by the money you have available?</w:t>
            </w:r>
            <w:r w:rsidRPr="00711FE4">
              <w:rPr>
                <w:rFonts w:ascii="Arial" w:eastAsia="Times New Roman" w:hAnsi="Arial"/>
                <w:color w:val="000000"/>
                <w:sz w:val="14"/>
                <w:szCs w:val="14"/>
                <w:lang w:eastAsia="en-NZ"/>
              </w:rPr>
              <w:br/>
              <w:t>If no money available, select 'very limited'.</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limited / a little limited / quite limited / very limited / DK / RF</w:t>
            </w:r>
          </w:p>
        </w:tc>
      </w:tr>
      <w:tr w:rsidR="00711FE4" w:rsidRPr="00711FE4" w14:paraId="42644982" w14:textId="77777777" w:rsidTr="00366F04">
        <w:trPr>
          <w:trHeight w:val="900"/>
        </w:trPr>
        <w:tc>
          <w:tcPr>
            <w:tcW w:w="992" w:type="dxa"/>
            <w:vAlign w:val="center"/>
            <w:hideMark/>
          </w:tcPr>
          <w:p w14:paraId="35B4EB1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Unexpected $500</w:t>
            </w:r>
          </w:p>
        </w:tc>
        <w:tc>
          <w:tcPr>
            <w:tcW w:w="992" w:type="dxa"/>
            <w:vAlign w:val="center"/>
          </w:tcPr>
          <w:p w14:paraId="78AB257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w:t>
            </w:r>
          </w:p>
        </w:tc>
        <w:tc>
          <w:tcPr>
            <w:tcW w:w="3398" w:type="dxa"/>
            <w:vAlign w:val="center"/>
            <w:hideMark/>
          </w:tcPr>
          <w:p w14:paraId="58C875A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color w:val="FF0000"/>
                <w:sz w:val="14"/>
                <w:szCs w:val="14"/>
                <w:lang w:eastAsia="en-NZ"/>
              </w:rPr>
              <w:t>you [or your partner]</w:t>
            </w:r>
            <w:r w:rsidRPr="00711FE4">
              <w:rPr>
                <w:rFonts w:ascii="Arial" w:eastAsia="Times New Roman" w:hAnsi="Arial"/>
                <w:color w:val="000000"/>
                <w:sz w:val="14"/>
                <w:szCs w:val="14"/>
                <w:lang w:eastAsia="en-NZ"/>
              </w:rPr>
              <w:t xml:space="preserve"> had an unexpected and unavoidable expense of $500 in the next week, could you pay it </w:t>
            </w:r>
            <w:r w:rsidRPr="00711FE4">
              <w:rPr>
                <w:rFonts w:ascii="Arial" w:eastAsia="Times New Roman" w:hAnsi="Arial"/>
                <w:color w:val="FF0000"/>
                <w:sz w:val="14"/>
                <w:szCs w:val="14"/>
                <w:lang w:eastAsia="en-NZ"/>
              </w:rPr>
              <w:t xml:space="preserve">within </w:t>
            </w:r>
            <w:r w:rsidRPr="00711FE4">
              <w:rPr>
                <w:rFonts w:ascii="Arial" w:eastAsia="Times New Roman" w:hAnsi="Arial"/>
                <w:color w:val="000000"/>
                <w:sz w:val="14"/>
                <w:szCs w:val="14"/>
                <w:lang w:eastAsia="en-NZ"/>
              </w:rPr>
              <w:t>a month without borrowing? </w:t>
            </w:r>
            <w:r w:rsidRPr="00711FE4">
              <w:rPr>
                <w:rFonts w:ascii="Arial" w:eastAsia="Times New Roman" w:hAnsi="Arial"/>
                <w:color w:val="000000"/>
                <w:sz w:val="6"/>
                <w:szCs w:val="6"/>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p>
        </w:tc>
        <w:tc>
          <w:tcPr>
            <w:tcW w:w="3685" w:type="dxa"/>
            <w:vAlign w:val="center"/>
            <w:hideMark/>
          </w:tcPr>
          <w:p w14:paraId="1D578A6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had an unexpected and unavoidable expense of $500 in the next week, could you pay it </w:t>
            </w:r>
            <w:r w:rsidRPr="00711FE4">
              <w:rPr>
                <w:rFonts w:ascii="Arial" w:eastAsia="Times New Roman" w:hAnsi="Arial"/>
                <w:color w:val="FF0000"/>
                <w:sz w:val="14"/>
                <w:szCs w:val="14"/>
                <w:lang w:eastAsia="en-NZ"/>
              </w:rPr>
              <w:t xml:space="preserve">within </w:t>
            </w:r>
            <w:r w:rsidRPr="00711FE4">
              <w:rPr>
                <w:rFonts w:ascii="Arial" w:eastAsia="Times New Roman" w:hAnsi="Arial"/>
                <w:color w:val="000000"/>
                <w:sz w:val="14"/>
                <w:szCs w:val="14"/>
                <w:lang w:eastAsia="en-NZ"/>
              </w:rPr>
              <w:t>a month without borrowing?</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p>
        </w:tc>
      </w:tr>
      <w:tr w:rsidR="00711FE4" w:rsidRPr="00711FE4" w14:paraId="3CF32DAD" w14:textId="77777777" w:rsidTr="00366F04">
        <w:trPr>
          <w:trHeight w:val="1440"/>
        </w:trPr>
        <w:tc>
          <w:tcPr>
            <w:tcW w:w="1984" w:type="dxa"/>
            <w:gridSpan w:val="2"/>
            <w:shd w:val="clear" w:color="auto" w:fill="F2F2F2"/>
            <w:vAlign w:val="center"/>
            <w:hideMark/>
          </w:tcPr>
          <w:p w14:paraId="1C64E8C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Financial strain</w:t>
            </w:r>
          </w:p>
        </w:tc>
        <w:tc>
          <w:tcPr>
            <w:tcW w:w="3398" w:type="dxa"/>
            <w:shd w:val="clear" w:color="auto" w:fill="F2F2F2"/>
            <w:vAlign w:val="center"/>
            <w:hideMark/>
          </w:tcPr>
          <w:p w14:paraId="6641F67F"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In the last 12 months, have any of the following happened to you or your partner because of a shortage of money?</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For each item use showcard S6 to tell me if it happened ‘not at all’, ‘once only’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 once only / more than once / DK / RF</w:t>
            </w:r>
          </w:p>
        </w:tc>
        <w:tc>
          <w:tcPr>
            <w:tcW w:w="3685" w:type="dxa"/>
            <w:shd w:val="clear" w:color="auto" w:fill="F2F2F2"/>
            <w:vAlign w:val="center"/>
            <w:hideMark/>
          </w:tcPr>
          <w:p w14:paraId="0B9A63CC"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Because of a shortage of money, in the last 12 months…</w:t>
            </w:r>
          </w:p>
        </w:tc>
      </w:tr>
      <w:tr w:rsidR="00711FE4" w:rsidRPr="00711FE4" w14:paraId="677F317D" w14:textId="77777777" w:rsidTr="00366F04">
        <w:trPr>
          <w:trHeight w:val="1440"/>
        </w:trPr>
        <w:tc>
          <w:tcPr>
            <w:tcW w:w="992" w:type="dxa"/>
            <w:vAlign w:val="center"/>
            <w:hideMark/>
          </w:tcPr>
          <w:p w14:paraId="582C11E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lastRenderedPageBreak/>
              <w:t>Late pay utilities</w:t>
            </w:r>
          </w:p>
        </w:tc>
        <w:tc>
          <w:tcPr>
            <w:tcW w:w="992" w:type="dxa"/>
            <w:vAlign w:val="center"/>
          </w:tcPr>
          <w:p w14:paraId="2DB78C6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3398" w:type="dxa"/>
            <w:vAlign w:val="center"/>
            <w:hideMark/>
          </w:tcPr>
          <w:p w14:paraId="7592422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r w:rsidRPr="00711FE4">
              <w:rPr>
                <w:rFonts w:ascii="Arial" w:eastAsia="Times New Roman" w:hAnsi="Arial"/>
                <w:color w:val="ED0000"/>
                <w:sz w:val="14"/>
                <w:szCs w:val="14"/>
                <w:lang w:eastAsia="en-NZ"/>
              </w:rPr>
              <w:t xml:space="preserve"> you could not</w:t>
            </w:r>
            <w:r w:rsidRPr="00711FE4">
              <w:rPr>
                <w:rFonts w:ascii="Arial" w:eastAsia="Times New Roman" w:hAnsi="Arial"/>
                <w:color w:val="000000"/>
                <w:sz w:val="14"/>
                <w:szCs w:val="14"/>
                <w:lang w:eastAsia="en-NZ"/>
              </w:rPr>
              <w:t xml:space="preserve"> pay electricity, gas, rates, or water bills </w:t>
            </w:r>
            <w:r w:rsidRPr="00711FE4">
              <w:rPr>
                <w:rFonts w:ascii="Arial" w:eastAsia="Times New Roman" w:hAnsi="Arial"/>
                <w:color w:val="FF0000"/>
                <w:sz w:val="14"/>
                <w:szCs w:val="14"/>
                <w:lang w:eastAsia="en-NZ"/>
              </w:rPr>
              <w:t>on time</w:t>
            </w:r>
            <w:r w:rsidRPr="00711FE4">
              <w:rPr>
                <w:rFonts w:ascii="Arial" w:eastAsia="Times New Roman" w:hAnsi="Arial"/>
                <w:color w:val="000000"/>
                <w:sz w:val="14"/>
                <w:szCs w:val="14"/>
                <w:lang w:eastAsia="en-NZ"/>
              </w:rPr>
              <w:t>?</w:t>
            </w:r>
          </w:p>
        </w:tc>
        <w:tc>
          <w:tcPr>
            <w:tcW w:w="3685" w:type="dxa"/>
            <w:vAlign w:val="center"/>
            <w:hideMark/>
          </w:tcPr>
          <w:p w14:paraId="0701B4B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has</w:t>
            </w:r>
            <w:r w:rsidRPr="00711FE4">
              <w:rPr>
                <w:rFonts w:ascii="Arial" w:eastAsia="Times New Roman" w:hAnsi="Arial"/>
                <w:color w:val="FF0000"/>
                <w:sz w:val="14"/>
                <w:szCs w:val="14"/>
                <w:lang w:eastAsia="en-NZ"/>
              </w:rPr>
              <w:t xml:space="preserve"> your household ever been late </w:t>
            </w:r>
            <w:r w:rsidRPr="00711FE4">
              <w:rPr>
                <w:rFonts w:ascii="Arial" w:eastAsia="Times New Roman" w:hAnsi="Arial"/>
                <w:color w:val="000000"/>
                <w:sz w:val="14"/>
                <w:szCs w:val="14"/>
                <w:lang w:eastAsia="en-NZ"/>
              </w:rPr>
              <w:t>paying electricity, gas, rates, or water bills?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yes</w:t>
            </w:r>
            <w:r w:rsidRPr="00711FE4">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r>
      <w:tr w:rsidR="00711FE4" w:rsidRPr="00711FE4" w14:paraId="790F5622" w14:textId="77777777" w:rsidTr="00366F04">
        <w:trPr>
          <w:trHeight w:val="1620"/>
        </w:trPr>
        <w:tc>
          <w:tcPr>
            <w:tcW w:w="992" w:type="dxa"/>
            <w:noWrap/>
            <w:vAlign w:val="center"/>
            <w:hideMark/>
          </w:tcPr>
          <w:p w14:paraId="159A742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car bills</w:t>
            </w:r>
          </w:p>
        </w:tc>
        <w:tc>
          <w:tcPr>
            <w:tcW w:w="992" w:type="dxa"/>
            <w:vAlign w:val="center"/>
          </w:tcPr>
          <w:p w14:paraId="6167040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3398" w:type="dxa"/>
            <w:vAlign w:val="center"/>
            <w:hideMark/>
          </w:tcPr>
          <w:p w14:paraId="4811CCF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you could not pay</w:t>
            </w:r>
            <w:r w:rsidRPr="00711FE4">
              <w:rPr>
                <w:rFonts w:ascii="Arial" w:eastAsia="Times New Roman" w:hAnsi="Arial"/>
                <w:color w:val="000000"/>
                <w:sz w:val="14"/>
                <w:szCs w:val="14"/>
                <w:lang w:eastAsia="en-NZ"/>
              </w:rPr>
              <w:t xml:space="preserve"> for car insurance, registration, or warrant of fitness </w:t>
            </w:r>
            <w:r w:rsidRPr="00711FE4">
              <w:rPr>
                <w:rFonts w:ascii="Arial" w:eastAsia="Times New Roman" w:hAnsi="Arial"/>
                <w:color w:val="FF0000"/>
                <w:sz w:val="14"/>
                <w:szCs w:val="14"/>
                <w:lang w:eastAsia="en-NZ"/>
              </w:rPr>
              <w:t>on time</w:t>
            </w:r>
            <w:r w:rsidRPr="00711FE4">
              <w:rPr>
                <w:rFonts w:ascii="Arial" w:eastAsia="Times New Roman" w:hAnsi="Arial"/>
                <w:color w:val="000000"/>
                <w:sz w:val="14"/>
                <w:szCs w:val="14"/>
                <w:lang w:eastAsia="en-NZ"/>
              </w:rPr>
              <w:t>?</w:t>
            </w:r>
          </w:p>
        </w:tc>
        <w:tc>
          <w:tcPr>
            <w:tcW w:w="3685" w:type="dxa"/>
            <w:vAlign w:val="center"/>
            <w:hideMark/>
          </w:tcPr>
          <w:p w14:paraId="6DF2074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...has</w:t>
            </w:r>
            <w:r w:rsidRPr="00711FE4">
              <w:rPr>
                <w:rFonts w:ascii="Arial" w:eastAsia="Times New Roman" w:hAnsi="Arial"/>
                <w:color w:val="FF0000"/>
                <w:sz w:val="14"/>
                <w:szCs w:val="14"/>
                <w:lang w:eastAsia="en-NZ"/>
              </w:rPr>
              <w:t xml:space="preserve"> your household ever been late</w:t>
            </w:r>
            <w:r w:rsidRPr="00711FE4">
              <w:rPr>
                <w:rFonts w:ascii="Arial" w:eastAsia="Times New Roman" w:hAnsi="Arial"/>
                <w:color w:val="000000"/>
                <w:sz w:val="14"/>
                <w:szCs w:val="14"/>
                <w:lang w:eastAsia="en-NZ"/>
              </w:rPr>
              <w:t xml:space="preserve"> paying car insurance, registration, or warrant of fitness?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r>
      <w:tr w:rsidR="00711FE4" w:rsidRPr="00711FE4" w14:paraId="1858327E" w14:textId="77777777" w:rsidTr="00366F04">
        <w:trPr>
          <w:trHeight w:val="1440"/>
        </w:trPr>
        <w:tc>
          <w:tcPr>
            <w:tcW w:w="992" w:type="dxa"/>
            <w:noWrap/>
            <w:vAlign w:val="center"/>
            <w:hideMark/>
          </w:tcPr>
          <w:p w14:paraId="5C68610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Borrow from family</w:t>
            </w:r>
          </w:p>
        </w:tc>
        <w:tc>
          <w:tcPr>
            <w:tcW w:w="992" w:type="dxa"/>
            <w:vAlign w:val="center"/>
          </w:tcPr>
          <w:p w14:paraId="2B5FC53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more than once</w:t>
            </w:r>
          </w:p>
        </w:tc>
        <w:tc>
          <w:tcPr>
            <w:tcW w:w="3398" w:type="dxa"/>
            <w:vAlign w:val="center"/>
            <w:hideMark/>
          </w:tcPr>
          <w:p w14:paraId="141E20E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r w:rsidRPr="00711FE4">
              <w:rPr>
                <w:rFonts w:eastAsia="Times New Roman"/>
                <w:color w:val="000000"/>
                <w:sz w:val="14"/>
                <w:szCs w:val="14"/>
                <w:lang w:eastAsia="en-NZ"/>
              </w:rPr>
              <w:t xml:space="preserve"> </w:t>
            </w:r>
            <w:r w:rsidRPr="00711FE4">
              <w:rPr>
                <w:rFonts w:ascii="Arial" w:eastAsia="Times New Roman" w:hAnsi="Arial"/>
                <w:color w:val="FF0000"/>
                <w:sz w:val="14"/>
                <w:szCs w:val="14"/>
                <w:lang w:eastAsia="en-NZ"/>
              </w:rPr>
              <w:t xml:space="preserve">you borrowed from </w:t>
            </w:r>
            <w:r w:rsidRPr="00711FE4">
              <w:rPr>
                <w:rFonts w:ascii="Arial" w:eastAsia="Times New Roman" w:hAnsi="Arial"/>
                <w:color w:val="000000"/>
                <w:sz w:val="14"/>
                <w:szCs w:val="14"/>
                <w:lang w:eastAsia="en-NZ"/>
              </w:rPr>
              <w:t>family or friends to meet everyday living costs?</w:t>
            </w:r>
          </w:p>
        </w:tc>
        <w:tc>
          <w:tcPr>
            <w:tcW w:w="3685" w:type="dxa"/>
            <w:vAlign w:val="center"/>
            <w:hideMark/>
          </w:tcPr>
          <w:p w14:paraId="62E222A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ever </w:t>
            </w:r>
            <w:r w:rsidRPr="00711FE4">
              <w:rPr>
                <w:rFonts w:ascii="Arial" w:eastAsia="Times New Roman" w:hAnsi="Arial"/>
                <w:color w:val="000000"/>
                <w:sz w:val="14"/>
                <w:szCs w:val="14"/>
                <w:lang w:eastAsia="en-NZ"/>
              </w:rPr>
              <w:t>borrowed from family or friends to meet everyday living costs?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If yes, in the last 12 months how many times has your household borrowed from family or friends to meet everyday living costs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r>
    </w:tbl>
    <w:p w14:paraId="0A95CCBD" w14:textId="77777777" w:rsidR="00711FE4" w:rsidRPr="00711FE4" w:rsidRDefault="00711FE4" w:rsidP="00711FE4">
      <w:pPr>
        <w:spacing w:after="0" w:line="240" w:lineRule="auto"/>
        <w:rPr>
          <w:rFonts w:ascii="Arial" w:hAnsi="Arial"/>
          <w:b/>
          <w:bCs/>
          <w:color w:val="000000"/>
          <w:sz w:val="18"/>
          <w:szCs w:val="18"/>
        </w:rPr>
      </w:pPr>
      <w:r w:rsidRPr="00711FE4">
        <w:rPr>
          <w:rFonts w:ascii="Arial" w:hAnsi="Arial"/>
          <w:b/>
          <w:bCs/>
          <w:color w:val="000000"/>
          <w:sz w:val="18"/>
          <w:szCs w:val="18"/>
        </w:rPr>
        <w:br w:type="page"/>
      </w:r>
    </w:p>
    <w:p w14:paraId="2FDC34A5"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lastRenderedPageBreak/>
        <w:t>Table 20.4</w:t>
      </w:r>
    </w:p>
    <w:p w14:paraId="2DDC6A72"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t xml:space="preserve">Item lists for the HES-based MWI-24 and the HILS-based MWI-26: </w:t>
      </w:r>
    </w:p>
    <w:p w14:paraId="7BEC5C58" w14:textId="77777777" w:rsidR="00711FE4" w:rsidRPr="00711FE4" w:rsidRDefault="00711FE4" w:rsidP="00711FE4">
      <w:pPr>
        <w:spacing w:line="240" w:lineRule="auto"/>
        <w:jc w:val="center"/>
        <w:rPr>
          <w:rFonts w:ascii="Arial" w:hAnsi="Arial"/>
          <w:b/>
          <w:bCs/>
          <w:color w:val="000000"/>
          <w:sz w:val="18"/>
          <w:szCs w:val="18"/>
        </w:rPr>
      </w:pPr>
      <w:r w:rsidRPr="00711FE4">
        <w:rPr>
          <w:rFonts w:ascii="Arial" w:hAnsi="Arial"/>
          <w:b/>
          <w:bCs/>
          <w:color w:val="000000"/>
          <w:sz w:val="18"/>
          <w:szCs w:val="18"/>
        </w:rPr>
        <w:t>short-form for reference when using Table A.20.3b below</w:t>
      </w:r>
    </w:p>
    <w:tbl>
      <w:tblPr>
        <w:tblW w:w="6521" w:type="dxa"/>
        <w:jc w:val="center"/>
        <w:tblLook w:val="04A0" w:firstRow="1" w:lastRow="0" w:firstColumn="1" w:lastColumn="0" w:noHBand="0" w:noVBand="1"/>
      </w:tblPr>
      <w:tblGrid>
        <w:gridCol w:w="2127"/>
        <w:gridCol w:w="1416"/>
        <w:gridCol w:w="714"/>
        <w:gridCol w:w="1130"/>
        <w:gridCol w:w="1134"/>
      </w:tblGrid>
      <w:tr w:rsidR="00711FE4" w:rsidRPr="00711FE4" w14:paraId="5173EF7C" w14:textId="77777777" w:rsidTr="00366F04">
        <w:trPr>
          <w:trHeight w:val="280"/>
          <w:jc w:val="center"/>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359FA05E"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Short name</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14:paraId="47D80E7D"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Deprivation response</w:t>
            </w:r>
          </w:p>
        </w:tc>
        <w:tc>
          <w:tcPr>
            <w:tcW w:w="714" w:type="dxa"/>
            <w:vMerge w:val="restart"/>
            <w:tcBorders>
              <w:top w:val="single" w:sz="4" w:space="0" w:color="auto"/>
              <w:left w:val="single" w:sz="4" w:space="0" w:color="auto"/>
              <w:bottom w:val="single" w:sz="4" w:space="0" w:color="auto"/>
              <w:right w:val="single" w:sz="4" w:space="0" w:color="auto"/>
            </w:tcBorders>
            <w:vAlign w:val="center"/>
            <w:hideMark/>
          </w:tcPr>
          <w:p w14:paraId="46B0B12B"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module</w:t>
            </w:r>
          </w:p>
        </w:tc>
        <w:tc>
          <w:tcPr>
            <w:tcW w:w="2264" w:type="dxa"/>
            <w:gridSpan w:val="2"/>
            <w:tcBorders>
              <w:top w:val="single" w:sz="4" w:space="0" w:color="auto"/>
              <w:left w:val="nil"/>
              <w:bottom w:val="single" w:sz="4" w:space="0" w:color="auto"/>
              <w:right w:val="single" w:sz="4" w:space="0" w:color="auto"/>
            </w:tcBorders>
            <w:vAlign w:val="center"/>
            <w:hideMark/>
          </w:tcPr>
          <w:p w14:paraId="03899DB6"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Indices</w:t>
            </w:r>
          </w:p>
        </w:tc>
      </w:tr>
      <w:tr w:rsidR="00711FE4" w:rsidRPr="00711FE4" w14:paraId="2FD5CB98" w14:textId="77777777" w:rsidTr="00366F04">
        <w:trPr>
          <w:trHeight w:val="370"/>
          <w:jc w:val="center"/>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67B753DE"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7F195418"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714" w:type="dxa"/>
            <w:vMerge/>
            <w:tcBorders>
              <w:top w:val="single" w:sz="4" w:space="0" w:color="auto"/>
              <w:left w:val="single" w:sz="4" w:space="0" w:color="auto"/>
              <w:bottom w:val="single" w:sz="4" w:space="0" w:color="auto"/>
              <w:right w:val="single" w:sz="4" w:space="0" w:color="auto"/>
            </w:tcBorders>
            <w:vAlign w:val="center"/>
            <w:hideMark/>
          </w:tcPr>
          <w:p w14:paraId="09BC24DE"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1130" w:type="dxa"/>
            <w:tcBorders>
              <w:top w:val="nil"/>
              <w:left w:val="nil"/>
              <w:bottom w:val="single" w:sz="4" w:space="0" w:color="auto"/>
              <w:right w:val="single" w:sz="4" w:space="0" w:color="auto"/>
            </w:tcBorders>
            <w:vAlign w:val="center"/>
            <w:hideMark/>
          </w:tcPr>
          <w:p w14:paraId="11DF0DC7"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MWI-24</w:t>
            </w:r>
          </w:p>
        </w:tc>
        <w:tc>
          <w:tcPr>
            <w:tcW w:w="1134" w:type="dxa"/>
            <w:tcBorders>
              <w:top w:val="nil"/>
              <w:left w:val="nil"/>
              <w:bottom w:val="single" w:sz="4" w:space="0" w:color="auto"/>
              <w:right w:val="single" w:sz="4" w:space="0" w:color="auto"/>
            </w:tcBorders>
            <w:vAlign w:val="center"/>
            <w:hideMark/>
          </w:tcPr>
          <w:p w14:paraId="35203674"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MWI-26</w:t>
            </w:r>
          </w:p>
        </w:tc>
      </w:tr>
      <w:tr w:rsidR="00711FE4" w:rsidRPr="00711FE4" w14:paraId="4952E857" w14:textId="77777777" w:rsidTr="00366F04">
        <w:trPr>
          <w:trHeight w:val="280"/>
          <w:jc w:val="center"/>
        </w:trPr>
        <w:tc>
          <w:tcPr>
            <w:tcW w:w="3543" w:type="dxa"/>
            <w:gridSpan w:val="2"/>
            <w:tcBorders>
              <w:top w:val="nil"/>
              <w:left w:val="single" w:sz="4" w:space="0" w:color="auto"/>
              <w:bottom w:val="single" w:sz="4" w:space="0" w:color="auto"/>
              <w:right w:val="single" w:sz="4" w:space="0" w:color="000000"/>
            </w:tcBorders>
            <w:shd w:val="clear" w:color="000000" w:fill="F2F2F2"/>
            <w:vAlign w:val="center"/>
            <w:hideMark/>
          </w:tcPr>
          <w:p w14:paraId="37F05CB0"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Ownership or participation</w:t>
            </w:r>
          </w:p>
        </w:tc>
        <w:tc>
          <w:tcPr>
            <w:tcW w:w="714" w:type="dxa"/>
            <w:tcBorders>
              <w:top w:val="nil"/>
              <w:left w:val="nil"/>
              <w:bottom w:val="single" w:sz="4" w:space="0" w:color="auto"/>
              <w:right w:val="single" w:sz="4" w:space="0" w:color="auto"/>
            </w:tcBorders>
            <w:shd w:val="clear" w:color="000000" w:fill="F2F2F2"/>
            <w:vAlign w:val="center"/>
            <w:hideMark/>
          </w:tcPr>
          <w:p w14:paraId="1B2096F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c>
          <w:tcPr>
            <w:tcW w:w="1130" w:type="dxa"/>
            <w:tcBorders>
              <w:top w:val="nil"/>
              <w:left w:val="nil"/>
              <w:bottom w:val="single" w:sz="4" w:space="0" w:color="auto"/>
              <w:right w:val="single" w:sz="4" w:space="0" w:color="auto"/>
            </w:tcBorders>
            <w:shd w:val="clear" w:color="000000" w:fill="F2F2F2"/>
            <w:vAlign w:val="center"/>
            <w:hideMark/>
          </w:tcPr>
          <w:p w14:paraId="4C4B6E92"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tcBorders>
              <w:top w:val="nil"/>
              <w:left w:val="nil"/>
              <w:bottom w:val="single" w:sz="4" w:space="0" w:color="auto"/>
              <w:right w:val="single" w:sz="4" w:space="0" w:color="auto"/>
            </w:tcBorders>
            <w:shd w:val="clear" w:color="000000" w:fill="F2F2F2"/>
            <w:vAlign w:val="center"/>
            <w:hideMark/>
          </w:tcPr>
          <w:p w14:paraId="04DDBAC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574A48B6"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0CA8241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Shoes</w:t>
            </w:r>
          </w:p>
        </w:tc>
        <w:tc>
          <w:tcPr>
            <w:tcW w:w="1416" w:type="dxa"/>
            <w:tcBorders>
              <w:top w:val="nil"/>
              <w:left w:val="nil"/>
              <w:bottom w:val="single" w:sz="4" w:space="0" w:color="auto"/>
              <w:right w:val="single" w:sz="4" w:space="0" w:color="auto"/>
            </w:tcBorders>
            <w:vAlign w:val="center"/>
            <w:hideMark/>
          </w:tcPr>
          <w:p w14:paraId="297DD2C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5B0B4A1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5B2670F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6CC8329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60BDCFBC"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57D4573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New clothes</w:t>
            </w:r>
          </w:p>
        </w:tc>
        <w:tc>
          <w:tcPr>
            <w:tcW w:w="1416" w:type="dxa"/>
            <w:tcBorders>
              <w:top w:val="nil"/>
              <w:left w:val="nil"/>
              <w:bottom w:val="single" w:sz="4" w:space="0" w:color="auto"/>
              <w:right w:val="single" w:sz="4" w:space="0" w:color="auto"/>
            </w:tcBorders>
            <w:vAlign w:val="center"/>
            <w:hideMark/>
          </w:tcPr>
          <w:p w14:paraId="0823B94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5D884EE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5148F4C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76E23FF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6C500BB3"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6CD73ED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Clothes for special</w:t>
            </w:r>
          </w:p>
        </w:tc>
        <w:tc>
          <w:tcPr>
            <w:tcW w:w="1416" w:type="dxa"/>
            <w:tcBorders>
              <w:top w:val="nil"/>
              <w:left w:val="nil"/>
              <w:bottom w:val="single" w:sz="4" w:space="0" w:color="auto"/>
              <w:right w:val="single" w:sz="4" w:space="0" w:color="auto"/>
            </w:tcBorders>
            <w:vAlign w:val="center"/>
            <w:hideMark/>
          </w:tcPr>
          <w:p w14:paraId="18923B9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3D03B03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518B406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6633CD1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4CB712D7"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55DDC72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Contents ins</w:t>
            </w:r>
          </w:p>
        </w:tc>
        <w:tc>
          <w:tcPr>
            <w:tcW w:w="1416" w:type="dxa"/>
            <w:tcBorders>
              <w:top w:val="nil"/>
              <w:left w:val="nil"/>
              <w:bottom w:val="single" w:sz="4" w:space="0" w:color="auto"/>
              <w:right w:val="single" w:sz="4" w:space="0" w:color="auto"/>
            </w:tcBorders>
            <w:vAlign w:val="center"/>
            <w:hideMark/>
          </w:tcPr>
          <w:p w14:paraId="382D865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4586D44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60897AA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15327B7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28223CEE"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265AAC0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Protein meal</w:t>
            </w:r>
          </w:p>
        </w:tc>
        <w:tc>
          <w:tcPr>
            <w:tcW w:w="1416" w:type="dxa"/>
            <w:tcBorders>
              <w:top w:val="nil"/>
              <w:left w:val="nil"/>
              <w:bottom w:val="single" w:sz="4" w:space="0" w:color="auto"/>
              <w:right w:val="single" w:sz="4" w:space="0" w:color="auto"/>
            </w:tcBorders>
            <w:vAlign w:val="center"/>
            <w:hideMark/>
          </w:tcPr>
          <w:p w14:paraId="7F8768C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08CB966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0554B2E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1D60DD9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72C31E68"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4488441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Good bed</w:t>
            </w:r>
          </w:p>
        </w:tc>
        <w:tc>
          <w:tcPr>
            <w:tcW w:w="1416" w:type="dxa"/>
            <w:tcBorders>
              <w:top w:val="nil"/>
              <w:left w:val="nil"/>
              <w:bottom w:val="single" w:sz="4" w:space="0" w:color="auto"/>
              <w:right w:val="single" w:sz="4" w:space="0" w:color="auto"/>
            </w:tcBorders>
            <w:vAlign w:val="center"/>
            <w:hideMark/>
          </w:tcPr>
          <w:p w14:paraId="3AA8E0B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7BC2062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5D72E40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1BA3B77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3446530F"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4272807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Keep accomm warm</w:t>
            </w:r>
          </w:p>
        </w:tc>
        <w:tc>
          <w:tcPr>
            <w:tcW w:w="1416" w:type="dxa"/>
            <w:tcBorders>
              <w:top w:val="nil"/>
              <w:left w:val="nil"/>
              <w:bottom w:val="single" w:sz="4" w:space="0" w:color="auto"/>
              <w:right w:val="single" w:sz="4" w:space="0" w:color="auto"/>
            </w:tcBorders>
            <w:vAlign w:val="center"/>
            <w:hideMark/>
          </w:tcPr>
          <w:p w14:paraId="3DB7BC8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no</w:t>
            </w:r>
          </w:p>
        </w:tc>
        <w:tc>
          <w:tcPr>
            <w:tcW w:w="714" w:type="dxa"/>
            <w:tcBorders>
              <w:top w:val="nil"/>
              <w:left w:val="nil"/>
              <w:bottom w:val="single" w:sz="4" w:space="0" w:color="auto"/>
              <w:right w:val="single" w:sz="4" w:space="0" w:color="auto"/>
            </w:tcBorders>
            <w:vAlign w:val="center"/>
            <w:hideMark/>
          </w:tcPr>
          <w:p w14:paraId="4CC8A30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HOU</w:t>
            </w:r>
          </w:p>
        </w:tc>
        <w:tc>
          <w:tcPr>
            <w:tcW w:w="1130" w:type="dxa"/>
            <w:tcBorders>
              <w:top w:val="nil"/>
              <w:left w:val="nil"/>
              <w:bottom w:val="single" w:sz="4" w:space="0" w:color="auto"/>
              <w:right w:val="single" w:sz="4" w:space="0" w:color="auto"/>
            </w:tcBorders>
            <w:vAlign w:val="center"/>
            <w:hideMark/>
          </w:tcPr>
          <w:p w14:paraId="4823BD9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p>
        </w:tc>
        <w:tc>
          <w:tcPr>
            <w:tcW w:w="1134" w:type="dxa"/>
            <w:tcBorders>
              <w:top w:val="nil"/>
              <w:left w:val="nil"/>
              <w:bottom w:val="single" w:sz="4" w:space="0" w:color="auto"/>
              <w:right w:val="single" w:sz="4" w:space="0" w:color="auto"/>
            </w:tcBorders>
            <w:vAlign w:val="center"/>
            <w:hideMark/>
          </w:tcPr>
          <w:p w14:paraId="1E2CB5C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79D6FAAF"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08ED300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Gifts</w:t>
            </w:r>
          </w:p>
        </w:tc>
        <w:tc>
          <w:tcPr>
            <w:tcW w:w="1416" w:type="dxa"/>
            <w:tcBorders>
              <w:top w:val="nil"/>
              <w:left w:val="nil"/>
              <w:bottom w:val="single" w:sz="4" w:space="0" w:color="auto"/>
              <w:right w:val="single" w:sz="4" w:space="0" w:color="auto"/>
            </w:tcBorders>
            <w:vAlign w:val="center"/>
            <w:hideMark/>
          </w:tcPr>
          <w:p w14:paraId="0E58649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7018E6B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0657510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5ECD021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5ADA527D"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475BF7D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Local holidays</w:t>
            </w:r>
          </w:p>
        </w:tc>
        <w:tc>
          <w:tcPr>
            <w:tcW w:w="1416" w:type="dxa"/>
            <w:tcBorders>
              <w:top w:val="nil"/>
              <w:left w:val="nil"/>
              <w:bottom w:val="single" w:sz="4" w:space="0" w:color="auto"/>
              <w:right w:val="single" w:sz="4" w:space="0" w:color="auto"/>
            </w:tcBorders>
            <w:vAlign w:val="center"/>
            <w:hideMark/>
          </w:tcPr>
          <w:p w14:paraId="2E40057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691D901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2E2D027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0FC3853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074436BB"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049B788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Overseas holidays</w:t>
            </w:r>
          </w:p>
        </w:tc>
        <w:tc>
          <w:tcPr>
            <w:tcW w:w="1416" w:type="dxa"/>
            <w:tcBorders>
              <w:top w:val="nil"/>
              <w:left w:val="nil"/>
              <w:bottom w:val="single" w:sz="4" w:space="0" w:color="auto"/>
              <w:right w:val="single" w:sz="4" w:space="0" w:color="auto"/>
            </w:tcBorders>
            <w:vAlign w:val="center"/>
            <w:hideMark/>
          </w:tcPr>
          <w:p w14:paraId="5B6AA05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2495FB4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28D5AC2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283B554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7639A384"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5EF4498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Vehicle access</w:t>
            </w:r>
          </w:p>
        </w:tc>
        <w:tc>
          <w:tcPr>
            <w:tcW w:w="1416" w:type="dxa"/>
            <w:tcBorders>
              <w:top w:val="nil"/>
              <w:left w:val="nil"/>
              <w:bottom w:val="single" w:sz="4" w:space="0" w:color="auto"/>
              <w:right w:val="single" w:sz="4" w:space="0" w:color="auto"/>
            </w:tcBorders>
            <w:vAlign w:val="center"/>
            <w:hideMark/>
          </w:tcPr>
          <w:p w14:paraId="5CB660B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5BAA2D8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2AA2032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p>
        </w:tc>
        <w:tc>
          <w:tcPr>
            <w:tcW w:w="1134" w:type="dxa"/>
            <w:tcBorders>
              <w:top w:val="nil"/>
              <w:left w:val="nil"/>
              <w:bottom w:val="single" w:sz="4" w:space="0" w:color="auto"/>
              <w:right w:val="single" w:sz="4" w:space="0" w:color="auto"/>
            </w:tcBorders>
            <w:vAlign w:val="center"/>
            <w:hideMark/>
          </w:tcPr>
          <w:p w14:paraId="245F472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16B5ACD6"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1C4304E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Computer &amp; internet</w:t>
            </w:r>
          </w:p>
        </w:tc>
        <w:tc>
          <w:tcPr>
            <w:tcW w:w="1416" w:type="dxa"/>
            <w:tcBorders>
              <w:top w:val="nil"/>
              <w:left w:val="nil"/>
              <w:bottom w:val="single" w:sz="4" w:space="0" w:color="auto"/>
              <w:right w:val="single" w:sz="4" w:space="0" w:color="auto"/>
            </w:tcBorders>
            <w:vAlign w:val="center"/>
            <w:hideMark/>
          </w:tcPr>
          <w:p w14:paraId="5220C93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Don't have - cost</w:t>
            </w:r>
          </w:p>
        </w:tc>
        <w:tc>
          <w:tcPr>
            <w:tcW w:w="714" w:type="dxa"/>
            <w:tcBorders>
              <w:top w:val="nil"/>
              <w:left w:val="nil"/>
              <w:bottom w:val="single" w:sz="4" w:space="0" w:color="auto"/>
              <w:right w:val="single" w:sz="4" w:space="0" w:color="auto"/>
            </w:tcBorders>
            <w:vAlign w:val="center"/>
            <w:hideMark/>
          </w:tcPr>
          <w:p w14:paraId="4ED544D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66BF96F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p>
        </w:tc>
        <w:tc>
          <w:tcPr>
            <w:tcW w:w="1134" w:type="dxa"/>
            <w:tcBorders>
              <w:top w:val="nil"/>
              <w:left w:val="nil"/>
              <w:bottom w:val="single" w:sz="4" w:space="0" w:color="auto"/>
              <w:right w:val="single" w:sz="4" w:space="0" w:color="auto"/>
            </w:tcBorders>
            <w:vAlign w:val="center"/>
            <w:hideMark/>
          </w:tcPr>
          <w:p w14:paraId="5F107DC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6E82AFB7" w14:textId="77777777" w:rsidTr="00366F04">
        <w:trPr>
          <w:trHeight w:val="280"/>
          <w:jc w:val="center"/>
        </w:trPr>
        <w:tc>
          <w:tcPr>
            <w:tcW w:w="354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52B43F0B"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Economising</w:t>
            </w:r>
          </w:p>
        </w:tc>
        <w:tc>
          <w:tcPr>
            <w:tcW w:w="714" w:type="dxa"/>
            <w:tcBorders>
              <w:top w:val="nil"/>
              <w:left w:val="nil"/>
              <w:bottom w:val="single" w:sz="4" w:space="0" w:color="auto"/>
              <w:right w:val="single" w:sz="4" w:space="0" w:color="auto"/>
            </w:tcBorders>
            <w:shd w:val="clear" w:color="000000" w:fill="F2F2F2"/>
            <w:vAlign w:val="center"/>
            <w:hideMark/>
          </w:tcPr>
          <w:p w14:paraId="67E376C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0" w:type="dxa"/>
            <w:tcBorders>
              <w:top w:val="nil"/>
              <w:left w:val="nil"/>
              <w:bottom w:val="single" w:sz="4" w:space="0" w:color="auto"/>
              <w:right w:val="single" w:sz="4" w:space="0" w:color="auto"/>
            </w:tcBorders>
            <w:shd w:val="clear" w:color="000000" w:fill="F2F2F2"/>
            <w:vAlign w:val="center"/>
            <w:hideMark/>
          </w:tcPr>
          <w:p w14:paraId="1C501B0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tcBorders>
              <w:top w:val="nil"/>
              <w:left w:val="nil"/>
              <w:bottom w:val="single" w:sz="4" w:space="0" w:color="auto"/>
              <w:right w:val="single" w:sz="4" w:space="0" w:color="auto"/>
            </w:tcBorders>
            <w:shd w:val="clear" w:color="000000" w:fill="F2F2F2"/>
            <w:vAlign w:val="center"/>
            <w:hideMark/>
          </w:tcPr>
          <w:p w14:paraId="48292BD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3989F4FF"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269BE19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Fresh fruit &amp; veg</w:t>
            </w:r>
          </w:p>
        </w:tc>
        <w:tc>
          <w:tcPr>
            <w:tcW w:w="1416" w:type="dxa"/>
            <w:tcBorders>
              <w:top w:val="nil"/>
              <w:left w:val="nil"/>
              <w:bottom w:val="single" w:sz="4" w:space="0" w:color="auto"/>
              <w:right w:val="single" w:sz="4" w:space="0" w:color="auto"/>
            </w:tcBorders>
            <w:vAlign w:val="center"/>
            <w:hideMark/>
          </w:tcPr>
          <w:p w14:paraId="4529224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5616181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28A76A6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39A9937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404B0C0D"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7C88B52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Cheaper/less meat</w:t>
            </w:r>
          </w:p>
        </w:tc>
        <w:tc>
          <w:tcPr>
            <w:tcW w:w="1416" w:type="dxa"/>
            <w:tcBorders>
              <w:top w:val="nil"/>
              <w:left w:val="nil"/>
              <w:bottom w:val="single" w:sz="4" w:space="0" w:color="auto"/>
              <w:right w:val="single" w:sz="4" w:space="0" w:color="auto"/>
            </w:tcBorders>
            <w:vAlign w:val="center"/>
            <w:hideMark/>
          </w:tcPr>
          <w:p w14:paraId="239A5CD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73E80BC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2817C3A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32BAB8A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1E3A116C"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1A1A34B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Put up with cold</w:t>
            </w:r>
          </w:p>
        </w:tc>
        <w:tc>
          <w:tcPr>
            <w:tcW w:w="1416" w:type="dxa"/>
            <w:tcBorders>
              <w:top w:val="nil"/>
              <w:left w:val="nil"/>
              <w:bottom w:val="single" w:sz="4" w:space="0" w:color="auto"/>
              <w:right w:val="single" w:sz="4" w:space="0" w:color="auto"/>
            </w:tcBorders>
            <w:vAlign w:val="center"/>
            <w:hideMark/>
          </w:tcPr>
          <w:p w14:paraId="7A64990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004FB83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0D5B475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01CC85E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6674396A"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34BB16B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Local trips</w:t>
            </w:r>
          </w:p>
        </w:tc>
        <w:tc>
          <w:tcPr>
            <w:tcW w:w="1416" w:type="dxa"/>
            <w:tcBorders>
              <w:top w:val="nil"/>
              <w:left w:val="nil"/>
              <w:bottom w:val="single" w:sz="4" w:space="0" w:color="auto"/>
              <w:right w:val="single" w:sz="4" w:space="0" w:color="auto"/>
            </w:tcBorders>
            <w:vAlign w:val="center"/>
            <w:hideMark/>
          </w:tcPr>
          <w:p w14:paraId="08641DA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03D2485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352E7B2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5336555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3921BE72"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13CB7B0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Appliances</w:t>
            </w:r>
          </w:p>
        </w:tc>
        <w:tc>
          <w:tcPr>
            <w:tcW w:w="1416" w:type="dxa"/>
            <w:tcBorders>
              <w:top w:val="nil"/>
              <w:left w:val="nil"/>
              <w:bottom w:val="single" w:sz="4" w:space="0" w:color="auto"/>
              <w:right w:val="single" w:sz="4" w:space="0" w:color="auto"/>
            </w:tcBorders>
            <w:vAlign w:val="center"/>
            <w:hideMark/>
          </w:tcPr>
          <w:p w14:paraId="003B045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73219CA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6B83647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2AB33C6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3E3177BC"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5E93F2A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Hobbies</w:t>
            </w:r>
          </w:p>
        </w:tc>
        <w:tc>
          <w:tcPr>
            <w:tcW w:w="1416" w:type="dxa"/>
            <w:tcBorders>
              <w:top w:val="nil"/>
              <w:left w:val="nil"/>
              <w:bottom w:val="single" w:sz="4" w:space="0" w:color="auto"/>
              <w:right w:val="single" w:sz="4" w:space="0" w:color="auto"/>
            </w:tcBorders>
            <w:vAlign w:val="center"/>
            <w:hideMark/>
          </w:tcPr>
          <w:p w14:paraId="6CCFF4C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00EF9FB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03CFD6E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5774FD9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1E3DD6D9"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0ACB34C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Doctor</w:t>
            </w:r>
          </w:p>
        </w:tc>
        <w:tc>
          <w:tcPr>
            <w:tcW w:w="1416" w:type="dxa"/>
            <w:tcBorders>
              <w:top w:val="nil"/>
              <w:left w:val="nil"/>
              <w:bottom w:val="single" w:sz="4" w:space="0" w:color="auto"/>
              <w:right w:val="single" w:sz="4" w:space="0" w:color="auto"/>
            </w:tcBorders>
            <w:vAlign w:val="center"/>
            <w:hideMark/>
          </w:tcPr>
          <w:p w14:paraId="30B462B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133C486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0AB227D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6FAEC16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1A8C400B"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4567FB4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Dentist</w:t>
            </w:r>
          </w:p>
        </w:tc>
        <w:tc>
          <w:tcPr>
            <w:tcW w:w="1416" w:type="dxa"/>
            <w:tcBorders>
              <w:top w:val="nil"/>
              <w:left w:val="nil"/>
              <w:bottom w:val="single" w:sz="4" w:space="0" w:color="auto"/>
              <w:right w:val="single" w:sz="4" w:space="0" w:color="auto"/>
            </w:tcBorders>
            <w:vAlign w:val="center"/>
            <w:hideMark/>
          </w:tcPr>
          <w:p w14:paraId="411EBDD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 lot</w:t>
            </w:r>
          </w:p>
        </w:tc>
        <w:tc>
          <w:tcPr>
            <w:tcW w:w="714" w:type="dxa"/>
            <w:tcBorders>
              <w:top w:val="nil"/>
              <w:left w:val="nil"/>
              <w:bottom w:val="single" w:sz="4" w:space="0" w:color="auto"/>
              <w:right w:val="single" w:sz="4" w:space="0" w:color="auto"/>
            </w:tcBorders>
            <w:vAlign w:val="center"/>
            <w:hideMark/>
          </w:tcPr>
          <w:p w14:paraId="536590A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7A6C708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2D25B48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1E9F838E" w14:textId="77777777" w:rsidTr="00366F04">
        <w:trPr>
          <w:trHeight w:val="280"/>
          <w:jc w:val="center"/>
        </w:trPr>
        <w:tc>
          <w:tcPr>
            <w:tcW w:w="354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1181B007"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Housing problems</w:t>
            </w:r>
          </w:p>
        </w:tc>
        <w:tc>
          <w:tcPr>
            <w:tcW w:w="714" w:type="dxa"/>
            <w:tcBorders>
              <w:top w:val="nil"/>
              <w:left w:val="nil"/>
              <w:bottom w:val="single" w:sz="4" w:space="0" w:color="auto"/>
              <w:right w:val="single" w:sz="4" w:space="0" w:color="auto"/>
            </w:tcBorders>
            <w:shd w:val="clear" w:color="000000" w:fill="F2F2F2"/>
            <w:vAlign w:val="center"/>
            <w:hideMark/>
          </w:tcPr>
          <w:p w14:paraId="374AC1B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0" w:type="dxa"/>
            <w:tcBorders>
              <w:top w:val="nil"/>
              <w:left w:val="nil"/>
              <w:bottom w:val="single" w:sz="4" w:space="0" w:color="auto"/>
              <w:right w:val="single" w:sz="4" w:space="0" w:color="auto"/>
            </w:tcBorders>
            <w:shd w:val="clear" w:color="000000" w:fill="F2F2F2"/>
            <w:vAlign w:val="center"/>
            <w:hideMark/>
          </w:tcPr>
          <w:p w14:paraId="49F5E2F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tcBorders>
              <w:top w:val="nil"/>
              <w:left w:val="nil"/>
              <w:bottom w:val="single" w:sz="4" w:space="0" w:color="auto"/>
              <w:right w:val="single" w:sz="4" w:space="0" w:color="auto"/>
            </w:tcBorders>
            <w:shd w:val="clear" w:color="000000" w:fill="F2F2F2"/>
            <w:vAlign w:val="center"/>
            <w:hideMark/>
          </w:tcPr>
          <w:p w14:paraId="79110FF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45B0BF64"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688690D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Damp or mould problem</w:t>
            </w:r>
          </w:p>
        </w:tc>
        <w:tc>
          <w:tcPr>
            <w:tcW w:w="1416" w:type="dxa"/>
            <w:tcBorders>
              <w:top w:val="nil"/>
              <w:left w:val="nil"/>
              <w:bottom w:val="single" w:sz="4" w:space="0" w:color="auto"/>
              <w:right w:val="single" w:sz="4" w:space="0" w:color="auto"/>
            </w:tcBorders>
            <w:vAlign w:val="center"/>
            <w:hideMark/>
          </w:tcPr>
          <w:p w14:paraId="0D70438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major problem</w:t>
            </w:r>
          </w:p>
        </w:tc>
        <w:tc>
          <w:tcPr>
            <w:tcW w:w="714" w:type="dxa"/>
            <w:tcBorders>
              <w:top w:val="nil"/>
              <w:left w:val="nil"/>
              <w:bottom w:val="single" w:sz="4" w:space="0" w:color="auto"/>
              <w:right w:val="single" w:sz="4" w:space="0" w:color="auto"/>
            </w:tcBorders>
            <w:vAlign w:val="center"/>
            <w:hideMark/>
          </w:tcPr>
          <w:p w14:paraId="26DC6D3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HOU</w:t>
            </w:r>
          </w:p>
        </w:tc>
        <w:tc>
          <w:tcPr>
            <w:tcW w:w="1130" w:type="dxa"/>
            <w:tcBorders>
              <w:top w:val="nil"/>
              <w:left w:val="nil"/>
              <w:bottom w:val="single" w:sz="4" w:space="0" w:color="auto"/>
              <w:right w:val="single" w:sz="4" w:space="0" w:color="auto"/>
            </w:tcBorders>
            <w:vAlign w:val="center"/>
            <w:hideMark/>
          </w:tcPr>
          <w:p w14:paraId="715592A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7AE887D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13660DA7"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28AB294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Accomm warm problem</w:t>
            </w:r>
          </w:p>
        </w:tc>
        <w:tc>
          <w:tcPr>
            <w:tcW w:w="1416" w:type="dxa"/>
            <w:tcBorders>
              <w:top w:val="nil"/>
              <w:left w:val="nil"/>
              <w:bottom w:val="single" w:sz="4" w:space="0" w:color="auto"/>
              <w:right w:val="single" w:sz="4" w:space="0" w:color="auto"/>
            </w:tcBorders>
            <w:vAlign w:val="center"/>
            <w:hideMark/>
          </w:tcPr>
          <w:p w14:paraId="495B93B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major problem</w:t>
            </w:r>
          </w:p>
        </w:tc>
        <w:tc>
          <w:tcPr>
            <w:tcW w:w="714" w:type="dxa"/>
            <w:tcBorders>
              <w:top w:val="nil"/>
              <w:left w:val="nil"/>
              <w:bottom w:val="single" w:sz="4" w:space="0" w:color="auto"/>
              <w:right w:val="single" w:sz="4" w:space="0" w:color="auto"/>
            </w:tcBorders>
            <w:vAlign w:val="center"/>
            <w:hideMark/>
          </w:tcPr>
          <w:p w14:paraId="593E7DD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p>
        </w:tc>
        <w:tc>
          <w:tcPr>
            <w:tcW w:w="1130" w:type="dxa"/>
            <w:tcBorders>
              <w:top w:val="nil"/>
              <w:left w:val="nil"/>
              <w:bottom w:val="single" w:sz="4" w:space="0" w:color="auto"/>
              <w:right w:val="single" w:sz="4" w:space="0" w:color="auto"/>
            </w:tcBorders>
            <w:vAlign w:val="center"/>
            <w:hideMark/>
          </w:tcPr>
          <w:p w14:paraId="4D6D867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7DCBED9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p>
        </w:tc>
      </w:tr>
      <w:tr w:rsidR="00711FE4" w:rsidRPr="00711FE4" w14:paraId="576587E8" w14:textId="77777777" w:rsidTr="00366F04">
        <w:trPr>
          <w:trHeight w:val="280"/>
          <w:jc w:val="center"/>
        </w:trPr>
        <w:tc>
          <w:tcPr>
            <w:tcW w:w="3543" w:type="dxa"/>
            <w:gridSpan w:val="2"/>
            <w:tcBorders>
              <w:top w:val="single" w:sz="4" w:space="0" w:color="auto"/>
              <w:left w:val="single" w:sz="8" w:space="0" w:color="auto"/>
              <w:bottom w:val="single" w:sz="4" w:space="0" w:color="auto"/>
              <w:right w:val="single" w:sz="4" w:space="0" w:color="000000"/>
            </w:tcBorders>
            <w:shd w:val="clear" w:color="000000" w:fill="F2F2F2"/>
            <w:vAlign w:val="center"/>
            <w:hideMark/>
          </w:tcPr>
          <w:p w14:paraId="4D266CD9"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Freedoms / restrictions</w:t>
            </w:r>
          </w:p>
        </w:tc>
        <w:tc>
          <w:tcPr>
            <w:tcW w:w="714" w:type="dxa"/>
            <w:tcBorders>
              <w:top w:val="nil"/>
              <w:left w:val="nil"/>
              <w:bottom w:val="single" w:sz="4" w:space="0" w:color="auto"/>
              <w:right w:val="single" w:sz="4" w:space="0" w:color="auto"/>
            </w:tcBorders>
            <w:shd w:val="clear" w:color="000000" w:fill="F2F2F2"/>
            <w:vAlign w:val="center"/>
            <w:hideMark/>
          </w:tcPr>
          <w:p w14:paraId="562AAEF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0" w:type="dxa"/>
            <w:tcBorders>
              <w:top w:val="nil"/>
              <w:left w:val="nil"/>
              <w:bottom w:val="single" w:sz="4" w:space="0" w:color="auto"/>
              <w:right w:val="single" w:sz="4" w:space="0" w:color="auto"/>
            </w:tcBorders>
            <w:shd w:val="clear" w:color="000000" w:fill="F2F2F2"/>
            <w:vAlign w:val="center"/>
            <w:hideMark/>
          </w:tcPr>
          <w:p w14:paraId="3E87871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tcBorders>
              <w:top w:val="nil"/>
              <w:left w:val="nil"/>
              <w:bottom w:val="single" w:sz="4" w:space="0" w:color="auto"/>
              <w:right w:val="single" w:sz="4" w:space="0" w:color="auto"/>
            </w:tcBorders>
            <w:shd w:val="clear" w:color="000000" w:fill="F2F2F2"/>
            <w:vAlign w:val="center"/>
            <w:hideMark/>
          </w:tcPr>
          <w:p w14:paraId="7057124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43D252E2"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6D1BC63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Limited by money</w:t>
            </w:r>
          </w:p>
        </w:tc>
        <w:tc>
          <w:tcPr>
            <w:tcW w:w="1416" w:type="dxa"/>
            <w:tcBorders>
              <w:top w:val="nil"/>
              <w:left w:val="nil"/>
              <w:bottom w:val="single" w:sz="4" w:space="0" w:color="auto"/>
              <w:right w:val="single" w:sz="4" w:space="0" w:color="auto"/>
            </w:tcBorders>
            <w:vAlign w:val="center"/>
            <w:hideMark/>
          </w:tcPr>
          <w:p w14:paraId="5D8F29C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very limited</w:t>
            </w:r>
          </w:p>
        </w:tc>
        <w:tc>
          <w:tcPr>
            <w:tcW w:w="714" w:type="dxa"/>
            <w:tcBorders>
              <w:top w:val="nil"/>
              <w:left w:val="nil"/>
              <w:bottom w:val="single" w:sz="4" w:space="0" w:color="auto"/>
              <w:right w:val="single" w:sz="4" w:space="0" w:color="auto"/>
            </w:tcBorders>
            <w:vAlign w:val="center"/>
            <w:hideMark/>
          </w:tcPr>
          <w:p w14:paraId="5841B6F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6C140F9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58A818F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0EEC8A3E" w14:textId="77777777" w:rsidTr="00366F04">
        <w:trPr>
          <w:trHeight w:val="360"/>
          <w:jc w:val="center"/>
        </w:trPr>
        <w:tc>
          <w:tcPr>
            <w:tcW w:w="2127" w:type="dxa"/>
            <w:tcBorders>
              <w:top w:val="nil"/>
              <w:left w:val="single" w:sz="4" w:space="0" w:color="auto"/>
              <w:bottom w:val="single" w:sz="4" w:space="0" w:color="auto"/>
              <w:right w:val="single" w:sz="4" w:space="0" w:color="auto"/>
            </w:tcBorders>
            <w:vAlign w:val="center"/>
            <w:hideMark/>
          </w:tcPr>
          <w:p w14:paraId="76C286C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Non-essential item</w:t>
            </w:r>
          </w:p>
        </w:tc>
        <w:tc>
          <w:tcPr>
            <w:tcW w:w="1416" w:type="dxa"/>
            <w:tcBorders>
              <w:top w:val="nil"/>
              <w:left w:val="nil"/>
              <w:bottom w:val="single" w:sz="4" w:space="0" w:color="auto"/>
              <w:right w:val="single" w:sz="4" w:space="0" w:color="auto"/>
            </w:tcBorders>
            <w:vAlign w:val="center"/>
            <w:hideMark/>
          </w:tcPr>
          <w:p w14:paraId="1FBAA3D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very limited or couldn't buy it</w:t>
            </w:r>
          </w:p>
        </w:tc>
        <w:tc>
          <w:tcPr>
            <w:tcW w:w="714" w:type="dxa"/>
            <w:tcBorders>
              <w:top w:val="nil"/>
              <w:left w:val="nil"/>
              <w:bottom w:val="single" w:sz="4" w:space="0" w:color="auto"/>
              <w:right w:val="single" w:sz="4" w:space="0" w:color="auto"/>
            </w:tcBorders>
            <w:vAlign w:val="center"/>
            <w:hideMark/>
          </w:tcPr>
          <w:p w14:paraId="562B631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c>
          <w:tcPr>
            <w:tcW w:w="1130" w:type="dxa"/>
            <w:tcBorders>
              <w:top w:val="nil"/>
              <w:left w:val="nil"/>
              <w:bottom w:val="single" w:sz="4" w:space="0" w:color="auto"/>
              <w:right w:val="single" w:sz="4" w:space="0" w:color="auto"/>
            </w:tcBorders>
            <w:vAlign w:val="center"/>
            <w:hideMark/>
          </w:tcPr>
          <w:p w14:paraId="59844A5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4325745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08CD2049"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23802A3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Unexpected $500</w:t>
            </w:r>
          </w:p>
        </w:tc>
        <w:tc>
          <w:tcPr>
            <w:tcW w:w="1416" w:type="dxa"/>
            <w:tcBorders>
              <w:top w:val="nil"/>
              <w:left w:val="nil"/>
              <w:bottom w:val="single" w:sz="4" w:space="0" w:color="auto"/>
              <w:right w:val="single" w:sz="4" w:space="0" w:color="auto"/>
            </w:tcBorders>
            <w:vAlign w:val="center"/>
            <w:hideMark/>
          </w:tcPr>
          <w:p w14:paraId="06DF601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no</w:t>
            </w:r>
          </w:p>
        </w:tc>
        <w:tc>
          <w:tcPr>
            <w:tcW w:w="714" w:type="dxa"/>
            <w:tcBorders>
              <w:top w:val="nil"/>
              <w:left w:val="nil"/>
              <w:bottom w:val="single" w:sz="4" w:space="0" w:color="auto"/>
              <w:right w:val="single" w:sz="4" w:space="0" w:color="auto"/>
            </w:tcBorders>
            <w:vAlign w:val="center"/>
            <w:hideMark/>
          </w:tcPr>
          <w:p w14:paraId="4275EE0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4138772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2E40D8E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5DD7B3D2" w14:textId="77777777" w:rsidTr="00366F04">
        <w:trPr>
          <w:trHeight w:val="280"/>
          <w:jc w:val="center"/>
        </w:trPr>
        <w:tc>
          <w:tcPr>
            <w:tcW w:w="354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14:paraId="405C3D4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Financial strain</w:t>
            </w:r>
          </w:p>
        </w:tc>
        <w:tc>
          <w:tcPr>
            <w:tcW w:w="714" w:type="dxa"/>
            <w:tcBorders>
              <w:top w:val="nil"/>
              <w:left w:val="nil"/>
              <w:bottom w:val="single" w:sz="4" w:space="0" w:color="auto"/>
              <w:right w:val="single" w:sz="4" w:space="0" w:color="auto"/>
            </w:tcBorders>
            <w:shd w:val="clear" w:color="000000" w:fill="F2F2F2"/>
            <w:vAlign w:val="center"/>
            <w:hideMark/>
          </w:tcPr>
          <w:p w14:paraId="2DA6AAF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0" w:type="dxa"/>
            <w:tcBorders>
              <w:top w:val="nil"/>
              <w:left w:val="nil"/>
              <w:bottom w:val="single" w:sz="4" w:space="0" w:color="auto"/>
              <w:right w:val="single" w:sz="4" w:space="0" w:color="auto"/>
            </w:tcBorders>
            <w:shd w:val="clear" w:color="000000" w:fill="F2F2F2"/>
            <w:vAlign w:val="center"/>
            <w:hideMark/>
          </w:tcPr>
          <w:p w14:paraId="6DF8F8E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1134" w:type="dxa"/>
            <w:tcBorders>
              <w:top w:val="nil"/>
              <w:left w:val="nil"/>
              <w:bottom w:val="single" w:sz="4" w:space="0" w:color="auto"/>
              <w:right w:val="single" w:sz="4" w:space="0" w:color="auto"/>
            </w:tcBorders>
            <w:shd w:val="clear" w:color="000000" w:fill="F2F2F2"/>
            <w:vAlign w:val="center"/>
            <w:hideMark/>
          </w:tcPr>
          <w:p w14:paraId="0372955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2D8A712F" w14:textId="77777777" w:rsidTr="00366F04">
        <w:trPr>
          <w:trHeight w:val="280"/>
          <w:jc w:val="center"/>
        </w:trPr>
        <w:tc>
          <w:tcPr>
            <w:tcW w:w="2127" w:type="dxa"/>
            <w:tcBorders>
              <w:top w:val="nil"/>
              <w:left w:val="single" w:sz="4" w:space="0" w:color="auto"/>
              <w:bottom w:val="single" w:sz="4" w:space="0" w:color="auto"/>
              <w:right w:val="single" w:sz="4" w:space="0" w:color="auto"/>
            </w:tcBorders>
            <w:vAlign w:val="center"/>
            <w:hideMark/>
          </w:tcPr>
          <w:p w14:paraId="371A663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utilities</w:t>
            </w:r>
          </w:p>
        </w:tc>
        <w:tc>
          <w:tcPr>
            <w:tcW w:w="1416" w:type="dxa"/>
            <w:tcBorders>
              <w:top w:val="nil"/>
              <w:left w:val="nil"/>
              <w:bottom w:val="single" w:sz="4" w:space="0" w:color="auto"/>
              <w:right w:val="single" w:sz="4" w:space="0" w:color="auto"/>
            </w:tcBorders>
            <w:vAlign w:val="center"/>
            <w:hideMark/>
          </w:tcPr>
          <w:p w14:paraId="0AD1220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more than once</w:t>
            </w:r>
          </w:p>
        </w:tc>
        <w:tc>
          <w:tcPr>
            <w:tcW w:w="714" w:type="dxa"/>
            <w:tcBorders>
              <w:top w:val="nil"/>
              <w:left w:val="nil"/>
              <w:bottom w:val="single" w:sz="4" w:space="0" w:color="auto"/>
              <w:right w:val="single" w:sz="4" w:space="0" w:color="auto"/>
            </w:tcBorders>
            <w:vAlign w:val="center"/>
            <w:hideMark/>
          </w:tcPr>
          <w:p w14:paraId="141347A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42B094B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0B46933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r w:rsidR="00711FE4" w:rsidRPr="00711FE4" w14:paraId="5FC04E83" w14:textId="77777777" w:rsidTr="00366F04">
        <w:trPr>
          <w:trHeight w:val="280"/>
          <w:jc w:val="center"/>
        </w:trPr>
        <w:tc>
          <w:tcPr>
            <w:tcW w:w="2127" w:type="dxa"/>
            <w:tcBorders>
              <w:top w:val="nil"/>
              <w:left w:val="single" w:sz="4" w:space="0" w:color="auto"/>
              <w:bottom w:val="single" w:sz="4" w:space="0" w:color="auto"/>
              <w:right w:val="single" w:sz="4" w:space="0" w:color="auto"/>
            </w:tcBorders>
            <w:noWrap/>
            <w:vAlign w:val="center"/>
            <w:hideMark/>
          </w:tcPr>
          <w:p w14:paraId="3324E78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car bills</w:t>
            </w:r>
          </w:p>
        </w:tc>
        <w:tc>
          <w:tcPr>
            <w:tcW w:w="1416" w:type="dxa"/>
            <w:tcBorders>
              <w:top w:val="nil"/>
              <w:left w:val="nil"/>
              <w:bottom w:val="single" w:sz="4" w:space="0" w:color="auto"/>
              <w:right w:val="single" w:sz="4" w:space="0" w:color="auto"/>
            </w:tcBorders>
            <w:vAlign w:val="center"/>
            <w:hideMark/>
          </w:tcPr>
          <w:p w14:paraId="29D1E1A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more than once</w:t>
            </w:r>
          </w:p>
        </w:tc>
        <w:tc>
          <w:tcPr>
            <w:tcW w:w="714" w:type="dxa"/>
            <w:tcBorders>
              <w:top w:val="nil"/>
              <w:left w:val="nil"/>
              <w:bottom w:val="single" w:sz="4" w:space="0" w:color="auto"/>
              <w:right w:val="single" w:sz="4" w:space="0" w:color="auto"/>
            </w:tcBorders>
            <w:vAlign w:val="center"/>
            <w:hideMark/>
          </w:tcPr>
          <w:p w14:paraId="73CAC0C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c>
          <w:tcPr>
            <w:tcW w:w="1130" w:type="dxa"/>
            <w:tcBorders>
              <w:top w:val="nil"/>
              <w:left w:val="nil"/>
              <w:bottom w:val="single" w:sz="4" w:space="0" w:color="auto"/>
              <w:right w:val="single" w:sz="4" w:space="0" w:color="auto"/>
            </w:tcBorders>
            <w:vAlign w:val="center"/>
            <w:hideMark/>
          </w:tcPr>
          <w:p w14:paraId="445338F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c>
          <w:tcPr>
            <w:tcW w:w="1134" w:type="dxa"/>
            <w:tcBorders>
              <w:top w:val="nil"/>
              <w:left w:val="nil"/>
              <w:bottom w:val="single" w:sz="4" w:space="0" w:color="auto"/>
              <w:right w:val="single" w:sz="4" w:space="0" w:color="auto"/>
            </w:tcBorders>
            <w:vAlign w:val="center"/>
            <w:hideMark/>
          </w:tcPr>
          <w:p w14:paraId="47BE048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Y</w:t>
            </w:r>
          </w:p>
        </w:tc>
      </w:tr>
    </w:tbl>
    <w:p w14:paraId="6F90DC84" w14:textId="77777777" w:rsidR="00711FE4" w:rsidRPr="00711FE4" w:rsidRDefault="00711FE4" w:rsidP="00711FE4">
      <w:pPr>
        <w:spacing w:before="40" w:after="0" w:line="240" w:lineRule="auto"/>
        <w:ind w:left="1276" w:right="1514"/>
        <w:rPr>
          <w:rFonts w:ascii="Arial" w:hAnsi="Arial"/>
          <w:kern w:val="2"/>
          <w:sz w:val="16"/>
          <w:szCs w:val="16"/>
          <w14:ligatures w14:val="standardContextual"/>
        </w:rPr>
      </w:pPr>
      <w:r w:rsidRPr="00711FE4">
        <w:rPr>
          <w:rFonts w:ascii="Arial" w:hAnsi="Arial"/>
          <w:kern w:val="2"/>
          <w:sz w:val="16"/>
          <w:szCs w:val="16"/>
          <w14:ligatures w14:val="standardContextual"/>
        </w:rPr>
        <w:t>Table note:</w:t>
      </w:r>
    </w:p>
    <w:p w14:paraId="2368A77F" w14:textId="77777777" w:rsidR="00711FE4" w:rsidRPr="00711FE4" w:rsidRDefault="00711FE4">
      <w:pPr>
        <w:numPr>
          <w:ilvl w:val="0"/>
          <w:numId w:val="108"/>
        </w:numPr>
        <w:spacing w:after="0" w:line="240" w:lineRule="auto"/>
        <w:ind w:left="1560" w:right="1513" w:hanging="142"/>
        <w:contextualSpacing/>
        <w:rPr>
          <w:rFonts w:ascii="Arial" w:hAnsi="Arial"/>
          <w:kern w:val="2"/>
          <w:sz w:val="16"/>
          <w:szCs w:val="16"/>
          <w14:ligatures w14:val="standardContextual"/>
        </w:rPr>
      </w:pPr>
      <w:r w:rsidRPr="00711FE4">
        <w:rPr>
          <w:rFonts w:ascii="Arial" w:hAnsi="Arial"/>
          <w:kern w:val="2"/>
          <w:sz w:val="16"/>
          <w:szCs w:val="16"/>
          <w14:ligatures w14:val="standardContextual"/>
        </w:rPr>
        <w:t xml:space="preserve">The table is intended to give an overall guide only – the detail of the wording of some of the items changed from HES to HILS. See Table </w:t>
      </w:r>
      <w:r w:rsidRPr="00711FE4">
        <w:rPr>
          <w:rFonts w:ascii="Arial" w:hAnsi="Arial"/>
          <w:b/>
          <w:bCs/>
          <w:kern w:val="2"/>
          <w:sz w:val="16"/>
          <w:szCs w:val="16"/>
          <w14:ligatures w14:val="standardContextual"/>
        </w:rPr>
        <w:t>A20.3b</w:t>
      </w:r>
      <w:r w:rsidRPr="00711FE4">
        <w:rPr>
          <w:rFonts w:ascii="Arial" w:hAnsi="Arial"/>
          <w:kern w:val="2"/>
          <w:sz w:val="16"/>
          <w:szCs w:val="16"/>
          <w14:ligatures w14:val="standardContextual"/>
        </w:rPr>
        <w:t xml:space="preserve"> below for detail </w:t>
      </w:r>
    </w:p>
    <w:p w14:paraId="00EE6A37" w14:textId="77777777" w:rsidR="00711FE4" w:rsidRPr="00711FE4" w:rsidRDefault="00711FE4" w:rsidP="00711FE4">
      <w:pPr>
        <w:rPr>
          <w:rFonts w:ascii="Arial" w:hAnsi="Arial"/>
          <w:kern w:val="2"/>
          <w14:ligatures w14:val="standardContextual"/>
        </w:rPr>
      </w:pPr>
    </w:p>
    <w:p w14:paraId="556D6080" w14:textId="77777777" w:rsidR="00711FE4" w:rsidRPr="00711FE4" w:rsidRDefault="00711FE4" w:rsidP="00711FE4">
      <w:pPr>
        <w:rPr>
          <w:rFonts w:ascii="Arial" w:hAnsi="Arial"/>
          <w:kern w:val="2"/>
          <w14:ligatures w14:val="standardContextual"/>
        </w:rPr>
      </w:pPr>
    </w:p>
    <w:p w14:paraId="601BE1E5" w14:textId="77777777" w:rsidR="00711FE4" w:rsidRPr="00711FE4" w:rsidRDefault="00711FE4" w:rsidP="00711FE4">
      <w:pPr>
        <w:spacing w:after="0" w:line="240" w:lineRule="auto"/>
        <w:rPr>
          <w:rFonts w:ascii="Arial" w:hAnsi="Arial"/>
          <w:b/>
          <w:bCs/>
          <w:color w:val="000000"/>
          <w:sz w:val="22"/>
        </w:rPr>
      </w:pPr>
      <w:r w:rsidRPr="00711FE4">
        <w:rPr>
          <w:rFonts w:ascii="Arial" w:hAnsi="Arial"/>
          <w:b/>
          <w:bCs/>
          <w:color w:val="000000"/>
          <w:sz w:val="22"/>
        </w:rPr>
        <w:br w:type="page"/>
      </w:r>
    </w:p>
    <w:p w14:paraId="28B5F9DD"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lastRenderedPageBreak/>
        <w:t>Table 20.5</w:t>
      </w:r>
    </w:p>
    <w:p w14:paraId="683F6DCC" w14:textId="77777777" w:rsidR="00711FE4" w:rsidRPr="00711FE4" w:rsidRDefault="00711FE4" w:rsidP="00711FE4">
      <w:pPr>
        <w:spacing w:after="60" w:line="240" w:lineRule="auto"/>
        <w:jc w:val="center"/>
        <w:rPr>
          <w:rFonts w:ascii="Arial" w:hAnsi="Arial"/>
          <w:color w:val="FF0000"/>
          <w:sz w:val="18"/>
          <w:szCs w:val="18"/>
        </w:rPr>
      </w:pPr>
      <w:r w:rsidRPr="00711FE4">
        <w:rPr>
          <w:rFonts w:ascii="Arial" w:hAnsi="Arial"/>
          <w:b/>
          <w:bCs/>
          <w:color w:val="000000"/>
          <w:sz w:val="18"/>
          <w:szCs w:val="18"/>
        </w:rPr>
        <w:t xml:space="preserve">Changes to questionnaire wording for items used in HILS for MWI-26 compared with what was used in HES for </w:t>
      </w:r>
      <w:bookmarkStart w:id="50" w:name="_Hlk223082314"/>
      <w:r w:rsidRPr="00711FE4">
        <w:rPr>
          <w:rFonts w:ascii="Arial" w:hAnsi="Arial"/>
          <w:b/>
          <w:bCs/>
          <w:color w:val="000000"/>
          <w:sz w:val="18"/>
          <w:szCs w:val="18"/>
        </w:rPr>
        <w:t>MWI-24</w:t>
      </w:r>
      <w:bookmarkEnd w:id="50"/>
      <w:r w:rsidRPr="00711FE4">
        <w:rPr>
          <w:rFonts w:ascii="Arial" w:hAnsi="Arial"/>
          <w:b/>
          <w:bCs/>
          <w:color w:val="000000"/>
          <w:sz w:val="22"/>
        </w:rPr>
        <w:t xml:space="preserve"> </w:t>
      </w:r>
      <w:r w:rsidRPr="00711FE4">
        <w:rPr>
          <w:rFonts w:ascii="Arial" w:hAnsi="Arial"/>
          <w:color w:val="FF0000"/>
          <w:sz w:val="18"/>
          <w:szCs w:val="18"/>
        </w:rPr>
        <w:t>(changes in red)</w:t>
      </w:r>
    </w:p>
    <w:p w14:paraId="64641522" w14:textId="77777777" w:rsidR="00711FE4" w:rsidRPr="00711FE4" w:rsidRDefault="00711FE4" w:rsidP="00711FE4">
      <w:pPr>
        <w:spacing w:after="0" w:line="240" w:lineRule="auto"/>
        <w:ind w:firstLine="720"/>
        <w:rPr>
          <w:rFonts w:ascii="Arial" w:hAnsi="Arial"/>
          <w:color w:val="000000"/>
          <w:sz w:val="16"/>
          <w:szCs w:val="16"/>
        </w:rPr>
      </w:pPr>
      <w:r w:rsidRPr="00711FE4">
        <w:rPr>
          <w:rFonts w:ascii="Arial" w:hAnsi="Arial"/>
          <w:color w:val="000000"/>
          <w:sz w:val="16"/>
          <w:szCs w:val="16"/>
        </w:rPr>
        <w:t xml:space="preserve">DK = don’t know   </w:t>
      </w:r>
      <w:r w:rsidRPr="00711FE4">
        <w:rPr>
          <w:rFonts w:ascii="Arial" w:hAnsi="Arial"/>
          <w:color w:val="000000"/>
          <w:sz w:val="16"/>
          <w:szCs w:val="16"/>
        </w:rPr>
        <w:tab/>
      </w:r>
      <w:r w:rsidRPr="00711FE4">
        <w:rPr>
          <w:rFonts w:ascii="Arial" w:hAnsi="Arial"/>
          <w:color w:val="000000"/>
          <w:sz w:val="16"/>
          <w:szCs w:val="16"/>
        </w:rPr>
        <w:tab/>
      </w:r>
      <w:r w:rsidRPr="00711FE4">
        <w:rPr>
          <w:rFonts w:ascii="Arial" w:hAnsi="Arial"/>
          <w:color w:val="000000"/>
          <w:sz w:val="16"/>
          <w:szCs w:val="16"/>
        </w:rPr>
        <w:tab/>
        <w:t>RF = refuse to answer</w:t>
      </w:r>
    </w:p>
    <w:p w14:paraId="6E8B9403" w14:textId="77777777" w:rsidR="00711FE4" w:rsidRPr="00711FE4" w:rsidRDefault="00711FE4" w:rsidP="00711FE4">
      <w:pPr>
        <w:spacing w:after="60"/>
        <w:ind w:firstLine="720"/>
        <w:rPr>
          <w:rFonts w:ascii="Arial" w:hAnsi="Arial"/>
          <w:color w:val="000000"/>
          <w:sz w:val="16"/>
          <w:szCs w:val="16"/>
        </w:rPr>
      </w:pPr>
      <w:r w:rsidRPr="00711FE4">
        <w:rPr>
          <w:rFonts w:ascii="Arial" w:hAnsi="Arial"/>
          <w:color w:val="000000"/>
          <w:sz w:val="16"/>
          <w:szCs w:val="16"/>
        </w:rPr>
        <w:t>ISP = individual spending</w:t>
      </w:r>
      <w:r w:rsidRPr="00711FE4">
        <w:rPr>
          <w:rFonts w:ascii="Arial" w:hAnsi="Arial"/>
          <w:color w:val="000000"/>
          <w:sz w:val="16"/>
          <w:szCs w:val="16"/>
        </w:rPr>
        <w:tab/>
      </w:r>
      <w:r w:rsidRPr="00711FE4">
        <w:rPr>
          <w:rFonts w:ascii="Arial" w:hAnsi="Arial"/>
          <w:color w:val="000000"/>
          <w:sz w:val="16"/>
          <w:szCs w:val="16"/>
        </w:rPr>
        <w:tab/>
        <w:t>HSP = household spending</w:t>
      </w:r>
    </w:p>
    <w:p w14:paraId="7BBA2F0C" w14:textId="77777777" w:rsidR="00711FE4" w:rsidRPr="00711FE4" w:rsidRDefault="00711FE4" w:rsidP="00711FE4">
      <w:pPr>
        <w:spacing w:after="60"/>
        <w:rPr>
          <w:rFonts w:ascii="Arial" w:hAnsi="Arial"/>
          <w:b/>
          <w:color w:val="000000"/>
          <w:sz w:val="18"/>
          <w:szCs w:val="18"/>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3256"/>
        <w:gridCol w:w="3119"/>
        <w:gridCol w:w="708"/>
      </w:tblGrid>
      <w:tr w:rsidR="00711FE4" w:rsidRPr="00711FE4" w14:paraId="3EF0CF6F" w14:textId="77777777" w:rsidTr="00366F04">
        <w:trPr>
          <w:trHeight w:val="360"/>
        </w:trPr>
        <w:tc>
          <w:tcPr>
            <w:tcW w:w="1564" w:type="dxa"/>
            <w:vMerge w:val="restart"/>
            <w:vAlign w:val="center"/>
            <w:hideMark/>
          </w:tcPr>
          <w:p w14:paraId="30ABD838"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Short name</w:t>
            </w:r>
          </w:p>
        </w:tc>
        <w:tc>
          <w:tcPr>
            <w:tcW w:w="6375" w:type="dxa"/>
            <w:gridSpan w:val="2"/>
            <w:vAlign w:val="center"/>
            <w:hideMark/>
          </w:tcPr>
          <w:p w14:paraId="4B92B5BC"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Changes for question wording, response options and introductory text</w:t>
            </w:r>
          </w:p>
        </w:tc>
        <w:tc>
          <w:tcPr>
            <w:tcW w:w="708" w:type="dxa"/>
            <w:vMerge w:val="restart"/>
            <w:vAlign w:val="center"/>
            <w:hideMark/>
          </w:tcPr>
          <w:p w14:paraId="5652BB85"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module</w:t>
            </w:r>
          </w:p>
        </w:tc>
      </w:tr>
      <w:tr w:rsidR="00711FE4" w:rsidRPr="00711FE4" w14:paraId="2F5392B9" w14:textId="77777777" w:rsidTr="00366F04">
        <w:trPr>
          <w:trHeight w:val="370"/>
        </w:trPr>
        <w:tc>
          <w:tcPr>
            <w:tcW w:w="1564" w:type="dxa"/>
            <w:vMerge/>
            <w:vAlign w:val="center"/>
            <w:hideMark/>
          </w:tcPr>
          <w:p w14:paraId="3752A14D"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3256" w:type="dxa"/>
            <w:vAlign w:val="center"/>
            <w:hideMark/>
          </w:tcPr>
          <w:p w14:paraId="7802E7DA"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HES for MWI-24</w:t>
            </w:r>
          </w:p>
        </w:tc>
        <w:tc>
          <w:tcPr>
            <w:tcW w:w="3119" w:type="dxa"/>
            <w:vAlign w:val="center"/>
            <w:hideMark/>
          </w:tcPr>
          <w:p w14:paraId="22859114"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for MWI-26</w:t>
            </w:r>
          </w:p>
        </w:tc>
        <w:tc>
          <w:tcPr>
            <w:tcW w:w="708" w:type="dxa"/>
            <w:vMerge/>
            <w:vAlign w:val="center"/>
            <w:hideMark/>
          </w:tcPr>
          <w:p w14:paraId="791B81E8" w14:textId="77777777" w:rsidR="00711FE4" w:rsidRPr="00711FE4" w:rsidRDefault="00711FE4" w:rsidP="00711FE4">
            <w:pPr>
              <w:spacing w:after="0" w:line="240" w:lineRule="auto"/>
              <w:rPr>
                <w:rFonts w:ascii="Calibri" w:eastAsia="Times New Roman" w:hAnsi="Calibri" w:cs="Calibri"/>
                <w:color w:val="000000"/>
                <w:sz w:val="14"/>
                <w:szCs w:val="14"/>
                <w:lang w:eastAsia="en-NZ"/>
              </w:rPr>
            </w:pPr>
          </w:p>
        </w:tc>
      </w:tr>
      <w:tr w:rsidR="00711FE4" w:rsidRPr="00711FE4" w14:paraId="2D37B6F9" w14:textId="77777777" w:rsidTr="00366F04">
        <w:trPr>
          <w:trHeight w:val="1080"/>
        </w:trPr>
        <w:tc>
          <w:tcPr>
            <w:tcW w:w="1564" w:type="dxa"/>
            <w:shd w:val="clear" w:color="auto" w:fill="F2F2F2"/>
            <w:vAlign w:val="center"/>
            <w:hideMark/>
          </w:tcPr>
          <w:p w14:paraId="34309D59"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Ownership or participation</w:t>
            </w:r>
          </w:p>
        </w:tc>
        <w:tc>
          <w:tcPr>
            <w:tcW w:w="3256" w:type="dxa"/>
            <w:shd w:val="clear" w:color="auto" w:fill="F2F2F2"/>
            <w:vAlign w:val="center"/>
            <w:hideMark/>
          </w:tcPr>
          <w:p w14:paraId="48112684"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I'm now going to ask you about some things you may or may not have or do…</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xml:space="preserve">: </w:t>
            </w:r>
            <w:r w:rsidRPr="00711FE4">
              <w:rPr>
                <w:rFonts w:ascii="Arial" w:eastAsia="Times New Roman" w:hAnsi="Arial"/>
                <w:b/>
                <w:bCs/>
                <w:color w:val="000000"/>
                <w:sz w:val="14"/>
                <w:szCs w:val="14"/>
                <w:lang w:eastAsia="en-NZ"/>
              </w:rPr>
              <w:t>Don’t want, cost, other, DK, refuse</w:t>
            </w:r>
          </w:p>
        </w:tc>
        <w:tc>
          <w:tcPr>
            <w:tcW w:w="3119" w:type="dxa"/>
            <w:shd w:val="clear" w:color="auto" w:fill="F2F2F2"/>
            <w:vAlign w:val="center"/>
            <w:hideMark/>
          </w:tcPr>
          <w:p w14:paraId="54FF5EDB"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 &amp; ISP intro- The next questions are about being forced to keep costs down…</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xml:space="preserve">: </w:t>
            </w:r>
            <w:r w:rsidRPr="00711FE4">
              <w:rPr>
                <w:rFonts w:ascii="Arial" w:eastAsia="Times New Roman" w:hAnsi="Arial"/>
                <w:b/>
                <w:bCs/>
                <w:color w:val="000000"/>
                <w:sz w:val="14"/>
                <w:szCs w:val="14"/>
                <w:lang w:eastAsia="en-NZ"/>
              </w:rPr>
              <w:t>Don’t want, cost, other, DK, refuse</w:t>
            </w:r>
          </w:p>
        </w:tc>
        <w:tc>
          <w:tcPr>
            <w:tcW w:w="708" w:type="dxa"/>
            <w:shd w:val="clear" w:color="auto" w:fill="F2F2F2"/>
            <w:vAlign w:val="center"/>
            <w:hideMark/>
          </w:tcPr>
          <w:p w14:paraId="63E6EDA5"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r>
      <w:tr w:rsidR="00711FE4" w:rsidRPr="00711FE4" w14:paraId="4B0D5570" w14:textId="77777777" w:rsidTr="00366F04">
        <w:trPr>
          <w:trHeight w:val="360"/>
        </w:trPr>
        <w:tc>
          <w:tcPr>
            <w:tcW w:w="1564" w:type="dxa"/>
            <w:vAlign w:val="center"/>
            <w:hideMark/>
          </w:tcPr>
          <w:p w14:paraId="4D7334B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Shoes</w:t>
            </w:r>
          </w:p>
        </w:tc>
        <w:tc>
          <w:tcPr>
            <w:tcW w:w="3256" w:type="dxa"/>
            <w:vAlign w:val="center"/>
            <w:hideMark/>
          </w:tcPr>
          <w:p w14:paraId="57BB1F0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you have at least two pairs of shoes in </w:t>
            </w:r>
            <w:r w:rsidRPr="00711FE4">
              <w:rPr>
                <w:rFonts w:ascii="Arial" w:eastAsia="Times New Roman" w:hAnsi="Arial"/>
                <w:color w:val="FF0000"/>
                <w:sz w:val="14"/>
                <w:szCs w:val="14"/>
                <w:lang w:eastAsia="en-NZ"/>
              </w:rPr>
              <w:t>a</w:t>
            </w:r>
            <w:r w:rsidRPr="00711FE4">
              <w:rPr>
                <w:rFonts w:ascii="Arial" w:eastAsia="Times New Roman" w:hAnsi="Arial"/>
                <w:color w:val="000000"/>
                <w:sz w:val="14"/>
                <w:szCs w:val="14"/>
                <w:lang w:eastAsia="en-NZ"/>
              </w:rPr>
              <w:t xml:space="preserve"> good condition </w:t>
            </w:r>
            <w:r w:rsidRPr="00711FE4">
              <w:rPr>
                <w:rFonts w:ascii="Arial" w:eastAsia="Times New Roman" w:hAnsi="Arial"/>
                <w:color w:val="FF0000"/>
                <w:sz w:val="14"/>
                <w:szCs w:val="14"/>
                <w:lang w:eastAsia="en-NZ"/>
              </w:rPr>
              <w:t>that are</w:t>
            </w:r>
            <w:r w:rsidRPr="00711FE4">
              <w:rPr>
                <w:rFonts w:ascii="Arial" w:eastAsia="Times New Roman" w:hAnsi="Arial"/>
                <w:color w:val="000000"/>
                <w:sz w:val="14"/>
                <w:szCs w:val="14"/>
                <w:lang w:eastAsia="en-NZ"/>
              </w:rPr>
              <w:t xml:space="preserve"> suitable for your daily activities?</w:t>
            </w:r>
          </w:p>
        </w:tc>
        <w:tc>
          <w:tcPr>
            <w:tcW w:w="3119" w:type="dxa"/>
            <w:vAlign w:val="center"/>
            <w:hideMark/>
          </w:tcPr>
          <w:p w14:paraId="40A2771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at least two pairs of shoes in good condition, suitable for your daily activities? </w:t>
            </w:r>
          </w:p>
        </w:tc>
        <w:tc>
          <w:tcPr>
            <w:tcW w:w="708" w:type="dxa"/>
            <w:vAlign w:val="center"/>
            <w:hideMark/>
          </w:tcPr>
          <w:p w14:paraId="33BF402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238249B5" w14:textId="77777777" w:rsidTr="00366F04">
        <w:trPr>
          <w:trHeight w:val="360"/>
        </w:trPr>
        <w:tc>
          <w:tcPr>
            <w:tcW w:w="1564" w:type="dxa"/>
            <w:vAlign w:val="center"/>
          </w:tcPr>
          <w:p w14:paraId="59937CC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New clothes</w:t>
            </w:r>
          </w:p>
        </w:tc>
        <w:tc>
          <w:tcPr>
            <w:tcW w:w="3256" w:type="dxa"/>
            <w:vAlign w:val="center"/>
          </w:tcPr>
          <w:p w14:paraId="0A26EF5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 you usually replace worn out clothes with new clothes, </w:t>
            </w:r>
            <w:r w:rsidRPr="00711FE4">
              <w:rPr>
                <w:rFonts w:ascii="Arial" w:hAnsi="Arial"/>
                <w:color w:val="ED0000"/>
                <w:kern w:val="2"/>
                <w:sz w:val="14"/>
                <w:szCs w:val="14"/>
                <w14:ligatures w14:val="standardContextual"/>
              </w:rPr>
              <w:t>rather than second-hand</w:t>
            </w:r>
            <w:r w:rsidRPr="00711FE4">
              <w:rPr>
                <w:rFonts w:ascii="Arial" w:hAnsi="Arial"/>
                <w:color w:val="000000"/>
                <w:kern w:val="2"/>
                <w:sz w:val="14"/>
                <w:szCs w:val="14"/>
                <w14:ligatures w14:val="standardContextual"/>
              </w:rPr>
              <w:t>?</w:t>
            </w:r>
          </w:p>
        </w:tc>
        <w:tc>
          <w:tcPr>
            <w:tcW w:w="3119" w:type="dxa"/>
            <w:vAlign w:val="center"/>
          </w:tcPr>
          <w:p w14:paraId="12B942B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usually replace worn out clothes with new clothes?</w:t>
            </w:r>
          </w:p>
        </w:tc>
        <w:tc>
          <w:tcPr>
            <w:tcW w:w="708" w:type="dxa"/>
            <w:vAlign w:val="center"/>
          </w:tcPr>
          <w:p w14:paraId="684112F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4104D2CF" w14:textId="77777777" w:rsidTr="00366F04">
        <w:trPr>
          <w:trHeight w:val="360"/>
        </w:trPr>
        <w:tc>
          <w:tcPr>
            <w:tcW w:w="1564" w:type="dxa"/>
            <w:vAlign w:val="center"/>
            <w:hideMark/>
          </w:tcPr>
          <w:p w14:paraId="5852576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Clothes for special</w:t>
            </w:r>
          </w:p>
        </w:tc>
        <w:tc>
          <w:tcPr>
            <w:tcW w:w="3256" w:type="dxa"/>
            <w:vAlign w:val="center"/>
            <w:hideMark/>
          </w:tcPr>
          <w:p w14:paraId="69F0028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suitable clothes for important or special occasions?</w:t>
            </w:r>
          </w:p>
        </w:tc>
        <w:tc>
          <w:tcPr>
            <w:tcW w:w="3119" w:type="dxa"/>
            <w:vAlign w:val="center"/>
            <w:hideMark/>
          </w:tcPr>
          <w:p w14:paraId="379DD56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suitable clothes for important or special occasions? </w:t>
            </w:r>
          </w:p>
        </w:tc>
        <w:tc>
          <w:tcPr>
            <w:tcW w:w="708" w:type="dxa"/>
            <w:vAlign w:val="center"/>
            <w:hideMark/>
          </w:tcPr>
          <w:p w14:paraId="3D109A8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1E9A7C0A" w14:textId="77777777" w:rsidTr="00366F04">
        <w:trPr>
          <w:trHeight w:val="360"/>
        </w:trPr>
        <w:tc>
          <w:tcPr>
            <w:tcW w:w="1564" w:type="dxa"/>
            <w:vAlign w:val="center"/>
          </w:tcPr>
          <w:p w14:paraId="711817A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Contents ins</w:t>
            </w:r>
          </w:p>
        </w:tc>
        <w:tc>
          <w:tcPr>
            <w:tcW w:w="3256" w:type="dxa"/>
            <w:vAlign w:val="center"/>
          </w:tcPr>
          <w:p w14:paraId="4450544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Do </w:t>
            </w:r>
            <w:r w:rsidRPr="00711FE4">
              <w:rPr>
                <w:rFonts w:ascii="Arial" w:hAnsi="Arial"/>
                <w:color w:val="FF0000"/>
                <w:kern w:val="2"/>
                <w:sz w:val="14"/>
                <w:szCs w:val="14"/>
                <w14:ligatures w14:val="standardContextual"/>
              </w:rPr>
              <w:t>you</w:t>
            </w:r>
            <w:r w:rsidRPr="00711FE4">
              <w:rPr>
                <w:rFonts w:ascii="Arial" w:hAnsi="Arial"/>
                <w:color w:val="000000"/>
                <w:kern w:val="2"/>
                <w:sz w:val="14"/>
                <w:szCs w:val="14"/>
                <w14:ligatures w14:val="standardContextual"/>
              </w:rPr>
              <w:t xml:space="preserve"> have home contents insurance?</w:t>
            </w:r>
          </w:p>
        </w:tc>
        <w:tc>
          <w:tcPr>
            <w:tcW w:w="3119" w:type="dxa"/>
            <w:vAlign w:val="center"/>
          </w:tcPr>
          <w:p w14:paraId="58BF313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Does your household have home contents insurance?</w:t>
            </w:r>
          </w:p>
        </w:tc>
        <w:tc>
          <w:tcPr>
            <w:tcW w:w="708" w:type="dxa"/>
            <w:vAlign w:val="center"/>
          </w:tcPr>
          <w:p w14:paraId="39D0E97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HSP</w:t>
            </w:r>
          </w:p>
        </w:tc>
      </w:tr>
      <w:tr w:rsidR="00711FE4" w:rsidRPr="00711FE4" w14:paraId="1B245A1D" w14:textId="77777777" w:rsidTr="00366F04">
        <w:trPr>
          <w:trHeight w:val="360"/>
        </w:trPr>
        <w:tc>
          <w:tcPr>
            <w:tcW w:w="1564" w:type="dxa"/>
            <w:vAlign w:val="center"/>
            <w:hideMark/>
          </w:tcPr>
          <w:p w14:paraId="2795496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Protein meal</w:t>
            </w:r>
          </w:p>
        </w:tc>
        <w:tc>
          <w:tcPr>
            <w:tcW w:w="3256" w:type="dxa"/>
            <w:vAlign w:val="center"/>
            <w:hideMark/>
          </w:tcPr>
          <w:p w14:paraId="252CB52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 meal with meat,</w:t>
            </w:r>
            <w:r w:rsidRPr="00711FE4">
              <w:rPr>
                <w:rFonts w:ascii="Arial" w:eastAsia="Times New Roman" w:hAnsi="Arial"/>
                <w:color w:val="FF0000"/>
                <w:sz w:val="14"/>
                <w:szCs w:val="14"/>
                <w:lang w:eastAsia="en-NZ"/>
              </w:rPr>
              <w:t xml:space="preserve"> fish, or chicken (or vegetarian equivalent) at least each</w:t>
            </w:r>
            <w:r w:rsidRPr="00711FE4">
              <w:rPr>
                <w:rFonts w:ascii="Arial" w:eastAsia="Times New Roman" w:hAnsi="Arial"/>
                <w:color w:val="000000"/>
                <w:sz w:val="14"/>
                <w:szCs w:val="14"/>
                <w:lang w:eastAsia="en-NZ"/>
              </w:rPr>
              <w:t xml:space="preserve"> second day?</w:t>
            </w:r>
          </w:p>
        </w:tc>
        <w:tc>
          <w:tcPr>
            <w:tcW w:w="3119" w:type="dxa"/>
            <w:vAlign w:val="center"/>
            <w:hideMark/>
          </w:tcPr>
          <w:p w14:paraId="3F2D70E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you have a meal with</w:t>
            </w:r>
            <w:r w:rsidRPr="00711FE4">
              <w:rPr>
                <w:rFonts w:ascii="Arial" w:eastAsia="Times New Roman" w:hAnsi="Arial"/>
                <w:color w:val="FF0000"/>
                <w:sz w:val="14"/>
                <w:szCs w:val="14"/>
                <w:lang w:eastAsia="en-NZ"/>
              </w:rPr>
              <w:t xml:space="preserve"> meat, seafood, eggs, or plant-based protein at least every</w:t>
            </w:r>
            <w:r w:rsidRPr="00711FE4">
              <w:rPr>
                <w:rFonts w:ascii="Arial" w:eastAsia="Times New Roman" w:hAnsi="Arial"/>
                <w:color w:val="000000"/>
                <w:sz w:val="14"/>
                <w:szCs w:val="14"/>
                <w:lang w:eastAsia="en-NZ"/>
              </w:rPr>
              <w:t xml:space="preserve"> second day? </w:t>
            </w:r>
          </w:p>
        </w:tc>
        <w:tc>
          <w:tcPr>
            <w:tcW w:w="708" w:type="dxa"/>
            <w:vAlign w:val="center"/>
            <w:hideMark/>
          </w:tcPr>
          <w:p w14:paraId="4D5042ED"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174B327B" w14:textId="77777777" w:rsidTr="00366F04">
        <w:trPr>
          <w:trHeight w:val="360"/>
        </w:trPr>
        <w:tc>
          <w:tcPr>
            <w:tcW w:w="1564" w:type="dxa"/>
            <w:vAlign w:val="center"/>
          </w:tcPr>
          <w:p w14:paraId="5CA1C01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Good bed</w:t>
            </w:r>
          </w:p>
        </w:tc>
        <w:tc>
          <w:tcPr>
            <w:tcW w:w="3256" w:type="dxa"/>
            <w:vAlign w:val="center"/>
          </w:tcPr>
          <w:p w14:paraId="4453C72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good bed to sleep in?</w:t>
            </w:r>
          </w:p>
        </w:tc>
        <w:tc>
          <w:tcPr>
            <w:tcW w:w="3119" w:type="dxa"/>
            <w:vAlign w:val="center"/>
          </w:tcPr>
          <w:p w14:paraId="5D0B892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good bed to sleep in?</w:t>
            </w:r>
          </w:p>
        </w:tc>
        <w:tc>
          <w:tcPr>
            <w:tcW w:w="708" w:type="dxa"/>
            <w:vAlign w:val="center"/>
          </w:tcPr>
          <w:p w14:paraId="1E9A0F5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35554174" w14:textId="77777777" w:rsidTr="00366F04">
        <w:trPr>
          <w:trHeight w:val="360"/>
        </w:trPr>
        <w:tc>
          <w:tcPr>
            <w:tcW w:w="1564" w:type="dxa"/>
            <w:vAlign w:val="center"/>
          </w:tcPr>
          <w:p w14:paraId="3ADC632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Keep accomm warm</w:t>
            </w:r>
          </w:p>
        </w:tc>
        <w:tc>
          <w:tcPr>
            <w:tcW w:w="3256" w:type="dxa"/>
            <w:vAlign w:val="center"/>
          </w:tcPr>
          <w:p w14:paraId="33D50AD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(not used in MWI-24)</w:t>
            </w:r>
          </w:p>
        </w:tc>
        <w:tc>
          <w:tcPr>
            <w:tcW w:w="3119" w:type="dxa"/>
            <w:vAlign w:val="center"/>
          </w:tcPr>
          <w:p w14:paraId="0F0E9A8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Can</w:t>
            </w:r>
            <w:r w:rsidRPr="00711FE4">
              <w:rPr>
                <w:rFonts w:ascii="Arial" w:hAnsi="Arial"/>
                <w:color w:val="ED0000"/>
                <w:kern w:val="2"/>
                <w:sz w:val="14"/>
                <w:szCs w:val="14"/>
                <w14:ligatures w14:val="standardContextual"/>
              </w:rPr>
              <w:t xml:space="preserve"> your household</w:t>
            </w:r>
            <w:r w:rsidRPr="00711FE4">
              <w:rPr>
                <w:rFonts w:ascii="Arial" w:hAnsi="Arial"/>
                <w:color w:val="000000"/>
                <w:kern w:val="2"/>
                <w:sz w:val="14"/>
                <w:szCs w:val="14"/>
                <w14:ligatures w14:val="standardContextual"/>
              </w:rPr>
              <w:t xml:space="preserve"> afford to keep </w:t>
            </w:r>
            <w:r w:rsidRPr="00711FE4">
              <w:rPr>
                <w:rFonts w:ascii="Arial" w:hAnsi="Arial"/>
                <w:color w:val="ED0000"/>
                <w:kern w:val="2"/>
                <w:sz w:val="14"/>
                <w:szCs w:val="14"/>
                <w14:ligatures w14:val="standardContextual"/>
              </w:rPr>
              <w:t>the dwelling</w:t>
            </w:r>
            <w:r w:rsidRPr="00711FE4">
              <w:rPr>
                <w:rFonts w:ascii="Arial" w:hAnsi="Arial"/>
                <w:color w:val="000000"/>
                <w:kern w:val="2"/>
                <w:sz w:val="14"/>
                <w:szCs w:val="14"/>
                <w14:ligatures w14:val="standardContextual"/>
              </w:rPr>
              <w:t xml:space="preserve"> adequately warm?</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Yes/No/DK/RF</w:t>
            </w:r>
          </w:p>
        </w:tc>
        <w:tc>
          <w:tcPr>
            <w:tcW w:w="708" w:type="dxa"/>
            <w:vAlign w:val="center"/>
          </w:tcPr>
          <w:p w14:paraId="3E49EEA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HOU</w:t>
            </w:r>
          </w:p>
        </w:tc>
      </w:tr>
      <w:tr w:rsidR="00711FE4" w:rsidRPr="00711FE4" w14:paraId="7B81D624" w14:textId="77777777" w:rsidTr="00366F04">
        <w:trPr>
          <w:trHeight w:val="360"/>
        </w:trPr>
        <w:tc>
          <w:tcPr>
            <w:tcW w:w="1564" w:type="dxa"/>
            <w:shd w:val="clear" w:color="auto" w:fill="DBE5F1"/>
            <w:vAlign w:val="center"/>
          </w:tcPr>
          <w:p w14:paraId="22BCCF3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w:t>
            </w:r>
          </w:p>
        </w:tc>
        <w:tc>
          <w:tcPr>
            <w:tcW w:w="6375" w:type="dxa"/>
            <w:gridSpan w:val="2"/>
            <w:shd w:val="clear" w:color="auto" w:fill="DBE5F1"/>
            <w:vAlign w:val="center"/>
          </w:tcPr>
          <w:p w14:paraId="406737A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xml:space="preserve">Note: this question in both HES and HILS does not have the “if no why not?” </w:t>
            </w:r>
          </w:p>
        </w:tc>
        <w:tc>
          <w:tcPr>
            <w:tcW w:w="708" w:type="dxa"/>
            <w:shd w:val="clear" w:color="auto" w:fill="DBE5F1"/>
            <w:vAlign w:val="center"/>
          </w:tcPr>
          <w:p w14:paraId="52CF732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b/>
                <w:bCs/>
                <w:color w:val="000000"/>
                <w:kern w:val="2"/>
                <w:sz w:val="14"/>
                <w:szCs w:val="14"/>
                <w14:ligatures w14:val="standardContextual"/>
              </w:rPr>
              <w:t> </w:t>
            </w:r>
          </w:p>
        </w:tc>
      </w:tr>
      <w:tr w:rsidR="00711FE4" w:rsidRPr="00711FE4" w14:paraId="1645A0C5" w14:textId="77777777" w:rsidTr="00366F04">
        <w:trPr>
          <w:trHeight w:val="360"/>
        </w:trPr>
        <w:tc>
          <w:tcPr>
            <w:tcW w:w="1564" w:type="dxa"/>
            <w:vAlign w:val="center"/>
          </w:tcPr>
          <w:p w14:paraId="3F0112A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Gifts</w:t>
            </w:r>
          </w:p>
        </w:tc>
        <w:tc>
          <w:tcPr>
            <w:tcW w:w="3256" w:type="dxa"/>
            <w:vAlign w:val="center"/>
          </w:tcPr>
          <w:p w14:paraId="27352F9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give presents to family or friends on birthdays, Christmas, or other special occasions?</w:t>
            </w:r>
          </w:p>
        </w:tc>
        <w:tc>
          <w:tcPr>
            <w:tcW w:w="3119" w:type="dxa"/>
            <w:vAlign w:val="center"/>
          </w:tcPr>
          <w:p w14:paraId="3E70748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give presents to family or friends on birthdays, Christmas, or other special occasions? </w:t>
            </w:r>
          </w:p>
        </w:tc>
        <w:tc>
          <w:tcPr>
            <w:tcW w:w="708" w:type="dxa"/>
            <w:vAlign w:val="center"/>
          </w:tcPr>
          <w:p w14:paraId="7B3408E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2DBA9D4B" w14:textId="77777777" w:rsidTr="00366F04">
        <w:trPr>
          <w:trHeight w:val="360"/>
        </w:trPr>
        <w:tc>
          <w:tcPr>
            <w:tcW w:w="1564" w:type="dxa"/>
            <w:vAlign w:val="center"/>
          </w:tcPr>
          <w:p w14:paraId="083550F4"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Local holidays</w:t>
            </w:r>
          </w:p>
        </w:tc>
        <w:tc>
          <w:tcPr>
            <w:tcW w:w="3256" w:type="dxa"/>
            <w:vAlign w:val="center"/>
          </w:tcPr>
          <w:p w14:paraId="006F5AA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usually have a holiday away from home for at least a week every year?</w:t>
            </w:r>
          </w:p>
        </w:tc>
        <w:tc>
          <w:tcPr>
            <w:tcW w:w="3119" w:type="dxa"/>
            <w:vAlign w:val="center"/>
          </w:tcPr>
          <w:p w14:paraId="4AF4E95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usually have a holiday away from home for at least a week every year?</w:t>
            </w:r>
          </w:p>
        </w:tc>
        <w:tc>
          <w:tcPr>
            <w:tcW w:w="708" w:type="dxa"/>
            <w:vAlign w:val="center"/>
          </w:tcPr>
          <w:p w14:paraId="30A7BAE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6CB2E42B" w14:textId="77777777" w:rsidTr="00366F04">
        <w:trPr>
          <w:trHeight w:val="360"/>
        </w:trPr>
        <w:tc>
          <w:tcPr>
            <w:tcW w:w="1564" w:type="dxa"/>
            <w:vAlign w:val="center"/>
          </w:tcPr>
          <w:p w14:paraId="6B310A8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Overseas holidays</w:t>
            </w:r>
          </w:p>
        </w:tc>
        <w:tc>
          <w:tcPr>
            <w:tcW w:w="3256" w:type="dxa"/>
            <w:vAlign w:val="center"/>
          </w:tcPr>
          <w:p w14:paraId="536CE2E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holiday overseas at least every three years?</w:t>
            </w:r>
          </w:p>
        </w:tc>
        <w:tc>
          <w:tcPr>
            <w:tcW w:w="3119" w:type="dxa"/>
            <w:vAlign w:val="center"/>
          </w:tcPr>
          <w:p w14:paraId="1349DBC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 you have a holiday overseas at least every three years?</w:t>
            </w:r>
          </w:p>
        </w:tc>
        <w:tc>
          <w:tcPr>
            <w:tcW w:w="708" w:type="dxa"/>
            <w:vAlign w:val="center"/>
          </w:tcPr>
          <w:p w14:paraId="1381916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4673606C" w14:textId="77777777" w:rsidTr="00366F04">
        <w:trPr>
          <w:trHeight w:val="360"/>
        </w:trPr>
        <w:tc>
          <w:tcPr>
            <w:tcW w:w="1564" w:type="dxa"/>
            <w:vAlign w:val="center"/>
          </w:tcPr>
          <w:p w14:paraId="25E82CB9"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Overseas holidays</w:t>
            </w:r>
          </w:p>
        </w:tc>
        <w:tc>
          <w:tcPr>
            <w:tcW w:w="3256" w:type="dxa"/>
            <w:vAlign w:val="center"/>
          </w:tcPr>
          <w:p w14:paraId="57088CA6"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 you have a holiday overseas at least every three years?</w:t>
            </w:r>
          </w:p>
        </w:tc>
        <w:tc>
          <w:tcPr>
            <w:tcW w:w="3119" w:type="dxa"/>
            <w:vAlign w:val="center"/>
          </w:tcPr>
          <w:p w14:paraId="7E08952B" w14:textId="77777777" w:rsidR="00711FE4" w:rsidRPr="00711FE4" w:rsidRDefault="00711FE4" w:rsidP="00711FE4">
            <w:pPr>
              <w:spacing w:before="40" w:after="4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Do you have a holiday overseas at least every three years?</w:t>
            </w:r>
          </w:p>
        </w:tc>
        <w:tc>
          <w:tcPr>
            <w:tcW w:w="708" w:type="dxa"/>
            <w:vAlign w:val="center"/>
          </w:tcPr>
          <w:p w14:paraId="2A4F7CCC"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ISP</w:t>
            </w:r>
          </w:p>
        </w:tc>
      </w:tr>
      <w:tr w:rsidR="00711FE4" w:rsidRPr="00711FE4" w14:paraId="4F146459" w14:textId="77777777" w:rsidTr="00366F04">
        <w:trPr>
          <w:trHeight w:val="360"/>
        </w:trPr>
        <w:tc>
          <w:tcPr>
            <w:tcW w:w="1564" w:type="dxa"/>
            <w:vAlign w:val="center"/>
          </w:tcPr>
          <w:p w14:paraId="5346DF8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Computer &amp; internet</w:t>
            </w:r>
          </w:p>
        </w:tc>
        <w:tc>
          <w:tcPr>
            <w:tcW w:w="3256" w:type="dxa"/>
            <w:vMerge w:val="restart"/>
            <w:vAlign w:val="center"/>
          </w:tcPr>
          <w:p w14:paraId="60FB3FF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(not used in MWI-24)</w:t>
            </w:r>
          </w:p>
        </w:tc>
        <w:tc>
          <w:tcPr>
            <w:tcW w:w="3119" w:type="dxa"/>
            <w:vAlign w:val="center"/>
          </w:tcPr>
          <w:p w14:paraId="21D30BA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(derived from Computer and Internet questions)</w:t>
            </w:r>
          </w:p>
        </w:tc>
        <w:tc>
          <w:tcPr>
            <w:tcW w:w="708" w:type="dxa"/>
            <w:vAlign w:val="center"/>
          </w:tcPr>
          <w:p w14:paraId="3873D73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n/a</w:t>
            </w:r>
          </w:p>
        </w:tc>
      </w:tr>
      <w:tr w:rsidR="00711FE4" w:rsidRPr="00711FE4" w14:paraId="3527FA94" w14:textId="77777777" w:rsidTr="00366F04">
        <w:trPr>
          <w:trHeight w:val="360"/>
        </w:trPr>
        <w:tc>
          <w:tcPr>
            <w:tcW w:w="1564" w:type="dxa"/>
            <w:vAlign w:val="center"/>
            <w:hideMark/>
          </w:tcPr>
          <w:p w14:paraId="5C5A7E7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Computer</w:t>
            </w:r>
          </w:p>
        </w:tc>
        <w:tc>
          <w:tcPr>
            <w:tcW w:w="3256" w:type="dxa"/>
            <w:vMerge/>
            <w:vAlign w:val="center"/>
            <w:hideMark/>
          </w:tcPr>
          <w:p w14:paraId="16B2E77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tc>
        <w:tc>
          <w:tcPr>
            <w:tcW w:w="3119" w:type="dxa"/>
            <w:vAlign w:val="center"/>
            <w:hideMark/>
          </w:tcPr>
          <w:p w14:paraId="68675FB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Does</w:t>
            </w:r>
            <w:r w:rsidRPr="00711FE4">
              <w:rPr>
                <w:rFonts w:ascii="Arial" w:eastAsia="Times New Roman" w:hAnsi="Arial"/>
                <w:color w:val="FF0000"/>
                <w:sz w:val="14"/>
                <w:szCs w:val="14"/>
                <w:lang w:eastAsia="en-NZ"/>
              </w:rPr>
              <w:t xml:space="preserve"> your household</w:t>
            </w:r>
            <w:r w:rsidRPr="00711FE4">
              <w:rPr>
                <w:rFonts w:ascii="Arial" w:eastAsia="Times New Roman" w:hAnsi="Arial"/>
                <w:color w:val="000000"/>
                <w:sz w:val="14"/>
                <w:szCs w:val="14"/>
                <w:lang w:eastAsia="en-NZ"/>
              </w:rPr>
              <w:t xml:space="preserve"> have access</w:t>
            </w:r>
            <w:r w:rsidRPr="00711FE4">
              <w:rPr>
                <w:rFonts w:ascii="Arial" w:eastAsia="Times New Roman" w:hAnsi="Arial"/>
                <w:color w:val="FF0000"/>
                <w:sz w:val="14"/>
                <w:szCs w:val="14"/>
                <w:lang w:eastAsia="en-NZ"/>
              </w:rPr>
              <w:t xml:space="preserve"> at home</w:t>
            </w:r>
            <w:r w:rsidRPr="00711FE4">
              <w:rPr>
                <w:rFonts w:ascii="Arial" w:eastAsia="Times New Roman" w:hAnsi="Arial"/>
                <w:color w:val="000000"/>
                <w:sz w:val="14"/>
                <w:szCs w:val="14"/>
                <w:lang w:eastAsia="en-NZ"/>
              </w:rPr>
              <w:t xml:space="preserve"> to a computer </w:t>
            </w:r>
            <w:r w:rsidRPr="00711FE4">
              <w:rPr>
                <w:rFonts w:ascii="Arial" w:eastAsia="Times New Roman" w:hAnsi="Arial"/>
                <w:color w:val="FF0000"/>
                <w:sz w:val="14"/>
                <w:szCs w:val="14"/>
                <w:lang w:eastAsia="en-NZ"/>
              </w:rPr>
              <w:t>such as a PC, laptop or tablet</w:t>
            </w:r>
            <w:r w:rsidRPr="00711FE4">
              <w:rPr>
                <w:rFonts w:ascii="Arial" w:eastAsia="Times New Roman" w:hAnsi="Arial"/>
                <w:color w:val="000000"/>
                <w:sz w:val="14"/>
                <w:szCs w:val="14"/>
                <w:lang w:eastAsia="en-NZ"/>
              </w:rPr>
              <w:t>?</w:t>
            </w:r>
          </w:p>
        </w:tc>
        <w:tc>
          <w:tcPr>
            <w:tcW w:w="708" w:type="dxa"/>
            <w:vAlign w:val="center"/>
            <w:hideMark/>
          </w:tcPr>
          <w:p w14:paraId="60D0610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7A6E4A07" w14:textId="77777777" w:rsidTr="00366F04">
        <w:trPr>
          <w:trHeight w:val="360"/>
        </w:trPr>
        <w:tc>
          <w:tcPr>
            <w:tcW w:w="1564" w:type="dxa"/>
            <w:vAlign w:val="center"/>
            <w:hideMark/>
          </w:tcPr>
          <w:p w14:paraId="59C4C4D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Internet</w:t>
            </w:r>
          </w:p>
        </w:tc>
        <w:tc>
          <w:tcPr>
            <w:tcW w:w="3256" w:type="dxa"/>
            <w:vMerge/>
            <w:vAlign w:val="center"/>
            <w:hideMark/>
          </w:tcPr>
          <w:p w14:paraId="6CC0A4C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tc>
        <w:tc>
          <w:tcPr>
            <w:tcW w:w="3119" w:type="dxa"/>
            <w:vAlign w:val="center"/>
            <w:hideMark/>
          </w:tcPr>
          <w:p w14:paraId="357F42D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Does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have an internet connection at home?</w:t>
            </w:r>
          </w:p>
        </w:tc>
        <w:tc>
          <w:tcPr>
            <w:tcW w:w="708" w:type="dxa"/>
            <w:vAlign w:val="center"/>
            <w:hideMark/>
          </w:tcPr>
          <w:p w14:paraId="6E34CB75"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7EB2AB12" w14:textId="77777777" w:rsidTr="00366F04">
        <w:trPr>
          <w:trHeight w:val="280"/>
        </w:trPr>
        <w:tc>
          <w:tcPr>
            <w:tcW w:w="1564" w:type="dxa"/>
            <w:shd w:val="clear" w:color="auto" w:fill="DBE5F1"/>
            <w:vAlign w:val="center"/>
            <w:hideMark/>
          </w:tcPr>
          <w:p w14:paraId="741AD890"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c>
          <w:tcPr>
            <w:tcW w:w="6375" w:type="dxa"/>
            <w:gridSpan w:val="2"/>
            <w:shd w:val="clear" w:color="auto" w:fill="DBE5F1"/>
            <w:vAlign w:val="center"/>
            <w:hideMark/>
          </w:tcPr>
          <w:p w14:paraId="44F30D6A"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Note in HILS the computer and Internet questions are separate</w:t>
            </w:r>
          </w:p>
        </w:tc>
        <w:tc>
          <w:tcPr>
            <w:tcW w:w="708" w:type="dxa"/>
            <w:shd w:val="clear" w:color="auto" w:fill="DBE5F1"/>
            <w:vAlign w:val="center"/>
            <w:hideMark/>
          </w:tcPr>
          <w:p w14:paraId="3B567426"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r>
      <w:tr w:rsidR="00711FE4" w:rsidRPr="00711FE4" w14:paraId="6BDA1BAB" w14:textId="77777777" w:rsidTr="00366F04">
        <w:trPr>
          <w:trHeight w:val="2160"/>
        </w:trPr>
        <w:tc>
          <w:tcPr>
            <w:tcW w:w="1564" w:type="dxa"/>
            <w:shd w:val="clear" w:color="auto" w:fill="F2F2F2"/>
            <w:vAlign w:val="center"/>
            <w:hideMark/>
          </w:tcPr>
          <w:p w14:paraId="2759C68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Economising</w:t>
            </w:r>
          </w:p>
        </w:tc>
        <w:tc>
          <w:tcPr>
            <w:tcW w:w="3256" w:type="dxa"/>
            <w:shd w:val="clear" w:color="auto" w:fill="F2F2F2"/>
            <w:vAlign w:val="center"/>
            <w:hideMark/>
          </w:tcPr>
          <w:p w14:paraId="3A210B2B" w14:textId="77777777" w:rsidR="00711FE4" w:rsidRPr="00711FE4" w:rsidRDefault="00711FE4" w:rsidP="00711FE4">
            <w:pPr>
              <w:spacing w:before="40" w:after="40" w:line="240" w:lineRule="auto"/>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xml:space="preserve">I'm now going to read out a list of things some people do to help keep costs down. This is not about choosing to spend less. It is about being forced to keep costs down to pay for other basic things that you need. Use showcard S2 to tell me if </w:t>
            </w:r>
            <w:r w:rsidRPr="00711FE4">
              <w:rPr>
                <w:rFonts w:ascii="Arial" w:eastAsia="Times New Roman" w:hAnsi="Arial"/>
                <w:color w:val="FF0000"/>
                <w:sz w:val="14"/>
                <w:szCs w:val="14"/>
                <w:lang w:eastAsia="en-NZ"/>
              </w:rPr>
              <w:t xml:space="preserve">you </w:t>
            </w:r>
            <w:r w:rsidRPr="00711FE4">
              <w:rPr>
                <w:rFonts w:ascii="Arial" w:eastAsia="Times New Roman" w:hAnsi="Arial"/>
                <w:color w:val="242424"/>
                <w:sz w:val="14"/>
                <w:szCs w:val="14"/>
                <w:lang w:eastAsia="en-NZ"/>
              </w:rPr>
              <w:t xml:space="preserve">had to do any of the following things to keep down costs </w:t>
            </w:r>
            <w:r w:rsidRPr="00711FE4">
              <w:rPr>
                <w:rFonts w:ascii="Arial" w:eastAsia="Times New Roman" w:hAnsi="Arial"/>
                <w:b/>
                <w:bCs/>
                <w:color w:val="242424"/>
                <w:sz w:val="14"/>
                <w:szCs w:val="14"/>
                <w:lang w:eastAsia="en-NZ"/>
              </w:rPr>
              <w:t>in the last 12 months</w:t>
            </w:r>
            <w:r w:rsidRPr="00711FE4">
              <w:rPr>
                <w:rFonts w:ascii="Arial" w:eastAsia="Times New Roman" w:hAnsi="Arial"/>
                <w:color w:val="242424"/>
                <w:sz w:val="14"/>
                <w:szCs w:val="14"/>
                <w:lang w:eastAsia="en-NZ"/>
              </w:rPr>
              <w:t xml:space="preserve"> 'not at all', 'a little', or 'a lot': </w:t>
            </w:r>
            <w:r w:rsidRPr="00711FE4">
              <w:rPr>
                <w:rFonts w:ascii="Arial" w:eastAsia="Times New Roman" w:hAnsi="Arial"/>
                <w:color w:val="242424"/>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242424"/>
                <w:sz w:val="14"/>
                <w:szCs w:val="14"/>
                <w:lang w:eastAsia="en-NZ"/>
              </w:rPr>
              <w:t>- not at all</w:t>
            </w:r>
            <w:r w:rsidRPr="00711FE4">
              <w:rPr>
                <w:rFonts w:ascii="Arial" w:eastAsia="Times New Roman" w:hAnsi="Arial"/>
                <w:b/>
                <w:bCs/>
                <w:color w:val="242424"/>
                <w:sz w:val="14"/>
                <w:szCs w:val="14"/>
                <w:lang w:eastAsia="en-NZ"/>
              </w:rPr>
              <w:br/>
              <w:t>- a little</w:t>
            </w:r>
            <w:r w:rsidRPr="00711FE4">
              <w:rPr>
                <w:rFonts w:ascii="Arial" w:eastAsia="Times New Roman" w:hAnsi="Arial"/>
                <w:b/>
                <w:bCs/>
                <w:color w:val="242424"/>
                <w:sz w:val="14"/>
                <w:szCs w:val="14"/>
                <w:lang w:eastAsia="en-NZ"/>
              </w:rPr>
              <w:br/>
              <w:t>- a lot</w:t>
            </w:r>
            <w:r w:rsidRPr="00711FE4">
              <w:rPr>
                <w:rFonts w:ascii="Arial" w:eastAsia="Times New Roman" w:hAnsi="Arial"/>
                <w:b/>
                <w:bCs/>
                <w:color w:val="242424"/>
                <w:sz w:val="14"/>
                <w:szCs w:val="14"/>
                <w:lang w:eastAsia="en-NZ"/>
              </w:rPr>
              <w:br/>
              <w:t>DK/RF</w:t>
            </w:r>
          </w:p>
        </w:tc>
        <w:tc>
          <w:tcPr>
            <w:tcW w:w="3119" w:type="dxa"/>
            <w:shd w:val="clear" w:color="auto" w:fill="F2F2F2"/>
            <w:vAlign w:val="center"/>
            <w:hideMark/>
          </w:tcPr>
          <w:p w14:paraId="20B65554"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FF0000"/>
                <w:sz w:val="14"/>
                <w:szCs w:val="14"/>
                <w:lang w:eastAsia="en-NZ"/>
              </w:rPr>
              <w:t xml:space="preserve">HSP &amp; ISP intro- The next questions are about being forced to keep costs down. </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Looking at showcard P102, </w:t>
            </w:r>
            <w:r w:rsidRPr="00711FE4">
              <w:rPr>
                <w:rFonts w:ascii="Arial" w:eastAsia="Times New Roman" w:hAnsi="Arial"/>
                <w:b/>
                <w:bCs/>
                <w:color w:val="000000"/>
                <w:sz w:val="14"/>
                <w:szCs w:val="14"/>
                <w:lang w:eastAsia="en-NZ"/>
              </w:rPr>
              <w:t>in the last 12 months</w:t>
            </w:r>
            <w:r w:rsidRPr="00711FE4">
              <w:rPr>
                <w:rFonts w:ascii="Arial" w:eastAsia="Times New Roman" w:hAnsi="Arial"/>
                <w:color w:val="000000"/>
                <w:sz w:val="14"/>
                <w:szCs w:val="14"/>
                <w:lang w:eastAsia="en-NZ"/>
              </w:rPr>
              <w:t xml:space="preserve"> …</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 - a little</w:t>
            </w:r>
            <w:r w:rsidRPr="00711FE4">
              <w:rPr>
                <w:rFonts w:ascii="Arial" w:eastAsia="Times New Roman" w:hAnsi="Arial"/>
                <w:b/>
                <w:bCs/>
                <w:color w:val="000000"/>
                <w:sz w:val="14"/>
                <w:szCs w:val="14"/>
                <w:lang w:eastAsia="en-NZ"/>
              </w:rPr>
              <w:br/>
              <w:t>yes - a lot</w:t>
            </w:r>
            <w:r w:rsidRPr="00711FE4">
              <w:rPr>
                <w:rFonts w:ascii="Arial" w:eastAsia="Times New Roman" w:hAnsi="Arial"/>
                <w:b/>
                <w:bCs/>
                <w:color w:val="000000"/>
                <w:sz w:val="14"/>
                <w:szCs w:val="14"/>
                <w:lang w:eastAsia="en-NZ"/>
              </w:rPr>
              <w:br/>
              <w:t>no - not at all</w:t>
            </w:r>
            <w:r w:rsidRPr="00711FE4">
              <w:rPr>
                <w:rFonts w:ascii="Arial" w:eastAsia="Times New Roman" w:hAnsi="Arial"/>
                <w:b/>
                <w:bCs/>
                <w:color w:val="000000"/>
                <w:sz w:val="14"/>
                <w:szCs w:val="14"/>
                <w:lang w:eastAsia="en-NZ"/>
              </w:rPr>
              <w:br/>
              <w:t>DK/RF</w:t>
            </w:r>
          </w:p>
        </w:tc>
        <w:tc>
          <w:tcPr>
            <w:tcW w:w="708" w:type="dxa"/>
            <w:shd w:val="clear" w:color="auto" w:fill="F2F2F2"/>
            <w:vAlign w:val="center"/>
            <w:hideMark/>
          </w:tcPr>
          <w:p w14:paraId="0DF42FC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720BF523" w14:textId="77777777" w:rsidTr="00366F04">
        <w:trPr>
          <w:trHeight w:val="360"/>
        </w:trPr>
        <w:tc>
          <w:tcPr>
            <w:tcW w:w="1564" w:type="dxa"/>
            <w:vAlign w:val="center"/>
            <w:hideMark/>
          </w:tcPr>
          <w:p w14:paraId="29644D4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Fresh fruit &amp; veg</w:t>
            </w:r>
          </w:p>
        </w:tc>
        <w:tc>
          <w:tcPr>
            <w:tcW w:w="3256" w:type="dxa"/>
            <w:vAlign w:val="center"/>
            <w:hideMark/>
          </w:tcPr>
          <w:p w14:paraId="07F68F9E" w14:textId="77777777" w:rsidR="00711FE4" w:rsidRPr="00711FE4" w:rsidRDefault="00711FE4" w:rsidP="00711FE4">
            <w:pPr>
              <w:spacing w:before="40" w:after="40" w:line="240" w:lineRule="auto"/>
              <w:jc w:val="center"/>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go without fresh fruit and vegetables?</w:t>
            </w:r>
          </w:p>
        </w:tc>
        <w:tc>
          <w:tcPr>
            <w:tcW w:w="3119" w:type="dxa"/>
            <w:vAlign w:val="center"/>
            <w:hideMark/>
          </w:tcPr>
          <w:p w14:paraId="18F0518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go without, </w:t>
            </w:r>
            <w:r w:rsidRPr="00711FE4">
              <w:rPr>
                <w:rFonts w:ascii="Arial" w:eastAsia="Times New Roman" w:hAnsi="Arial"/>
                <w:color w:val="FF0000"/>
                <w:sz w:val="14"/>
                <w:szCs w:val="14"/>
                <w:lang w:eastAsia="en-NZ"/>
              </w:rPr>
              <w:t>or cut back on</w:t>
            </w:r>
            <w:r w:rsidRPr="00711FE4">
              <w:rPr>
                <w:rFonts w:ascii="Arial" w:eastAsia="Times New Roman" w:hAnsi="Arial"/>
                <w:color w:val="000000"/>
                <w:sz w:val="14"/>
                <w:szCs w:val="14"/>
                <w:lang w:eastAsia="en-NZ"/>
              </w:rPr>
              <w:t>, fresh fruit and vegetables?</w:t>
            </w:r>
          </w:p>
        </w:tc>
        <w:tc>
          <w:tcPr>
            <w:tcW w:w="708" w:type="dxa"/>
            <w:vAlign w:val="center"/>
            <w:hideMark/>
          </w:tcPr>
          <w:p w14:paraId="56756E0E"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4BEF8E5E" w14:textId="77777777" w:rsidTr="00366F04">
        <w:trPr>
          <w:trHeight w:val="360"/>
        </w:trPr>
        <w:tc>
          <w:tcPr>
            <w:tcW w:w="1564" w:type="dxa"/>
            <w:vAlign w:val="center"/>
            <w:hideMark/>
          </w:tcPr>
          <w:p w14:paraId="4FC828B0"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Cheaper / less meat</w:t>
            </w:r>
          </w:p>
        </w:tc>
        <w:tc>
          <w:tcPr>
            <w:tcW w:w="3256" w:type="dxa"/>
            <w:vAlign w:val="center"/>
            <w:hideMark/>
          </w:tcPr>
          <w:p w14:paraId="4CCDD43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buy cheaper cuts of meat or buy less meat than </w:t>
            </w:r>
            <w:r w:rsidRPr="00711FE4">
              <w:rPr>
                <w:rFonts w:ascii="Arial" w:eastAsia="Times New Roman" w:hAnsi="Arial"/>
                <w:color w:val="FF0000"/>
                <w:sz w:val="14"/>
                <w:szCs w:val="14"/>
                <w:lang w:eastAsia="en-NZ"/>
              </w:rPr>
              <w:t>you would</w:t>
            </w:r>
            <w:r w:rsidRPr="00711FE4">
              <w:rPr>
                <w:rFonts w:ascii="Arial" w:eastAsia="Times New Roman" w:hAnsi="Arial"/>
                <w:color w:val="000000"/>
                <w:sz w:val="14"/>
                <w:szCs w:val="14"/>
                <w:lang w:eastAsia="en-NZ"/>
              </w:rPr>
              <w:t xml:space="preserve"> like?</w:t>
            </w:r>
          </w:p>
        </w:tc>
        <w:tc>
          <w:tcPr>
            <w:tcW w:w="3119" w:type="dxa"/>
            <w:vAlign w:val="center"/>
            <w:hideMark/>
          </w:tcPr>
          <w:p w14:paraId="0F52E12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buy cheaper cuts of meat, or buy less meat than </w:t>
            </w:r>
            <w:r w:rsidRPr="00711FE4">
              <w:rPr>
                <w:rFonts w:ascii="Arial" w:eastAsia="Times New Roman" w:hAnsi="Arial"/>
                <w:color w:val="FF0000"/>
                <w:sz w:val="14"/>
                <w:szCs w:val="14"/>
                <w:lang w:eastAsia="en-NZ"/>
              </w:rPr>
              <w:t>you'd</w:t>
            </w:r>
            <w:r w:rsidRPr="00711FE4">
              <w:rPr>
                <w:rFonts w:ascii="Arial" w:eastAsia="Times New Roman" w:hAnsi="Arial"/>
                <w:color w:val="000000"/>
                <w:sz w:val="14"/>
                <w:szCs w:val="14"/>
                <w:lang w:eastAsia="en-NZ"/>
              </w:rPr>
              <w:t xml:space="preserve"> like?</w:t>
            </w:r>
          </w:p>
        </w:tc>
        <w:tc>
          <w:tcPr>
            <w:tcW w:w="708" w:type="dxa"/>
            <w:vAlign w:val="center"/>
            <w:hideMark/>
          </w:tcPr>
          <w:p w14:paraId="79945E3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44A70B95" w14:textId="77777777" w:rsidTr="00366F04">
        <w:trPr>
          <w:trHeight w:val="280"/>
        </w:trPr>
        <w:tc>
          <w:tcPr>
            <w:tcW w:w="1564" w:type="dxa"/>
            <w:vAlign w:val="center"/>
            <w:hideMark/>
          </w:tcPr>
          <w:p w14:paraId="4035881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Put up with cold</w:t>
            </w:r>
          </w:p>
        </w:tc>
        <w:tc>
          <w:tcPr>
            <w:tcW w:w="3256" w:type="dxa"/>
            <w:vAlign w:val="center"/>
            <w:hideMark/>
          </w:tcPr>
          <w:p w14:paraId="60B288F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put up with feeling cold?</w:t>
            </w:r>
          </w:p>
        </w:tc>
        <w:tc>
          <w:tcPr>
            <w:tcW w:w="3119" w:type="dxa"/>
            <w:vAlign w:val="center"/>
            <w:hideMark/>
          </w:tcPr>
          <w:p w14:paraId="3C3D1E7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the household</w:t>
            </w:r>
            <w:r w:rsidRPr="00711FE4">
              <w:rPr>
                <w:rFonts w:ascii="Arial" w:eastAsia="Times New Roman" w:hAnsi="Arial"/>
                <w:color w:val="000000"/>
                <w:sz w:val="14"/>
                <w:szCs w:val="14"/>
                <w:lang w:eastAsia="en-NZ"/>
              </w:rPr>
              <w:t xml:space="preserve"> had to put up with feeling cold? </w:t>
            </w:r>
          </w:p>
        </w:tc>
        <w:tc>
          <w:tcPr>
            <w:tcW w:w="708" w:type="dxa"/>
            <w:vAlign w:val="center"/>
            <w:hideMark/>
          </w:tcPr>
          <w:p w14:paraId="0FC6473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50785686" w14:textId="77777777" w:rsidTr="00366F04">
        <w:trPr>
          <w:trHeight w:val="540"/>
        </w:trPr>
        <w:tc>
          <w:tcPr>
            <w:tcW w:w="1564" w:type="dxa"/>
            <w:vAlign w:val="center"/>
            <w:hideMark/>
          </w:tcPr>
          <w:p w14:paraId="57741D9B"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lastRenderedPageBreak/>
              <w:t>Local trips</w:t>
            </w:r>
          </w:p>
        </w:tc>
        <w:tc>
          <w:tcPr>
            <w:tcW w:w="3256" w:type="dxa"/>
            <w:vAlign w:val="center"/>
            <w:hideMark/>
          </w:tcPr>
          <w:p w14:paraId="1CA0B24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do without or cut back on </w:t>
            </w:r>
            <w:r w:rsidRPr="00711FE4">
              <w:rPr>
                <w:rFonts w:ascii="Arial" w:eastAsia="Times New Roman" w:hAnsi="Arial"/>
                <w:color w:val="FF0000"/>
                <w:sz w:val="14"/>
                <w:szCs w:val="14"/>
                <w:lang w:eastAsia="en-NZ"/>
              </w:rPr>
              <w:t>trips to the shops or other local places</w:t>
            </w:r>
            <w:r w:rsidRPr="00711FE4">
              <w:rPr>
                <w:rFonts w:ascii="Arial" w:eastAsia="Times New Roman" w:hAnsi="Arial"/>
                <w:color w:val="000000"/>
                <w:sz w:val="14"/>
                <w:szCs w:val="14"/>
                <w:lang w:eastAsia="en-NZ"/>
              </w:rPr>
              <w:t>?</w:t>
            </w:r>
          </w:p>
        </w:tc>
        <w:tc>
          <w:tcPr>
            <w:tcW w:w="3119" w:type="dxa"/>
            <w:vAlign w:val="center"/>
            <w:hideMark/>
          </w:tcPr>
          <w:p w14:paraId="5BE4280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to keep costs down,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do without or cut back on </w:t>
            </w:r>
            <w:r w:rsidRPr="00711FE4">
              <w:rPr>
                <w:rFonts w:ascii="Arial" w:eastAsia="Times New Roman" w:hAnsi="Arial"/>
                <w:color w:val="FF0000"/>
                <w:sz w:val="14"/>
                <w:szCs w:val="14"/>
                <w:lang w:eastAsia="en-NZ"/>
              </w:rPr>
              <w:t>visits to local places, including the shops?</w:t>
            </w:r>
            <w:r w:rsidRPr="00711FE4">
              <w:rPr>
                <w:rFonts w:ascii="Arial" w:eastAsia="Times New Roman" w:hAnsi="Arial"/>
                <w:color w:val="000000"/>
                <w:sz w:val="14"/>
                <w:szCs w:val="14"/>
                <w:lang w:eastAsia="en-NZ"/>
              </w:rPr>
              <w:t> </w:t>
            </w:r>
          </w:p>
        </w:tc>
        <w:tc>
          <w:tcPr>
            <w:tcW w:w="708" w:type="dxa"/>
            <w:vAlign w:val="center"/>
            <w:hideMark/>
          </w:tcPr>
          <w:p w14:paraId="5ADFA2E0"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0630CC77" w14:textId="77777777" w:rsidTr="00366F04">
        <w:trPr>
          <w:trHeight w:val="360"/>
        </w:trPr>
        <w:tc>
          <w:tcPr>
            <w:tcW w:w="1564" w:type="dxa"/>
            <w:vAlign w:val="center"/>
            <w:hideMark/>
          </w:tcPr>
          <w:p w14:paraId="339C22C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Appliances</w:t>
            </w:r>
          </w:p>
        </w:tc>
        <w:tc>
          <w:tcPr>
            <w:tcW w:w="3256" w:type="dxa"/>
            <w:vAlign w:val="center"/>
            <w:hideMark/>
          </w:tcPr>
          <w:p w14:paraId="07EF0CC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delay replacing or repairing broken or damaged</w:t>
            </w:r>
            <w:r w:rsidRPr="00711FE4">
              <w:rPr>
                <w:rFonts w:ascii="Arial" w:eastAsia="Times New Roman" w:hAnsi="Arial"/>
                <w:color w:val="000000"/>
                <w:sz w:val="14"/>
                <w:szCs w:val="14"/>
                <w:lang w:eastAsia="en-NZ"/>
              </w:rPr>
              <w:t xml:space="preserve"> appliances?</w:t>
            </w:r>
          </w:p>
        </w:tc>
        <w:tc>
          <w:tcPr>
            <w:tcW w:w="3119" w:type="dxa"/>
            <w:vAlign w:val="center"/>
            <w:hideMark/>
          </w:tcPr>
          <w:p w14:paraId="78CAEC8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...has </w:t>
            </w:r>
            <w:r w:rsidRPr="00711FE4">
              <w:rPr>
                <w:rFonts w:ascii="Arial" w:eastAsia="Times New Roman" w:hAnsi="Arial"/>
                <w:color w:val="FF0000"/>
                <w:sz w:val="14"/>
                <w:szCs w:val="14"/>
                <w:lang w:eastAsia="en-NZ"/>
              </w:rPr>
              <w:t xml:space="preserve">the household had to put off </w:t>
            </w:r>
            <w:r w:rsidRPr="00711FE4">
              <w:rPr>
                <w:rFonts w:ascii="Arial" w:eastAsia="Times New Roman" w:hAnsi="Arial"/>
                <w:color w:val="000000"/>
                <w:sz w:val="14"/>
                <w:szCs w:val="14"/>
                <w:lang w:eastAsia="en-NZ"/>
              </w:rPr>
              <w:t>replacing or repairing appliances?</w:t>
            </w:r>
          </w:p>
        </w:tc>
        <w:tc>
          <w:tcPr>
            <w:tcW w:w="708" w:type="dxa"/>
            <w:vAlign w:val="center"/>
            <w:hideMark/>
          </w:tcPr>
          <w:p w14:paraId="1BE047D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6174B9A0" w14:textId="77777777" w:rsidTr="00366F04">
        <w:trPr>
          <w:trHeight w:val="360"/>
        </w:trPr>
        <w:tc>
          <w:tcPr>
            <w:tcW w:w="1564" w:type="dxa"/>
            <w:vAlign w:val="center"/>
          </w:tcPr>
          <w:p w14:paraId="19209E0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Hobbies</w:t>
            </w:r>
          </w:p>
        </w:tc>
        <w:tc>
          <w:tcPr>
            <w:tcW w:w="3256" w:type="dxa"/>
            <w:vAlign w:val="center"/>
          </w:tcPr>
          <w:p w14:paraId="135BB0F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spend less on hobbies or other special interests than you would like?</w:t>
            </w:r>
          </w:p>
        </w:tc>
        <w:tc>
          <w:tcPr>
            <w:tcW w:w="3119" w:type="dxa"/>
            <w:vAlign w:val="center"/>
          </w:tcPr>
          <w:p w14:paraId="3F9FAFB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  to keep costs down, have you </w:t>
            </w:r>
            <w:r w:rsidRPr="00711FE4">
              <w:rPr>
                <w:rFonts w:ascii="Arial" w:hAnsi="Arial"/>
                <w:color w:val="FF0000"/>
                <w:kern w:val="2"/>
                <w:sz w:val="14"/>
                <w:szCs w:val="14"/>
                <w14:ligatures w14:val="standardContextual"/>
              </w:rPr>
              <w:t>ever</w:t>
            </w:r>
            <w:r w:rsidRPr="00711FE4">
              <w:rPr>
                <w:rFonts w:ascii="Arial" w:hAnsi="Arial"/>
                <w:color w:val="000000"/>
                <w:kern w:val="2"/>
                <w:sz w:val="14"/>
                <w:szCs w:val="14"/>
                <w14:ligatures w14:val="standardContextual"/>
              </w:rPr>
              <w:t xml:space="preserve"> had to spend less on hobbies or other special interests than you would like?</w:t>
            </w:r>
          </w:p>
        </w:tc>
        <w:tc>
          <w:tcPr>
            <w:tcW w:w="708" w:type="dxa"/>
            <w:vAlign w:val="center"/>
          </w:tcPr>
          <w:p w14:paraId="6C24F91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ISP</w:t>
            </w:r>
          </w:p>
        </w:tc>
      </w:tr>
      <w:tr w:rsidR="00711FE4" w:rsidRPr="00711FE4" w14:paraId="5338D17B" w14:textId="77777777" w:rsidTr="00366F04">
        <w:trPr>
          <w:trHeight w:val="280"/>
        </w:trPr>
        <w:tc>
          <w:tcPr>
            <w:tcW w:w="1564" w:type="dxa"/>
            <w:vAlign w:val="center"/>
            <w:hideMark/>
          </w:tcPr>
          <w:p w14:paraId="56021A0C"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Doctor</w:t>
            </w:r>
          </w:p>
        </w:tc>
        <w:tc>
          <w:tcPr>
            <w:tcW w:w="3256" w:type="dxa"/>
            <w:vAlign w:val="center"/>
            <w:hideMark/>
          </w:tcPr>
          <w:p w14:paraId="29AE1FE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postpone</w:t>
            </w:r>
            <w:r w:rsidRPr="00711FE4">
              <w:rPr>
                <w:rFonts w:ascii="Arial" w:eastAsia="Times New Roman" w:hAnsi="Arial"/>
                <w:color w:val="000000"/>
                <w:sz w:val="14"/>
                <w:szCs w:val="14"/>
                <w:lang w:eastAsia="en-NZ"/>
              </w:rPr>
              <w:t xml:space="preserve"> or put off visits to the doctor?</w:t>
            </w:r>
          </w:p>
        </w:tc>
        <w:tc>
          <w:tcPr>
            <w:tcW w:w="3119" w:type="dxa"/>
            <w:vAlign w:val="center"/>
            <w:hideMark/>
          </w:tcPr>
          <w:p w14:paraId="180B40E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put off going to the doctor? </w:t>
            </w:r>
          </w:p>
        </w:tc>
        <w:tc>
          <w:tcPr>
            <w:tcW w:w="708" w:type="dxa"/>
            <w:vAlign w:val="center"/>
            <w:hideMark/>
          </w:tcPr>
          <w:p w14:paraId="02C4CEA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6192A813" w14:textId="77777777" w:rsidTr="00366F04">
        <w:trPr>
          <w:trHeight w:val="280"/>
        </w:trPr>
        <w:tc>
          <w:tcPr>
            <w:tcW w:w="1564" w:type="dxa"/>
            <w:vAlign w:val="center"/>
            <w:hideMark/>
          </w:tcPr>
          <w:p w14:paraId="45C93C5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Dentist</w:t>
            </w:r>
          </w:p>
        </w:tc>
        <w:tc>
          <w:tcPr>
            <w:tcW w:w="3256" w:type="dxa"/>
            <w:vAlign w:val="center"/>
            <w:hideMark/>
          </w:tcPr>
          <w:p w14:paraId="541CD29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postpone</w:t>
            </w:r>
            <w:r w:rsidRPr="00711FE4">
              <w:rPr>
                <w:rFonts w:ascii="Arial" w:eastAsia="Times New Roman" w:hAnsi="Arial"/>
                <w:color w:val="000000"/>
                <w:sz w:val="14"/>
                <w:szCs w:val="14"/>
                <w:lang w:eastAsia="en-NZ"/>
              </w:rPr>
              <w:t xml:space="preserve"> or put off visits to the dentist?</w:t>
            </w:r>
          </w:p>
        </w:tc>
        <w:tc>
          <w:tcPr>
            <w:tcW w:w="3119" w:type="dxa"/>
            <w:vAlign w:val="center"/>
            <w:hideMark/>
          </w:tcPr>
          <w:p w14:paraId="70C79D6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 xml:space="preserve"> had to put off going to the dentist? </w:t>
            </w:r>
          </w:p>
        </w:tc>
        <w:tc>
          <w:tcPr>
            <w:tcW w:w="708" w:type="dxa"/>
            <w:vAlign w:val="center"/>
            <w:hideMark/>
          </w:tcPr>
          <w:p w14:paraId="34EF761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07BCD01E" w14:textId="77777777" w:rsidTr="00366F04">
        <w:trPr>
          <w:trHeight w:val="280"/>
        </w:trPr>
        <w:tc>
          <w:tcPr>
            <w:tcW w:w="1564" w:type="dxa"/>
            <w:shd w:val="clear" w:color="auto" w:fill="F2F2F2"/>
            <w:vAlign w:val="center"/>
            <w:hideMark/>
          </w:tcPr>
          <w:p w14:paraId="5246B891"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Housing problems</w:t>
            </w:r>
          </w:p>
        </w:tc>
        <w:tc>
          <w:tcPr>
            <w:tcW w:w="3256" w:type="dxa"/>
            <w:shd w:val="clear" w:color="auto" w:fill="F2F2F2"/>
            <w:vAlign w:val="center"/>
            <w:hideMark/>
          </w:tcPr>
          <w:p w14:paraId="7E23807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c>
          <w:tcPr>
            <w:tcW w:w="3119" w:type="dxa"/>
            <w:shd w:val="clear" w:color="auto" w:fill="F2F2F2"/>
            <w:vAlign w:val="center"/>
            <w:hideMark/>
          </w:tcPr>
          <w:p w14:paraId="3303733A"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eastAsia="Times New Roman" w:hAnsi="Arial"/>
                <w:color w:val="A6A6A6"/>
                <w:sz w:val="14"/>
                <w:szCs w:val="14"/>
                <w:lang w:eastAsia="en-NZ"/>
              </w:rPr>
              <w:t> </w:t>
            </w:r>
          </w:p>
        </w:tc>
        <w:tc>
          <w:tcPr>
            <w:tcW w:w="708" w:type="dxa"/>
            <w:shd w:val="clear" w:color="auto" w:fill="F2F2F2"/>
            <w:vAlign w:val="center"/>
            <w:hideMark/>
          </w:tcPr>
          <w:p w14:paraId="26683B6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2C4C29AA" w14:textId="77777777" w:rsidTr="00366F04">
        <w:trPr>
          <w:trHeight w:val="280"/>
        </w:trPr>
        <w:tc>
          <w:tcPr>
            <w:tcW w:w="1564" w:type="dxa"/>
            <w:vAlign w:val="center"/>
          </w:tcPr>
          <w:p w14:paraId="7188CA9D"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hAnsi="Arial"/>
                <w:color w:val="000000"/>
                <w:kern w:val="2"/>
                <w:sz w:val="14"/>
                <w:szCs w:val="14"/>
                <w14:ligatures w14:val="standardContextual"/>
              </w:rPr>
              <w:t>Damp/mould problem</w:t>
            </w:r>
          </w:p>
        </w:tc>
        <w:tc>
          <w:tcPr>
            <w:tcW w:w="3256" w:type="dxa"/>
            <w:vAlign w:val="center"/>
          </w:tcPr>
          <w:p w14:paraId="27D1E05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Does</w:t>
            </w:r>
            <w:r w:rsidRPr="00711FE4">
              <w:rPr>
                <w:rFonts w:ascii="Arial" w:hAnsi="Arial"/>
                <w:color w:val="FF0000"/>
                <w:kern w:val="2"/>
                <w:sz w:val="14"/>
                <w:szCs w:val="14"/>
                <w14:ligatures w14:val="standardContextual"/>
              </w:rPr>
              <w:t xml:space="preserve"> your accommodation </w:t>
            </w:r>
            <w:r w:rsidRPr="00711FE4">
              <w:rPr>
                <w:rFonts w:ascii="Arial" w:hAnsi="Arial"/>
                <w:color w:val="000000"/>
                <w:kern w:val="2"/>
                <w:sz w:val="14"/>
                <w:szCs w:val="14"/>
                <w14:ligatures w14:val="standardContextual"/>
              </w:rPr>
              <w:t xml:space="preserve">have </w:t>
            </w:r>
            <w:r w:rsidRPr="00711FE4">
              <w:rPr>
                <w:rFonts w:ascii="Arial" w:hAnsi="Arial"/>
                <w:color w:val="FF0000"/>
                <w:kern w:val="2"/>
                <w:sz w:val="14"/>
                <w:szCs w:val="14"/>
                <w14:ligatures w14:val="standardContextual"/>
              </w:rPr>
              <w:t xml:space="preserve">no problem, a minor problem, or a major problem with </w:t>
            </w:r>
            <w:r w:rsidRPr="00711FE4">
              <w:rPr>
                <w:rFonts w:ascii="Arial" w:hAnsi="Arial"/>
                <w:color w:val="000000"/>
                <w:kern w:val="2"/>
                <w:sz w:val="14"/>
                <w:szCs w:val="14"/>
                <w14:ligatures w14:val="standardContextual"/>
              </w:rPr>
              <w:t>dampness or mould?</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 problem</w:t>
            </w:r>
            <w:r w:rsidRPr="00711FE4">
              <w:rPr>
                <w:rFonts w:ascii="Arial" w:hAnsi="Arial"/>
                <w:b/>
                <w:bCs/>
                <w:color w:val="000000"/>
                <w:kern w:val="2"/>
                <w:sz w:val="14"/>
                <w:szCs w:val="14"/>
                <w14:ligatures w14:val="standardContextual"/>
              </w:rPr>
              <w:br/>
              <w:t>minor problem</w:t>
            </w:r>
            <w:r w:rsidRPr="00711FE4">
              <w:rPr>
                <w:rFonts w:ascii="Arial" w:hAnsi="Arial"/>
                <w:b/>
                <w:bCs/>
                <w:color w:val="000000"/>
                <w:kern w:val="2"/>
                <w:sz w:val="14"/>
                <w:szCs w:val="14"/>
                <w14:ligatures w14:val="standardContextual"/>
              </w:rPr>
              <w:br/>
              <w:t>major problem</w:t>
            </w:r>
            <w:r w:rsidRPr="00711FE4">
              <w:rPr>
                <w:rFonts w:ascii="Arial" w:hAnsi="Arial"/>
                <w:b/>
                <w:bCs/>
                <w:color w:val="000000"/>
                <w:kern w:val="2"/>
                <w:sz w:val="14"/>
                <w:szCs w:val="14"/>
                <w14:ligatures w14:val="standardContextual"/>
              </w:rPr>
              <w:br/>
              <w:t>DK/RF</w:t>
            </w:r>
          </w:p>
        </w:tc>
        <w:tc>
          <w:tcPr>
            <w:tcW w:w="3119" w:type="dxa"/>
            <w:vAlign w:val="center"/>
          </w:tcPr>
          <w:p w14:paraId="39978A39" w14:textId="77777777" w:rsidR="00711FE4" w:rsidRPr="00711FE4" w:rsidRDefault="00711FE4" w:rsidP="00711FE4">
            <w:pPr>
              <w:spacing w:before="40" w:after="40" w:line="240" w:lineRule="auto"/>
              <w:rPr>
                <w:rFonts w:ascii="Arial" w:eastAsia="Times New Roman" w:hAnsi="Arial"/>
                <w:color w:val="A6A6A6"/>
                <w:sz w:val="14"/>
                <w:szCs w:val="14"/>
                <w:lang w:eastAsia="en-NZ"/>
              </w:rPr>
            </w:pPr>
            <w:r w:rsidRPr="00711FE4">
              <w:rPr>
                <w:rFonts w:ascii="Arial" w:hAnsi="Arial"/>
                <w:color w:val="000000"/>
                <w:kern w:val="2"/>
                <w:sz w:val="14"/>
                <w:szCs w:val="14"/>
                <w14:ligatures w14:val="standardContextual"/>
              </w:rPr>
              <w:t>Is</w:t>
            </w:r>
            <w:r w:rsidRPr="00711FE4">
              <w:rPr>
                <w:rFonts w:ascii="Arial" w:hAnsi="Arial"/>
                <w:color w:val="FF0000"/>
                <w:kern w:val="2"/>
                <w:sz w:val="14"/>
                <w:szCs w:val="14"/>
                <w14:ligatures w14:val="standardContextual"/>
              </w:rPr>
              <w:t xml:space="preserve"> there a problem with </w:t>
            </w:r>
            <w:r w:rsidRPr="00711FE4">
              <w:rPr>
                <w:rFonts w:ascii="Arial" w:hAnsi="Arial"/>
                <w:color w:val="000000"/>
                <w:kern w:val="2"/>
                <w:sz w:val="14"/>
                <w:szCs w:val="14"/>
                <w14:ligatures w14:val="standardContextual"/>
              </w:rPr>
              <w:t>mould or damp</w:t>
            </w:r>
            <w:r w:rsidRPr="00711FE4">
              <w:rPr>
                <w:rFonts w:ascii="Arial" w:hAnsi="Arial"/>
                <w:color w:val="FF0000"/>
                <w:kern w:val="2"/>
                <w:sz w:val="14"/>
                <w:szCs w:val="14"/>
                <w14:ligatures w14:val="standardContextual"/>
              </w:rPr>
              <w:t xml:space="preserve"> in your dwelling?</w:t>
            </w:r>
            <w:r w:rsidRPr="00711FE4">
              <w:rPr>
                <w:rFonts w:ascii="Arial" w:hAnsi="Arial"/>
                <w:color w:val="FF0000"/>
                <w:kern w:val="2"/>
                <w:sz w:val="14"/>
                <w:szCs w:val="14"/>
                <w14:ligatures w14:val="standardContextual"/>
              </w:rPr>
              <w:br/>
            </w:r>
            <w:r w:rsidRPr="00711FE4">
              <w:rPr>
                <w:rFonts w:ascii="Arial" w:hAnsi="Arial"/>
                <w:b/>
                <w:bCs/>
                <w:kern w:val="2"/>
                <w:sz w:val="14"/>
                <w:szCs w:val="14"/>
                <w14:ligatures w14:val="standardContextual"/>
              </w:rPr>
              <w:t xml:space="preserve">Yes/No/DK/RF </w:t>
            </w:r>
            <w:r w:rsidRPr="00711FE4">
              <w:rPr>
                <w:rFonts w:ascii="Arial" w:hAnsi="Arial"/>
                <w:b/>
                <w:bCs/>
                <w:kern w:val="2"/>
                <w:sz w:val="14"/>
                <w:szCs w:val="14"/>
                <w14:ligatures w14:val="standardContextual"/>
              </w:rPr>
              <w:br/>
            </w:r>
            <w:r w:rsidRPr="00711FE4">
              <w:rPr>
                <w:rFonts w:ascii="Arial" w:hAnsi="Arial"/>
                <w:color w:val="000000"/>
                <w:kern w:val="2"/>
                <w:sz w:val="14"/>
                <w:szCs w:val="14"/>
                <w14:ligatures w14:val="standardContextual"/>
              </w:rPr>
              <w:br/>
              <w:t xml:space="preserve">If </w:t>
            </w:r>
            <w:r w:rsidRPr="00711FE4">
              <w:rPr>
                <w:rFonts w:ascii="Arial" w:hAnsi="Arial"/>
                <w:b/>
                <w:bCs/>
                <w:color w:val="000000"/>
                <w:kern w:val="2"/>
                <w:sz w:val="14"/>
                <w:szCs w:val="14"/>
                <w14:ligatures w14:val="standardContextual"/>
              </w:rPr>
              <w:t>Yes</w:t>
            </w:r>
            <w:r w:rsidRPr="00711FE4">
              <w:rPr>
                <w:rFonts w:ascii="Arial" w:hAnsi="Arial"/>
                <w:color w:val="000000"/>
                <w:kern w:val="2"/>
                <w:sz w:val="14"/>
                <w:szCs w:val="14"/>
                <w14:ligatures w14:val="standardContextual"/>
              </w:rPr>
              <w:t xml:space="preserve">- </w:t>
            </w:r>
            <w:r w:rsidRPr="00711FE4">
              <w:rPr>
                <w:rFonts w:ascii="Arial" w:hAnsi="Arial"/>
                <w:color w:val="000000"/>
                <w:kern w:val="2"/>
                <w:sz w:val="14"/>
                <w:szCs w:val="14"/>
                <w14:ligatures w14:val="standardContextual"/>
              </w:rPr>
              <w:br/>
              <w:t xml:space="preserve">Would you say it's a </w:t>
            </w:r>
            <w:r w:rsidRPr="00711FE4">
              <w:rPr>
                <w:rFonts w:ascii="Arial" w:hAnsi="Arial"/>
                <w:color w:val="FF0000"/>
                <w:kern w:val="2"/>
                <w:sz w:val="14"/>
                <w:szCs w:val="14"/>
                <w14:ligatures w14:val="standardContextual"/>
              </w:rPr>
              <w:t>major problem or a minor problem</w:t>
            </w:r>
            <w:r w:rsidRPr="00711FE4">
              <w:rPr>
                <w:rFonts w:ascii="Arial" w:hAnsi="Arial"/>
                <w:color w:val="000000"/>
                <w:kern w:val="2"/>
                <w:sz w:val="14"/>
                <w:szCs w:val="14"/>
                <w14:ligatures w14:val="standardContextual"/>
              </w:rPr>
              <w:t>?</w:t>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major problem</w:t>
            </w:r>
            <w:r w:rsidRPr="00711FE4">
              <w:rPr>
                <w:rFonts w:ascii="Arial" w:hAnsi="Arial"/>
                <w:b/>
                <w:bCs/>
                <w:color w:val="000000"/>
                <w:kern w:val="2"/>
                <w:sz w:val="14"/>
                <w:szCs w:val="14"/>
                <w14:ligatures w14:val="standardContextual"/>
              </w:rPr>
              <w:br/>
              <w:t>minor problem</w:t>
            </w:r>
            <w:r w:rsidRPr="00711FE4">
              <w:rPr>
                <w:rFonts w:ascii="Arial" w:hAnsi="Arial"/>
                <w:b/>
                <w:bCs/>
                <w:color w:val="000000"/>
                <w:kern w:val="2"/>
                <w:sz w:val="14"/>
                <w:szCs w:val="14"/>
                <w14:ligatures w14:val="standardContextual"/>
              </w:rPr>
              <w:br/>
              <w:t>DK/RF</w:t>
            </w:r>
          </w:p>
        </w:tc>
        <w:tc>
          <w:tcPr>
            <w:tcW w:w="708" w:type="dxa"/>
            <w:vAlign w:val="center"/>
          </w:tcPr>
          <w:p w14:paraId="059E7DC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HOU</w:t>
            </w:r>
          </w:p>
        </w:tc>
      </w:tr>
      <w:tr w:rsidR="00711FE4" w:rsidRPr="00711FE4" w14:paraId="3D97E60F" w14:textId="77777777" w:rsidTr="00366F04">
        <w:trPr>
          <w:trHeight w:val="280"/>
        </w:trPr>
        <w:tc>
          <w:tcPr>
            <w:tcW w:w="1564" w:type="dxa"/>
            <w:shd w:val="clear" w:color="auto" w:fill="F2F2F2"/>
            <w:vAlign w:val="center"/>
          </w:tcPr>
          <w:p w14:paraId="00E72798"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Freedoms / restrictions</w:t>
            </w:r>
          </w:p>
        </w:tc>
        <w:tc>
          <w:tcPr>
            <w:tcW w:w="3256" w:type="dxa"/>
            <w:shd w:val="clear" w:color="auto" w:fill="F2F2F2"/>
            <w:vAlign w:val="center"/>
          </w:tcPr>
          <w:p w14:paraId="3EE6949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tc>
        <w:tc>
          <w:tcPr>
            <w:tcW w:w="3119" w:type="dxa"/>
            <w:shd w:val="clear" w:color="auto" w:fill="F2F2F2"/>
            <w:vAlign w:val="center"/>
          </w:tcPr>
          <w:p w14:paraId="2EE00CD3" w14:textId="77777777" w:rsidR="00711FE4" w:rsidRPr="00711FE4" w:rsidRDefault="00711FE4" w:rsidP="00711FE4">
            <w:pPr>
              <w:spacing w:before="40" w:after="40" w:line="240" w:lineRule="auto"/>
              <w:rPr>
                <w:rFonts w:ascii="Arial" w:eastAsia="Times New Roman" w:hAnsi="Arial"/>
                <w:color w:val="A6A6A6"/>
                <w:sz w:val="14"/>
                <w:szCs w:val="14"/>
                <w:lang w:eastAsia="en-NZ"/>
              </w:rPr>
            </w:pPr>
          </w:p>
        </w:tc>
        <w:tc>
          <w:tcPr>
            <w:tcW w:w="708" w:type="dxa"/>
            <w:shd w:val="clear" w:color="auto" w:fill="F2F2F2"/>
            <w:vAlign w:val="center"/>
          </w:tcPr>
          <w:p w14:paraId="6458CC0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p>
        </w:tc>
      </w:tr>
      <w:tr w:rsidR="00711FE4" w:rsidRPr="00711FE4" w14:paraId="1E73572D" w14:textId="77777777" w:rsidTr="00366F04">
        <w:trPr>
          <w:trHeight w:val="274"/>
        </w:trPr>
        <w:tc>
          <w:tcPr>
            <w:tcW w:w="1564" w:type="dxa"/>
            <w:vAlign w:val="center"/>
          </w:tcPr>
          <w:p w14:paraId="0761AC2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Limited by money</w:t>
            </w:r>
          </w:p>
        </w:tc>
        <w:tc>
          <w:tcPr>
            <w:tcW w:w="3256" w:type="dxa"/>
            <w:vAlign w:val="center"/>
          </w:tcPr>
          <w:p w14:paraId="49166B2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When buying, or thinking about buying, clothes or shoes for yourself, how much do you usually feel limited by the money available?</w:t>
            </w:r>
            <w:r w:rsidRPr="00711FE4">
              <w:rPr>
                <w:rFonts w:ascii="Arial" w:eastAsia="Times New Roman" w:hAnsi="Arial"/>
                <w:color w:val="000000"/>
                <w:sz w:val="14"/>
                <w:szCs w:val="14"/>
                <w:lang w:eastAsia="en-NZ"/>
              </w:rPr>
              <w:br/>
              <w:t>If no money available, select 'very limited'</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limited / a little limited / quite limited / very limited / DK / RF</w:t>
            </w:r>
          </w:p>
        </w:tc>
        <w:tc>
          <w:tcPr>
            <w:tcW w:w="3119" w:type="dxa"/>
            <w:vAlign w:val="center"/>
          </w:tcPr>
          <w:p w14:paraId="7C196AD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When buying or thinking about buying clothes or shoes for yourself, how much do you feel limited by the money you have available?</w:t>
            </w:r>
            <w:r w:rsidRPr="00711FE4">
              <w:rPr>
                <w:rFonts w:ascii="Arial" w:eastAsia="Times New Roman" w:hAnsi="Arial"/>
                <w:color w:val="000000"/>
                <w:sz w:val="14"/>
                <w:szCs w:val="14"/>
                <w:lang w:eastAsia="en-NZ"/>
              </w:rPr>
              <w:br/>
              <w:t>If no money available, select 'very limited'.</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limited / a little limited / quite limited / very limited / DK / RF</w:t>
            </w:r>
          </w:p>
        </w:tc>
        <w:tc>
          <w:tcPr>
            <w:tcW w:w="708" w:type="dxa"/>
            <w:vAlign w:val="center"/>
          </w:tcPr>
          <w:p w14:paraId="7625AD3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ISP</w:t>
            </w:r>
          </w:p>
        </w:tc>
      </w:tr>
      <w:tr w:rsidR="00711FE4" w:rsidRPr="00711FE4" w14:paraId="4FA4F8FC" w14:textId="77777777" w:rsidTr="00366F04">
        <w:trPr>
          <w:trHeight w:val="274"/>
        </w:trPr>
        <w:tc>
          <w:tcPr>
            <w:tcW w:w="1564" w:type="dxa"/>
            <w:vAlign w:val="center"/>
          </w:tcPr>
          <w:p w14:paraId="49E40960" w14:textId="77777777" w:rsidR="00711FE4" w:rsidRPr="00711FE4" w:rsidRDefault="00711FE4" w:rsidP="00711FE4">
            <w:pPr>
              <w:spacing w:after="0" w:line="240" w:lineRule="auto"/>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Non-essential item</w:t>
            </w:r>
          </w:p>
        </w:tc>
        <w:tc>
          <w:tcPr>
            <w:tcW w:w="3256" w:type="dxa"/>
            <w:vAlign w:val="center"/>
          </w:tcPr>
          <w:p w14:paraId="4C48924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Imagine that you have</w:t>
            </w:r>
            <w:r w:rsidRPr="00711FE4">
              <w:rPr>
                <w:rFonts w:ascii="Arial" w:hAnsi="Arial"/>
                <w:color w:val="ED0000"/>
                <w:kern w:val="2"/>
                <w:sz w:val="14"/>
                <w:szCs w:val="14"/>
                <w14:ligatures w14:val="standardContextual"/>
              </w:rPr>
              <w:t xml:space="preserve"> come across an item in a shop or on the internet that you would </w:t>
            </w:r>
            <w:r w:rsidRPr="00711FE4">
              <w:rPr>
                <w:rFonts w:ascii="Arial" w:hAnsi="Arial"/>
                <w:color w:val="000000"/>
                <w:kern w:val="2"/>
                <w:sz w:val="14"/>
                <w:szCs w:val="14"/>
                <w14:ligatures w14:val="standardContextual"/>
              </w:rPr>
              <w:t>really like to have</w:t>
            </w:r>
            <w:r w:rsidRPr="00711FE4">
              <w:rPr>
                <w:rFonts w:ascii="Arial" w:hAnsi="Arial"/>
                <w:color w:val="ED0000"/>
                <w:kern w:val="2"/>
                <w:sz w:val="14"/>
                <w:szCs w:val="14"/>
                <w14:ligatures w14:val="standardContextual"/>
              </w:rPr>
              <w:t>. It has a price tag of $300</w:t>
            </w:r>
            <w:r w:rsidRPr="00711FE4">
              <w:rPr>
                <w:rFonts w:ascii="Arial" w:hAnsi="Arial"/>
                <w:color w:val="000000"/>
                <w:kern w:val="2"/>
                <w:sz w:val="14"/>
                <w:szCs w:val="14"/>
                <w14:ligatures w14:val="standardContextual"/>
              </w:rPr>
              <w:t>. It is not an essential item for accommodation, food, clothing, or other necessities – it’s an extra.</w:t>
            </w:r>
            <w:r w:rsidRPr="00711FE4">
              <w:rPr>
                <w:rFonts w:ascii="Arial" w:hAnsi="Arial"/>
                <w:color w:val="ED0000"/>
                <w:kern w:val="2"/>
                <w:sz w:val="14"/>
                <w:szCs w:val="14"/>
                <w14:ligatures w14:val="standardContextual"/>
              </w:rPr>
              <w:t xml:space="preserve"> If this happened in the next month</w:t>
            </w:r>
            <w:r w:rsidRPr="00711FE4">
              <w:rPr>
                <w:rFonts w:ascii="Arial" w:hAnsi="Arial"/>
                <w:color w:val="000000"/>
                <w:kern w:val="2"/>
                <w:sz w:val="14"/>
                <w:szCs w:val="14"/>
                <w14:ligatures w14:val="standardContextual"/>
              </w:rPr>
              <w:t>, how limited would you feel about buying it?</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not at all limited / a little limited / quite limited / very limited / couldn't buy it / DK / RF</w:t>
            </w:r>
          </w:p>
        </w:tc>
        <w:tc>
          <w:tcPr>
            <w:tcW w:w="3119" w:type="dxa"/>
            <w:vAlign w:val="center"/>
          </w:tcPr>
          <w:p w14:paraId="17205E9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kern w:val="2"/>
                <w:sz w:val="14"/>
                <w:szCs w:val="14"/>
                <w14:ligatures w14:val="standardContextual"/>
              </w:rPr>
              <w:t xml:space="preserve">Imagine </w:t>
            </w:r>
            <w:r w:rsidRPr="00711FE4">
              <w:rPr>
                <w:rFonts w:ascii="Arial" w:hAnsi="Arial"/>
                <w:color w:val="ED0000"/>
                <w:kern w:val="2"/>
                <w:sz w:val="14"/>
                <w:szCs w:val="14"/>
                <w14:ligatures w14:val="standardContextual"/>
              </w:rPr>
              <w:t>there's something</w:t>
            </w:r>
            <w:r w:rsidRPr="00711FE4">
              <w:rPr>
                <w:rFonts w:ascii="Arial" w:hAnsi="Arial"/>
                <w:color w:val="000000"/>
                <w:kern w:val="2"/>
                <w:sz w:val="14"/>
                <w:szCs w:val="14"/>
                <w14:ligatures w14:val="standardContextual"/>
              </w:rPr>
              <w:t xml:space="preserve"> you'd really like to have which costs</w:t>
            </w:r>
            <w:r w:rsidRPr="00711FE4">
              <w:rPr>
                <w:rFonts w:ascii="Arial" w:hAnsi="Arial"/>
                <w:color w:val="ED0000"/>
                <w:kern w:val="2"/>
                <w:sz w:val="14"/>
                <w:szCs w:val="14"/>
                <w14:ligatures w14:val="standardContextual"/>
              </w:rPr>
              <w:t xml:space="preserve"> $400.</w:t>
            </w:r>
            <w:r w:rsidRPr="00711FE4">
              <w:rPr>
                <w:rFonts w:ascii="Arial" w:hAnsi="Arial"/>
                <w:color w:val="000000"/>
                <w:kern w:val="2"/>
                <w:sz w:val="14"/>
                <w:szCs w:val="14"/>
                <w14:ligatures w14:val="standardContextual"/>
              </w:rPr>
              <w:t xml:space="preserve"> It's not an essential item for accommodation, food, clothing, or other necessities - it's an extra. Looking at showcard P111, if this happened in the next month, how limited, if at all, would you feel about buying it?</w:t>
            </w:r>
            <w:r w:rsidRPr="00711FE4">
              <w:rPr>
                <w:rFonts w:ascii="Arial" w:hAnsi="Arial"/>
                <w:color w:val="000000"/>
                <w:kern w:val="2"/>
                <w:sz w:val="14"/>
                <w:szCs w:val="14"/>
                <w14:ligatures w14:val="standardContextual"/>
              </w:rPr>
              <w:br/>
            </w:r>
            <w:r w:rsidRPr="00711FE4">
              <w:rPr>
                <w:rFonts w:ascii="Arial" w:hAnsi="Arial"/>
                <w:color w:val="000000"/>
                <w:kern w:val="2"/>
                <w:sz w:val="14"/>
                <w:szCs w:val="14"/>
                <w14:ligatures w14:val="standardContextual"/>
              </w:rPr>
              <w:br/>
            </w:r>
            <w:r w:rsidRPr="00711FE4">
              <w:rPr>
                <w:rFonts w:ascii="Arial" w:hAnsi="Arial"/>
                <w:b/>
                <w:bCs/>
                <w:color w:val="000000"/>
                <w:kern w:val="2"/>
                <w:sz w:val="14"/>
                <w:szCs w:val="14"/>
                <w14:ligatures w14:val="standardContextual"/>
              </w:rPr>
              <w:t>not at all limited / a little limited / quite limited / very limited / couldn't buy it / DK / RF</w:t>
            </w:r>
          </w:p>
        </w:tc>
        <w:tc>
          <w:tcPr>
            <w:tcW w:w="708" w:type="dxa"/>
            <w:vAlign w:val="center"/>
          </w:tcPr>
          <w:p w14:paraId="4FD8EA65" w14:textId="77777777" w:rsidR="00711FE4" w:rsidRPr="00711FE4" w:rsidRDefault="00711FE4" w:rsidP="00711FE4">
            <w:pPr>
              <w:spacing w:after="0" w:line="240" w:lineRule="auto"/>
              <w:jc w:val="center"/>
              <w:rPr>
                <w:rFonts w:ascii="Arial" w:hAnsi="Arial"/>
                <w:color w:val="000000"/>
                <w:kern w:val="2"/>
                <w:sz w:val="14"/>
                <w:szCs w:val="14"/>
                <w14:ligatures w14:val="standardContextual"/>
              </w:rPr>
            </w:pPr>
            <w:r w:rsidRPr="00711FE4">
              <w:rPr>
                <w:rFonts w:ascii="Arial" w:hAnsi="Arial"/>
                <w:color w:val="000000"/>
                <w:kern w:val="2"/>
                <w:sz w:val="14"/>
                <w:szCs w:val="14"/>
                <w14:ligatures w14:val="standardContextual"/>
              </w:rPr>
              <w:t>ISP</w:t>
            </w:r>
          </w:p>
        </w:tc>
      </w:tr>
      <w:tr w:rsidR="00711FE4" w:rsidRPr="00711FE4" w14:paraId="5EE821D5" w14:textId="77777777" w:rsidTr="00366F04">
        <w:trPr>
          <w:trHeight w:val="900"/>
        </w:trPr>
        <w:tc>
          <w:tcPr>
            <w:tcW w:w="1564" w:type="dxa"/>
            <w:vAlign w:val="center"/>
            <w:hideMark/>
          </w:tcPr>
          <w:p w14:paraId="06F0C2A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Unexpected $500</w:t>
            </w:r>
          </w:p>
        </w:tc>
        <w:tc>
          <w:tcPr>
            <w:tcW w:w="3256" w:type="dxa"/>
            <w:vAlign w:val="center"/>
            <w:hideMark/>
          </w:tcPr>
          <w:p w14:paraId="5D6831B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color w:val="FF0000"/>
                <w:sz w:val="14"/>
                <w:szCs w:val="14"/>
                <w:lang w:eastAsia="en-NZ"/>
              </w:rPr>
              <w:t>you [or your partner]</w:t>
            </w:r>
            <w:r w:rsidRPr="00711FE4">
              <w:rPr>
                <w:rFonts w:ascii="Arial" w:eastAsia="Times New Roman" w:hAnsi="Arial"/>
                <w:color w:val="000000"/>
                <w:sz w:val="14"/>
                <w:szCs w:val="14"/>
                <w:lang w:eastAsia="en-NZ"/>
              </w:rPr>
              <w:t xml:space="preserve"> had an unexpected and unavoidable expense of $500 in the next week, could you pay it </w:t>
            </w:r>
            <w:r w:rsidRPr="00711FE4">
              <w:rPr>
                <w:rFonts w:ascii="Arial" w:eastAsia="Times New Roman" w:hAnsi="Arial"/>
                <w:color w:val="FF0000"/>
                <w:sz w:val="14"/>
                <w:szCs w:val="14"/>
                <w:lang w:eastAsia="en-NZ"/>
              </w:rPr>
              <w:t xml:space="preserve">within </w:t>
            </w:r>
            <w:r w:rsidRPr="00711FE4">
              <w:rPr>
                <w:rFonts w:ascii="Arial" w:eastAsia="Times New Roman" w:hAnsi="Arial"/>
                <w:color w:val="000000"/>
                <w:sz w:val="14"/>
                <w:szCs w:val="14"/>
                <w:lang w:eastAsia="en-NZ"/>
              </w:rPr>
              <w:t>a month without borrowing? </w:t>
            </w:r>
            <w:r w:rsidRPr="00711FE4">
              <w:rPr>
                <w:rFonts w:ascii="Arial" w:eastAsia="Times New Roman" w:hAnsi="Arial"/>
                <w:color w:val="000000"/>
                <w:sz w:val="6"/>
                <w:szCs w:val="6"/>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p>
        </w:tc>
        <w:tc>
          <w:tcPr>
            <w:tcW w:w="3119" w:type="dxa"/>
            <w:vAlign w:val="center"/>
            <w:hideMark/>
          </w:tcPr>
          <w:p w14:paraId="0149454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color w:val="FF0000"/>
                <w:sz w:val="14"/>
                <w:szCs w:val="14"/>
                <w:lang w:eastAsia="en-NZ"/>
              </w:rPr>
              <w:t>your household</w:t>
            </w:r>
            <w:r w:rsidRPr="00711FE4">
              <w:rPr>
                <w:rFonts w:ascii="Arial" w:eastAsia="Times New Roman" w:hAnsi="Arial"/>
                <w:color w:val="000000"/>
                <w:sz w:val="14"/>
                <w:szCs w:val="14"/>
                <w:lang w:eastAsia="en-NZ"/>
              </w:rPr>
              <w:t xml:space="preserve"> had an unexpected and unavoidable expense of $500 in the next week, could you pay it </w:t>
            </w:r>
            <w:r w:rsidRPr="00711FE4">
              <w:rPr>
                <w:rFonts w:ascii="Arial" w:eastAsia="Times New Roman" w:hAnsi="Arial"/>
                <w:color w:val="FF0000"/>
                <w:sz w:val="14"/>
                <w:szCs w:val="14"/>
                <w:lang w:eastAsia="en-NZ"/>
              </w:rPr>
              <w:t xml:space="preserve">within </w:t>
            </w:r>
            <w:r w:rsidRPr="00711FE4">
              <w:rPr>
                <w:rFonts w:ascii="Arial" w:eastAsia="Times New Roman" w:hAnsi="Arial"/>
                <w:color w:val="000000"/>
                <w:sz w:val="14"/>
                <w:szCs w:val="14"/>
                <w:lang w:eastAsia="en-NZ"/>
              </w:rPr>
              <w:t>a month without borrowing?</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p>
        </w:tc>
        <w:tc>
          <w:tcPr>
            <w:tcW w:w="708" w:type="dxa"/>
            <w:vAlign w:val="center"/>
            <w:hideMark/>
          </w:tcPr>
          <w:p w14:paraId="72F2926C"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25949D24" w14:textId="77777777" w:rsidTr="00366F04">
        <w:trPr>
          <w:trHeight w:val="1440"/>
        </w:trPr>
        <w:tc>
          <w:tcPr>
            <w:tcW w:w="1564" w:type="dxa"/>
            <w:shd w:val="clear" w:color="auto" w:fill="F2F2F2"/>
            <w:vAlign w:val="center"/>
            <w:hideMark/>
          </w:tcPr>
          <w:p w14:paraId="0A66E3A4"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Financial strain</w:t>
            </w:r>
          </w:p>
        </w:tc>
        <w:tc>
          <w:tcPr>
            <w:tcW w:w="3256" w:type="dxa"/>
            <w:shd w:val="clear" w:color="auto" w:fill="F2F2F2"/>
            <w:vAlign w:val="center"/>
            <w:hideMark/>
          </w:tcPr>
          <w:p w14:paraId="2837B657"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In the last 12 months, have any of the following happened to you or your partner because of a shortage of money?</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For each item use showcard S6 to tell me if it happened ‘not at all’, ‘once only’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not at all / once only / more than once / DK / RF</w:t>
            </w:r>
          </w:p>
        </w:tc>
        <w:tc>
          <w:tcPr>
            <w:tcW w:w="3119" w:type="dxa"/>
            <w:shd w:val="clear" w:color="auto" w:fill="F2F2F2"/>
            <w:vAlign w:val="center"/>
            <w:hideMark/>
          </w:tcPr>
          <w:p w14:paraId="7C5ADE13"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Because of a shortage of money, in the last 12 months…</w:t>
            </w:r>
          </w:p>
        </w:tc>
        <w:tc>
          <w:tcPr>
            <w:tcW w:w="708" w:type="dxa"/>
            <w:shd w:val="clear" w:color="auto" w:fill="F2F2F2"/>
            <w:vAlign w:val="center"/>
            <w:hideMark/>
          </w:tcPr>
          <w:p w14:paraId="4506812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w:t>
            </w:r>
          </w:p>
        </w:tc>
      </w:tr>
      <w:tr w:rsidR="00711FE4" w:rsidRPr="00711FE4" w14:paraId="49BF2BDE" w14:textId="77777777" w:rsidTr="00366F04">
        <w:trPr>
          <w:trHeight w:val="1440"/>
        </w:trPr>
        <w:tc>
          <w:tcPr>
            <w:tcW w:w="1564" w:type="dxa"/>
            <w:vAlign w:val="center"/>
            <w:hideMark/>
          </w:tcPr>
          <w:p w14:paraId="515D32DD"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utilities</w:t>
            </w:r>
          </w:p>
        </w:tc>
        <w:tc>
          <w:tcPr>
            <w:tcW w:w="3256" w:type="dxa"/>
            <w:vAlign w:val="center"/>
            <w:hideMark/>
          </w:tcPr>
          <w:p w14:paraId="7F75186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w:t>
            </w:r>
            <w:r w:rsidRPr="00711FE4">
              <w:rPr>
                <w:rFonts w:ascii="Arial" w:eastAsia="Times New Roman" w:hAnsi="Arial"/>
                <w:color w:val="ED0000"/>
                <w:sz w:val="14"/>
                <w:szCs w:val="14"/>
                <w:lang w:eastAsia="en-NZ"/>
              </w:rPr>
              <w:t xml:space="preserve"> you could not</w:t>
            </w:r>
            <w:r w:rsidRPr="00711FE4">
              <w:rPr>
                <w:rFonts w:ascii="Arial" w:eastAsia="Times New Roman" w:hAnsi="Arial"/>
                <w:color w:val="000000"/>
                <w:sz w:val="14"/>
                <w:szCs w:val="14"/>
                <w:lang w:eastAsia="en-NZ"/>
              </w:rPr>
              <w:t xml:space="preserve"> pay electricity, gas, rates, or water bills </w:t>
            </w:r>
            <w:r w:rsidRPr="00711FE4">
              <w:rPr>
                <w:rFonts w:ascii="Arial" w:eastAsia="Times New Roman" w:hAnsi="Arial"/>
                <w:color w:val="FF0000"/>
                <w:sz w:val="14"/>
                <w:szCs w:val="14"/>
                <w:lang w:eastAsia="en-NZ"/>
              </w:rPr>
              <w:t>on time</w:t>
            </w:r>
            <w:r w:rsidRPr="00711FE4">
              <w:rPr>
                <w:rFonts w:ascii="Arial" w:eastAsia="Times New Roman" w:hAnsi="Arial"/>
                <w:color w:val="000000"/>
                <w:sz w:val="14"/>
                <w:szCs w:val="14"/>
                <w:lang w:eastAsia="en-NZ"/>
              </w:rPr>
              <w:t>?</w:t>
            </w:r>
          </w:p>
        </w:tc>
        <w:tc>
          <w:tcPr>
            <w:tcW w:w="3119" w:type="dxa"/>
            <w:vAlign w:val="center"/>
            <w:hideMark/>
          </w:tcPr>
          <w:p w14:paraId="4A35481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has</w:t>
            </w:r>
            <w:r w:rsidRPr="00711FE4">
              <w:rPr>
                <w:rFonts w:ascii="Arial" w:eastAsia="Times New Roman" w:hAnsi="Arial"/>
                <w:color w:val="FF0000"/>
                <w:sz w:val="14"/>
                <w:szCs w:val="14"/>
                <w:lang w:eastAsia="en-NZ"/>
              </w:rPr>
              <w:t xml:space="preserve"> your household ever been late </w:t>
            </w:r>
            <w:r w:rsidRPr="00711FE4">
              <w:rPr>
                <w:rFonts w:ascii="Arial" w:eastAsia="Times New Roman" w:hAnsi="Arial"/>
                <w:color w:val="000000"/>
                <w:sz w:val="14"/>
                <w:szCs w:val="14"/>
                <w:lang w:eastAsia="en-NZ"/>
              </w:rPr>
              <w:t>paying electricity, gas, rates, or water bills?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yes</w:t>
            </w:r>
            <w:r w:rsidRPr="00711FE4">
              <w:rPr>
                <w:rFonts w:ascii="Arial" w:eastAsia="Times New Roman" w:hAnsi="Arial"/>
                <w:color w:val="000000"/>
                <w:sz w:val="14"/>
                <w:szCs w:val="14"/>
                <w:lang w:eastAsia="en-NZ"/>
              </w:rPr>
              <w:t>,in the last 12 months how many times has your household been unable to pay electricity, gas, rates, or water bills on time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c>
          <w:tcPr>
            <w:tcW w:w="708" w:type="dxa"/>
            <w:vAlign w:val="center"/>
            <w:hideMark/>
          </w:tcPr>
          <w:p w14:paraId="791C3236"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r w:rsidR="00711FE4" w:rsidRPr="00711FE4" w14:paraId="56B81770" w14:textId="77777777" w:rsidTr="00366F04">
        <w:trPr>
          <w:trHeight w:val="416"/>
        </w:trPr>
        <w:tc>
          <w:tcPr>
            <w:tcW w:w="1564" w:type="dxa"/>
            <w:noWrap/>
            <w:vAlign w:val="center"/>
            <w:hideMark/>
          </w:tcPr>
          <w:p w14:paraId="4602AD0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Late pay car bills</w:t>
            </w:r>
          </w:p>
        </w:tc>
        <w:tc>
          <w:tcPr>
            <w:tcW w:w="3256" w:type="dxa"/>
            <w:vAlign w:val="center"/>
            <w:hideMark/>
          </w:tcPr>
          <w:p w14:paraId="6FB3D28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you could not pay</w:t>
            </w:r>
            <w:r w:rsidRPr="00711FE4">
              <w:rPr>
                <w:rFonts w:ascii="Arial" w:eastAsia="Times New Roman" w:hAnsi="Arial"/>
                <w:color w:val="000000"/>
                <w:sz w:val="14"/>
                <w:szCs w:val="14"/>
                <w:lang w:eastAsia="en-NZ"/>
              </w:rPr>
              <w:t xml:space="preserve"> for car insurance, registration, or warrant of fitness </w:t>
            </w:r>
            <w:r w:rsidRPr="00711FE4">
              <w:rPr>
                <w:rFonts w:ascii="Arial" w:eastAsia="Times New Roman" w:hAnsi="Arial"/>
                <w:color w:val="FF0000"/>
                <w:sz w:val="14"/>
                <w:szCs w:val="14"/>
                <w:lang w:eastAsia="en-NZ"/>
              </w:rPr>
              <w:t>on time</w:t>
            </w:r>
            <w:r w:rsidRPr="00711FE4">
              <w:rPr>
                <w:rFonts w:ascii="Arial" w:eastAsia="Times New Roman" w:hAnsi="Arial"/>
                <w:color w:val="000000"/>
                <w:sz w:val="14"/>
                <w:szCs w:val="14"/>
                <w:lang w:eastAsia="en-NZ"/>
              </w:rPr>
              <w:t>?</w:t>
            </w:r>
          </w:p>
        </w:tc>
        <w:tc>
          <w:tcPr>
            <w:tcW w:w="3119" w:type="dxa"/>
            <w:vAlign w:val="center"/>
            <w:hideMark/>
          </w:tcPr>
          <w:p w14:paraId="60A09D12"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...has</w:t>
            </w:r>
            <w:r w:rsidRPr="00711FE4">
              <w:rPr>
                <w:rFonts w:ascii="Arial" w:eastAsia="Times New Roman" w:hAnsi="Arial"/>
                <w:color w:val="FF0000"/>
                <w:sz w:val="14"/>
                <w:szCs w:val="14"/>
                <w:lang w:eastAsia="en-NZ"/>
              </w:rPr>
              <w:t xml:space="preserve"> your household ever been late</w:t>
            </w:r>
            <w:r w:rsidRPr="00711FE4">
              <w:rPr>
                <w:rFonts w:ascii="Arial" w:eastAsia="Times New Roman" w:hAnsi="Arial"/>
                <w:color w:val="000000"/>
                <w:sz w:val="14"/>
                <w:szCs w:val="14"/>
                <w:lang w:eastAsia="en-NZ"/>
              </w:rPr>
              <w:t xml:space="preserve"> paying car insurance, registration, or warrant of fitness?</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yes/no/DK/RF</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color w:val="000000"/>
                <w:sz w:val="14"/>
                <w:szCs w:val="14"/>
                <w:lang w:eastAsia="en-NZ"/>
              </w:rPr>
              <w:t>If yes, in the last 12 months how many times has your household been unable to pay for car insurance, registration, or warrant of fitness on time - once, or more than once?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once/more than once/DK/RF</w:t>
            </w:r>
          </w:p>
        </w:tc>
        <w:tc>
          <w:tcPr>
            <w:tcW w:w="708" w:type="dxa"/>
            <w:vAlign w:val="center"/>
            <w:hideMark/>
          </w:tcPr>
          <w:p w14:paraId="0CB6AA83"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HSP</w:t>
            </w:r>
          </w:p>
        </w:tc>
      </w:tr>
    </w:tbl>
    <w:p w14:paraId="6F681833" w14:textId="77777777" w:rsidR="00711FE4" w:rsidRPr="00711FE4" w:rsidRDefault="00711FE4" w:rsidP="00711FE4">
      <w:pPr>
        <w:spacing w:after="0" w:line="240" w:lineRule="auto"/>
        <w:rPr>
          <w:rFonts w:ascii="Arial" w:hAnsi="Arial"/>
          <w:kern w:val="2"/>
          <w14:ligatures w14:val="standardContextual"/>
        </w:rPr>
      </w:pPr>
    </w:p>
    <w:p w14:paraId="077547AE" w14:textId="77777777" w:rsidR="00711FE4" w:rsidRPr="00711FE4" w:rsidRDefault="00711FE4" w:rsidP="00711FE4">
      <w:pPr>
        <w:spacing w:after="0" w:line="240" w:lineRule="auto"/>
      </w:pPr>
      <w:r w:rsidRPr="00711FE4">
        <w:br w:type="page"/>
      </w:r>
    </w:p>
    <w:p w14:paraId="394B8819" w14:textId="77777777" w:rsidR="00711FE4" w:rsidRPr="00711FE4" w:rsidRDefault="00711FE4" w:rsidP="00711FE4">
      <w:pPr>
        <w:spacing w:after="0" w:line="240" w:lineRule="auto"/>
        <w:jc w:val="center"/>
        <w:rPr>
          <w:rFonts w:ascii="Arial" w:hAnsi="Arial"/>
          <w:b/>
          <w:bCs/>
          <w:color w:val="000000"/>
          <w:sz w:val="18"/>
          <w:szCs w:val="18"/>
        </w:rPr>
      </w:pPr>
      <w:r w:rsidRPr="00711FE4">
        <w:rPr>
          <w:rFonts w:ascii="Arial" w:hAnsi="Arial"/>
          <w:b/>
          <w:bCs/>
          <w:color w:val="000000"/>
          <w:sz w:val="18"/>
          <w:szCs w:val="18"/>
        </w:rPr>
        <w:lastRenderedPageBreak/>
        <w:t>Table 20.6</w:t>
      </w:r>
    </w:p>
    <w:p w14:paraId="21B0EF2A" w14:textId="77777777" w:rsidR="00711FE4" w:rsidRPr="00711FE4" w:rsidRDefault="00711FE4" w:rsidP="00711FE4">
      <w:pPr>
        <w:tabs>
          <w:tab w:val="left" w:pos="6804"/>
        </w:tabs>
        <w:spacing w:after="60"/>
        <w:jc w:val="center"/>
        <w:rPr>
          <w:rFonts w:ascii="Arial" w:hAnsi="Arial"/>
          <w:color w:val="FF0000"/>
          <w:sz w:val="18"/>
          <w:szCs w:val="18"/>
        </w:rPr>
      </w:pPr>
      <w:r w:rsidRPr="00711FE4">
        <w:rPr>
          <w:rFonts w:ascii="Arial" w:hAnsi="Arial"/>
          <w:b/>
          <w:color w:val="000000"/>
          <w:sz w:val="18"/>
          <w:szCs w:val="18"/>
        </w:rPr>
        <w:t>Changes to questionnaire wording for child-specific items in HILS compared with what was used in HES</w:t>
      </w:r>
      <w:r w:rsidRPr="00711FE4">
        <w:rPr>
          <w:rFonts w:ascii="Arial" w:hAnsi="Arial"/>
          <w:b/>
          <w:bCs/>
          <w:color w:val="000000"/>
          <w:sz w:val="32"/>
          <w:szCs w:val="32"/>
        </w:rPr>
        <w:t xml:space="preserve"> </w:t>
      </w:r>
      <w:r w:rsidRPr="00711FE4">
        <w:rPr>
          <w:rFonts w:ascii="Arial" w:hAnsi="Arial"/>
          <w:color w:val="FF0000"/>
          <w:sz w:val="18"/>
          <w:szCs w:val="18"/>
        </w:rPr>
        <w:t>(changes in red)</w:t>
      </w:r>
    </w:p>
    <w:p w14:paraId="1BD3EE0F" w14:textId="77777777" w:rsidR="00711FE4" w:rsidRPr="00711FE4" w:rsidRDefault="00711FE4" w:rsidP="00711FE4">
      <w:pPr>
        <w:spacing w:after="0" w:line="240" w:lineRule="auto"/>
        <w:ind w:firstLine="720"/>
        <w:rPr>
          <w:rFonts w:ascii="Arial" w:hAnsi="Arial"/>
          <w:color w:val="000000"/>
          <w:sz w:val="18"/>
          <w:szCs w:val="18"/>
        </w:rPr>
      </w:pPr>
      <w:r w:rsidRPr="00711FE4">
        <w:rPr>
          <w:rFonts w:ascii="Arial" w:hAnsi="Arial"/>
          <w:color w:val="000000"/>
          <w:sz w:val="18"/>
          <w:szCs w:val="18"/>
        </w:rPr>
        <w:t>NA = not applicable</w:t>
      </w:r>
      <w:r w:rsidRPr="00711FE4">
        <w:rPr>
          <w:rFonts w:ascii="Arial" w:hAnsi="Arial"/>
          <w:color w:val="000000"/>
          <w:sz w:val="18"/>
          <w:szCs w:val="18"/>
        </w:rPr>
        <w:tab/>
      </w:r>
      <w:r w:rsidRPr="00711FE4">
        <w:rPr>
          <w:rFonts w:ascii="Arial" w:hAnsi="Arial"/>
          <w:color w:val="000000"/>
          <w:sz w:val="18"/>
          <w:szCs w:val="18"/>
        </w:rPr>
        <w:tab/>
        <w:t>ISP = individual spending</w:t>
      </w:r>
      <w:r w:rsidRPr="00711FE4">
        <w:rPr>
          <w:rFonts w:ascii="Arial" w:hAnsi="Arial"/>
          <w:color w:val="000000"/>
          <w:sz w:val="18"/>
          <w:szCs w:val="18"/>
        </w:rPr>
        <w:tab/>
      </w:r>
      <w:r w:rsidRPr="00711FE4">
        <w:rPr>
          <w:rFonts w:ascii="Arial" w:hAnsi="Arial"/>
          <w:color w:val="000000"/>
          <w:sz w:val="18"/>
          <w:szCs w:val="18"/>
        </w:rPr>
        <w:tab/>
        <w:t>HSP = household spending</w:t>
      </w:r>
    </w:p>
    <w:p w14:paraId="2C607A16" w14:textId="77777777" w:rsidR="00711FE4" w:rsidRPr="00711FE4" w:rsidRDefault="00711FE4" w:rsidP="00711FE4">
      <w:pPr>
        <w:spacing w:after="60"/>
        <w:rPr>
          <w:rFonts w:ascii="Arial" w:hAnsi="Arial"/>
          <w:b/>
          <w:color w:val="000000"/>
          <w:sz w:val="18"/>
          <w:szCs w:val="18"/>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3"/>
        <w:gridCol w:w="3254"/>
        <w:gridCol w:w="3122"/>
        <w:gridCol w:w="708"/>
      </w:tblGrid>
      <w:tr w:rsidR="00711FE4" w:rsidRPr="00711FE4" w14:paraId="5F41FAAF" w14:textId="77777777" w:rsidTr="00366F04">
        <w:trPr>
          <w:trHeight w:val="360"/>
        </w:trPr>
        <w:tc>
          <w:tcPr>
            <w:tcW w:w="1563" w:type="dxa"/>
            <w:vMerge w:val="restart"/>
            <w:vAlign w:val="center"/>
            <w:hideMark/>
          </w:tcPr>
          <w:p w14:paraId="0C386028"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Short name</w:t>
            </w:r>
          </w:p>
        </w:tc>
        <w:tc>
          <w:tcPr>
            <w:tcW w:w="6376" w:type="dxa"/>
            <w:gridSpan w:val="2"/>
            <w:vAlign w:val="center"/>
            <w:hideMark/>
          </w:tcPr>
          <w:p w14:paraId="69CDA0EA"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Changes for question wording, response options and introductory text</w:t>
            </w:r>
          </w:p>
        </w:tc>
        <w:tc>
          <w:tcPr>
            <w:tcW w:w="708" w:type="dxa"/>
            <w:vMerge w:val="restart"/>
            <w:vAlign w:val="center"/>
            <w:hideMark/>
          </w:tcPr>
          <w:p w14:paraId="10A32EAA" w14:textId="77777777" w:rsidR="00711FE4" w:rsidRPr="00711FE4" w:rsidRDefault="00711FE4" w:rsidP="00711FE4">
            <w:pPr>
              <w:spacing w:after="0" w:line="240" w:lineRule="auto"/>
              <w:ind w:left="-57" w:right="-57"/>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module</w:t>
            </w:r>
          </w:p>
        </w:tc>
      </w:tr>
      <w:tr w:rsidR="00711FE4" w:rsidRPr="00711FE4" w14:paraId="25C2FD7C" w14:textId="77777777" w:rsidTr="00366F04">
        <w:trPr>
          <w:trHeight w:val="370"/>
        </w:trPr>
        <w:tc>
          <w:tcPr>
            <w:tcW w:w="1563" w:type="dxa"/>
            <w:vMerge/>
            <w:vAlign w:val="center"/>
            <w:hideMark/>
          </w:tcPr>
          <w:p w14:paraId="013AFDFE" w14:textId="77777777" w:rsidR="00711FE4" w:rsidRPr="00711FE4" w:rsidRDefault="00711FE4" w:rsidP="00711FE4">
            <w:pPr>
              <w:spacing w:after="0" w:line="240" w:lineRule="auto"/>
              <w:rPr>
                <w:rFonts w:ascii="Arial" w:eastAsia="Times New Roman" w:hAnsi="Arial"/>
                <w:b/>
                <w:bCs/>
                <w:color w:val="000000"/>
                <w:sz w:val="14"/>
                <w:szCs w:val="14"/>
                <w:lang w:eastAsia="en-NZ"/>
              </w:rPr>
            </w:pPr>
          </w:p>
        </w:tc>
        <w:tc>
          <w:tcPr>
            <w:tcW w:w="3254" w:type="dxa"/>
            <w:vAlign w:val="center"/>
            <w:hideMark/>
          </w:tcPr>
          <w:p w14:paraId="4F2EBAC3"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HES for MWI-24</w:t>
            </w:r>
          </w:p>
        </w:tc>
        <w:tc>
          <w:tcPr>
            <w:tcW w:w="3122" w:type="dxa"/>
            <w:vAlign w:val="center"/>
            <w:hideMark/>
          </w:tcPr>
          <w:p w14:paraId="4EBF9B3D"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HILS for MWI-26</w:t>
            </w:r>
          </w:p>
        </w:tc>
        <w:tc>
          <w:tcPr>
            <w:tcW w:w="708" w:type="dxa"/>
            <w:vMerge/>
            <w:vAlign w:val="center"/>
            <w:hideMark/>
          </w:tcPr>
          <w:p w14:paraId="27B354A5" w14:textId="77777777" w:rsidR="00711FE4" w:rsidRPr="00711FE4" w:rsidRDefault="00711FE4" w:rsidP="00711FE4">
            <w:pPr>
              <w:spacing w:after="0" w:line="240" w:lineRule="auto"/>
              <w:rPr>
                <w:rFonts w:ascii="Calibri" w:eastAsia="Times New Roman" w:hAnsi="Calibri" w:cs="Calibri"/>
                <w:color w:val="000000"/>
                <w:sz w:val="14"/>
                <w:szCs w:val="14"/>
                <w:lang w:eastAsia="en-NZ"/>
              </w:rPr>
            </w:pPr>
          </w:p>
        </w:tc>
      </w:tr>
      <w:tr w:rsidR="00711FE4" w:rsidRPr="00711FE4" w14:paraId="6F8C034E" w14:textId="77777777" w:rsidTr="00366F04">
        <w:trPr>
          <w:trHeight w:val="1080"/>
        </w:trPr>
        <w:tc>
          <w:tcPr>
            <w:tcW w:w="1563" w:type="dxa"/>
            <w:shd w:val="clear" w:color="auto" w:fill="F2F2F2" w:themeFill="background1" w:themeFillShade="F2"/>
            <w:vAlign w:val="center"/>
            <w:hideMark/>
          </w:tcPr>
          <w:p w14:paraId="448332B9" w14:textId="77777777" w:rsidR="00711FE4" w:rsidRPr="00711FE4" w:rsidRDefault="00711FE4" w:rsidP="00711FE4">
            <w:pPr>
              <w:spacing w:after="0" w:line="240" w:lineRule="auto"/>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Ownership or participation</w:t>
            </w:r>
          </w:p>
        </w:tc>
        <w:tc>
          <w:tcPr>
            <w:tcW w:w="3254" w:type="dxa"/>
            <w:shd w:val="clear" w:color="auto" w:fill="F2F2F2" w:themeFill="background1" w:themeFillShade="F2"/>
            <w:vAlign w:val="center"/>
            <w:hideMark/>
          </w:tcPr>
          <w:p w14:paraId="783DB147"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 children have [iChildItem]</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w:t>
            </w:r>
            <w:r w:rsidRPr="00711FE4">
              <w:rPr>
                <w:rFonts w:ascii="Arial" w:eastAsia="Times New Roman" w:hAnsi="Arial"/>
                <w:b/>
                <w:bCs/>
                <w:color w:val="FF0000"/>
                <w:sz w:val="14"/>
                <w:szCs w:val="14"/>
                <w:lang w:eastAsia="en-NZ"/>
              </w:rPr>
              <w:t>NA</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p>
          <w:p w14:paraId="71C6FB55"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Is the reason the children don't have</w:t>
            </w:r>
          </w:p>
          <w:p w14:paraId="79A4E689" w14:textId="77777777" w:rsidR="00711FE4" w:rsidRPr="00711FE4" w:rsidRDefault="00711FE4" w:rsidP="00711FE4">
            <w:pPr>
              <w:spacing w:before="40" w:after="40" w:line="240" w:lineRule="auto"/>
              <w:rPr>
                <w:rFonts w:ascii="Arial" w:eastAsia="Times New Roman" w:hAnsi="Arial"/>
                <w:color w:val="FF0000"/>
                <w:sz w:val="14"/>
                <w:szCs w:val="14"/>
                <w:lang w:eastAsia="en-NZ"/>
              </w:rPr>
            </w:pPr>
            <w:r w:rsidRPr="00711FE4">
              <w:rPr>
                <w:rFonts w:ascii="Arial" w:eastAsia="Times New Roman" w:hAnsi="Arial"/>
                <w:color w:val="000000"/>
                <w:sz w:val="14"/>
                <w:szCs w:val="14"/>
                <w:lang w:eastAsia="en-NZ"/>
              </w:rPr>
              <w:t xml:space="preserve">[iChildItem], because of the cost, </w:t>
            </w:r>
            <w:r w:rsidRPr="00711FE4">
              <w:rPr>
                <w:rFonts w:ascii="Arial" w:eastAsia="Times New Roman" w:hAnsi="Arial"/>
                <w:color w:val="FF0000"/>
                <w:sz w:val="14"/>
                <w:szCs w:val="14"/>
                <w:lang w:eastAsia="en-NZ"/>
              </w:rPr>
              <w:t>or some other</w:t>
            </w:r>
          </w:p>
          <w:p w14:paraId="462CFCF2"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FF0000"/>
                <w:sz w:val="14"/>
                <w:szCs w:val="14"/>
                <w:lang w:eastAsia="en-NZ"/>
              </w:rPr>
              <w:t>reason?</w:t>
            </w:r>
          </w:p>
          <w:p w14:paraId="46F0AE66"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because of the cost, some other reason</w:t>
            </w:r>
          </w:p>
        </w:tc>
        <w:tc>
          <w:tcPr>
            <w:tcW w:w="3122" w:type="dxa"/>
            <w:shd w:val="clear" w:color="auto" w:fill="F2F2F2" w:themeFill="background1" w:themeFillShade="F2"/>
            <w:vAlign w:val="center"/>
            <w:hideMark/>
          </w:tcPr>
          <w:p w14:paraId="1A5F5AC5"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they each have:</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w:t>
            </w:r>
            <w:r w:rsidRPr="00711FE4">
              <w:rPr>
                <w:rFonts w:ascii="Arial" w:eastAsia="Times New Roman" w:hAnsi="Arial"/>
                <w:color w:val="000000"/>
                <w:sz w:val="14"/>
                <w:szCs w:val="14"/>
                <w:lang w:eastAsia="en-NZ"/>
              </w:rPr>
              <w:t xml:space="preserve"> </w:t>
            </w:r>
          </w:p>
          <w:p w14:paraId="5729F7A1" w14:textId="77777777" w:rsidR="00711FE4" w:rsidRPr="00711FE4" w:rsidRDefault="00711FE4" w:rsidP="00711FE4">
            <w:pPr>
              <w:spacing w:before="40" w:after="40" w:line="240" w:lineRule="auto"/>
              <w:rPr>
                <w:rFonts w:ascii="Arial" w:eastAsia="Times New Roman" w:hAnsi="Arial"/>
                <w:color w:val="000000"/>
                <w:sz w:val="14"/>
                <w:szCs w:val="14"/>
                <w:lang w:eastAsia="en-NZ"/>
              </w:rPr>
            </w:pPr>
          </w:p>
          <w:p w14:paraId="000DC0F2"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No</w:t>
            </w:r>
            <w:r w:rsidRPr="00711FE4">
              <w:rPr>
                <w:rFonts w:ascii="Arial" w:eastAsia="Times New Roman" w:hAnsi="Arial"/>
                <w:color w:val="000000"/>
                <w:sz w:val="14"/>
                <w:szCs w:val="14"/>
                <w:lang w:eastAsia="en-NZ"/>
              </w:rPr>
              <w:t>: Is cost the reason each child doesn't have [iItem]?</w:t>
            </w:r>
          </w:p>
          <w:p w14:paraId="2AAFB525"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w:t>
            </w:r>
          </w:p>
        </w:tc>
        <w:tc>
          <w:tcPr>
            <w:tcW w:w="708" w:type="dxa"/>
            <w:shd w:val="clear" w:color="auto" w:fill="F2F2F2" w:themeFill="background1" w:themeFillShade="F2"/>
            <w:vAlign w:val="center"/>
            <w:hideMark/>
          </w:tcPr>
          <w:p w14:paraId="31C50CE2" w14:textId="77777777" w:rsidR="00711FE4" w:rsidRPr="00711FE4" w:rsidRDefault="00711FE4" w:rsidP="00711FE4">
            <w:pPr>
              <w:spacing w:after="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 </w:t>
            </w:r>
          </w:p>
        </w:tc>
      </w:tr>
      <w:tr w:rsidR="00711FE4" w:rsidRPr="00711FE4" w14:paraId="76CF61E3" w14:textId="77777777" w:rsidTr="00366F04">
        <w:trPr>
          <w:trHeight w:val="360"/>
        </w:trPr>
        <w:tc>
          <w:tcPr>
            <w:tcW w:w="1563" w:type="dxa"/>
            <w:vAlign w:val="center"/>
            <w:hideMark/>
          </w:tcPr>
          <w:p w14:paraId="6967B2EE"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shoes</w:t>
            </w:r>
          </w:p>
        </w:tc>
        <w:tc>
          <w:tcPr>
            <w:tcW w:w="3254" w:type="dxa"/>
            <w:vAlign w:val="center"/>
            <w:hideMark/>
          </w:tcPr>
          <w:p w14:paraId="4A484E5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 children have two pairs of shoes in a good condition that are suitable for daily activities?</w:t>
            </w:r>
          </w:p>
        </w:tc>
        <w:tc>
          <w:tcPr>
            <w:tcW w:w="3122" w:type="dxa"/>
            <w:vAlign w:val="center"/>
            <w:hideMark/>
          </w:tcPr>
          <w:p w14:paraId="52F35A4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w:t>
            </w:r>
            <w:r w:rsidRPr="00711FE4">
              <w:rPr>
                <w:rFonts w:ascii="Arial" w:eastAsia="Times New Roman" w:hAnsi="Arial"/>
                <w:color w:val="FF0000"/>
                <w:sz w:val="14"/>
                <w:szCs w:val="14"/>
                <w:lang w:eastAsia="en-NZ"/>
              </w:rPr>
              <w:t xml:space="preserve">each </w:t>
            </w:r>
            <w:r w:rsidRPr="00711FE4">
              <w:rPr>
                <w:rFonts w:ascii="Arial" w:eastAsia="Times New Roman" w:hAnsi="Arial"/>
                <w:color w:val="000000"/>
                <w:sz w:val="14"/>
                <w:szCs w:val="14"/>
                <w:lang w:eastAsia="en-NZ"/>
              </w:rPr>
              <w:t xml:space="preserve">have </w:t>
            </w:r>
            <w:r w:rsidRPr="00711FE4">
              <w:rPr>
                <w:rFonts w:ascii="Arial" w:eastAsia="Times New Roman" w:hAnsi="Arial"/>
                <w:color w:val="FF0000"/>
                <w:sz w:val="14"/>
                <w:szCs w:val="14"/>
                <w:lang w:eastAsia="en-NZ"/>
              </w:rPr>
              <w:t xml:space="preserve">at least </w:t>
            </w:r>
            <w:r w:rsidRPr="00711FE4">
              <w:rPr>
                <w:rFonts w:ascii="Arial" w:eastAsia="Times New Roman" w:hAnsi="Arial"/>
                <w:color w:val="000000"/>
                <w:sz w:val="14"/>
                <w:szCs w:val="14"/>
                <w:lang w:eastAsia="en-NZ"/>
              </w:rPr>
              <w:t>two pairs of shoes in good condition, suitable for daily activities?</w:t>
            </w:r>
          </w:p>
        </w:tc>
        <w:tc>
          <w:tcPr>
            <w:tcW w:w="708" w:type="dxa"/>
            <w:vAlign w:val="center"/>
            <w:hideMark/>
          </w:tcPr>
          <w:p w14:paraId="5CDBC98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36E25C86" w14:textId="77777777" w:rsidTr="00366F04">
        <w:trPr>
          <w:trHeight w:val="360"/>
        </w:trPr>
        <w:tc>
          <w:tcPr>
            <w:tcW w:w="1563" w:type="dxa"/>
            <w:vAlign w:val="center"/>
          </w:tcPr>
          <w:p w14:paraId="0CEB287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winter clothes</w:t>
            </w:r>
          </w:p>
        </w:tc>
        <w:tc>
          <w:tcPr>
            <w:tcW w:w="3254" w:type="dxa"/>
            <w:vAlign w:val="center"/>
          </w:tcPr>
          <w:p w14:paraId="347D3A53"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 children have two sets of warm winter clothes?</w:t>
            </w:r>
          </w:p>
        </w:tc>
        <w:tc>
          <w:tcPr>
            <w:tcW w:w="3122" w:type="dxa"/>
            <w:vAlign w:val="center"/>
          </w:tcPr>
          <w:p w14:paraId="43333FB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w:t>
            </w:r>
            <w:r w:rsidRPr="00711FE4">
              <w:rPr>
                <w:rFonts w:ascii="Arial" w:eastAsia="Times New Roman" w:hAnsi="Arial"/>
                <w:color w:val="FF0000"/>
                <w:sz w:val="14"/>
                <w:szCs w:val="14"/>
                <w:lang w:eastAsia="en-NZ"/>
              </w:rPr>
              <w:t xml:space="preserve">each </w:t>
            </w:r>
            <w:r w:rsidRPr="00711FE4">
              <w:rPr>
                <w:rFonts w:ascii="Arial" w:eastAsia="Times New Roman" w:hAnsi="Arial"/>
                <w:color w:val="000000"/>
                <w:sz w:val="14"/>
                <w:szCs w:val="14"/>
                <w:lang w:eastAsia="en-NZ"/>
              </w:rPr>
              <w:t xml:space="preserve">have </w:t>
            </w:r>
            <w:r w:rsidRPr="00711FE4">
              <w:rPr>
                <w:rFonts w:ascii="Arial" w:eastAsia="Times New Roman" w:hAnsi="Arial"/>
                <w:color w:val="FF0000"/>
                <w:sz w:val="14"/>
                <w:szCs w:val="14"/>
                <w:lang w:eastAsia="en-NZ"/>
              </w:rPr>
              <w:t xml:space="preserve">at least </w:t>
            </w:r>
            <w:r w:rsidRPr="00711FE4">
              <w:rPr>
                <w:rFonts w:ascii="Arial" w:eastAsia="Times New Roman" w:hAnsi="Arial"/>
                <w:color w:val="000000"/>
                <w:sz w:val="14"/>
                <w:szCs w:val="14"/>
                <w:lang w:eastAsia="en-NZ"/>
              </w:rPr>
              <w:t>two changes of warm winter clothes?</w:t>
            </w:r>
          </w:p>
        </w:tc>
        <w:tc>
          <w:tcPr>
            <w:tcW w:w="708" w:type="dxa"/>
            <w:vAlign w:val="center"/>
          </w:tcPr>
          <w:p w14:paraId="202141B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5974733B" w14:textId="77777777" w:rsidTr="00366F04">
        <w:trPr>
          <w:trHeight w:val="360"/>
        </w:trPr>
        <w:tc>
          <w:tcPr>
            <w:tcW w:w="1563" w:type="dxa"/>
            <w:vAlign w:val="center"/>
            <w:hideMark/>
          </w:tcPr>
          <w:p w14:paraId="25045B1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coat</w:t>
            </w:r>
          </w:p>
        </w:tc>
        <w:tc>
          <w:tcPr>
            <w:tcW w:w="3254" w:type="dxa"/>
            <w:vAlign w:val="center"/>
            <w:hideMark/>
          </w:tcPr>
          <w:p w14:paraId="332870F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 children have a </w:t>
            </w:r>
            <w:r w:rsidRPr="00711FE4">
              <w:rPr>
                <w:rFonts w:ascii="Arial" w:eastAsia="Times New Roman" w:hAnsi="Arial"/>
                <w:color w:val="FF0000"/>
                <w:sz w:val="14"/>
                <w:szCs w:val="14"/>
                <w:lang w:eastAsia="en-NZ"/>
              </w:rPr>
              <w:t>waterproof coat</w:t>
            </w:r>
            <w:r w:rsidRPr="00711FE4">
              <w:rPr>
                <w:rFonts w:ascii="Arial" w:eastAsia="Times New Roman" w:hAnsi="Arial"/>
                <w:color w:val="000000"/>
                <w:sz w:val="14"/>
                <w:szCs w:val="14"/>
                <w:lang w:eastAsia="en-NZ"/>
              </w:rPr>
              <w:t>?</w:t>
            </w:r>
          </w:p>
        </w:tc>
        <w:tc>
          <w:tcPr>
            <w:tcW w:w="3122" w:type="dxa"/>
            <w:vAlign w:val="center"/>
            <w:hideMark/>
          </w:tcPr>
          <w:p w14:paraId="31821F6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w:t>
            </w:r>
            <w:r w:rsidRPr="00711FE4">
              <w:rPr>
                <w:rFonts w:ascii="Arial" w:eastAsia="Times New Roman" w:hAnsi="Arial"/>
                <w:color w:val="FF0000"/>
                <w:sz w:val="14"/>
                <w:szCs w:val="14"/>
                <w:lang w:eastAsia="en-NZ"/>
              </w:rPr>
              <w:t xml:space="preserve">each </w:t>
            </w:r>
            <w:r w:rsidRPr="00711FE4">
              <w:rPr>
                <w:rFonts w:ascii="Arial" w:eastAsia="Times New Roman" w:hAnsi="Arial"/>
                <w:color w:val="000000"/>
                <w:sz w:val="14"/>
                <w:szCs w:val="14"/>
                <w:lang w:eastAsia="en-NZ"/>
              </w:rPr>
              <w:t xml:space="preserve">have a </w:t>
            </w:r>
            <w:r w:rsidRPr="00711FE4">
              <w:rPr>
                <w:rFonts w:ascii="Arial" w:eastAsia="Times New Roman" w:hAnsi="Arial"/>
                <w:color w:val="FF0000"/>
                <w:sz w:val="14"/>
                <w:szCs w:val="14"/>
                <w:lang w:eastAsia="en-NZ"/>
              </w:rPr>
              <w:t>raincoat</w:t>
            </w:r>
            <w:r w:rsidRPr="00711FE4">
              <w:rPr>
                <w:rFonts w:ascii="Arial" w:eastAsia="Times New Roman" w:hAnsi="Arial"/>
                <w:color w:val="000000"/>
                <w:sz w:val="14"/>
                <w:szCs w:val="14"/>
                <w:lang w:eastAsia="en-NZ"/>
              </w:rPr>
              <w:t>?</w:t>
            </w:r>
          </w:p>
        </w:tc>
        <w:tc>
          <w:tcPr>
            <w:tcW w:w="708" w:type="dxa"/>
            <w:vAlign w:val="center"/>
            <w:hideMark/>
          </w:tcPr>
          <w:p w14:paraId="67FC69D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5A52E36B" w14:textId="77777777" w:rsidTr="00366F04">
        <w:trPr>
          <w:trHeight w:val="360"/>
        </w:trPr>
        <w:tc>
          <w:tcPr>
            <w:tcW w:w="1563" w:type="dxa"/>
            <w:vAlign w:val="center"/>
          </w:tcPr>
          <w:p w14:paraId="63758562"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uniform</w:t>
            </w:r>
          </w:p>
        </w:tc>
        <w:tc>
          <w:tcPr>
            <w:tcW w:w="3254" w:type="dxa"/>
            <w:vAlign w:val="center"/>
          </w:tcPr>
          <w:p w14:paraId="2E8AF079"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 children have all the uniform required by their school/s?</w:t>
            </w:r>
          </w:p>
        </w:tc>
        <w:tc>
          <w:tcPr>
            <w:tcW w:w="3122" w:type="dxa"/>
            <w:vAlign w:val="center"/>
          </w:tcPr>
          <w:p w14:paraId="23380CB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w:t>
            </w:r>
            <w:r w:rsidRPr="00711FE4">
              <w:rPr>
                <w:rFonts w:ascii="Arial" w:eastAsia="Times New Roman" w:hAnsi="Arial"/>
                <w:color w:val="FF0000"/>
                <w:sz w:val="14"/>
                <w:szCs w:val="14"/>
                <w:lang w:eastAsia="en-NZ"/>
              </w:rPr>
              <w:t xml:space="preserve">each of </w:t>
            </w:r>
            <w:r w:rsidRPr="00711FE4">
              <w:rPr>
                <w:rFonts w:ascii="Arial" w:eastAsia="Times New Roman" w:hAnsi="Arial"/>
                <w:color w:val="000000"/>
                <w:sz w:val="14"/>
                <w:szCs w:val="14"/>
                <w:lang w:eastAsia="en-NZ"/>
              </w:rPr>
              <w:t>the children have all the uniform required by their school?</w:t>
            </w:r>
          </w:p>
        </w:tc>
        <w:tc>
          <w:tcPr>
            <w:tcW w:w="708" w:type="dxa"/>
            <w:vAlign w:val="center"/>
          </w:tcPr>
          <w:p w14:paraId="384C187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0A3D8F12" w14:textId="77777777" w:rsidTr="00366F04">
        <w:trPr>
          <w:trHeight w:val="225"/>
        </w:trPr>
        <w:tc>
          <w:tcPr>
            <w:tcW w:w="1563" w:type="dxa"/>
            <w:shd w:val="clear" w:color="auto" w:fill="D9E2F3" w:themeFill="accent1" w:themeFillTint="33"/>
            <w:vAlign w:val="center"/>
          </w:tcPr>
          <w:p w14:paraId="38EB7270" w14:textId="77777777" w:rsidR="00711FE4" w:rsidRPr="00711FE4" w:rsidRDefault="00711FE4" w:rsidP="00711FE4">
            <w:pPr>
              <w:spacing w:after="0" w:line="240" w:lineRule="auto"/>
              <w:rPr>
                <w:rFonts w:ascii="Arial" w:hAnsi="Arial"/>
                <w:color w:val="000000"/>
                <w:sz w:val="14"/>
                <w:szCs w:val="14"/>
              </w:rPr>
            </w:pPr>
          </w:p>
        </w:tc>
        <w:tc>
          <w:tcPr>
            <w:tcW w:w="6376" w:type="dxa"/>
            <w:gridSpan w:val="2"/>
            <w:shd w:val="clear" w:color="auto" w:fill="D9E2F3" w:themeFill="accent1" w:themeFillTint="33"/>
          </w:tcPr>
          <w:p w14:paraId="3B92021D"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hAnsi="Arial"/>
                <w:b/>
                <w:bCs/>
                <w:color w:val="000000"/>
                <w:sz w:val="14"/>
                <w:szCs w:val="14"/>
              </w:rPr>
              <w:t xml:space="preserve">Note: in HILS this question is </w:t>
            </w:r>
            <w:r w:rsidRPr="00711FE4">
              <w:rPr>
                <w:rFonts w:ascii="Arial" w:eastAsia="Times New Roman" w:hAnsi="Arial"/>
                <w:b/>
                <w:bCs/>
                <w:color w:val="000000"/>
                <w:sz w:val="14"/>
                <w:szCs w:val="14"/>
                <w:lang w:eastAsia="en-NZ"/>
              </w:rPr>
              <w:t>only asked if at least one child is aged &gt;= 5</w:t>
            </w:r>
          </w:p>
        </w:tc>
        <w:tc>
          <w:tcPr>
            <w:tcW w:w="708" w:type="dxa"/>
            <w:shd w:val="clear" w:color="auto" w:fill="D9E2F3" w:themeFill="accent1" w:themeFillTint="33"/>
            <w:vAlign w:val="center"/>
          </w:tcPr>
          <w:p w14:paraId="6B67DAB0" w14:textId="77777777" w:rsidR="00711FE4" w:rsidRPr="00711FE4" w:rsidRDefault="00711FE4" w:rsidP="00711FE4">
            <w:pPr>
              <w:spacing w:after="0" w:line="240" w:lineRule="auto"/>
              <w:jc w:val="center"/>
              <w:rPr>
                <w:rFonts w:ascii="Arial" w:hAnsi="Arial"/>
                <w:color w:val="000000"/>
                <w:sz w:val="14"/>
                <w:szCs w:val="14"/>
              </w:rPr>
            </w:pPr>
          </w:p>
        </w:tc>
      </w:tr>
      <w:tr w:rsidR="00711FE4" w:rsidRPr="00711FE4" w14:paraId="59947BB0" w14:textId="77777777" w:rsidTr="00366F04">
        <w:trPr>
          <w:trHeight w:val="360"/>
        </w:trPr>
        <w:tc>
          <w:tcPr>
            <w:tcW w:w="1563" w:type="dxa"/>
            <w:vAlign w:val="center"/>
            <w:hideMark/>
          </w:tcPr>
          <w:p w14:paraId="76A6663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bed</w:t>
            </w:r>
          </w:p>
        </w:tc>
        <w:tc>
          <w:tcPr>
            <w:tcW w:w="3254" w:type="dxa"/>
            <w:vAlign w:val="center"/>
            <w:hideMark/>
          </w:tcPr>
          <w:p w14:paraId="68ABA95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 children have</w:t>
            </w:r>
            <w:r w:rsidRPr="00711FE4">
              <w:t xml:space="preserve"> </w:t>
            </w:r>
            <w:r w:rsidRPr="00711FE4">
              <w:rPr>
                <w:rFonts w:ascii="Arial" w:eastAsia="Times New Roman" w:hAnsi="Arial"/>
                <w:color w:val="000000"/>
                <w:sz w:val="14"/>
                <w:szCs w:val="14"/>
                <w:lang w:eastAsia="en-NZ"/>
              </w:rPr>
              <w:t>a separate bed?</w:t>
            </w:r>
          </w:p>
        </w:tc>
        <w:tc>
          <w:tcPr>
            <w:tcW w:w="3122" w:type="dxa"/>
            <w:vAlign w:val="center"/>
            <w:hideMark/>
          </w:tcPr>
          <w:p w14:paraId="1C8D31E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w:t>
            </w:r>
            <w:r w:rsidRPr="00711FE4">
              <w:rPr>
                <w:rFonts w:ascii="Arial" w:eastAsia="Times New Roman" w:hAnsi="Arial"/>
                <w:color w:val="FF0000"/>
                <w:sz w:val="14"/>
                <w:szCs w:val="14"/>
                <w:lang w:eastAsia="en-NZ"/>
              </w:rPr>
              <w:t xml:space="preserve">each </w:t>
            </w:r>
            <w:r w:rsidRPr="00711FE4">
              <w:rPr>
                <w:rFonts w:ascii="Arial" w:eastAsia="Times New Roman" w:hAnsi="Arial"/>
                <w:color w:val="000000"/>
                <w:sz w:val="14"/>
                <w:szCs w:val="14"/>
                <w:lang w:eastAsia="en-NZ"/>
              </w:rPr>
              <w:t xml:space="preserve">have a separate bed </w:t>
            </w:r>
            <w:r w:rsidRPr="00711FE4">
              <w:rPr>
                <w:rFonts w:ascii="Arial" w:eastAsia="Times New Roman" w:hAnsi="Arial"/>
                <w:color w:val="FF0000"/>
                <w:sz w:val="14"/>
                <w:szCs w:val="14"/>
                <w:lang w:eastAsia="en-NZ"/>
              </w:rPr>
              <w:t>to sleep in</w:t>
            </w:r>
            <w:r w:rsidRPr="00711FE4">
              <w:rPr>
                <w:rFonts w:ascii="Arial" w:eastAsia="Times New Roman" w:hAnsi="Arial"/>
                <w:color w:val="000000"/>
                <w:sz w:val="14"/>
                <w:szCs w:val="14"/>
                <w:lang w:eastAsia="en-NZ"/>
              </w:rPr>
              <w:t>?</w:t>
            </w:r>
          </w:p>
        </w:tc>
        <w:tc>
          <w:tcPr>
            <w:tcW w:w="708" w:type="dxa"/>
            <w:vAlign w:val="center"/>
            <w:hideMark/>
          </w:tcPr>
          <w:p w14:paraId="6FC0FC1B"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203AF085" w14:textId="77777777" w:rsidTr="00366F04">
        <w:trPr>
          <w:trHeight w:val="360"/>
        </w:trPr>
        <w:tc>
          <w:tcPr>
            <w:tcW w:w="1563" w:type="dxa"/>
            <w:vAlign w:val="center"/>
          </w:tcPr>
          <w:p w14:paraId="3059EDB9"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phone</w:t>
            </w:r>
          </w:p>
        </w:tc>
        <w:tc>
          <w:tcPr>
            <w:tcW w:w="3254" w:type="dxa"/>
            <w:vAlign w:val="center"/>
          </w:tcPr>
          <w:p w14:paraId="0501A36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Do the children have a mobile phone if aged 11 or older?</w:t>
            </w:r>
          </w:p>
        </w:tc>
        <w:tc>
          <w:tcPr>
            <w:tcW w:w="3122" w:type="dxa"/>
            <w:vAlign w:val="center"/>
          </w:tcPr>
          <w:p w14:paraId="2AE788E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Does </w:t>
            </w:r>
            <w:r w:rsidRPr="00711FE4">
              <w:rPr>
                <w:rFonts w:ascii="Arial" w:eastAsia="Times New Roman" w:hAnsi="Arial"/>
                <w:color w:val="FF0000"/>
                <w:sz w:val="14"/>
                <w:szCs w:val="14"/>
                <w:lang w:eastAsia="en-NZ"/>
              </w:rPr>
              <w:t xml:space="preserve">each child </w:t>
            </w:r>
            <w:r w:rsidRPr="00711FE4">
              <w:rPr>
                <w:rFonts w:ascii="Arial" w:eastAsia="Times New Roman" w:hAnsi="Arial"/>
                <w:color w:val="000000"/>
                <w:sz w:val="14"/>
                <w:szCs w:val="14"/>
                <w:lang w:eastAsia="en-NZ"/>
              </w:rPr>
              <w:t>aged 11 or over have a mobile phone?</w:t>
            </w:r>
          </w:p>
        </w:tc>
        <w:tc>
          <w:tcPr>
            <w:tcW w:w="708" w:type="dxa"/>
            <w:vAlign w:val="center"/>
          </w:tcPr>
          <w:p w14:paraId="0F7BECD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0120503D" w14:textId="77777777" w:rsidTr="00366F04">
        <w:trPr>
          <w:trHeight w:val="360"/>
        </w:trPr>
        <w:tc>
          <w:tcPr>
            <w:tcW w:w="1563" w:type="dxa"/>
            <w:shd w:val="clear" w:color="auto" w:fill="D9E2F3" w:themeFill="accent1" w:themeFillTint="33"/>
            <w:vAlign w:val="center"/>
          </w:tcPr>
          <w:p w14:paraId="1029D910" w14:textId="77777777" w:rsidR="00711FE4" w:rsidRPr="00711FE4" w:rsidRDefault="00711FE4" w:rsidP="00711FE4">
            <w:pPr>
              <w:spacing w:after="0" w:line="240" w:lineRule="auto"/>
              <w:rPr>
                <w:rFonts w:ascii="Arial" w:eastAsia="Times New Roman" w:hAnsi="Arial"/>
                <w:color w:val="000000"/>
                <w:sz w:val="14"/>
                <w:szCs w:val="14"/>
                <w:lang w:eastAsia="en-NZ"/>
              </w:rPr>
            </w:pPr>
          </w:p>
        </w:tc>
        <w:tc>
          <w:tcPr>
            <w:tcW w:w="6376" w:type="dxa"/>
            <w:gridSpan w:val="2"/>
            <w:shd w:val="clear" w:color="auto" w:fill="D9E2F3" w:themeFill="accent1" w:themeFillTint="33"/>
            <w:vAlign w:val="center"/>
          </w:tcPr>
          <w:p w14:paraId="3078FDE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b/>
                <w:bCs/>
                <w:color w:val="000000"/>
                <w:sz w:val="14"/>
                <w:szCs w:val="14"/>
              </w:rPr>
              <w:t xml:space="preserve">Note: in HILS this question is </w:t>
            </w:r>
            <w:r w:rsidRPr="00711FE4">
              <w:rPr>
                <w:rFonts w:ascii="Arial" w:eastAsia="Times New Roman" w:hAnsi="Arial"/>
                <w:b/>
                <w:bCs/>
                <w:color w:val="000000"/>
                <w:sz w:val="14"/>
                <w:szCs w:val="14"/>
                <w:lang w:eastAsia="en-NZ"/>
              </w:rPr>
              <w:t>only asked if at least one child is aged &gt;= 11</w:t>
            </w:r>
          </w:p>
        </w:tc>
        <w:tc>
          <w:tcPr>
            <w:tcW w:w="708" w:type="dxa"/>
            <w:shd w:val="clear" w:color="auto" w:fill="D9E2F3" w:themeFill="accent1" w:themeFillTint="33"/>
            <w:vAlign w:val="center"/>
          </w:tcPr>
          <w:p w14:paraId="2CB043A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b/>
                <w:bCs/>
                <w:color w:val="000000"/>
                <w:sz w:val="14"/>
                <w:szCs w:val="14"/>
              </w:rPr>
              <w:t> </w:t>
            </w:r>
          </w:p>
        </w:tc>
      </w:tr>
      <w:tr w:rsidR="00711FE4" w:rsidRPr="00711FE4" w14:paraId="093658C2" w14:textId="77777777" w:rsidTr="00366F04">
        <w:trPr>
          <w:trHeight w:val="360"/>
        </w:trPr>
        <w:tc>
          <w:tcPr>
            <w:tcW w:w="1563" w:type="dxa"/>
            <w:vAlign w:val="center"/>
          </w:tcPr>
          <w:p w14:paraId="4FB2DD38"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fruit</w:t>
            </w:r>
          </w:p>
        </w:tc>
        <w:tc>
          <w:tcPr>
            <w:tcW w:w="3254" w:type="dxa"/>
            <w:vAlign w:val="center"/>
          </w:tcPr>
          <w:p w14:paraId="1BDD9BD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 children have fresh fruit and vegetables </w:t>
            </w:r>
            <w:r w:rsidRPr="00711FE4">
              <w:rPr>
                <w:rFonts w:ascii="Arial" w:eastAsia="Times New Roman" w:hAnsi="Arial"/>
                <w:color w:val="FF0000"/>
                <w:sz w:val="14"/>
                <w:szCs w:val="14"/>
                <w:lang w:eastAsia="en-NZ"/>
              </w:rPr>
              <w:t>daily</w:t>
            </w:r>
            <w:r w:rsidRPr="00711FE4">
              <w:rPr>
                <w:rFonts w:ascii="Arial" w:eastAsia="Times New Roman" w:hAnsi="Arial"/>
                <w:color w:val="000000"/>
                <w:sz w:val="14"/>
                <w:szCs w:val="14"/>
                <w:lang w:eastAsia="en-NZ"/>
              </w:rPr>
              <w:t>?</w:t>
            </w:r>
          </w:p>
        </w:tc>
        <w:tc>
          <w:tcPr>
            <w:tcW w:w="3122" w:type="dxa"/>
            <w:vAlign w:val="center"/>
          </w:tcPr>
          <w:p w14:paraId="1FB14F85"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have fresh fruit and vegetables </w:t>
            </w:r>
            <w:r w:rsidRPr="00711FE4">
              <w:rPr>
                <w:rFonts w:ascii="Arial" w:eastAsia="Times New Roman" w:hAnsi="Arial"/>
                <w:color w:val="FF0000"/>
                <w:sz w:val="14"/>
                <w:szCs w:val="14"/>
                <w:lang w:eastAsia="en-NZ"/>
              </w:rPr>
              <w:t>every day</w:t>
            </w:r>
            <w:r w:rsidRPr="00711FE4">
              <w:rPr>
                <w:rFonts w:ascii="Arial" w:eastAsia="Times New Roman" w:hAnsi="Arial"/>
                <w:color w:val="000000"/>
                <w:sz w:val="14"/>
                <w:szCs w:val="14"/>
                <w:lang w:eastAsia="en-NZ"/>
              </w:rPr>
              <w:t>?</w:t>
            </w:r>
          </w:p>
        </w:tc>
        <w:tc>
          <w:tcPr>
            <w:tcW w:w="708" w:type="dxa"/>
            <w:vAlign w:val="center"/>
          </w:tcPr>
          <w:p w14:paraId="704459CF"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35EA61F0" w14:textId="77777777" w:rsidTr="00366F04">
        <w:trPr>
          <w:trHeight w:val="360"/>
        </w:trPr>
        <w:tc>
          <w:tcPr>
            <w:tcW w:w="1563" w:type="dxa"/>
            <w:vAlign w:val="center"/>
          </w:tcPr>
          <w:p w14:paraId="04F7B604" w14:textId="77777777" w:rsidR="00711FE4" w:rsidRPr="00711FE4" w:rsidRDefault="00711FE4" w:rsidP="00711FE4">
            <w:pPr>
              <w:spacing w:after="0" w:line="240" w:lineRule="auto"/>
              <w:rPr>
                <w:rFonts w:ascii="Arial" w:hAnsi="Arial"/>
                <w:color w:val="000000"/>
                <w:sz w:val="14"/>
                <w:szCs w:val="14"/>
              </w:rPr>
            </w:pPr>
            <w:r w:rsidRPr="00711FE4">
              <w:rPr>
                <w:rFonts w:ascii="Arial" w:hAnsi="Arial"/>
                <w:color w:val="000000"/>
                <w:sz w:val="14"/>
                <w:szCs w:val="14"/>
              </w:rPr>
              <w:t>Child meat</w:t>
            </w:r>
          </w:p>
        </w:tc>
        <w:tc>
          <w:tcPr>
            <w:tcW w:w="3254" w:type="dxa"/>
            <w:vAlign w:val="center"/>
          </w:tcPr>
          <w:p w14:paraId="2E0E590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 children have a meal with meat, </w:t>
            </w:r>
            <w:r w:rsidRPr="00711FE4">
              <w:rPr>
                <w:rFonts w:ascii="Arial" w:eastAsia="Times New Roman" w:hAnsi="Arial"/>
                <w:color w:val="FF0000"/>
                <w:sz w:val="14"/>
                <w:szCs w:val="14"/>
                <w:lang w:eastAsia="en-NZ"/>
              </w:rPr>
              <w:t>fish, or chicken (or vegetarian equivalent)</w:t>
            </w:r>
            <w:r w:rsidRPr="00711FE4">
              <w:rPr>
                <w:rFonts w:ascii="Arial" w:eastAsia="Times New Roman" w:hAnsi="Arial"/>
                <w:color w:val="000000"/>
                <w:sz w:val="14"/>
                <w:szCs w:val="14"/>
                <w:lang w:eastAsia="en-NZ"/>
              </w:rPr>
              <w:t xml:space="preserve"> each day?</w:t>
            </w:r>
          </w:p>
        </w:tc>
        <w:tc>
          <w:tcPr>
            <w:tcW w:w="3122" w:type="dxa"/>
            <w:vAlign w:val="center"/>
          </w:tcPr>
          <w:p w14:paraId="7779FD0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have a meal with meat, </w:t>
            </w:r>
            <w:r w:rsidRPr="00711FE4">
              <w:rPr>
                <w:rFonts w:ascii="Arial" w:eastAsia="Times New Roman" w:hAnsi="Arial"/>
                <w:color w:val="FF0000"/>
                <w:sz w:val="14"/>
                <w:szCs w:val="14"/>
                <w:lang w:eastAsia="en-NZ"/>
              </w:rPr>
              <w:t xml:space="preserve">seafood, eggs, or plant-based protein </w:t>
            </w:r>
            <w:r w:rsidRPr="00711FE4">
              <w:rPr>
                <w:rFonts w:ascii="Arial" w:eastAsia="Times New Roman" w:hAnsi="Arial"/>
                <w:color w:val="000000"/>
                <w:sz w:val="14"/>
                <w:szCs w:val="14"/>
                <w:lang w:eastAsia="en-NZ"/>
              </w:rPr>
              <w:t>every day?</w:t>
            </w:r>
          </w:p>
        </w:tc>
        <w:tc>
          <w:tcPr>
            <w:tcW w:w="708" w:type="dxa"/>
            <w:vAlign w:val="center"/>
          </w:tcPr>
          <w:p w14:paraId="1DED5BE0" w14:textId="77777777" w:rsidR="00711FE4" w:rsidRPr="00711FE4" w:rsidRDefault="00711FE4" w:rsidP="00711FE4">
            <w:pPr>
              <w:spacing w:after="0" w:line="240" w:lineRule="auto"/>
              <w:jc w:val="center"/>
              <w:rPr>
                <w:rFonts w:ascii="Arial" w:hAnsi="Arial"/>
                <w:color w:val="000000"/>
                <w:sz w:val="14"/>
                <w:szCs w:val="14"/>
              </w:rPr>
            </w:pPr>
            <w:r w:rsidRPr="00711FE4">
              <w:rPr>
                <w:rFonts w:ascii="Arial" w:hAnsi="Arial"/>
                <w:color w:val="000000"/>
                <w:sz w:val="14"/>
                <w:szCs w:val="14"/>
              </w:rPr>
              <w:t>CHI</w:t>
            </w:r>
          </w:p>
        </w:tc>
      </w:tr>
      <w:tr w:rsidR="00711FE4" w:rsidRPr="00711FE4" w14:paraId="22C082FE" w14:textId="77777777" w:rsidTr="00366F04">
        <w:trPr>
          <w:trHeight w:val="360"/>
        </w:trPr>
        <w:tc>
          <w:tcPr>
            <w:tcW w:w="1563" w:type="dxa"/>
            <w:shd w:val="clear" w:color="auto" w:fill="D9E2F3" w:themeFill="accent1" w:themeFillTint="33"/>
            <w:vAlign w:val="center"/>
          </w:tcPr>
          <w:p w14:paraId="7BBC0B8D" w14:textId="77777777" w:rsidR="00711FE4" w:rsidRPr="00711FE4" w:rsidRDefault="00711FE4" w:rsidP="00711FE4">
            <w:pPr>
              <w:spacing w:after="0" w:line="240" w:lineRule="auto"/>
              <w:rPr>
                <w:rFonts w:ascii="Arial" w:hAnsi="Arial"/>
                <w:color w:val="000000"/>
                <w:sz w:val="14"/>
                <w:szCs w:val="14"/>
              </w:rPr>
            </w:pPr>
          </w:p>
        </w:tc>
        <w:tc>
          <w:tcPr>
            <w:tcW w:w="6376" w:type="dxa"/>
            <w:gridSpan w:val="2"/>
            <w:shd w:val="clear" w:color="auto" w:fill="D9E2F3" w:themeFill="accent1" w:themeFillTint="33"/>
            <w:vAlign w:val="center"/>
          </w:tcPr>
          <w:p w14:paraId="7814187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b/>
                <w:bCs/>
                <w:color w:val="000000"/>
                <w:sz w:val="14"/>
                <w:szCs w:val="14"/>
              </w:rPr>
              <w:t xml:space="preserve">Note: in HILS this question is </w:t>
            </w:r>
            <w:r w:rsidRPr="00711FE4">
              <w:rPr>
                <w:rFonts w:ascii="Arial" w:eastAsia="Times New Roman" w:hAnsi="Arial"/>
                <w:b/>
                <w:bCs/>
                <w:color w:val="000000"/>
                <w:sz w:val="14"/>
                <w:szCs w:val="14"/>
                <w:lang w:eastAsia="en-NZ"/>
              </w:rPr>
              <w:t>only asked if the respondent has protein at least every second day (Is ISP: qIndProtein = yes)</w:t>
            </w:r>
          </w:p>
        </w:tc>
        <w:tc>
          <w:tcPr>
            <w:tcW w:w="708" w:type="dxa"/>
            <w:shd w:val="clear" w:color="auto" w:fill="D9E2F3" w:themeFill="accent1" w:themeFillTint="33"/>
            <w:vAlign w:val="center"/>
          </w:tcPr>
          <w:p w14:paraId="35FC150E" w14:textId="77777777" w:rsidR="00711FE4" w:rsidRPr="00711FE4" w:rsidRDefault="00711FE4" w:rsidP="00711FE4">
            <w:pPr>
              <w:spacing w:after="0" w:line="240" w:lineRule="auto"/>
              <w:jc w:val="center"/>
              <w:rPr>
                <w:rFonts w:ascii="Arial" w:hAnsi="Arial"/>
                <w:color w:val="000000"/>
                <w:sz w:val="14"/>
                <w:szCs w:val="14"/>
              </w:rPr>
            </w:pPr>
          </w:p>
        </w:tc>
      </w:tr>
      <w:tr w:rsidR="00711FE4" w:rsidRPr="00711FE4" w14:paraId="441BA24D" w14:textId="77777777" w:rsidTr="00366F04">
        <w:trPr>
          <w:trHeight w:val="360"/>
        </w:trPr>
        <w:tc>
          <w:tcPr>
            <w:tcW w:w="1563" w:type="dxa"/>
            <w:vAlign w:val="center"/>
          </w:tcPr>
          <w:p w14:paraId="4E6E19F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books</w:t>
            </w:r>
          </w:p>
        </w:tc>
        <w:tc>
          <w:tcPr>
            <w:tcW w:w="3254" w:type="dxa"/>
            <w:vAlign w:val="center"/>
          </w:tcPr>
          <w:p w14:paraId="70E82FAA" w14:textId="77777777" w:rsidR="00711FE4" w:rsidRPr="00711FE4" w:rsidRDefault="00711FE4" w:rsidP="00711FE4">
            <w:pPr>
              <w:spacing w:before="40" w:after="40" w:line="240" w:lineRule="auto"/>
              <w:jc w:val="center"/>
              <w:rPr>
                <w:rFonts w:ascii="Arial" w:hAnsi="Arial"/>
                <w:color w:val="000000"/>
                <w:sz w:val="14"/>
                <w:szCs w:val="14"/>
              </w:rPr>
            </w:pPr>
            <w:r w:rsidRPr="00711FE4">
              <w:rPr>
                <w:rFonts w:ascii="Arial" w:hAnsi="Arial"/>
                <w:color w:val="000000"/>
                <w:sz w:val="14"/>
                <w:szCs w:val="14"/>
              </w:rPr>
              <w:t>Do the children have a range of books at home suitable for their age/s?</w:t>
            </w:r>
          </w:p>
        </w:tc>
        <w:tc>
          <w:tcPr>
            <w:tcW w:w="3122" w:type="dxa"/>
            <w:vAlign w:val="center"/>
          </w:tcPr>
          <w:p w14:paraId="1679796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 xml:space="preserve">Do they </w:t>
            </w:r>
            <w:r w:rsidRPr="00711FE4">
              <w:rPr>
                <w:rFonts w:ascii="Arial" w:hAnsi="Arial"/>
                <w:color w:val="FF0000"/>
                <w:sz w:val="14"/>
                <w:szCs w:val="14"/>
              </w:rPr>
              <w:t xml:space="preserve">each </w:t>
            </w:r>
            <w:r w:rsidRPr="00711FE4">
              <w:rPr>
                <w:rFonts w:ascii="Arial" w:hAnsi="Arial"/>
                <w:color w:val="000000"/>
                <w:sz w:val="14"/>
                <w:szCs w:val="14"/>
              </w:rPr>
              <w:t>have a range of books at home suitable for their ages?</w:t>
            </w:r>
          </w:p>
        </w:tc>
        <w:tc>
          <w:tcPr>
            <w:tcW w:w="708" w:type="dxa"/>
            <w:vAlign w:val="center"/>
          </w:tcPr>
          <w:p w14:paraId="4D334CF1"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0496DB1E" w14:textId="77777777" w:rsidTr="00366F04">
        <w:trPr>
          <w:trHeight w:val="360"/>
        </w:trPr>
        <w:tc>
          <w:tcPr>
            <w:tcW w:w="1563" w:type="dxa"/>
            <w:vAlign w:val="center"/>
          </w:tcPr>
          <w:p w14:paraId="732E3B43"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place</w:t>
            </w:r>
          </w:p>
        </w:tc>
        <w:tc>
          <w:tcPr>
            <w:tcW w:w="3254" w:type="dxa"/>
            <w:vAlign w:val="center"/>
          </w:tcPr>
          <w:p w14:paraId="4FA46AA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 xml:space="preserve">Do the children have a suitable place at home to do </w:t>
            </w:r>
            <w:r w:rsidRPr="00711FE4">
              <w:rPr>
                <w:rFonts w:ascii="Arial" w:hAnsi="Arial"/>
                <w:color w:val="FF0000"/>
                <w:sz w:val="14"/>
                <w:szCs w:val="14"/>
              </w:rPr>
              <w:t>school homework</w:t>
            </w:r>
            <w:r w:rsidRPr="00711FE4">
              <w:rPr>
                <w:rFonts w:ascii="Arial" w:hAnsi="Arial"/>
                <w:color w:val="000000"/>
                <w:sz w:val="14"/>
                <w:szCs w:val="14"/>
              </w:rPr>
              <w:t>?</w:t>
            </w:r>
          </w:p>
        </w:tc>
        <w:tc>
          <w:tcPr>
            <w:tcW w:w="3122" w:type="dxa"/>
            <w:vAlign w:val="center"/>
          </w:tcPr>
          <w:p w14:paraId="719B94E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 xml:space="preserve">Do they have a suitable place at home to do </w:t>
            </w:r>
            <w:r w:rsidRPr="00711FE4">
              <w:rPr>
                <w:rFonts w:ascii="Arial" w:hAnsi="Arial"/>
                <w:color w:val="FF0000"/>
                <w:sz w:val="14"/>
                <w:szCs w:val="14"/>
              </w:rPr>
              <w:t>schoolwork</w:t>
            </w:r>
            <w:r w:rsidRPr="00711FE4">
              <w:rPr>
                <w:rFonts w:ascii="Arial" w:hAnsi="Arial"/>
                <w:color w:val="000000"/>
                <w:sz w:val="14"/>
                <w:szCs w:val="14"/>
              </w:rPr>
              <w:t>?</w:t>
            </w:r>
          </w:p>
        </w:tc>
        <w:tc>
          <w:tcPr>
            <w:tcW w:w="708" w:type="dxa"/>
            <w:vAlign w:val="center"/>
          </w:tcPr>
          <w:p w14:paraId="78AC49C4"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63CE9E0D" w14:textId="77777777" w:rsidTr="00366F04">
        <w:trPr>
          <w:trHeight w:val="360"/>
        </w:trPr>
        <w:tc>
          <w:tcPr>
            <w:tcW w:w="1563" w:type="dxa"/>
            <w:shd w:val="clear" w:color="auto" w:fill="D9E2F3" w:themeFill="accent1" w:themeFillTint="33"/>
            <w:vAlign w:val="center"/>
          </w:tcPr>
          <w:p w14:paraId="2A60CB91" w14:textId="77777777" w:rsidR="00711FE4" w:rsidRPr="00711FE4" w:rsidRDefault="00711FE4" w:rsidP="00711FE4">
            <w:pPr>
              <w:spacing w:after="0" w:line="240" w:lineRule="auto"/>
              <w:rPr>
                <w:rFonts w:ascii="Arial" w:hAnsi="Arial"/>
                <w:color w:val="000000"/>
                <w:sz w:val="14"/>
                <w:szCs w:val="14"/>
              </w:rPr>
            </w:pPr>
          </w:p>
        </w:tc>
        <w:tc>
          <w:tcPr>
            <w:tcW w:w="6376" w:type="dxa"/>
            <w:gridSpan w:val="2"/>
            <w:shd w:val="clear" w:color="auto" w:fill="D9E2F3" w:themeFill="accent1" w:themeFillTint="33"/>
            <w:vAlign w:val="center"/>
          </w:tcPr>
          <w:p w14:paraId="5E6E3FF5" w14:textId="77777777" w:rsidR="00711FE4" w:rsidRPr="00711FE4" w:rsidRDefault="00711FE4" w:rsidP="00711FE4">
            <w:pPr>
              <w:spacing w:before="40" w:after="40" w:line="240" w:lineRule="auto"/>
              <w:jc w:val="center"/>
              <w:rPr>
                <w:rFonts w:ascii="Arial" w:hAnsi="Arial"/>
                <w:color w:val="000000"/>
                <w:sz w:val="14"/>
                <w:szCs w:val="14"/>
              </w:rPr>
            </w:pPr>
            <w:r w:rsidRPr="00711FE4">
              <w:rPr>
                <w:rFonts w:ascii="Arial" w:hAnsi="Arial"/>
                <w:b/>
                <w:bCs/>
                <w:color w:val="000000"/>
                <w:sz w:val="14"/>
                <w:szCs w:val="14"/>
              </w:rPr>
              <w:t xml:space="preserve">Note: in HILS this question is </w:t>
            </w:r>
            <w:r w:rsidRPr="00711FE4">
              <w:rPr>
                <w:rFonts w:ascii="Arial" w:eastAsia="Times New Roman" w:hAnsi="Arial"/>
                <w:b/>
                <w:bCs/>
                <w:color w:val="000000"/>
                <w:sz w:val="14"/>
                <w:szCs w:val="14"/>
                <w:lang w:eastAsia="en-NZ"/>
              </w:rPr>
              <w:t>only asked if at least one child is aged &gt;= 5</w:t>
            </w:r>
          </w:p>
        </w:tc>
        <w:tc>
          <w:tcPr>
            <w:tcW w:w="708" w:type="dxa"/>
            <w:shd w:val="clear" w:color="auto" w:fill="D9E2F3" w:themeFill="accent1" w:themeFillTint="33"/>
            <w:vAlign w:val="center"/>
          </w:tcPr>
          <w:p w14:paraId="46988261" w14:textId="77777777" w:rsidR="00711FE4" w:rsidRPr="00711FE4" w:rsidRDefault="00711FE4" w:rsidP="00711FE4">
            <w:pPr>
              <w:spacing w:after="0" w:line="240" w:lineRule="auto"/>
              <w:jc w:val="center"/>
              <w:rPr>
                <w:rFonts w:ascii="Arial" w:hAnsi="Arial"/>
                <w:color w:val="000000"/>
                <w:sz w:val="14"/>
                <w:szCs w:val="14"/>
              </w:rPr>
            </w:pPr>
          </w:p>
        </w:tc>
      </w:tr>
      <w:tr w:rsidR="00711FE4" w:rsidRPr="00711FE4" w14:paraId="03CA562E" w14:textId="77777777" w:rsidTr="00366F04">
        <w:trPr>
          <w:trHeight w:val="360"/>
        </w:trPr>
        <w:tc>
          <w:tcPr>
            <w:tcW w:w="1563" w:type="dxa"/>
            <w:vAlign w:val="center"/>
          </w:tcPr>
          <w:p w14:paraId="08923843" w14:textId="77777777" w:rsidR="00711FE4" w:rsidRPr="00711FE4" w:rsidRDefault="00711FE4" w:rsidP="00711FE4">
            <w:pPr>
              <w:spacing w:after="0" w:line="240" w:lineRule="auto"/>
              <w:rPr>
                <w:rFonts w:ascii="Arial" w:hAnsi="Arial"/>
                <w:color w:val="000000"/>
                <w:sz w:val="14"/>
                <w:szCs w:val="14"/>
              </w:rPr>
            </w:pPr>
            <w:r w:rsidRPr="00711FE4">
              <w:rPr>
                <w:rFonts w:ascii="Arial" w:hAnsi="Arial"/>
                <w:color w:val="000000"/>
                <w:sz w:val="14"/>
                <w:szCs w:val="14"/>
              </w:rPr>
              <w:t>Child play</w:t>
            </w:r>
          </w:p>
        </w:tc>
        <w:tc>
          <w:tcPr>
            <w:tcW w:w="3254" w:type="dxa"/>
            <w:vAlign w:val="center"/>
          </w:tcPr>
          <w:p w14:paraId="6C850627" w14:textId="77777777" w:rsidR="00711FE4" w:rsidRPr="00711FE4" w:rsidRDefault="00711FE4" w:rsidP="00711FE4">
            <w:pPr>
              <w:spacing w:before="40" w:after="40" w:line="240" w:lineRule="auto"/>
              <w:jc w:val="center"/>
              <w:rPr>
                <w:rFonts w:ascii="Arial" w:hAnsi="Arial"/>
                <w:color w:val="000000"/>
                <w:sz w:val="14"/>
                <w:szCs w:val="14"/>
              </w:rPr>
            </w:pPr>
            <w:r w:rsidRPr="00711FE4">
              <w:rPr>
                <w:rFonts w:ascii="Arial" w:hAnsi="Arial"/>
                <w:color w:val="000000"/>
                <w:sz w:val="14"/>
                <w:szCs w:val="14"/>
              </w:rPr>
              <w:t>Do the children have their friends around to play and eat from time to time?</w:t>
            </w:r>
          </w:p>
        </w:tc>
        <w:tc>
          <w:tcPr>
            <w:tcW w:w="3122" w:type="dxa"/>
            <w:vAlign w:val="center"/>
          </w:tcPr>
          <w:p w14:paraId="4649FFA0" w14:textId="77777777" w:rsidR="00711FE4" w:rsidRPr="00711FE4" w:rsidRDefault="00711FE4" w:rsidP="00711FE4">
            <w:pPr>
              <w:spacing w:before="40" w:after="40" w:line="240" w:lineRule="auto"/>
              <w:jc w:val="center"/>
              <w:rPr>
                <w:rFonts w:ascii="Arial" w:hAnsi="Arial"/>
                <w:color w:val="000000"/>
                <w:sz w:val="14"/>
                <w:szCs w:val="14"/>
              </w:rPr>
            </w:pPr>
            <w:r w:rsidRPr="00711FE4">
              <w:rPr>
                <w:rFonts w:ascii="Arial" w:hAnsi="Arial"/>
                <w:color w:val="000000"/>
                <w:sz w:val="14"/>
                <w:szCs w:val="14"/>
              </w:rPr>
              <w:t>Do they have friends around from time to time to play and eat?</w:t>
            </w:r>
          </w:p>
        </w:tc>
        <w:tc>
          <w:tcPr>
            <w:tcW w:w="708" w:type="dxa"/>
            <w:vAlign w:val="center"/>
          </w:tcPr>
          <w:p w14:paraId="1FE087E6" w14:textId="77777777" w:rsidR="00711FE4" w:rsidRPr="00711FE4" w:rsidRDefault="00711FE4" w:rsidP="00711FE4">
            <w:pPr>
              <w:spacing w:after="0" w:line="240" w:lineRule="auto"/>
              <w:jc w:val="center"/>
              <w:rPr>
                <w:rFonts w:ascii="Arial" w:hAnsi="Arial"/>
                <w:color w:val="000000"/>
                <w:sz w:val="14"/>
                <w:szCs w:val="14"/>
              </w:rPr>
            </w:pPr>
            <w:r w:rsidRPr="00711FE4">
              <w:rPr>
                <w:rFonts w:ascii="Arial" w:hAnsi="Arial"/>
                <w:color w:val="000000"/>
                <w:sz w:val="14"/>
                <w:szCs w:val="14"/>
              </w:rPr>
              <w:t>CHI</w:t>
            </w:r>
          </w:p>
        </w:tc>
      </w:tr>
      <w:tr w:rsidR="00711FE4" w:rsidRPr="00711FE4" w14:paraId="740BF945" w14:textId="77777777" w:rsidTr="00366F04">
        <w:trPr>
          <w:trHeight w:val="360"/>
        </w:trPr>
        <w:tc>
          <w:tcPr>
            <w:tcW w:w="1563" w:type="dxa"/>
            <w:vAlign w:val="center"/>
          </w:tcPr>
          <w:p w14:paraId="0458CB1A"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birthday</w:t>
            </w:r>
          </w:p>
        </w:tc>
        <w:tc>
          <w:tcPr>
            <w:tcW w:w="3254" w:type="dxa"/>
            <w:vAlign w:val="center"/>
          </w:tcPr>
          <w:p w14:paraId="5D74544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 xml:space="preserve">Do the children have their friends around for </w:t>
            </w:r>
            <w:r w:rsidRPr="00711FE4">
              <w:rPr>
                <w:rFonts w:ascii="Arial" w:hAnsi="Arial"/>
                <w:color w:val="FF0000"/>
                <w:sz w:val="14"/>
                <w:szCs w:val="14"/>
              </w:rPr>
              <w:t>a birthday party</w:t>
            </w:r>
            <w:r w:rsidRPr="00711FE4">
              <w:rPr>
                <w:rFonts w:ascii="Arial" w:hAnsi="Arial"/>
                <w:color w:val="000000"/>
                <w:sz w:val="14"/>
                <w:szCs w:val="14"/>
              </w:rPr>
              <w:t>?</w:t>
            </w:r>
          </w:p>
        </w:tc>
        <w:tc>
          <w:tcPr>
            <w:tcW w:w="3122" w:type="dxa"/>
            <w:vAlign w:val="center"/>
          </w:tcPr>
          <w:p w14:paraId="52D0F0B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have friends around for </w:t>
            </w:r>
            <w:r w:rsidRPr="00711FE4">
              <w:rPr>
                <w:rFonts w:ascii="Arial" w:eastAsia="Times New Roman" w:hAnsi="Arial"/>
                <w:color w:val="FF0000"/>
                <w:sz w:val="14"/>
                <w:szCs w:val="14"/>
                <w:lang w:eastAsia="en-NZ"/>
              </w:rPr>
              <w:t>birthday parties</w:t>
            </w:r>
            <w:r w:rsidRPr="00711FE4">
              <w:rPr>
                <w:rFonts w:ascii="Arial" w:eastAsia="Times New Roman" w:hAnsi="Arial"/>
                <w:color w:val="000000"/>
                <w:sz w:val="14"/>
                <w:szCs w:val="14"/>
                <w:lang w:eastAsia="en-NZ"/>
              </w:rPr>
              <w:t>?</w:t>
            </w:r>
          </w:p>
        </w:tc>
        <w:tc>
          <w:tcPr>
            <w:tcW w:w="708" w:type="dxa"/>
            <w:vAlign w:val="center"/>
          </w:tcPr>
          <w:p w14:paraId="34B08C87"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1C5B5372" w14:textId="77777777" w:rsidTr="00366F04">
        <w:trPr>
          <w:trHeight w:val="360"/>
        </w:trPr>
        <w:tc>
          <w:tcPr>
            <w:tcW w:w="1563" w:type="dxa"/>
            <w:vAlign w:val="center"/>
          </w:tcPr>
          <w:p w14:paraId="0A66D14B" w14:textId="77777777" w:rsidR="00711FE4" w:rsidRPr="00711FE4" w:rsidRDefault="00711FE4" w:rsidP="00711FE4">
            <w:pPr>
              <w:spacing w:after="0" w:line="240" w:lineRule="auto"/>
              <w:rPr>
                <w:rFonts w:ascii="Arial" w:hAnsi="Arial"/>
                <w:b/>
                <w:bCs/>
                <w:color w:val="000000"/>
                <w:sz w:val="14"/>
                <w:szCs w:val="14"/>
              </w:rPr>
            </w:pPr>
            <w:r w:rsidRPr="00711FE4">
              <w:rPr>
                <w:rFonts w:ascii="Arial" w:hAnsi="Arial"/>
                <w:color w:val="000000"/>
                <w:sz w:val="14"/>
                <w:szCs w:val="14"/>
              </w:rPr>
              <w:t>Child computer</w:t>
            </w:r>
          </w:p>
        </w:tc>
        <w:tc>
          <w:tcPr>
            <w:tcW w:w="3254" w:type="dxa"/>
            <w:vAlign w:val="center"/>
          </w:tcPr>
          <w:p w14:paraId="2577DC3A"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 children have good access at home to a </w:t>
            </w:r>
            <w:r w:rsidRPr="00711FE4">
              <w:rPr>
                <w:rFonts w:ascii="Arial" w:eastAsia="Times New Roman" w:hAnsi="Arial"/>
                <w:color w:val="FF0000"/>
                <w:sz w:val="14"/>
                <w:szCs w:val="14"/>
                <w:lang w:eastAsia="en-NZ"/>
              </w:rPr>
              <w:t>computer and the internet for homework</w:t>
            </w:r>
            <w:r w:rsidRPr="00711FE4">
              <w:rPr>
                <w:rFonts w:ascii="Arial" w:eastAsia="Times New Roman" w:hAnsi="Arial"/>
                <w:color w:val="000000"/>
                <w:sz w:val="14"/>
                <w:szCs w:val="14"/>
                <w:lang w:eastAsia="en-NZ"/>
              </w:rPr>
              <w:t>?</w:t>
            </w:r>
          </w:p>
        </w:tc>
        <w:tc>
          <w:tcPr>
            <w:tcW w:w="3122" w:type="dxa"/>
            <w:vAlign w:val="center"/>
          </w:tcPr>
          <w:p w14:paraId="02485678"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Do they have good access at home to the </w:t>
            </w:r>
            <w:r w:rsidRPr="00711FE4">
              <w:rPr>
                <w:rFonts w:ascii="Arial" w:eastAsia="Times New Roman" w:hAnsi="Arial"/>
                <w:color w:val="FF0000"/>
                <w:sz w:val="14"/>
                <w:szCs w:val="14"/>
                <w:lang w:eastAsia="en-NZ"/>
              </w:rPr>
              <w:t>internet and a device</w:t>
            </w:r>
            <w:r w:rsidRPr="00711FE4">
              <w:rPr>
                <w:rFonts w:ascii="Arial" w:eastAsia="Times New Roman" w:hAnsi="Arial"/>
                <w:color w:val="000000"/>
                <w:sz w:val="14"/>
                <w:szCs w:val="14"/>
                <w:lang w:eastAsia="en-NZ"/>
              </w:rPr>
              <w:t>?</w:t>
            </w:r>
          </w:p>
          <w:p w14:paraId="2C29F251" w14:textId="77777777" w:rsidR="00711FE4" w:rsidRPr="00711FE4" w:rsidRDefault="00711FE4" w:rsidP="00711FE4">
            <w:pPr>
              <w:spacing w:before="40" w:after="40" w:line="240" w:lineRule="auto"/>
              <w:jc w:val="center"/>
              <w:rPr>
                <w:rFonts w:ascii="Arial" w:eastAsia="Times New Roman" w:hAnsi="Arial"/>
                <w:i/>
                <w:iCs/>
                <w:color w:val="FF0000"/>
                <w:sz w:val="14"/>
                <w:szCs w:val="14"/>
                <w:lang w:eastAsia="en-NZ"/>
              </w:rPr>
            </w:pPr>
            <w:r w:rsidRPr="00711FE4">
              <w:rPr>
                <w:rFonts w:ascii="Arial" w:eastAsia="Times New Roman" w:hAnsi="Arial"/>
                <w:i/>
                <w:iCs/>
                <w:color w:val="FF0000"/>
                <w:sz w:val="14"/>
                <w:szCs w:val="14"/>
                <w:lang w:eastAsia="en-NZ"/>
              </w:rPr>
              <w:t>If internet/device is available but not used, select 'not applicable'</w:t>
            </w:r>
          </w:p>
          <w:p w14:paraId="6041D429"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yes, no, NA</w:t>
            </w:r>
          </w:p>
        </w:tc>
        <w:tc>
          <w:tcPr>
            <w:tcW w:w="708" w:type="dxa"/>
            <w:vAlign w:val="center"/>
          </w:tcPr>
          <w:p w14:paraId="5875055B" w14:textId="77777777" w:rsidR="00711FE4" w:rsidRPr="00711FE4" w:rsidRDefault="00711FE4" w:rsidP="00711FE4">
            <w:pPr>
              <w:spacing w:after="0" w:line="240" w:lineRule="auto"/>
              <w:jc w:val="center"/>
              <w:rPr>
                <w:rFonts w:ascii="Arial" w:hAnsi="Arial"/>
                <w:b/>
                <w:bCs/>
                <w:color w:val="000000"/>
                <w:sz w:val="14"/>
                <w:szCs w:val="14"/>
              </w:rPr>
            </w:pPr>
            <w:r w:rsidRPr="00711FE4">
              <w:rPr>
                <w:rFonts w:ascii="Arial" w:hAnsi="Arial"/>
                <w:color w:val="000000"/>
                <w:sz w:val="14"/>
                <w:szCs w:val="14"/>
              </w:rPr>
              <w:t>CHI</w:t>
            </w:r>
          </w:p>
        </w:tc>
      </w:tr>
      <w:tr w:rsidR="00711FE4" w:rsidRPr="00711FE4" w14:paraId="5F449BC5" w14:textId="77777777" w:rsidTr="00366F04">
        <w:trPr>
          <w:trHeight w:val="360"/>
        </w:trPr>
        <w:tc>
          <w:tcPr>
            <w:tcW w:w="1563" w:type="dxa"/>
            <w:shd w:val="clear" w:color="auto" w:fill="D9E2F3" w:themeFill="accent1" w:themeFillTint="33"/>
            <w:vAlign w:val="center"/>
          </w:tcPr>
          <w:p w14:paraId="769CF8A7" w14:textId="77777777" w:rsidR="00711FE4" w:rsidRPr="00711FE4" w:rsidRDefault="00711FE4" w:rsidP="00711FE4">
            <w:pPr>
              <w:spacing w:after="0" w:line="240" w:lineRule="auto"/>
              <w:rPr>
                <w:rFonts w:ascii="Arial" w:hAnsi="Arial"/>
                <w:color w:val="000000"/>
                <w:sz w:val="14"/>
                <w:szCs w:val="14"/>
              </w:rPr>
            </w:pPr>
          </w:p>
        </w:tc>
        <w:tc>
          <w:tcPr>
            <w:tcW w:w="6376" w:type="dxa"/>
            <w:gridSpan w:val="2"/>
            <w:shd w:val="clear" w:color="auto" w:fill="D9E2F3" w:themeFill="accent1" w:themeFillTint="33"/>
            <w:vAlign w:val="center"/>
          </w:tcPr>
          <w:p w14:paraId="7EFC205E"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hAnsi="Arial"/>
                <w:b/>
                <w:bCs/>
                <w:color w:val="000000"/>
                <w:sz w:val="14"/>
                <w:szCs w:val="14"/>
              </w:rPr>
              <w:t xml:space="preserve">Note: in HILS this question is </w:t>
            </w:r>
            <w:r w:rsidRPr="00711FE4">
              <w:rPr>
                <w:rFonts w:ascii="Arial" w:eastAsia="Times New Roman" w:hAnsi="Arial"/>
                <w:b/>
                <w:bCs/>
                <w:color w:val="000000"/>
                <w:sz w:val="14"/>
                <w:szCs w:val="14"/>
                <w:lang w:eastAsia="en-NZ"/>
              </w:rPr>
              <w:t xml:space="preserve">only asked if at least one child is aged &gt;= 5, </w:t>
            </w:r>
          </w:p>
          <w:p w14:paraId="2972A02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b/>
                <w:bCs/>
                <w:color w:val="000000"/>
                <w:sz w:val="14"/>
                <w:szCs w:val="14"/>
                <w:lang w:eastAsia="en-NZ"/>
              </w:rPr>
              <w:t>AND qComputer and qInternet from HSP = YES)</w:t>
            </w:r>
          </w:p>
        </w:tc>
        <w:tc>
          <w:tcPr>
            <w:tcW w:w="708" w:type="dxa"/>
            <w:shd w:val="clear" w:color="auto" w:fill="D9E2F3" w:themeFill="accent1" w:themeFillTint="33"/>
            <w:vAlign w:val="center"/>
          </w:tcPr>
          <w:p w14:paraId="2D7792B9" w14:textId="77777777" w:rsidR="00711FE4" w:rsidRPr="00711FE4" w:rsidRDefault="00711FE4" w:rsidP="00711FE4">
            <w:pPr>
              <w:spacing w:after="0" w:line="240" w:lineRule="auto"/>
              <w:jc w:val="center"/>
              <w:rPr>
                <w:rFonts w:ascii="Arial" w:hAnsi="Arial"/>
                <w:color w:val="000000"/>
                <w:sz w:val="14"/>
                <w:szCs w:val="14"/>
              </w:rPr>
            </w:pPr>
          </w:p>
        </w:tc>
      </w:tr>
      <w:tr w:rsidR="00711FE4" w:rsidRPr="00711FE4" w14:paraId="61DE03B1" w14:textId="77777777" w:rsidTr="00366F04">
        <w:trPr>
          <w:trHeight w:val="360"/>
        </w:trPr>
        <w:tc>
          <w:tcPr>
            <w:tcW w:w="1563" w:type="dxa"/>
            <w:shd w:val="clear" w:color="auto" w:fill="F2F2F2" w:themeFill="background1" w:themeFillShade="F2"/>
            <w:vAlign w:val="center"/>
          </w:tcPr>
          <w:p w14:paraId="6618C93A" w14:textId="77777777" w:rsidR="00711FE4" w:rsidRPr="00711FE4" w:rsidRDefault="00711FE4" w:rsidP="00711FE4">
            <w:pPr>
              <w:spacing w:after="0" w:line="240" w:lineRule="auto"/>
              <w:rPr>
                <w:rFonts w:ascii="Arial" w:hAnsi="Arial"/>
                <w:color w:val="000000"/>
                <w:sz w:val="14"/>
                <w:szCs w:val="14"/>
              </w:rPr>
            </w:pPr>
            <w:r w:rsidRPr="00711FE4">
              <w:rPr>
                <w:rFonts w:ascii="Arial" w:eastAsia="Times New Roman" w:hAnsi="Arial"/>
                <w:b/>
                <w:bCs/>
                <w:color w:val="000000"/>
                <w:sz w:val="14"/>
                <w:szCs w:val="14"/>
                <w:lang w:eastAsia="en-NZ"/>
              </w:rPr>
              <w:t>Economising</w:t>
            </w:r>
          </w:p>
        </w:tc>
        <w:tc>
          <w:tcPr>
            <w:tcW w:w="3254" w:type="dxa"/>
            <w:shd w:val="clear" w:color="auto" w:fill="F2F2F2" w:themeFill="background1" w:themeFillShade="F2"/>
            <w:vAlign w:val="center"/>
          </w:tcPr>
          <w:p w14:paraId="5FECAF27"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Use showcard S9 to tell me if you had to do any of the following things to keep down costs in the last 12 months 'not at all', 'a little', or 'a lot':</w:t>
            </w:r>
          </w:p>
          <w:p w14:paraId="16085964" w14:textId="77777777" w:rsidR="00711FE4" w:rsidRPr="00711FE4" w:rsidRDefault="00711FE4" w:rsidP="00711FE4">
            <w:pPr>
              <w:spacing w:before="40" w:after="40" w:line="240" w:lineRule="auto"/>
              <w:rPr>
                <w:rFonts w:ascii="Arial" w:eastAsia="Times New Roman" w:hAnsi="Arial"/>
                <w:color w:val="000000"/>
                <w:sz w:val="14"/>
                <w:szCs w:val="14"/>
                <w:lang w:eastAsia="en-NZ"/>
              </w:rPr>
            </w:pPr>
          </w:p>
          <w:p w14:paraId="595A0C38" w14:textId="77777777" w:rsidR="00711FE4" w:rsidRPr="00711FE4" w:rsidRDefault="00711FE4" w:rsidP="00711FE4">
            <w:pPr>
              <w:spacing w:before="40" w:after="40" w:line="240" w:lineRule="auto"/>
              <w:jc w:val="center"/>
              <w:rPr>
                <w:rFonts w:ascii="Arial" w:hAnsi="Arial"/>
                <w:color w:val="000000"/>
                <w:sz w:val="14"/>
                <w:szCs w:val="14"/>
              </w:rPr>
            </w:pPr>
            <w:r w:rsidRPr="00711FE4">
              <w:rPr>
                <w:rFonts w:ascii="Arial" w:eastAsia="Times New Roman" w:hAnsi="Arial"/>
                <w:b/>
                <w:bCs/>
                <w:color w:val="242424"/>
                <w:sz w:val="14"/>
                <w:szCs w:val="14"/>
                <w:lang w:eastAsia="en-NZ"/>
              </w:rPr>
              <w:t>- not at all</w:t>
            </w:r>
            <w:r w:rsidRPr="00711FE4">
              <w:rPr>
                <w:rFonts w:ascii="Arial" w:eastAsia="Times New Roman" w:hAnsi="Arial"/>
                <w:b/>
                <w:bCs/>
                <w:color w:val="242424"/>
                <w:sz w:val="14"/>
                <w:szCs w:val="14"/>
                <w:lang w:eastAsia="en-NZ"/>
              </w:rPr>
              <w:br/>
              <w:t>- a little</w:t>
            </w:r>
            <w:r w:rsidRPr="00711FE4">
              <w:rPr>
                <w:rFonts w:ascii="Arial" w:eastAsia="Times New Roman" w:hAnsi="Arial"/>
                <w:b/>
                <w:bCs/>
                <w:color w:val="242424"/>
                <w:sz w:val="14"/>
                <w:szCs w:val="14"/>
                <w:lang w:eastAsia="en-NZ"/>
              </w:rPr>
              <w:br/>
              <w:t>- a lot</w:t>
            </w:r>
            <w:r w:rsidRPr="00711FE4">
              <w:rPr>
                <w:rFonts w:ascii="Arial" w:eastAsia="Times New Roman" w:hAnsi="Arial"/>
                <w:b/>
                <w:bCs/>
                <w:color w:val="242424"/>
                <w:sz w:val="14"/>
                <w:szCs w:val="14"/>
                <w:lang w:eastAsia="en-NZ"/>
              </w:rPr>
              <w:br/>
              <w:t>- NA</w:t>
            </w:r>
          </w:p>
        </w:tc>
        <w:tc>
          <w:tcPr>
            <w:tcW w:w="3122" w:type="dxa"/>
            <w:shd w:val="clear" w:color="auto" w:fill="F2F2F2" w:themeFill="background1" w:themeFillShade="F2"/>
            <w:vAlign w:val="center"/>
          </w:tcPr>
          <w:p w14:paraId="6E93B7B4"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To keep costs down, in the last 12 months have you </w:t>
            </w:r>
            <w:r w:rsidRPr="00711FE4">
              <w:rPr>
                <w:rFonts w:ascii="Arial" w:eastAsia="Times New Roman" w:hAnsi="Arial"/>
                <w:color w:val="FF0000"/>
                <w:sz w:val="14"/>
                <w:szCs w:val="14"/>
                <w:lang w:eastAsia="en-NZ"/>
              </w:rPr>
              <w:t>ever</w:t>
            </w:r>
            <w:r w:rsidRPr="00711FE4">
              <w:rPr>
                <w:rFonts w:ascii="Arial" w:eastAsia="Times New Roman" w:hAnsi="Arial"/>
                <w:color w:val="000000"/>
                <w:sz w:val="14"/>
                <w:szCs w:val="14"/>
                <w:lang w:eastAsia="en-NZ"/>
              </w:rPr>
              <w:t>…</w:t>
            </w:r>
            <w:r w:rsidRPr="00711FE4">
              <w:rPr>
                <w:rFonts w:ascii="Arial" w:eastAsia="Times New Roman" w:hAnsi="Arial"/>
                <w:color w:val="000000"/>
                <w:sz w:val="14"/>
                <w:szCs w:val="14"/>
                <w:lang w:eastAsia="en-NZ"/>
              </w:rPr>
              <w:br/>
            </w: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Yes/No</w:t>
            </w:r>
            <w:r w:rsidRPr="00711FE4">
              <w:rPr>
                <w:rFonts w:ascii="Arial" w:eastAsia="Times New Roman" w:hAnsi="Arial"/>
                <w:color w:val="000000"/>
                <w:sz w:val="14"/>
                <w:szCs w:val="14"/>
                <w:lang w:eastAsia="en-NZ"/>
              </w:rPr>
              <w:t xml:space="preserve"> </w:t>
            </w:r>
          </w:p>
          <w:p w14:paraId="33FB5BCB" w14:textId="77777777" w:rsidR="00711FE4" w:rsidRPr="00711FE4" w:rsidRDefault="00711FE4" w:rsidP="00711FE4">
            <w:pPr>
              <w:spacing w:before="40" w:after="40" w:line="240" w:lineRule="auto"/>
              <w:rPr>
                <w:rFonts w:ascii="Arial" w:eastAsia="Times New Roman" w:hAnsi="Arial"/>
                <w:color w:val="000000"/>
                <w:sz w:val="14"/>
                <w:szCs w:val="14"/>
                <w:lang w:eastAsia="en-NZ"/>
              </w:rPr>
            </w:pPr>
          </w:p>
          <w:p w14:paraId="4CFD47B2"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If </w:t>
            </w:r>
            <w:r w:rsidRPr="00711FE4">
              <w:rPr>
                <w:rFonts w:ascii="Arial" w:eastAsia="Times New Roman" w:hAnsi="Arial"/>
                <w:b/>
                <w:bCs/>
                <w:color w:val="000000"/>
                <w:sz w:val="14"/>
                <w:szCs w:val="14"/>
                <w:lang w:eastAsia="en-NZ"/>
              </w:rPr>
              <w:t>Yes</w:t>
            </w:r>
            <w:r w:rsidRPr="00711FE4">
              <w:rPr>
                <w:rFonts w:ascii="Arial" w:eastAsia="Times New Roman" w:hAnsi="Arial"/>
                <w:color w:val="000000"/>
                <w:sz w:val="14"/>
                <w:szCs w:val="14"/>
                <w:lang w:eastAsia="en-NZ"/>
              </w:rPr>
              <w:t>: Did that happen a little or a lot?</w:t>
            </w:r>
          </w:p>
          <w:p w14:paraId="2BB46669" w14:textId="77777777" w:rsidR="00711FE4" w:rsidRPr="00711FE4" w:rsidRDefault="00711FE4" w:rsidP="00711FE4">
            <w:pPr>
              <w:spacing w:before="40" w:after="40" w:line="240" w:lineRule="auto"/>
              <w:rPr>
                <w:rFonts w:ascii="Arial" w:eastAsia="Times New Roman" w:hAnsi="Arial"/>
                <w:b/>
                <w:bCs/>
                <w:color w:val="000000"/>
                <w:sz w:val="14"/>
                <w:szCs w:val="14"/>
                <w:lang w:eastAsia="en-NZ"/>
              </w:rPr>
            </w:pPr>
            <w:r w:rsidRPr="00711FE4">
              <w:rPr>
                <w:rFonts w:ascii="Arial" w:eastAsia="Times New Roman" w:hAnsi="Arial"/>
                <w:color w:val="000000"/>
                <w:sz w:val="6"/>
                <w:szCs w:val="6"/>
                <w:lang w:eastAsia="en-NZ"/>
              </w:rPr>
              <w:br/>
            </w:r>
            <w:r w:rsidRPr="00711FE4">
              <w:rPr>
                <w:rFonts w:ascii="Arial" w:eastAsia="Times New Roman" w:hAnsi="Arial"/>
                <w:b/>
                <w:bCs/>
                <w:color w:val="000000"/>
                <w:sz w:val="14"/>
                <w:szCs w:val="14"/>
                <w:lang w:eastAsia="en-NZ"/>
              </w:rPr>
              <w:t>- a little</w:t>
            </w:r>
          </w:p>
          <w:p w14:paraId="42C98F74" w14:textId="77777777" w:rsidR="00711FE4" w:rsidRPr="00711FE4" w:rsidRDefault="00711FE4" w:rsidP="00711FE4">
            <w:pPr>
              <w:spacing w:before="40" w:after="40" w:line="240" w:lineRule="auto"/>
              <w:rPr>
                <w:rFonts w:ascii="Arial" w:eastAsia="Times New Roman" w:hAnsi="Arial"/>
                <w:color w:val="000000"/>
                <w:sz w:val="14"/>
                <w:szCs w:val="14"/>
                <w:lang w:eastAsia="en-NZ"/>
              </w:rPr>
            </w:pPr>
            <w:r w:rsidRPr="00711FE4">
              <w:rPr>
                <w:rFonts w:ascii="Arial" w:eastAsia="Times New Roman" w:hAnsi="Arial"/>
                <w:b/>
                <w:bCs/>
                <w:color w:val="000000"/>
                <w:sz w:val="14"/>
                <w:szCs w:val="14"/>
                <w:lang w:eastAsia="en-NZ"/>
              </w:rPr>
              <w:t>- a lot</w:t>
            </w:r>
          </w:p>
        </w:tc>
        <w:tc>
          <w:tcPr>
            <w:tcW w:w="708" w:type="dxa"/>
            <w:shd w:val="clear" w:color="auto" w:fill="F2F2F2" w:themeFill="background1" w:themeFillShade="F2"/>
            <w:vAlign w:val="center"/>
          </w:tcPr>
          <w:p w14:paraId="49912FA7" w14:textId="77777777" w:rsidR="00711FE4" w:rsidRPr="00711FE4" w:rsidRDefault="00711FE4" w:rsidP="00711FE4">
            <w:pPr>
              <w:spacing w:after="0" w:line="240" w:lineRule="auto"/>
              <w:jc w:val="center"/>
              <w:rPr>
                <w:rFonts w:ascii="Arial" w:hAnsi="Arial"/>
                <w:color w:val="000000"/>
                <w:sz w:val="14"/>
                <w:szCs w:val="14"/>
              </w:rPr>
            </w:pPr>
            <w:r w:rsidRPr="00711FE4">
              <w:rPr>
                <w:rFonts w:ascii="Arial" w:eastAsia="Times New Roman" w:hAnsi="Arial"/>
                <w:b/>
                <w:bCs/>
                <w:color w:val="000000"/>
                <w:sz w:val="14"/>
                <w:szCs w:val="14"/>
                <w:lang w:eastAsia="en-NZ"/>
              </w:rPr>
              <w:t> </w:t>
            </w:r>
          </w:p>
        </w:tc>
      </w:tr>
      <w:tr w:rsidR="00711FE4" w:rsidRPr="00711FE4" w14:paraId="114E5027" w14:textId="77777777" w:rsidTr="00366F04">
        <w:trPr>
          <w:trHeight w:val="360"/>
        </w:trPr>
        <w:tc>
          <w:tcPr>
            <w:tcW w:w="1563" w:type="dxa"/>
            <w:vAlign w:val="center"/>
            <w:hideMark/>
          </w:tcPr>
          <w:p w14:paraId="1D4077F7"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dentist</w:t>
            </w:r>
          </w:p>
        </w:tc>
        <w:tc>
          <w:tcPr>
            <w:tcW w:w="3254" w:type="dxa"/>
            <w:vAlign w:val="center"/>
            <w:hideMark/>
          </w:tcPr>
          <w:p w14:paraId="4D47105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postponed </w:t>
            </w:r>
            <w:r w:rsidRPr="00711FE4">
              <w:rPr>
                <w:rFonts w:ascii="Arial" w:eastAsia="Times New Roman" w:hAnsi="Arial"/>
                <w:color w:val="000000"/>
                <w:sz w:val="14"/>
                <w:szCs w:val="14"/>
                <w:lang w:eastAsia="en-NZ"/>
              </w:rPr>
              <w:t>a child's visit to the dentist?</w:t>
            </w:r>
          </w:p>
        </w:tc>
        <w:tc>
          <w:tcPr>
            <w:tcW w:w="3122" w:type="dxa"/>
            <w:vAlign w:val="center"/>
            <w:hideMark/>
          </w:tcPr>
          <w:p w14:paraId="3A4A38F0"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put off </w:t>
            </w:r>
            <w:r w:rsidRPr="00711FE4">
              <w:rPr>
                <w:rFonts w:ascii="Arial" w:eastAsia="Times New Roman" w:hAnsi="Arial"/>
                <w:color w:val="000000"/>
                <w:sz w:val="14"/>
                <w:szCs w:val="14"/>
                <w:lang w:eastAsia="en-NZ"/>
              </w:rPr>
              <w:t>taking any of the children to the dentist?</w:t>
            </w:r>
          </w:p>
        </w:tc>
        <w:tc>
          <w:tcPr>
            <w:tcW w:w="708" w:type="dxa"/>
            <w:vAlign w:val="center"/>
            <w:hideMark/>
          </w:tcPr>
          <w:p w14:paraId="4C772189"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4553AA7C" w14:textId="77777777" w:rsidTr="00366F04">
        <w:trPr>
          <w:trHeight w:val="360"/>
        </w:trPr>
        <w:tc>
          <w:tcPr>
            <w:tcW w:w="1563" w:type="dxa"/>
            <w:vAlign w:val="center"/>
            <w:hideMark/>
          </w:tcPr>
          <w:p w14:paraId="0465914F"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doctor</w:t>
            </w:r>
          </w:p>
        </w:tc>
        <w:tc>
          <w:tcPr>
            <w:tcW w:w="3254" w:type="dxa"/>
            <w:vAlign w:val="center"/>
            <w:hideMark/>
          </w:tcPr>
          <w:p w14:paraId="47842C76"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postponed </w:t>
            </w:r>
            <w:r w:rsidRPr="00711FE4">
              <w:rPr>
                <w:rFonts w:ascii="Arial" w:eastAsia="Times New Roman" w:hAnsi="Arial"/>
                <w:color w:val="000000"/>
                <w:sz w:val="14"/>
                <w:szCs w:val="14"/>
                <w:lang w:eastAsia="en-NZ"/>
              </w:rPr>
              <w:t>a child's visit to the doctor?</w:t>
            </w:r>
          </w:p>
        </w:tc>
        <w:tc>
          <w:tcPr>
            <w:tcW w:w="3122" w:type="dxa"/>
            <w:vAlign w:val="center"/>
            <w:hideMark/>
          </w:tcPr>
          <w:p w14:paraId="34AA7D8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put </w:t>
            </w:r>
            <w:r w:rsidRPr="00711FE4">
              <w:rPr>
                <w:rFonts w:ascii="Arial" w:eastAsia="Times New Roman" w:hAnsi="Arial"/>
                <w:color w:val="FF0000"/>
                <w:sz w:val="14"/>
                <w:szCs w:val="14"/>
                <w:lang w:eastAsia="en-NZ"/>
              </w:rPr>
              <w:t xml:space="preserve">off taking </w:t>
            </w:r>
            <w:r w:rsidRPr="00711FE4">
              <w:rPr>
                <w:rFonts w:ascii="Arial" w:eastAsia="Times New Roman" w:hAnsi="Arial"/>
                <w:color w:val="000000"/>
                <w:sz w:val="14"/>
                <w:szCs w:val="14"/>
                <w:lang w:eastAsia="en-NZ"/>
              </w:rPr>
              <w:t>any of the children to the doctor?</w:t>
            </w:r>
          </w:p>
        </w:tc>
        <w:tc>
          <w:tcPr>
            <w:tcW w:w="708" w:type="dxa"/>
            <w:vAlign w:val="center"/>
            <w:hideMark/>
          </w:tcPr>
          <w:p w14:paraId="0B9DF1D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7C8012A2" w14:textId="77777777" w:rsidTr="00366F04">
        <w:trPr>
          <w:trHeight w:val="360"/>
        </w:trPr>
        <w:tc>
          <w:tcPr>
            <w:tcW w:w="1563" w:type="dxa"/>
            <w:vAlign w:val="center"/>
          </w:tcPr>
          <w:p w14:paraId="35C027AC" w14:textId="77777777" w:rsidR="00711FE4" w:rsidRPr="00711FE4" w:rsidRDefault="00711FE4" w:rsidP="00711FE4">
            <w:pPr>
              <w:spacing w:after="0" w:line="240" w:lineRule="auto"/>
              <w:rPr>
                <w:rFonts w:ascii="Arial" w:hAnsi="Arial"/>
                <w:color w:val="000000"/>
                <w:sz w:val="14"/>
                <w:szCs w:val="14"/>
              </w:rPr>
            </w:pPr>
            <w:r w:rsidRPr="00711FE4">
              <w:rPr>
                <w:rFonts w:ascii="Arial" w:hAnsi="Arial"/>
                <w:color w:val="000000"/>
                <w:sz w:val="14"/>
                <w:szCs w:val="14"/>
              </w:rPr>
              <w:lastRenderedPageBreak/>
              <w:t>Child prescription</w:t>
            </w:r>
          </w:p>
        </w:tc>
        <w:tc>
          <w:tcPr>
            <w:tcW w:w="3254" w:type="dxa"/>
            <w:vAlign w:val="center"/>
          </w:tcPr>
          <w:p w14:paraId="27BEB60C"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could not </w:t>
            </w:r>
            <w:r w:rsidRPr="00711FE4">
              <w:rPr>
                <w:rFonts w:ascii="Arial" w:eastAsia="Times New Roman" w:hAnsi="Arial"/>
                <w:color w:val="000000"/>
                <w:sz w:val="14"/>
                <w:szCs w:val="14"/>
                <w:lang w:eastAsia="en-NZ"/>
              </w:rPr>
              <w:t>pick up a child's prescription?</w:t>
            </w:r>
          </w:p>
        </w:tc>
        <w:tc>
          <w:tcPr>
            <w:tcW w:w="3122" w:type="dxa"/>
            <w:vAlign w:val="center"/>
          </w:tcPr>
          <w:p w14:paraId="5A5AA58D"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been unable to </w:t>
            </w:r>
            <w:r w:rsidRPr="00711FE4">
              <w:rPr>
                <w:rFonts w:ascii="Arial" w:eastAsia="Times New Roman" w:hAnsi="Arial"/>
                <w:color w:val="000000"/>
                <w:sz w:val="14"/>
                <w:szCs w:val="14"/>
                <w:lang w:eastAsia="en-NZ"/>
              </w:rPr>
              <w:t>pick up a prescription for any of the children?</w:t>
            </w:r>
          </w:p>
        </w:tc>
        <w:tc>
          <w:tcPr>
            <w:tcW w:w="708" w:type="dxa"/>
            <w:vAlign w:val="center"/>
          </w:tcPr>
          <w:p w14:paraId="628DFF17" w14:textId="77777777" w:rsidR="00711FE4" w:rsidRPr="00711FE4" w:rsidRDefault="00711FE4" w:rsidP="00711FE4">
            <w:pPr>
              <w:spacing w:after="0" w:line="240" w:lineRule="auto"/>
              <w:jc w:val="center"/>
              <w:rPr>
                <w:rFonts w:ascii="Arial" w:hAnsi="Arial"/>
                <w:color w:val="000000"/>
                <w:sz w:val="14"/>
                <w:szCs w:val="14"/>
              </w:rPr>
            </w:pPr>
            <w:r w:rsidRPr="00711FE4">
              <w:rPr>
                <w:rFonts w:ascii="Arial" w:hAnsi="Arial"/>
                <w:color w:val="000000"/>
                <w:sz w:val="14"/>
                <w:szCs w:val="14"/>
              </w:rPr>
              <w:t>CHI</w:t>
            </w:r>
          </w:p>
        </w:tc>
      </w:tr>
      <w:tr w:rsidR="00711FE4" w:rsidRPr="00711FE4" w14:paraId="73C7471E" w14:textId="77777777" w:rsidTr="00366F04">
        <w:trPr>
          <w:trHeight w:val="360"/>
        </w:trPr>
        <w:tc>
          <w:tcPr>
            <w:tcW w:w="1563" w:type="dxa"/>
            <w:vAlign w:val="center"/>
          </w:tcPr>
          <w:p w14:paraId="5857C5AA" w14:textId="77777777" w:rsidR="00711FE4" w:rsidRPr="00711FE4" w:rsidRDefault="00711FE4" w:rsidP="00711FE4">
            <w:pPr>
              <w:spacing w:after="0" w:line="240" w:lineRule="auto"/>
              <w:rPr>
                <w:rFonts w:ascii="Arial" w:hAnsi="Arial"/>
                <w:color w:val="000000"/>
                <w:sz w:val="14"/>
                <w:szCs w:val="14"/>
              </w:rPr>
            </w:pPr>
            <w:r w:rsidRPr="00711FE4">
              <w:rPr>
                <w:rFonts w:ascii="Arial" w:hAnsi="Arial"/>
                <w:color w:val="000000"/>
                <w:sz w:val="14"/>
                <w:szCs w:val="14"/>
              </w:rPr>
              <w:t>Child trip</w:t>
            </w:r>
          </w:p>
        </w:tc>
        <w:tc>
          <w:tcPr>
            <w:tcW w:w="3254" w:type="dxa"/>
            <w:vAlign w:val="center"/>
          </w:tcPr>
          <w:p w14:paraId="3A46EB7E"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been </w:t>
            </w:r>
            <w:r w:rsidRPr="00711FE4">
              <w:rPr>
                <w:rFonts w:ascii="Arial" w:eastAsia="Times New Roman" w:hAnsi="Arial"/>
                <w:color w:val="000000"/>
                <w:sz w:val="14"/>
                <w:szCs w:val="14"/>
                <w:lang w:eastAsia="en-NZ"/>
              </w:rPr>
              <w:t>unable to pay for a child to go on a school trip or other school event?</w:t>
            </w:r>
          </w:p>
        </w:tc>
        <w:tc>
          <w:tcPr>
            <w:tcW w:w="3122" w:type="dxa"/>
            <w:vAlign w:val="center"/>
          </w:tcPr>
          <w:p w14:paraId="4DC5075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To keep costs down, in the last 12 months </w:t>
            </w:r>
            <w:r w:rsidRPr="00711FE4">
              <w:rPr>
                <w:rFonts w:ascii="Arial" w:eastAsia="Times New Roman" w:hAnsi="Arial"/>
                <w:color w:val="FF0000"/>
                <w:sz w:val="14"/>
                <w:szCs w:val="14"/>
                <w:lang w:eastAsia="en-NZ"/>
              </w:rPr>
              <w:t xml:space="preserve">were you ever </w:t>
            </w:r>
            <w:r w:rsidRPr="00711FE4">
              <w:rPr>
                <w:rFonts w:ascii="Arial" w:eastAsia="Times New Roman" w:hAnsi="Arial"/>
                <w:color w:val="000000"/>
                <w:sz w:val="14"/>
                <w:szCs w:val="14"/>
                <w:lang w:eastAsia="en-NZ"/>
              </w:rPr>
              <w:t>unable to pay for any of them to go on a school trip or other school event?</w:t>
            </w:r>
          </w:p>
          <w:p w14:paraId="1AB80BF2"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Yes, No, NA</w:t>
            </w:r>
          </w:p>
          <w:p w14:paraId="21AF0D3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p w14:paraId="539BE48E" w14:textId="77777777" w:rsidR="00711FE4" w:rsidRPr="00711FE4" w:rsidRDefault="00711FE4" w:rsidP="00711FE4">
            <w:pPr>
              <w:spacing w:before="40" w:after="40" w:line="240" w:lineRule="auto"/>
              <w:jc w:val="center"/>
              <w:rPr>
                <w:rFonts w:ascii="Arial" w:eastAsia="Times New Roman" w:hAnsi="Arial"/>
                <w:color w:val="FF0000"/>
                <w:sz w:val="14"/>
                <w:szCs w:val="14"/>
                <w:lang w:eastAsia="en-NZ"/>
              </w:rPr>
            </w:pPr>
            <w:r w:rsidRPr="00711FE4">
              <w:rPr>
                <w:rFonts w:ascii="Arial" w:eastAsia="Times New Roman" w:hAnsi="Arial"/>
                <w:color w:val="000000"/>
                <w:sz w:val="14"/>
                <w:szCs w:val="14"/>
                <w:lang w:eastAsia="en-NZ"/>
              </w:rPr>
              <w:t>If</w:t>
            </w:r>
            <w:r w:rsidRPr="00711FE4">
              <w:rPr>
                <w:rFonts w:ascii="Arial" w:eastAsia="Times New Roman" w:hAnsi="Arial"/>
                <w:b/>
                <w:bCs/>
                <w:color w:val="000000"/>
                <w:sz w:val="14"/>
                <w:szCs w:val="14"/>
                <w:lang w:eastAsia="en-NZ"/>
              </w:rPr>
              <w:t xml:space="preserve"> Yes </w:t>
            </w: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Did that happen every now and then, or was it for most school trips or events?</w:t>
            </w:r>
          </w:p>
          <w:p w14:paraId="1E9BFE0B" w14:textId="77777777" w:rsidR="00711FE4" w:rsidRPr="00711FE4" w:rsidRDefault="00711FE4" w:rsidP="00711FE4">
            <w:pPr>
              <w:spacing w:before="40" w:after="40" w:line="240" w:lineRule="auto"/>
              <w:rPr>
                <w:rFonts w:ascii="Arial" w:eastAsia="Times New Roman" w:hAnsi="Arial"/>
                <w:b/>
                <w:bCs/>
                <w:color w:val="FF0000"/>
                <w:sz w:val="14"/>
                <w:szCs w:val="14"/>
                <w:lang w:eastAsia="en-NZ"/>
              </w:rPr>
            </w:pPr>
            <w:r w:rsidRPr="00711FE4">
              <w:rPr>
                <w:rFonts w:ascii="Arial" w:eastAsia="Times New Roman" w:hAnsi="Arial"/>
                <w:b/>
                <w:bCs/>
                <w:color w:val="FF0000"/>
                <w:sz w:val="14"/>
                <w:szCs w:val="14"/>
                <w:lang w:eastAsia="en-NZ"/>
              </w:rPr>
              <w:t xml:space="preserve">- every now and then </w:t>
            </w:r>
          </w:p>
          <w:p w14:paraId="616DB965" w14:textId="77777777" w:rsidR="00711FE4" w:rsidRPr="00711FE4" w:rsidRDefault="00711FE4" w:rsidP="00711FE4">
            <w:pPr>
              <w:spacing w:before="40" w:after="40" w:line="240" w:lineRule="auto"/>
              <w:rPr>
                <w:rFonts w:ascii="Arial" w:eastAsia="Times New Roman" w:hAnsi="Arial"/>
                <w:b/>
                <w:bCs/>
                <w:color w:val="000000"/>
                <w:sz w:val="14"/>
                <w:szCs w:val="14"/>
                <w:lang w:eastAsia="en-NZ"/>
              </w:rPr>
            </w:pPr>
            <w:r w:rsidRPr="00711FE4">
              <w:rPr>
                <w:rFonts w:ascii="Arial" w:eastAsia="Times New Roman" w:hAnsi="Arial"/>
                <w:b/>
                <w:bCs/>
                <w:color w:val="FF0000"/>
                <w:sz w:val="14"/>
                <w:szCs w:val="14"/>
                <w:lang w:eastAsia="en-NZ"/>
              </w:rPr>
              <w:t>- for most school trips / events</w:t>
            </w:r>
          </w:p>
          <w:p w14:paraId="496E49E2"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p>
        </w:tc>
        <w:tc>
          <w:tcPr>
            <w:tcW w:w="708" w:type="dxa"/>
            <w:vAlign w:val="center"/>
          </w:tcPr>
          <w:p w14:paraId="2715360D" w14:textId="77777777" w:rsidR="00711FE4" w:rsidRPr="00711FE4" w:rsidRDefault="00711FE4" w:rsidP="00711FE4">
            <w:pPr>
              <w:spacing w:after="0" w:line="240" w:lineRule="auto"/>
              <w:jc w:val="center"/>
              <w:rPr>
                <w:rFonts w:ascii="Arial" w:hAnsi="Arial"/>
                <w:color w:val="000000"/>
                <w:sz w:val="14"/>
                <w:szCs w:val="14"/>
              </w:rPr>
            </w:pPr>
            <w:r w:rsidRPr="00711FE4">
              <w:rPr>
                <w:rFonts w:ascii="Arial" w:hAnsi="Arial"/>
                <w:color w:val="000000"/>
                <w:sz w:val="14"/>
                <w:szCs w:val="14"/>
              </w:rPr>
              <w:t>CHI</w:t>
            </w:r>
          </w:p>
        </w:tc>
      </w:tr>
      <w:tr w:rsidR="00711FE4" w:rsidRPr="00711FE4" w14:paraId="2B1ABA9E" w14:textId="77777777" w:rsidTr="00366F04">
        <w:trPr>
          <w:trHeight w:val="360"/>
        </w:trPr>
        <w:tc>
          <w:tcPr>
            <w:tcW w:w="1563" w:type="dxa"/>
            <w:shd w:val="clear" w:color="auto" w:fill="D9E2F3" w:themeFill="accent1" w:themeFillTint="33"/>
            <w:vAlign w:val="center"/>
          </w:tcPr>
          <w:p w14:paraId="3F004528" w14:textId="77777777" w:rsidR="00711FE4" w:rsidRPr="00711FE4" w:rsidRDefault="00711FE4" w:rsidP="00711FE4">
            <w:pPr>
              <w:spacing w:after="0" w:line="240" w:lineRule="auto"/>
              <w:rPr>
                <w:rFonts w:ascii="Arial" w:hAnsi="Arial"/>
                <w:color w:val="000000"/>
                <w:sz w:val="14"/>
                <w:szCs w:val="14"/>
              </w:rPr>
            </w:pPr>
          </w:p>
        </w:tc>
        <w:tc>
          <w:tcPr>
            <w:tcW w:w="6376" w:type="dxa"/>
            <w:gridSpan w:val="2"/>
            <w:shd w:val="clear" w:color="auto" w:fill="D9E2F3" w:themeFill="accent1" w:themeFillTint="33"/>
            <w:vAlign w:val="center"/>
          </w:tcPr>
          <w:p w14:paraId="0869E1B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hAnsi="Arial"/>
                <w:b/>
                <w:bCs/>
                <w:color w:val="000000"/>
                <w:sz w:val="14"/>
                <w:szCs w:val="14"/>
              </w:rPr>
              <w:t xml:space="preserve">Note: in HILS this question is </w:t>
            </w:r>
            <w:r w:rsidRPr="00711FE4">
              <w:rPr>
                <w:rFonts w:ascii="Arial" w:eastAsia="Times New Roman" w:hAnsi="Arial"/>
                <w:b/>
                <w:bCs/>
                <w:color w:val="000000"/>
                <w:sz w:val="14"/>
                <w:szCs w:val="14"/>
                <w:lang w:eastAsia="en-NZ"/>
              </w:rPr>
              <w:t>only asked if at least one child is aged &gt;= 5</w:t>
            </w:r>
          </w:p>
        </w:tc>
        <w:tc>
          <w:tcPr>
            <w:tcW w:w="708" w:type="dxa"/>
            <w:shd w:val="clear" w:color="auto" w:fill="D9E2F3" w:themeFill="accent1" w:themeFillTint="33"/>
            <w:vAlign w:val="center"/>
          </w:tcPr>
          <w:p w14:paraId="61058060" w14:textId="77777777" w:rsidR="00711FE4" w:rsidRPr="00711FE4" w:rsidRDefault="00711FE4" w:rsidP="00711FE4">
            <w:pPr>
              <w:spacing w:after="0" w:line="240" w:lineRule="auto"/>
              <w:jc w:val="center"/>
              <w:rPr>
                <w:rFonts w:ascii="Arial" w:hAnsi="Arial"/>
                <w:color w:val="000000"/>
                <w:sz w:val="14"/>
                <w:szCs w:val="14"/>
              </w:rPr>
            </w:pPr>
          </w:p>
        </w:tc>
      </w:tr>
      <w:tr w:rsidR="00711FE4" w:rsidRPr="00711FE4" w14:paraId="182CF751" w14:textId="77777777" w:rsidTr="00366F04">
        <w:trPr>
          <w:trHeight w:val="360"/>
        </w:trPr>
        <w:tc>
          <w:tcPr>
            <w:tcW w:w="1563" w:type="dxa"/>
            <w:vAlign w:val="center"/>
            <w:hideMark/>
          </w:tcPr>
          <w:p w14:paraId="3B760DC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sport</w:t>
            </w:r>
          </w:p>
        </w:tc>
        <w:tc>
          <w:tcPr>
            <w:tcW w:w="3254" w:type="dxa"/>
            <w:vAlign w:val="center"/>
            <w:hideMark/>
          </w:tcPr>
          <w:p w14:paraId="3AFB3E9F" w14:textId="77777777" w:rsidR="00711FE4" w:rsidRPr="00711FE4" w:rsidRDefault="00711FE4" w:rsidP="00711FE4">
            <w:pPr>
              <w:spacing w:before="40" w:after="40" w:line="240" w:lineRule="auto"/>
              <w:jc w:val="center"/>
              <w:rPr>
                <w:rFonts w:ascii="Arial" w:eastAsia="Times New Roman" w:hAnsi="Arial"/>
                <w:color w:val="242424"/>
                <w:sz w:val="14"/>
                <w:szCs w:val="14"/>
                <w:lang w:eastAsia="en-NZ"/>
              </w:rPr>
            </w:pPr>
            <w:r w:rsidRPr="00711FE4">
              <w:rPr>
                <w:rFonts w:ascii="Arial" w:eastAsia="Times New Roman" w:hAnsi="Arial"/>
                <w:color w:val="242424"/>
                <w:sz w:val="14"/>
                <w:szCs w:val="14"/>
                <w:lang w:eastAsia="en-NZ"/>
              </w:rPr>
              <w:t xml:space="preserve">- </w:t>
            </w:r>
            <w:r w:rsidRPr="00711FE4">
              <w:rPr>
                <w:rFonts w:ascii="Arial" w:eastAsia="Times New Roman" w:hAnsi="Arial"/>
                <w:color w:val="FF0000"/>
                <w:sz w:val="14"/>
                <w:szCs w:val="14"/>
                <w:lang w:eastAsia="en-NZ"/>
              </w:rPr>
              <w:t xml:space="preserve">had to limit </w:t>
            </w:r>
            <w:r w:rsidRPr="00711FE4">
              <w:rPr>
                <w:rFonts w:ascii="Arial" w:eastAsia="Times New Roman" w:hAnsi="Arial"/>
                <w:color w:val="242424"/>
                <w:sz w:val="14"/>
                <w:szCs w:val="14"/>
                <w:lang w:eastAsia="en-NZ"/>
              </w:rPr>
              <w:t>your children's involvement in sport?</w:t>
            </w:r>
          </w:p>
        </w:tc>
        <w:tc>
          <w:tcPr>
            <w:tcW w:w="3122" w:type="dxa"/>
            <w:vAlign w:val="center"/>
            <w:hideMark/>
          </w:tcPr>
          <w:p w14:paraId="539E1D7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Looking at showcard P128, to keep costs down, in the last 12 months </w:t>
            </w:r>
            <w:r w:rsidRPr="00711FE4">
              <w:rPr>
                <w:rFonts w:ascii="Arial" w:eastAsia="Times New Roman" w:hAnsi="Arial"/>
                <w:color w:val="FF0000"/>
                <w:sz w:val="14"/>
                <w:szCs w:val="14"/>
                <w:lang w:eastAsia="en-NZ"/>
              </w:rPr>
              <w:t xml:space="preserve">how much have you had to limit </w:t>
            </w:r>
            <w:r w:rsidRPr="00711FE4">
              <w:rPr>
                <w:rFonts w:ascii="Arial" w:eastAsia="Times New Roman" w:hAnsi="Arial"/>
                <w:color w:val="000000"/>
                <w:sz w:val="14"/>
                <w:szCs w:val="14"/>
                <w:lang w:eastAsia="en-NZ"/>
              </w:rPr>
              <w:t>any of the children's involvement in sport?</w:t>
            </w:r>
          </w:p>
          <w:p w14:paraId="73DE72C4"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p w14:paraId="37E5BD0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b/>
                <w:bCs/>
                <w:sz w:val="14"/>
                <w:szCs w:val="14"/>
                <w:lang w:eastAsia="en-NZ"/>
              </w:rPr>
              <w:t>not at all, a little, a lot, NA</w:t>
            </w:r>
          </w:p>
        </w:tc>
        <w:tc>
          <w:tcPr>
            <w:tcW w:w="708" w:type="dxa"/>
            <w:vAlign w:val="center"/>
            <w:hideMark/>
          </w:tcPr>
          <w:p w14:paraId="039221F2"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5A6E6D9C" w14:textId="77777777" w:rsidTr="00366F04">
        <w:trPr>
          <w:trHeight w:val="360"/>
        </w:trPr>
        <w:tc>
          <w:tcPr>
            <w:tcW w:w="1563" w:type="dxa"/>
            <w:vAlign w:val="center"/>
            <w:hideMark/>
          </w:tcPr>
          <w:p w14:paraId="10188CF6"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lessons</w:t>
            </w:r>
          </w:p>
        </w:tc>
        <w:tc>
          <w:tcPr>
            <w:tcW w:w="3254" w:type="dxa"/>
            <w:vAlign w:val="center"/>
            <w:hideMark/>
          </w:tcPr>
          <w:p w14:paraId="18E46521"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w:t>
            </w:r>
            <w:r w:rsidRPr="00711FE4">
              <w:rPr>
                <w:rFonts w:ascii="Arial" w:eastAsia="Times New Roman" w:hAnsi="Arial"/>
                <w:color w:val="FF0000"/>
                <w:sz w:val="14"/>
                <w:szCs w:val="14"/>
                <w:lang w:eastAsia="en-NZ"/>
              </w:rPr>
              <w:t xml:space="preserve">had your children go without </w:t>
            </w:r>
            <w:r w:rsidRPr="00711FE4">
              <w:rPr>
                <w:rFonts w:ascii="Arial" w:eastAsia="Times New Roman" w:hAnsi="Arial"/>
                <w:color w:val="000000"/>
                <w:sz w:val="14"/>
                <w:szCs w:val="14"/>
                <w:lang w:eastAsia="en-NZ"/>
              </w:rPr>
              <w:t>music, dance, kapa haka, art, swimming, or other special interest lessons?</w:t>
            </w:r>
          </w:p>
        </w:tc>
        <w:tc>
          <w:tcPr>
            <w:tcW w:w="3122" w:type="dxa"/>
            <w:vAlign w:val="center"/>
            <w:hideMark/>
          </w:tcPr>
          <w:p w14:paraId="0D085977"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Looking at showcard P128, to keep costs down, in the last 12 months </w:t>
            </w:r>
            <w:r w:rsidRPr="00711FE4">
              <w:rPr>
                <w:rFonts w:ascii="Arial" w:eastAsia="Times New Roman" w:hAnsi="Arial"/>
                <w:color w:val="FF0000"/>
                <w:sz w:val="14"/>
                <w:szCs w:val="14"/>
                <w:lang w:eastAsia="en-NZ"/>
              </w:rPr>
              <w:t xml:space="preserve">how much have you had to </w:t>
            </w:r>
            <w:r w:rsidRPr="00711FE4">
              <w:rPr>
                <w:rFonts w:ascii="Arial" w:eastAsia="Times New Roman" w:hAnsi="Arial"/>
                <w:color w:val="000000"/>
                <w:sz w:val="14"/>
                <w:szCs w:val="14"/>
                <w:lang w:eastAsia="en-NZ"/>
              </w:rPr>
              <w:t>limit any of the children's special interest lessons such as music, dance, kapa haka, art, or swimming?</w:t>
            </w:r>
          </w:p>
          <w:p w14:paraId="145CDFB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p>
          <w:p w14:paraId="49FFD6E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b/>
                <w:bCs/>
                <w:color w:val="000000"/>
                <w:sz w:val="14"/>
                <w:szCs w:val="14"/>
                <w:lang w:eastAsia="en-NZ"/>
              </w:rPr>
              <w:t>not at all, a little, a lot, NA</w:t>
            </w:r>
          </w:p>
        </w:tc>
        <w:tc>
          <w:tcPr>
            <w:tcW w:w="708" w:type="dxa"/>
            <w:vAlign w:val="center"/>
            <w:hideMark/>
          </w:tcPr>
          <w:p w14:paraId="76E56C08"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r w:rsidR="00711FE4" w:rsidRPr="00711FE4" w14:paraId="0DBA3196" w14:textId="77777777" w:rsidTr="00366F04">
        <w:trPr>
          <w:trHeight w:val="280"/>
        </w:trPr>
        <w:tc>
          <w:tcPr>
            <w:tcW w:w="1563" w:type="dxa"/>
            <w:vAlign w:val="center"/>
            <w:hideMark/>
          </w:tcPr>
          <w:p w14:paraId="596FD981" w14:textId="77777777" w:rsidR="00711FE4" w:rsidRPr="00711FE4" w:rsidRDefault="00711FE4" w:rsidP="00711FE4">
            <w:pPr>
              <w:spacing w:after="0" w:line="240" w:lineRule="auto"/>
              <w:rPr>
                <w:rFonts w:ascii="Arial" w:eastAsia="Times New Roman" w:hAnsi="Arial"/>
                <w:color w:val="000000"/>
                <w:sz w:val="14"/>
                <w:szCs w:val="14"/>
                <w:lang w:eastAsia="en-NZ"/>
              </w:rPr>
            </w:pPr>
            <w:r w:rsidRPr="00711FE4">
              <w:rPr>
                <w:rFonts w:ascii="Arial" w:hAnsi="Arial"/>
                <w:color w:val="000000"/>
                <w:sz w:val="14"/>
                <w:szCs w:val="14"/>
              </w:rPr>
              <w:t>Child wornclothes</w:t>
            </w:r>
          </w:p>
        </w:tc>
        <w:tc>
          <w:tcPr>
            <w:tcW w:w="3254" w:type="dxa"/>
            <w:vAlign w:val="center"/>
            <w:hideMark/>
          </w:tcPr>
          <w:p w14:paraId="32F80FE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 had </w:t>
            </w:r>
            <w:r w:rsidRPr="00711FE4">
              <w:rPr>
                <w:rFonts w:ascii="Arial" w:eastAsia="Times New Roman" w:hAnsi="Arial"/>
                <w:color w:val="FF0000"/>
                <w:sz w:val="14"/>
                <w:szCs w:val="14"/>
                <w:lang w:eastAsia="en-NZ"/>
              </w:rPr>
              <w:t xml:space="preserve">your children continue </w:t>
            </w:r>
            <w:r w:rsidRPr="00711FE4">
              <w:rPr>
                <w:rFonts w:ascii="Arial" w:eastAsia="Times New Roman" w:hAnsi="Arial"/>
                <w:color w:val="000000"/>
                <w:sz w:val="14"/>
                <w:szCs w:val="14"/>
                <w:lang w:eastAsia="en-NZ"/>
              </w:rPr>
              <w:t>wearing shoes or clothes that were worn out or the wrong size?</w:t>
            </w:r>
          </w:p>
        </w:tc>
        <w:tc>
          <w:tcPr>
            <w:tcW w:w="3122" w:type="dxa"/>
            <w:vAlign w:val="center"/>
            <w:hideMark/>
          </w:tcPr>
          <w:p w14:paraId="71876CFB"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 xml:space="preserve">In the last 12 months, to keep costs down have </w:t>
            </w:r>
            <w:r w:rsidRPr="00711FE4">
              <w:rPr>
                <w:rFonts w:ascii="Arial" w:eastAsia="Times New Roman" w:hAnsi="Arial"/>
                <w:color w:val="FF0000"/>
                <w:sz w:val="14"/>
                <w:szCs w:val="14"/>
                <w:lang w:eastAsia="en-NZ"/>
              </w:rPr>
              <w:t xml:space="preserve">any of the children had to </w:t>
            </w:r>
            <w:r w:rsidRPr="00711FE4">
              <w:rPr>
                <w:rFonts w:ascii="Arial" w:eastAsia="Times New Roman" w:hAnsi="Arial"/>
                <w:color w:val="000000"/>
                <w:sz w:val="14"/>
                <w:szCs w:val="14"/>
                <w:lang w:eastAsia="en-NZ"/>
              </w:rPr>
              <w:t>wear shoes or clothes that were worn out or the wrong size?</w:t>
            </w:r>
          </w:p>
          <w:p w14:paraId="736CC561"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yes, no</w:t>
            </w:r>
          </w:p>
          <w:p w14:paraId="2EDCFF2B"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p>
          <w:p w14:paraId="6F35E1DF" w14:textId="77777777" w:rsidR="00711FE4" w:rsidRPr="00711FE4" w:rsidRDefault="00711FE4" w:rsidP="00711FE4">
            <w:pPr>
              <w:spacing w:before="40" w:after="40" w:line="240" w:lineRule="auto"/>
              <w:jc w:val="center"/>
              <w:rPr>
                <w:rFonts w:ascii="Arial" w:eastAsia="Times New Roman" w:hAnsi="Arial"/>
                <w:color w:val="000000"/>
                <w:sz w:val="14"/>
                <w:szCs w:val="14"/>
                <w:lang w:eastAsia="en-NZ"/>
              </w:rPr>
            </w:pPr>
            <w:r w:rsidRPr="00711FE4">
              <w:rPr>
                <w:rFonts w:ascii="Arial" w:eastAsia="Times New Roman" w:hAnsi="Arial"/>
                <w:color w:val="000000"/>
                <w:sz w:val="14"/>
                <w:szCs w:val="14"/>
                <w:lang w:eastAsia="en-NZ"/>
              </w:rPr>
              <w:t>If Yes - Did that happen a little or a lot?</w:t>
            </w:r>
          </w:p>
          <w:p w14:paraId="01270C45" w14:textId="77777777" w:rsidR="00711FE4" w:rsidRPr="00711FE4" w:rsidRDefault="00711FE4" w:rsidP="00711FE4">
            <w:pPr>
              <w:spacing w:before="40" w:after="40" w:line="240" w:lineRule="auto"/>
              <w:jc w:val="center"/>
              <w:rPr>
                <w:rFonts w:ascii="Arial" w:eastAsia="Times New Roman" w:hAnsi="Arial"/>
                <w:b/>
                <w:bCs/>
                <w:color w:val="000000"/>
                <w:sz w:val="14"/>
                <w:szCs w:val="14"/>
                <w:lang w:eastAsia="en-NZ"/>
              </w:rPr>
            </w:pPr>
            <w:r w:rsidRPr="00711FE4">
              <w:rPr>
                <w:rFonts w:ascii="Arial" w:eastAsia="Times New Roman" w:hAnsi="Arial"/>
                <w:b/>
                <w:bCs/>
                <w:color w:val="000000"/>
                <w:sz w:val="14"/>
                <w:szCs w:val="14"/>
                <w:lang w:eastAsia="en-NZ"/>
              </w:rPr>
              <w:t>a little, a lot</w:t>
            </w:r>
          </w:p>
        </w:tc>
        <w:tc>
          <w:tcPr>
            <w:tcW w:w="708" w:type="dxa"/>
            <w:vAlign w:val="center"/>
            <w:hideMark/>
          </w:tcPr>
          <w:p w14:paraId="520E680A" w14:textId="77777777" w:rsidR="00711FE4" w:rsidRPr="00711FE4" w:rsidRDefault="00711FE4" w:rsidP="00711FE4">
            <w:pPr>
              <w:spacing w:after="0" w:line="240" w:lineRule="auto"/>
              <w:jc w:val="center"/>
              <w:rPr>
                <w:rFonts w:ascii="Arial" w:eastAsia="Times New Roman" w:hAnsi="Arial"/>
                <w:color w:val="000000"/>
                <w:sz w:val="14"/>
                <w:szCs w:val="14"/>
                <w:lang w:eastAsia="en-NZ"/>
              </w:rPr>
            </w:pPr>
            <w:r w:rsidRPr="00711FE4">
              <w:rPr>
                <w:rFonts w:ascii="Arial" w:hAnsi="Arial"/>
                <w:color w:val="000000"/>
                <w:sz w:val="14"/>
                <w:szCs w:val="14"/>
              </w:rPr>
              <w:t>CHI</w:t>
            </w:r>
          </w:p>
        </w:tc>
      </w:tr>
    </w:tbl>
    <w:p w14:paraId="3B0D004A" w14:textId="77777777" w:rsidR="00711FE4" w:rsidRPr="00711FE4" w:rsidRDefault="00711FE4" w:rsidP="00711FE4">
      <w:pPr>
        <w:spacing w:before="40" w:after="0" w:line="240" w:lineRule="auto"/>
        <w:rPr>
          <w:rFonts w:ascii="Arial" w:hAnsi="Arial"/>
          <w:sz w:val="14"/>
          <w:szCs w:val="14"/>
        </w:rPr>
      </w:pPr>
      <w:r w:rsidRPr="00711FE4">
        <w:rPr>
          <w:rFonts w:ascii="Arial" w:hAnsi="Arial"/>
          <w:sz w:val="14"/>
          <w:szCs w:val="14"/>
        </w:rPr>
        <w:t>Note for Table 20.6:</w:t>
      </w:r>
    </w:p>
    <w:p w14:paraId="7CD0E494" w14:textId="77777777" w:rsidR="00711FE4" w:rsidRPr="00711FE4" w:rsidRDefault="00711FE4">
      <w:pPr>
        <w:numPr>
          <w:ilvl w:val="0"/>
          <w:numId w:val="110"/>
        </w:numPr>
        <w:spacing w:after="20" w:line="240" w:lineRule="auto"/>
        <w:ind w:left="426" w:hanging="207"/>
        <w:rPr>
          <w:rFonts w:ascii="Arial" w:hAnsi="Arial"/>
          <w:sz w:val="14"/>
          <w:szCs w:val="14"/>
        </w:rPr>
      </w:pPr>
      <w:r w:rsidRPr="00711FE4">
        <w:rPr>
          <w:rFonts w:ascii="Arial" w:hAnsi="Arial"/>
          <w:sz w:val="14"/>
          <w:szCs w:val="14"/>
        </w:rPr>
        <w:t>There are several changes to the way the data on child-specific items is collected in HILS compared with HES. One important one is that In HES questions are asked relating to age 1-17s in the HH. In HILS, questions are asked relating to age 1-14s in the HH (with age 15-17s now answering the individual MWQs themselves). In this report only the HES items are used (2023-24 mainly).</w:t>
      </w:r>
    </w:p>
    <w:p w14:paraId="74DE0FD4" w14:textId="77777777" w:rsidR="00711FE4" w:rsidRPr="00711FE4" w:rsidRDefault="00711FE4" w:rsidP="00711FE4">
      <w:pPr>
        <w:spacing w:after="20"/>
        <w:ind w:left="426" w:hanging="207"/>
        <w:rPr>
          <w:rFonts w:ascii="Arial" w:hAnsi="Arial"/>
        </w:rPr>
      </w:pPr>
    </w:p>
    <w:p w14:paraId="112BDBC1" w14:textId="77777777" w:rsidR="001B673E" w:rsidRPr="00B141F9" w:rsidRDefault="001B673E">
      <w:pPr>
        <w:spacing w:after="0" w:line="240" w:lineRule="auto"/>
        <w:rPr>
          <w:rFonts w:ascii="Arial" w:hAnsi="Arial"/>
          <w:b/>
          <w:color w:val="0000FF"/>
          <w:sz w:val="28"/>
        </w:rPr>
      </w:pPr>
    </w:p>
    <w:sectPr w:rsidR="001B673E" w:rsidRPr="00B141F9" w:rsidSect="00160BF5">
      <w:headerReference w:type="even" r:id="rId111"/>
      <w:headerReference w:type="default" r:id="rId112"/>
      <w:headerReference w:type="first" r:id="rId113"/>
      <w:footnotePr>
        <w:numRestart w:val="eachSect"/>
      </w:footnotePr>
      <w:type w:val="continuous"/>
      <w:pgSz w:w="11906" w:h="16838"/>
      <w:pgMar w:top="1361" w:right="1440" w:bottom="1361"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1110" w14:textId="77777777" w:rsidR="00042552" w:rsidRDefault="00042552" w:rsidP="001863D9">
      <w:pPr>
        <w:spacing w:after="0" w:line="240" w:lineRule="auto"/>
      </w:pPr>
      <w:r>
        <w:separator/>
      </w:r>
    </w:p>
  </w:endnote>
  <w:endnote w:type="continuationSeparator" w:id="0">
    <w:p w14:paraId="08928A75" w14:textId="77777777" w:rsidR="00042552" w:rsidRDefault="00042552" w:rsidP="00186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Mäori">
    <w:panose1 w:val="020B0604020202020204"/>
    <w:charset w:val="00"/>
    <w:family w:val="swiss"/>
    <w:pitch w:val="variable"/>
    <w:sig w:usb0="00000003" w:usb1="00000000" w:usb2="00000000" w:usb3="00000000" w:csb0="00000001" w:csb1="00000000"/>
  </w:font>
  <w:font w:name="Arial Maori">
    <w:altName w:val="Arial"/>
    <w:charset w:val="00"/>
    <w:family w:val="swiss"/>
    <w:pitch w:val="variable"/>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SemiLight-Plain">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F0E37" w14:textId="77777777" w:rsidR="00042552" w:rsidRDefault="00042552" w:rsidP="001863D9">
      <w:pPr>
        <w:spacing w:after="0" w:line="240" w:lineRule="auto"/>
      </w:pPr>
      <w:r>
        <w:separator/>
      </w:r>
    </w:p>
  </w:footnote>
  <w:footnote w:type="continuationSeparator" w:id="0">
    <w:p w14:paraId="325A3010" w14:textId="77777777" w:rsidR="00042552" w:rsidRDefault="00042552" w:rsidP="001863D9">
      <w:pPr>
        <w:spacing w:after="0" w:line="240" w:lineRule="auto"/>
      </w:pPr>
      <w:r>
        <w:continuationSeparator/>
      </w:r>
    </w:p>
  </w:footnote>
  <w:footnote w:id="1">
    <w:p w14:paraId="6F4D84FC" w14:textId="77777777" w:rsidR="002850AE" w:rsidRPr="008805B3" w:rsidRDefault="002850AE" w:rsidP="00826C05">
      <w:pPr>
        <w:pStyle w:val="FootnoteText"/>
        <w:spacing w:after="40"/>
        <w:ind w:left="284" w:hanging="284"/>
        <w:rPr>
          <w:rFonts w:ascii="Arial" w:hAnsi="Arial"/>
          <w:sz w:val="16"/>
          <w:szCs w:val="16"/>
        </w:rPr>
      </w:pPr>
      <w:r w:rsidRPr="002053A7">
        <w:rPr>
          <w:rStyle w:val="FootnoteReference"/>
          <w:rFonts w:ascii="Arial" w:hAnsi="Arial"/>
          <w:sz w:val="16"/>
          <w:szCs w:val="16"/>
        </w:rPr>
        <w:footnoteRef/>
      </w:r>
      <w:r w:rsidRPr="002053A7">
        <w:rPr>
          <w:rFonts w:ascii="Arial" w:hAnsi="Arial"/>
          <w:sz w:val="16"/>
          <w:szCs w:val="16"/>
        </w:rPr>
        <w:t xml:space="preserve"> </w:t>
      </w:r>
      <w:r>
        <w:rPr>
          <w:rFonts w:ascii="Arial" w:hAnsi="Arial"/>
          <w:sz w:val="16"/>
          <w:szCs w:val="16"/>
        </w:rPr>
        <w:tab/>
      </w:r>
      <w:hyperlink r:id="rId1" w:history="1">
        <w:r w:rsidRPr="008805B3">
          <w:rPr>
            <w:rStyle w:val="Hyperlink"/>
            <w:rFonts w:ascii="Arial" w:hAnsi="Arial"/>
            <w:sz w:val="16"/>
            <w:szCs w:val="16"/>
          </w:rPr>
          <w:t>https://www.stats.govt.nz/methods/about-the-transition-from-the-household-economic-survey-to-the-household-income-and-living-survey/</w:t>
        </w:r>
      </w:hyperlink>
      <w:r w:rsidRPr="008805B3">
        <w:rPr>
          <w:rFonts w:ascii="Arial" w:hAnsi="Arial"/>
          <w:sz w:val="16"/>
          <w:szCs w:val="16"/>
        </w:rPr>
        <w:t xml:space="preserve"> and </w:t>
      </w:r>
      <w:hyperlink r:id="rId2" w:history="1">
        <w:r w:rsidRPr="008805B3">
          <w:rPr>
            <w:rStyle w:val="Hyperlink"/>
            <w:rFonts w:ascii="Arial" w:hAnsi="Arial"/>
            <w:sz w:val="16"/>
            <w:szCs w:val="16"/>
          </w:rPr>
          <w:t>https://www.stats.govt.nz/methods/measuring-child-poverty-concepts-and-definitions-fourth-edition/</w:t>
        </w:r>
      </w:hyperlink>
      <w:r w:rsidRPr="008805B3">
        <w:rPr>
          <w:rFonts w:ascii="Arial" w:hAnsi="Arial"/>
          <w:sz w:val="16"/>
          <w:szCs w:val="16"/>
        </w:rPr>
        <w:t xml:space="preserve"> </w:t>
      </w:r>
    </w:p>
  </w:footnote>
  <w:footnote w:id="2">
    <w:p w14:paraId="459A9948" w14:textId="3728DF55" w:rsidR="007A09E5" w:rsidRDefault="007A09E5" w:rsidP="00826C05">
      <w:pPr>
        <w:pStyle w:val="FootnoteText"/>
        <w:spacing w:after="40"/>
        <w:ind w:left="284" w:hanging="284"/>
      </w:pPr>
      <w:r w:rsidRPr="008805B3">
        <w:rPr>
          <w:rStyle w:val="FootnoteReference"/>
          <w:rFonts w:ascii="Arial" w:hAnsi="Arial"/>
          <w:sz w:val="16"/>
          <w:szCs w:val="16"/>
        </w:rPr>
        <w:footnoteRef/>
      </w:r>
      <w:r w:rsidRPr="008805B3">
        <w:rPr>
          <w:rFonts w:ascii="Arial" w:hAnsi="Arial"/>
          <w:sz w:val="16"/>
          <w:szCs w:val="16"/>
        </w:rPr>
        <w:t xml:space="preserve"> </w:t>
      </w:r>
      <w:r w:rsidRPr="008805B3">
        <w:rPr>
          <w:rFonts w:ascii="Arial" w:hAnsi="Arial"/>
          <w:sz w:val="16"/>
          <w:szCs w:val="16"/>
        </w:rPr>
        <w:tab/>
        <w:t>See the MSD Working Paper</w:t>
      </w:r>
      <w:r w:rsidR="008754AF" w:rsidRPr="008805B3">
        <w:rPr>
          <w:rFonts w:ascii="Arial" w:hAnsi="Arial"/>
          <w:sz w:val="16"/>
          <w:szCs w:val="16"/>
        </w:rPr>
        <w:t>s 01/26 and</w:t>
      </w:r>
      <w:r w:rsidRPr="008805B3">
        <w:rPr>
          <w:rFonts w:ascii="Arial" w:hAnsi="Arial"/>
          <w:sz w:val="16"/>
          <w:szCs w:val="16"/>
        </w:rPr>
        <w:t xml:space="preserve"> 02/</w:t>
      </w:r>
      <w:r w:rsidR="008754AF" w:rsidRPr="008805B3">
        <w:rPr>
          <w:rFonts w:ascii="Arial" w:hAnsi="Arial"/>
          <w:sz w:val="16"/>
          <w:szCs w:val="16"/>
        </w:rPr>
        <w:t>2</w:t>
      </w:r>
      <w:r w:rsidRPr="008805B3">
        <w:rPr>
          <w:rFonts w:ascii="Arial" w:hAnsi="Arial"/>
          <w:sz w:val="16"/>
          <w:szCs w:val="16"/>
        </w:rPr>
        <w:t xml:space="preserve">6 at </w:t>
      </w:r>
      <w:hyperlink r:id="rId3" w:history="1">
        <w:r w:rsidRPr="008805B3">
          <w:rPr>
            <w:rStyle w:val="Hyperlink"/>
            <w:rFonts w:ascii="Arial" w:hAnsi="Arial"/>
            <w:sz w:val="16"/>
            <w:szCs w:val="16"/>
          </w:rPr>
          <w:t>https://www.msd.govt.nz/about-msd-and-our-work/publications-resources/working-papers/index.html</w:t>
        </w:r>
      </w:hyperlink>
      <w:r w:rsidRPr="007A09E5">
        <w:rPr>
          <w:rFonts w:ascii="Arial" w:hAnsi="Arial"/>
          <w:sz w:val="16"/>
          <w:szCs w:val="16"/>
        </w:rPr>
        <w:t xml:space="preserve"> </w:t>
      </w:r>
      <w:r w:rsidR="00683B06">
        <w:rPr>
          <w:rFonts w:ascii="Arial" w:hAnsi="Arial"/>
          <w:sz w:val="16"/>
          <w:szCs w:val="16"/>
        </w:rPr>
        <w:t xml:space="preserve"> </w:t>
      </w:r>
    </w:p>
  </w:footnote>
  <w:footnote w:id="3">
    <w:p w14:paraId="08AA4E6E" w14:textId="77777777" w:rsidR="005F5ADF" w:rsidRPr="00D77BA5" w:rsidRDefault="005F5ADF" w:rsidP="005F5ADF">
      <w:pPr>
        <w:pStyle w:val="FootnoteText"/>
        <w:ind w:left="284" w:hanging="284"/>
        <w:rPr>
          <w:rFonts w:ascii="Arial" w:hAnsi="Arial"/>
          <w:sz w:val="16"/>
          <w:szCs w:val="16"/>
        </w:rPr>
      </w:pPr>
      <w:r w:rsidRPr="00D77BA5">
        <w:rPr>
          <w:rStyle w:val="FootnoteReference"/>
          <w:rFonts w:ascii="Arial" w:hAnsi="Arial"/>
          <w:sz w:val="16"/>
          <w:szCs w:val="16"/>
        </w:rPr>
        <w:footnoteRef/>
      </w:r>
      <w:r w:rsidRPr="00D77BA5">
        <w:rPr>
          <w:rFonts w:ascii="Arial" w:hAnsi="Arial"/>
          <w:sz w:val="16"/>
          <w:szCs w:val="16"/>
        </w:rPr>
        <w:t xml:space="preserve"> </w:t>
      </w:r>
      <w:r>
        <w:rPr>
          <w:rFonts w:ascii="Arial" w:hAnsi="Arial"/>
          <w:sz w:val="16"/>
          <w:szCs w:val="16"/>
        </w:rPr>
        <w:tab/>
      </w:r>
      <w:r w:rsidRPr="00D77BA5">
        <w:rPr>
          <w:rFonts w:ascii="Arial" w:hAnsi="Arial"/>
          <w:sz w:val="16"/>
          <w:szCs w:val="16"/>
        </w:rPr>
        <w:t>The revised rates are 10.6% and 12.6% with the same 2.0</w:t>
      </w:r>
      <w:r>
        <w:rPr>
          <w:rFonts w:ascii="Arial" w:hAnsi="Arial"/>
          <w:sz w:val="16"/>
          <w:szCs w:val="16"/>
        </w:rPr>
        <w:t xml:space="preserve"> </w:t>
      </w:r>
      <w:r w:rsidRPr="00D77BA5">
        <w:rPr>
          <w:rFonts w:ascii="Arial" w:hAnsi="Arial"/>
          <w:sz w:val="16"/>
          <w:szCs w:val="16"/>
        </w:rPr>
        <w:t>ppt rise and a 2.0 ppt sampling error on the change (</w:t>
      </w:r>
      <w:r>
        <w:rPr>
          <w:rFonts w:ascii="Arial" w:hAnsi="Arial"/>
          <w:sz w:val="16"/>
          <w:szCs w:val="16"/>
        </w:rPr>
        <w:t xml:space="preserve">ie </w:t>
      </w:r>
      <w:r w:rsidRPr="00D77BA5">
        <w:rPr>
          <w:rFonts w:ascii="Arial" w:hAnsi="Arial"/>
          <w:sz w:val="16"/>
          <w:szCs w:val="16"/>
        </w:rPr>
        <w:t>just statistically significant).</w:t>
      </w:r>
    </w:p>
  </w:footnote>
  <w:footnote w:id="4">
    <w:p w14:paraId="3C202616" w14:textId="632399ED" w:rsidR="00B372F6" w:rsidRPr="00EA43C3" w:rsidRDefault="00B372F6" w:rsidP="00160BF5">
      <w:pPr>
        <w:widowControl w:val="0"/>
        <w:autoSpaceDE w:val="0"/>
        <w:autoSpaceDN w:val="0"/>
        <w:adjustRightInd w:val="0"/>
        <w:spacing w:after="20" w:line="240" w:lineRule="auto"/>
        <w:ind w:left="284" w:hanging="284"/>
        <w:rPr>
          <w:rFonts w:ascii="Arial" w:hAnsi="Arial"/>
          <w:sz w:val="16"/>
          <w:szCs w:val="16"/>
        </w:rPr>
      </w:pPr>
      <w:r w:rsidRPr="00EA43C3">
        <w:rPr>
          <w:rStyle w:val="FootnoteReference"/>
          <w:rFonts w:ascii="Arial" w:hAnsi="Arial"/>
          <w:sz w:val="16"/>
          <w:szCs w:val="16"/>
        </w:rPr>
        <w:footnoteRef/>
      </w:r>
      <w:r w:rsidRPr="00EA43C3">
        <w:rPr>
          <w:rFonts w:ascii="Arial" w:hAnsi="Arial"/>
          <w:sz w:val="16"/>
          <w:szCs w:val="16"/>
        </w:rPr>
        <w:t xml:space="preserve"> </w:t>
      </w:r>
      <w:r w:rsidR="00EA43C3">
        <w:rPr>
          <w:rFonts w:ascii="Arial" w:hAnsi="Arial"/>
          <w:sz w:val="16"/>
          <w:szCs w:val="16"/>
        </w:rPr>
        <w:tab/>
      </w:r>
      <w:r w:rsidR="00160BF5" w:rsidRPr="00EA43C3">
        <w:rPr>
          <w:rFonts w:ascii="Arial" w:hAnsi="Arial"/>
          <w:sz w:val="16"/>
          <w:szCs w:val="16"/>
        </w:rPr>
        <w:t>See the box on p2</w:t>
      </w:r>
      <w:r w:rsidR="00160BF5">
        <w:rPr>
          <w:rFonts w:ascii="Arial" w:hAnsi="Arial"/>
          <w:sz w:val="16"/>
          <w:szCs w:val="16"/>
        </w:rPr>
        <w:t>4</w:t>
      </w:r>
      <w:r w:rsidR="00160BF5" w:rsidRPr="00EA43C3">
        <w:rPr>
          <w:rFonts w:ascii="Arial" w:hAnsi="Arial"/>
          <w:sz w:val="16"/>
          <w:szCs w:val="16"/>
        </w:rPr>
        <w:t xml:space="preserve"> (end of Section </w:t>
      </w:r>
      <w:r w:rsidR="00160BF5">
        <w:rPr>
          <w:rFonts w:ascii="Arial" w:hAnsi="Arial"/>
          <w:sz w:val="16"/>
          <w:szCs w:val="16"/>
        </w:rPr>
        <w:t>A</w:t>
      </w:r>
      <w:r w:rsidR="00160BF5" w:rsidRPr="00EA43C3">
        <w:rPr>
          <w:rFonts w:ascii="Arial" w:hAnsi="Arial"/>
          <w:sz w:val="16"/>
          <w:szCs w:val="16"/>
        </w:rPr>
        <w:t xml:space="preserve">) for </w:t>
      </w:r>
      <w:r w:rsidR="00160BF5">
        <w:rPr>
          <w:rFonts w:ascii="Arial" w:hAnsi="Arial"/>
          <w:sz w:val="16"/>
          <w:szCs w:val="16"/>
        </w:rPr>
        <w:t>an application by the UK</w:t>
      </w:r>
      <w:r w:rsidR="00160BF5" w:rsidRPr="00EA43C3">
        <w:rPr>
          <w:rFonts w:ascii="Arial" w:hAnsi="Arial"/>
          <w:sz w:val="16"/>
          <w:szCs w:val="16"/>
        </w:rPr>
        <w:t xml:space="preserve"> of</w:t>
      </w:r>
      <w:r w:rsidR="00160BF5">
        <w:rPr>
          <w:rFonts w:ascii="Arial" w:hAnsi="Arial"/>
          <w:sz w:val="16"/>
          <w:szCs w:val="16"/>
        </w:rPr>
        <w:t xml:space="preserve"> a conceptualisation of resources that goes beyond household income.</w:t>
      </w:r>
      <w:r w:rsidR="00160BF5" w:rsidRPr="00EA43C3">
        <w:rPr>
          <w:rFonts w:ascii="Arial" w:hAnsi="Arial"/>
          <w:sz w:val="16"/>
          <w:szCs w:val="16"/>
        </w:rPr>
        <w:t xml:space="preserve"> </w:t>
      </w:r>
      <w:r w:rsidR="00316004" w:rsidRPr="00EA43C3">
        <w:rPr>
          <w:rFonts w:ascii="Arial" w:hAnsi="Arial"/>
          <w:sz w:val="16"/>
          <w:szCs w:val="16"/>
        </w:rPr>
        <w:t xml:space="preserve"> </w:t>
      </w:r>
    </w:p>
  </w:footnote>
  <w:footnote w:id="5">
    <w:p w14:paraId="34C8AC36" w14:textId="75A15102" w:rsidR="00EA43C3" w:rsidRPr="00EA43C3" w:rsidRDefault="00EA43C3" w:rsidP="00160BF5">
      <w:pPr>
        <w:pStyle w:val="FootnoteText"/>
        <w:ind w:left="284" w:hanging="284"/>
        <w:rPr>
          <w:rFonts w:ascii="Arial" w:hAnsi="Arial"/>
          <w:sz w:val="16"/>
          <w:szCs w:val="16"/>
        </w:rPr>
      </w:pPr>
      <w:r w:rsidRPr="00EA43C3">
        <w:rPr>
          <w:rStyle w:val="FootnoteReference"/>
          <w:rFonts w:ascii="Arial" w:hAnsi="Arial"/>
          <w:sz w:val="16"/>
          <w:szCs w:val="16"/>
        </w:rPr>
        <w:footnoteRef/>
      </w:r>
      <w:r w:rsidRPr="00EA43C3">
        <w:rPr>
          <w:rFonts w:ascii="Arial" w:hAnsi="Arial"/>
          <w:sz w:val="16"/>
          <w:szCs w:val="16"/>
        </w:rPr>
        <w:t xml:space="preserve"> </w:t>
      </w:r>
      <w:r>
        <w:rPr>
          <w:rFonts w:ascii="Arial" w:hAnsi="Arial"/>
          <w:sz w:val="16"/>
          <w:szCs w:val="16"/>
        </w:rPr>
        <w:tab/>
      </w:r>
      <w:r w:rsidR="00160BF5" w:rsidRPr="00EA43C3">
        <w:rPr>
          <w:rFonts w:ascii="Arial" w:hAnsi="Arial"/>
          <w:sz w:val="16"/>
          <w:szCs w:val="16"/>
        </w:rPr>
        <w:t>See Perry (20</w:t>
      </w:r>
      <w:r w:rsidR="00160BF5">
        <w:rPr>
          <w:rFonts w:ascii="Arial" w:hAnsi="Arial"/>
          <w:sz w:val="16"/>
          <w:szCs w:val="16"/>
        </w:rPr>
        <w:t>0</w:t>
      </w:r>
      <w:r w:rsidR="00160BF5" w:rsidRPr="00EA43C3">
        <w:rPr>
          <w:rFonts w:ascii="Arial" w:hAnsi="Arial"/>
          <w:sz w:val="16"/>
          <w:szCs w:val="16"/>
        </w:rPr>
        <w:t xml:space="preserve">2), </w:t>
      </w:r>
      <w:r w:rsidR="00160BF5">
        <w:rPr>
          <w:rFonts w:ascii="Arial" w:hAnsi="Arial"/>
          <w:sz w:val="16"/>
          <w:szCs w:val="16"/>
        </w:rPr>
        <w:t xml:space="preserve">Whelan et al (2004) and Nolan and Whelan (2011). </w:t>
      </w:r>
    </w:p>
  </w:footnote>
  <w:footnote w:id="6">
    <w:p w14:paraId="04CBAE65" w14:textId="0B5C38A9" w:rsidR="001749F4" w:rsidRDefault="001749F4" w:rsidP="001749F4">
      <w:pPr>
        <w:pStyle w:val="FootnoteText"/>
        <w:ind w:left="284" w:hanging="284"/>
      </w:pPr>
      <w:r w:rsidRPr="006E267C">
        <w:rPr>
          <w:rStyle w:val="FootnoteReference"/>
        </w:rPr>
        <w:footnoteRef/>
      </w:r>
      <w:r w:rsidRPr="006E267C">
        <w:t xml:space="preserve"> </w:t>
      </w:r>
      <w:r w:rsidRPr="006E267C">
        <w:tab/>
      </w:r>
      <w:r w:rsidRPr="006E267C">
        <w:rPr>
          <w:rFonts w:ascii="Arial" w:eastAsia="Times New Roman" w:hAnsi="Arial"/>
          <w:color w:val="000000" w:themeColor="text1"/>
          <w:sz w:val="16"/>
          <w:szCs w:val="16"/>
          <w:lang w:eastAsia="en-NZ"/>
        </w:rPr>
        <w:t>Liquid assets represent the total across the following asset classes: Foreign and NZ currency greater than $1000, Bank deposits, Bonds and other debt, Managed funds and other investment funds, Shares in listed corporations, Other non-pension financial assets.</w:t>
      </w:r>
    </w:p>
  </w:footnote>
  <w:footnote w:id="7">
    <w:p w14:paraId="7637FF3C" w14:textId="179EB2E9" w:rsidR="0068014C" w:rsidRPr="00E160AC" w:rsidRDefault="00E160AC" w:rsidP="0068014C">
      <w:pPr>
        <w:ind w:left="142" w:hanging="142"/>
        <w:rPr>
          <w:rFonts w:ascii="Arial" w:hAnsi="Arial"/>
          <w:sz w:val="16"/>
          <w:szCs w:val="16"/>
        </w:rPr>
      </w:pPr>
      <w:r w:rsidRPr="00E160AC">
        <w:rPr>
          <w:rStyle w:val="FootnoteReference"/>
          <w:rFonts w:ascii="Arial" w:hAnsi="Arial"/>
          <w:sz w:val="16"/>
          <w:szCs w:val="16"/>
        </w:rPr>
        <w:footnoteRef/>
      </w:r>
      <w:r w:rsidRPr="00E160AC">
        <w:rPr>
          <w:rFonts w:ascii="Arial" w:hAnsi="Arial"/>
          <w:sz w:val="16"/>
          <w:szCs w:val="16"/>
        </w:rPr>
        <w:t xml:space="preserve"> </w:t>
      </w:r>
      <w:r>
        <w:rPr>
          <w:rFonts w:ascii="Arial" w:hAnsi="Arial"/>
          <w:sz w:val="16"/>
          <w:szCs w:val="16"/>
        </w:rPr>
        <w:tab/>
      </w:r>
      <w:hyperlink r:id="rId4" w:history="1">
        <w:r w:rsidR="0068014C" w:rsidRPr="00972211">
          <w:rPr>
            <w:rStyle w:val="Hyperlink"/>
            <w:rFonts w:ascii="Arial" w:hAnsi="Arial"/>
            <w:sz w:val="16"/>
            <w:szCs w:val="16"/>
          </w:rPr>
          <w:t>https://www.stats.govt.nz/methods/child-poverty-statistics-year-ended-june-2025-technical-appendix/</w:t>
        </w:r>
      </w:hyperlink>
      <w:r w:rsidR="0068014C">
        <w:rPr>
          <w:rFonts w:ascii="Arial" w:hAnsi="Arial"/>
          <w:sz w:val="16"/>
          <w:szCs w:val="16"/>
        </w:rPr>
        <w:t xml:space="preserve"> </w:t>
      </w:r>
    </w:p>
    <w:p w14:paraId="026B699A" w14:textId="64A17C7A" w:rsidR="00E160AC" w:rsidRDefault="00E160AC">
      <w:pPr>
        <w:pStyle w:val="FootnoteText"/>
      </w:pPr>
    </w:p>
  </w:footnote>
  <w:footnote w:id="8">
    <w:p w14:paraId="064E7C37" w14:textId="20BA1774" w:rsidR="008E7E03" w:rsidRDefault="008E7E03" w:rsidP="008E7E03">
      <w:pPr>
        <w:pStyle w:val="FootnoteText"/>
        <w:spacing w:after="60"/>
        <w:ind w:left="142" w:hanging="142"/>
        <w:rPr>
          <w:rFonts w:ascii="Arial" w:hAnsi="Arial"/>
          <w:color w:val="000000"/>
          <w:sz w:val="16"/>
          <w:szCs w:val="16"/>
        </w:rPr>
      </w:pPr>
      <w:r>
        <w:rPr>
          <w:rStyle w:val="FootnoteReference"/>
          <w:rFonts w:ascii="Arial" w:hAnsi="Arial"/>
          <w:color w:val="000000"/>
          <w:sz w:val="16"/>
          <w:szCs w:val="16"/>
        </w:rPr>
        <w:footnoteRef/>
      </w:r>
      <w:r>
        <w:rPr>
          <w:rFonts w:ascii="Arial" w:hAnsi="Arial"/>
          <w:color w:val="000000"/>
          <w:sz w:val="16"/>
          <w:szCs w:val="16"/>
        </w:rPr>
        <w:t xml:space="preserve">  In the literature ‘current’ household income sometimes refers to income over the previous week or month. For this report (including Figure </w:t>
      </w:r>
      <w:r w:rsidR="003844CF">
        <w:rPr>
          <w:rFonts w:ascii="Arial" w:hAnsi="Arial"/>
          <w:color w:val="000000"/>
          <w:sz w:val="16"/>
          <w:szCs w:val="16"/>
        </w:rPr>
        <w:t>A.</w:t>
      </w:r>
      <w:r>
        <w:rPr>
          <w:rFonts w:ascii="Arial" w:hAnsi="Arial"/>
          <w:color w:val="000000"/>
          <w:sz w:val="16"/>
          <w:szCs w:val="16"/>
        </w:rPr>
        <w:t xml:space="preserve">1) it refers to annual income in a recent 12 month period in contrast to income in the longer-term over several years.   </w:t>
      </w:r>
    </w:p>
  </w:footnote>
  <w:footnote w:id="9">
    <w:p w14:paraId="2C12A464" w14:textId="532FC543" w:rsidR="00CC50D1" w:rsidRPr="00773157" w:rsidRDefault="00CC50D1" w:rsidP="006A1680">
      <w:pPr>
        <w:pStyle w:val="FootnoteText"/>
        <w:spacing w:after="20"/>
        <w:ind w:left="284" w:hanging="284"/>
        <w:rPr>
          <w:rFonts w:ascii="Arial" w:hAnsi="Arial"/>
          <w:color w:val="000000" w:themeColor="text1"/>
          <w:sz w:val="16"/>
          <w:szCs w:val="16"/>
        </w:rPr>
      </w:pPr>
      <w:r w:rsidRPr="00773157">
        <w:rPr>
          <w:rStyle w:val="FootnoteReference"/>
          <w:rFonts w:ascii="Arial" w:hAnsi="Arial"/>
          <w:color w:val="000000" w:themeColor="text1"/>
          <w:sz w:val="16"/>
          <w:szCs w:val="16"/>
        </w:rPr>
        <w:footnoteRef/>
      </w:r>
      <w:r w:rsidRPr="00773157">
        <w:rPr>
          <w:rFonts w:ascii="Arial" w:hAnsi="Arial"/>
          <w:color w:val="000000" w:themeColor="text1"/>
          <w:sz w:val="16"/>
          <w:szCs w:val="16"/>
        </w:rPr>
        <w:t xml:space="preserve"> </w:t>
      </w:r>
      <w:r w:rsidRPr="00773157">
        <w:rPr>
          <w:rFonts w:ascii="Arial" w:hAnsi="Arial"/>
          <w:color w:val="000000" w:themeColor="text1"/>
          <w:sz w:val="16"/>
          <w:szCs w:val="16"/>
        </w:rPr>
        <w:tab/>
        <w:t xml:space="preserve">See </w:t>
      </w:r>
      <w:r w:rsidR="005063CE" w:rsidRPr="00773157">
        <w:rPr>
          <w:rFonts w:ascii="Arial" w:hAnsi="Arial"/>
          <w:color w:val="000000" w:themeColor="text1"/>
          <w:sz w:val="16"/>
          <w:szCs w:val="16"/>
        </w:rPr>
        <w:t>Council of the European Communities (1975)</w:t>
      </w:r>
      <w:r w:rsidR="004C64C0" w:rsidRPr="00773157">
        <w:rPr>
          <w:rFonts w:ascii="Arial" w:hAnsi="Arial"/>
          <w:color w:val="000000" w:themeColor="text1"/>
          <w:sz w:val="16"/>
          <w:szCs w:val="16"/>
        </w:rPr>
        <w:t>, and European Commission (2004) for a more recent version of the same.</w:t>
      </w:r>
    </w:p>
  </w:footnote>
  <w:footnote w:id="10">
    <w:p w14:paraId="362C524A" w14:textId="26FA6C3B" w:rsidR="00F427B4" w:rsidRPr="00773157" w:rsidRDefault="00F427B4" w:rsidP="006A1680">
      <w:pPr>
        <w:pStyle w:val="FootnoteText"/>
        <w:spacing w:after="20"/>
        <w:ind w:left="284" w:hanging="284"/>
        <w:rPr>
          <w:rFonts w:ascii="Arial" w:hAnsi="Arial"/>
          <w:color w:val="000000" w:themeColor="text1"/>
          <w:sz w:val="16"/>
          <w:szCs w:val="16"/>
        </w:rPr>
      </w:pPr>
      <w:r w:rsidRPr="00773157">
        <w:rPr>
          <w:rStyle w:val="FootnoteReference"/>
          <w:rFonts w:ascii="Arial" w:hAnsi="Arial"/>
          <w:color w:val="000000" w:themeColor="text1"/>
          <w:sz w:val="16"/>
          <w:szCs w:val="16"/>
        </w:rPr>
        <w:footnoteRef/>
      </w:r>
      <w:r w:rsidRPr="00773157">
        <w:rPr>
          <w:rFonts w:ascii="Arial" w:hAnsi="Arial"/>
          <w:color w:val="000000" w:themeColor="text1"/>
          <w:sz w:val="16"/>
          <w:szCs w:val="16"/>
        </w:rPr>
        <w:t xml:space="preserve"> </w:t>
      </w:r>
      <w:r w:rsidRPr="00773157">
        <w:rPr>
          <w:rFonts w:ascii="Arial" w:hAnsi="Arial"/>
          <w:color w:val="000000" w:themeColor="text1"/>
          <w:sz w:val="16"/>
          <w:szCs w:val="16"/>
        </w:rPr>
        <w:tab/>
        <w:t>See</w:t>
      </w:r>
      <w:r w:rsidR="005063CE" w:rsidRPr="00773157">
        <w:rPr>
          <w:rFonts w:ascii="Arial" w:hAnsi="Arial"/>
          <w:color w:val="000000" w:themeColor="text1"/>
          <w:sz w:val="16"/>
          <w:szCs w:val="16"/>
        </w:rPr>
        <w:t>,</w:t>
      </w:r>
      <w:r w:rsidRPr="00773157">
        <w:rPr>
          <w:rFonts w:ascii="Arial" w:hAnsi="Arial"/>
          <w:color w:val="000000" w:themeColor="text1"/>
          <w:sz w:val="16"/>
          <w:szCs w:val="16"/>
        </w:rPr>
        <w:t xml:space="preserve"> for example</w:t>
      </w:r>
      <w:r w:rsidR="005063CE" w:rsidRPr="00773157">
        <w:rPr>
          <w:rFonts w:ascii="Arial" w:hAnsi="Arial"/>
          <w:color w:val="000000" w:themeColor="text1"/>
          <w:sz w:val="16"/>
          <w:szCs w:val="16"/>
        </w:rPr>
        <w:t>,</w:t>
      </w:r>
      <w:r w:rsidRPr="00773157">
        <w:rPr>
          <w:rFonts w:ascii="Arial" w:hAnsi="Arial"/>
          <w:color w:val="000000" w:themeColor="text1"/>
          <w:sz w:val="16"/>
          <w:szCs w:val="16"/>
        </w:rPr>
        <w:t xml:space="preserve"> Oxford University’s Multidimensional Poverty Index (MPI) which is designed for ‘developing countries’ (Alkire </w:t>
      </w:r>
      <w:r w:rsidRPr="00773157">
        <w:rPr>
          <w:rFonts w:ascii="Arial" w:hAnsi="Arial"/>
          <w:i/>
          <w:iCs/>
          <w:color w:val="000000" w:themeColor="text1"/>
          <w:sz w:val="16"/>
          <w:szCs w:val="16"/>
        </w:rPr>
        <w:t>et al</w:t>
      </w:r>
      <w:r w:rsidRPr="00773157">
        <w:rPr>
          <w:rFonts w:ascii="Arial" w:hAnsi="Arial"/>
          <w:color w:val="000000" w:themeColor="text1"/>
          <w:sz w:val="16"/>
          <w:szCs w:val="16"/>
        </w:rPr>
        <w:t xml:space="preserve"> (2019)). For New Zealand examples of multiple disadvantage analysis in a richer country, see Superu (2017), Smith </w:t>
      </w:r>
      <w:r w:rsidRPr="00773157">
        <w:rPr>
          <w:rFonts w:ascii="Arial" w:hAnsi="Arial"/>
          <w:i/>
          <w:iCs/>
          <w:color w:val="000000" w:themeColor="text1"/>
          <w:sz w:val="16"/>
          <w:szCs w:val="16"/>
        </w:rPr>
        <w:t xml:space="preserve">et al </w:t>
      </w:r>
      <w:r w:rsidRPr="00773157">
        <w:rPr>
          <w:rFonts w:ascii="Arial" w:hAnsi="Arial"/>
          <w:color w:val="000000" w:themeColor="text1"/>
          <w:sz w:val="16"/>
          <w:szCs w:val="16"/>
        </w:rPr>
        <w:t>(2019) and Riggs (2023).</w:t>
      </w:r>
    </w:p>
  </w:footnote>
  <w:footnote w:id="11">
    <w:p w14:paraId="4B6CBB1A" w14:textId="77777777" w:rsidR="00F8246A" w:rsidRPr="00B95282" w:rsidRDefault="00F8246A" w:rsidP="006A1680">
      <w:pPr>
        <w:pStyle w:val="FootnoteText"/>
        <w:spacing w:after="20"/>
        <w:ind w:left="284" w:hanging="284"/>
        <w:rPr>
          <w:rFonts w:ascii="Arial" w:hAnsi="Arial"/>
          <w:sz w:val="16"/>
          <w:szCs w:val="16"/>
        </w:rPr>
      </w:pPr>
      <w:r w:rsidRPr="00B95282">
        <w:rPr>
          <w:rStyle w:val="FootnoteReference"/>
          <w:rFonts w:ascii="Arial" w:hAnsi="Arial"/>
          <w:sz w:val="16"/>
          <w:szCs w:val="16"/>
        </w:rPr>
        <w:footnoteRef/>
      </w:r>
      <w:r w:rsidRPr="00B95282">
        <w:rPr>
          <w:rFonts w:ascii="Arial" w:hAnsi="Arial"/>
          <w:sz w:val="16"/>
          <w:szCs w:val="16"/>
        </w:rPr>
        <w:t xml:space="preserve"> </w:t>
      </w:r>
      <w:r>
        <w:rPr>
          <w:rFonts w:ascii="Arial" w:hAnsi="Arial"/>
          <w:sz w:val="16"/>
          <w:szCs w:val="16"/>
        </w:rPr>
        <w:tab/>
      </w:r>
      <w:r w:rsidRPr="00B95282">
        <w:rPr>
          <w:rFonts w:ascii="Arial" w:hAnsi="Arial"/>
          <w:sz w:val="16"/>
          <w:szCs w:val="16"/>
        </w:rPr>
        <w:t>See Brandolini et</w:t>
      </w:r>
      <w:r>
        <w:rPr>
          <w:rFonts w:ascii="Arial" w:hAnsi="Arial"/>
          <w:sz w:val="16"/>
          <w:szCs w:val="16"/>
        </w:rPr>
        <w:t xml:space="preserve"> </w:t>
      </w:r>
      <w:r w:rsidRPr="00B95282">
        <w:rPr>
          <w:rFonts w:ascii="Arial" w:hAnsi="Arial"/>
          <w:sz w:val="16"/>
          <w:szCs w:val="16"/>
        </w:rPr>
        <w:t xml:space="preserve">al (2008) and </w:t>
      </w:r>
      <w:r>
        <w:rPr>
          <w:rFonts w:ascii="Arial" w:hAnsi="Arial"/>
          <w:sz w:val="16"/>
          <w:szCs w:val="16"/>
        </w:rPr>
        <w:t xml:space="preserve">Balestra </w:t>
      </w:r>
      <w:r w:rsidRPr="00B95282">
        <w:rPr>
          <w:rFonts w:ascii="Arial" w:hAnsi="Arial"/>
          <w:sz w:val="16"/>
          <w:szCs w:val="16"/>
        </w:rPr>
        <w:t>(2018) for</w:t>
      </w:r>
      <w:r>
        <w:rPr>
          <w:rFonts w:ascii="Arial" w:hAnsi="Arial"/>
          <w:sz w:val="16"/>
          <w:szCs w:val="16"/>
        </w:rPr>
        <w:t xml:space="preserve"> more detailed discussion and data analysis.</w:t>
      </w:r>
      <w:r w:rsidRPr="00B95282">
        <w:rPr>
          <w:rFonts w:ascii="Arial" w:hAnsi="Arial"/>
          <w:sz w:val="16"/>
          <w:szCs w:val="16"/>
        </w:rPr>
        <w:t xml:space="preserve"> </w:t>
      </w:r>
    </w:p>
  </w:footnote>
  <w:footnote w:id="12">
    <w:p w14:paraId="6D443A49" w14:textId="11E9DBA1" w:rsidR="000A39FB" w:rsidRPr="000A39FB" w:rsidRDefault="000A39FB" w:rsidP="00B372F6">
      <w:pPr>
        <w:pStyle w:val="FootnoteText"/>
        <w:ind w:left="284" w:hanging="284"/>
        <w:rPr>
          <w:rFonts w:ascii="Arial" w:hAnsi="Arial"/>
          <w:sz w:val="16"/>
          <w:szCs w:val="16"/>
        </w:rPr>
      </w:pPr>
      <w:r w:rsidRPr="000A39FB">
        <w:rPr>
          <w:rStyle w:val="FootnoteReference"/>
          <w:rFonts w:ascii="Arial" w:hAnsi="Arial"/>
          <w:sz w:val="16"/>
          <w:szCs w:val="16"/>
        </w:rPr>
        <w:footnoteRef/>
      </w:r>
      <w:r w:rsidRPr="000A39FB">
        <w:rPr>
          <w:rFonts w:ascii="Arial" w:hAnsi="Arial"/>
          <w:sz w:val="16"/>
          <w:szCs w:val="16"/>
        </w:rPr>
        <w:t xml:space="preserve"> </w:t>
      </w:r>
      <w:r w:rsidR="00B372F6">
        <w:rPr>
          <w:rFonts w:ascii="Arial" w:hAnsi="Arial"/>
          <w:sz w:val="16"/>
          <w:szCs w:val="16"/>
        </w:rPr>
        <w:tab/>
      </w:r>
      <w:r w:rsidRPr="006275CE">
        <w:rPr>
          <w:rFonts w:ascii="Arial" w:hAnsi="Arial"/>
          <w:sz w:val="16"/>
          <w:szCs w:val="16"/>
        </w:rPr>
        <w:t xml:space="preserve">See </w:t>
      </w:r>
      <w:r w:rsidRPr="006275CE">
        <w:rPr>
          <w:rFonts w:ascii="Arial" w:hAnsi="Arial"/>
          <w:b/>
          <w:bCs/>
          <w:sz w:val="16"/>
          <w:szCs w:val="16"/>
        </w:rPr>
        <w:t xml:space="preserve">Appendix </w:t>
      </w:r>
      <w:r w:rsidR="006275CE" w:rsidRPr="006275CE">
        <w:rPr>
          <w:rFonts w:ascii="Arial" w:hAnsi="Arial"/>
          <w:b/>
          <w:bCs/>
          <w:sz w:val="16"/>
          <w:szCs w:val="16"/>
        </w:rPr>
        <w:t xml:space="preserve">8 </w:t>
      </w:r>
      <w:r w:rsidRPr="006275CE">
        <w:rPr>
          <w:rFonts w:ascii="Arial" w:hAnsi="Arial"/>
          <w:sz w:val="16"/>
          <w:szCs w:val="16"/>
        </w:rPr>
        <w:t>for</w:t>
      </w:r>
      <w:r w:rsidRPr="000A39FB">
        <w:rPr>
          <w:rFonts w:ascii="Arial" w:hAnsi="Arial"/>
          <w:sz w:val="16"/>
          <w:szCs w:val="16"/>
        </w:rPr>
        <w:t xml:space="preserve"> information on equivalisation,</w:t>
      </w:r>
    </w:p>
  </w:footnote>
  <w:footnote w:id="13">
    <w:p w14:paraId="6D704E43" w14:textId="77777777" w:rsidR="00773157" w:rsidRPr="00AE7D9B" w:rsidRDefault="00773157" w:rsidP="004C096C">
      <w:pPr>
        <w:pStyle w:val="FootnoteText"/>
        <w:spacing w:after="20"/>
        <w:ind w:left="284" w:hanging="284"/>
        <w:rPr>
          <w:rFonts w:ascii="Arial" w:hAnsi="Arial"/>
          <w:sz w:val="16"/>
          <w:szCs w:val="16"/>
        </w:rPr>
      </w:pPr>
      <w:r w:rsidRPr="00F53C57">
        <w:rPr>
          <w:rStyle w:val="FootnoteReference"/>
          <w:rFonts w:ascii="Arial" w:hAnsi="Arial"/>
          <w:sz w:val="16"/>
          <w:szCs w:val="16"/>
        </w:rPr>
        <w:footnoteRef/>
      </w:r>
      <w:r w:rsidRPr="00F53C57">
        <w:rPr>
          <w:rFonts w:ascii="Arial" w:hAnsi="Arial"/>
          <w:sz w:val="16"/>
          <w:szCs w:val="16"/>
        </w:rPr>
        <w:t xml:space="preserve"> </w:t>
      </w:r>
      <w:r w:rsidRPr="00F53C57">
        <w:rPr>
          <w:rFonts w:ascii="Arial" w:hAnsi="Arial"/>
          <w:sz w:val="16"/>
          <w:szCs w:val="16"/>
        </w:rPr>
        <w:tab/>
      </w:r>
      <w:r w:rsidRPr="00AE7D9B">
        <w:rPr>
          <w:rFonts w:ascii="Arial" w:hAnsi="Arial"/>
          <w:sz w:val="16"/>
          <w:szCs w:val="16"/>
        </w:rPr>
        <w:t>See Section J in MSD’s 2022 Child Poverty Report for analysis and discussion in support of this ability to go back to 2007.</w:t>
      </w:r>
    </w:p>
  </w:footnote>
  <w:footnote w:id="14">
    <w:p w14:paraId="42553863" w14:textId="0EFE89E3" w:rsidR="00385857" w:rsidRPr="00AE7D9B" w:rsidRDefault="00385857" w:rsidP="004C096C">
      <w:pPr>
        <w:pStyle w:val="FootnoteText"/>
        <w:spacing w:after="20"/>
        <w:ind w:left="284" w:hanging="284"/>
        <w:rPr>
          <w:rFonts w:ascii="Arial" w:hAnsi="Arial"/>
          <w:sz w:val="16"/>
          <w:szCs w:val="16"/>
        </w:rPr>
      </w:pPr>
      <w:r w:rsidRPr="00AE7D9B">
        <w:rPr>
          <w:rStyle w:val="FootnoteReference"/>
          <w:rFonts w:ascii="Arial" w:hAnsi="Arial"/>
          <w:sz w:val="16"/>
          <w:szCs w:val="16"/>
        </w:rPr>
        <w:footnoteRef/>
      </w:r>
      <w:r w:rsidRPr="00AE7D9B">
        <w:rPr>
          <w:rFonts w:ascii="Arial" w:hAnsi="Arial"/>
          <w:sz w:val="16"/>
          <w:szCs w:val="16"/>
        </w:rPr>
        <w:t xml:space="preserve"> </w:t>
      </w:r>
      <w:r w:rsidR="004C096C" w:rsidRPr="00AE7D9B">
        <w:rPr>
          <w:rFonts w:ascii="Arial" w:hAnsi="Arial"/>
          <w:sz w:val="16"/>
          <w:szCs w:val="16"/>
        </w:rPr>
        <w:tab/>
      </w:r>
      <w:r w:rsidRPr="00AE7D9B">
        <w:rPr>
          <w:rFonts w:ascii="Arial" w:hAnsi="Arial"/>
          <w:sz w:val="16"/>
          <w:szCs w:val="16"/>
        </w:rPr>
        <w:t xml:space="preserve">See </w:t>
      </w:r>
      <w:r w:rsidRPr="00AE7D9B">
        <w:rPr>
          <w:rFonts w:ascii="Arial" w:hAnsi="Arial"/>
          <w:b/>
          <w:bCs/>
          <w:sz w:val="16"/>
          <w:szCs w:val="16"/>
        </w:rPr>
        <w:t xml:space="preserve">Appendix </w:t>
      </w:r>
      <w:r w:rsidR="00C9001B" w:rsidRPr="00AE7D9B">
        <w:rPr>
          <w:rFonts w:ascii="Arial" w:hAnsi="Arial"/>
          <w:b/>
          <w:bCs/>
          <w:sz w:val="16"/>
          <w:szCs w:val="16"/>
        </w:rPr>
        <w:t>3</w:t>
      </w:r>
      <w:r w:rsidRPr="00AE7D9B">
        <w:rPr>
          <w:rFonts w:ascii="Arial" w:hAnsi="Arial"/>
          <w:sz w:val="16"/>
          <w:szCs w:val="16"/>
        </w:rPr>
        <w:t xml:space="preserve"> for lists of items for the DEP-17</w:t>
      </w:r>
      <w:r w:rsidR="00937E8A" w:rsidRPr="00AE7D9B">
        <w:rPr>
          <w:rFonts w:ascii="Arial" w:hAnsi="Arial"/>
          <w:sz w:val="16"/>
          <w:szCs w:val="16"/>
        </w:rPr>
        <w:t>, MH-18,</w:t>
      </w:r>
      <w:r w:rsidRPr="00AE7D9B">
        <w:rPr>
          <w:rFonts w:ascii="Arial" w:hAnsi="Arial"/>
          <w:sz w:val="16"/>
          <w:szCs w:val="16"/>
        </w:rPr>
        <w:t xml:space="preserve"> EU-13 and MWI indices.</w:t>
      </w:r>
    </w:p>
  </w:footnote>
  <w:footnote w:id="15">
    <w:p w14:paraId="29A82E83" w14:textId="12499D97" w:rsidR="004F2FBC" w:rsidRPr="00AE7D9B" w:rsidRDefault="004F2FBC" w:rsidP="004C096C">
      <w:pPr>
        <w:pStyle w:val="FootnoteText"/>
        <w:spacing w:after="20"/>
        <w:ind w:left="284" w:hanging="284"/>
        <w:rPr>
          <w:rFonts w:ascii="Arial" w:hAnsi="Arial"/>
          <w:sz w:val="16"/>
          <w:szCs w:val="16"/>
        </w:rPr>
      </w:pPr>
      <w:r w:rsidRPr="00AE7D9B">
        <w:rPr>
          <w:rStyle w:val="FootnoteReference"/>
          <w:rFonts w:ascii="Arial" w:hAnsi="Arial"/>
          <w:sz w:val="16"/>
          <w:szCs w:val="16"/>
        </w:rPr>
        <w:footnoteRef/>
      </w:r>
      <w:r w:rsidRPr="00AE7D9B">
        <w:rPr>
          <w:rFonts w:ascii="Arial" w:hAnsi="Arial"/>
          <w:sz w:val="16"/>
          <w:szCs w:val="16"/>
        </w:rPr>
        <w:t xml:space="preserve"> </w:t>
      </w:r>
      <w:r w:rsidR="004C096C" w:rsidRPr="00AE7D9B">
        <w:rPr>
          <w:rFonts w:ascii="Arial" w:hAnsi="Arial"/>
          <w:sz w:val="16"/>
          <w:szCs w:val="16"/>
        </w:rPr>
        <w:tab/>
      </w:r>
      <w:r w:rsidRPr="00AE7D9B">
        <w:rPr>
          <w:rFonts w:ascii="Arial" w:hAnsi="Arial"/>
          <w:sz w:val="16"/>
          <w:szCs w:val="16"/>
        </w:rPr>
        <w:t xml:space="preserve">See the chart in </w:t>
      </w:r>
      <w:r w:rsidRPr="00AE7D9B">
        <w:rPr>
          <w:rFonts w:ascii="Arial" w:hAnsi="Arial"/>
          <w:b/>
          <w:bCs/>
          <w:sz w:val="16"/>
          <w:szCs w:val="16"/>
        </w:rPr>
        <w:t xml:space="preserve">Appendix </w:t>
      </w:r>
      <w:r w:rsidR="00AE7D9B" w:rsidRPr="00AE7D9B">
        <w:rPr>
          <w:rFonts w:ascii="Arial" w:hAnsi="Arial"/>
          <w:b/>
          <w:bCs/>
          <w:sz w:val="16"/>
          <w:szCs w:val="16"/>
        </w:rPr>
        <w:t>4</w:t>
      </w:r>
      <w:r w:rsidR="00FA4A17" w:rsidRPr="00AE7D9B">
        <w:rPr>
          <w:rFonts w:ascii="Arial" w:hAnsi="Arial"/>
          <w:sz w:val="16"/>
          <w:szCs w:val="16"/>
        </w:rPr>
        <w:t xml:space="preserve">. </w:t>
      </w:r>
      <w:r w:rsidR="00B540F8" w:rsidRPr="00AE7D9B">
        <w:rPr>
          <w:rFonts w:ascii="Arial" w:hAnsi="Arial"/>
          <w:sz w:val="16"/>
          <w:szCs w:val="16"/>
        </w:rPr>
        <w:t>Where small differences do occur there is no impact on the overall trend message from a research perspective</w:t>
      </w:r>
      <w:r w:rsidR="004B098C" w:rsidRPr="00AE7D9B">
        <w:rPr>
          <w:rFonts w:ascii="Arial" w:hAnsi="Arial"/>
          <w:sz w:val="16"/>
          <w:szCs w:val="16"/>
        </w:rPr>
        <w:t>.</w:t>
      </w:r>
      <w:r w:rsidR="00B540F8" w:rsidRPr="00AE7D9B">
        <w:rPr>
          <w:rFonts w:ascii="Arial" w:hAnsi="Arial"/>
          <w:sz w:val="16"/>
          <w:szCs w:val="16"/>
        </w:rPr>
        <w:t xml:space="preserve"> </w:t>
      </w:r>
      <w:r w:rsidR="004B098C" w:rsidRPr="00AE7D9B">
        <w:rPr>
          <w:rFonts w:ascii="Arial" w:hAnsi="Arial"/>
          <w:sz w:val="16"/>
          <w:szCs w:val="16"/>
        </w:rPr>
        <w:t>Note that for</w:t>
      </w:r>
      <w:r w:rsidR="00B540F8" w:rsidRPr="00AE7D9B">
        <w:rPr>
          <w:rFonts w:ascii="Arial" w:hAnsi="Arial"/>
          <w:sz w:val="16"/>
          <w:szCs w:val="16"/>
        </w:rPr>
        <w:t xml:space="preserve"> the purposes of the CPRA the Stats NZ numbers are the official ones.</w:t>
      </w:r>
      <w:r w:rsidR="004B098C" w:rsidRPr="00AE7D9B">
        <w:rPr>
          <w:rFonts w:ascii="Arial" w:hAnsi="Arial"/>
          <w:sz w:val="16"/>
          <w:szCs w:val="16"/>
        </w:rPr>
        <w:t xml:space="preserve"> </w:t>
      </w:r>
      <w:r w:rsidR="00FA4A17" w:rsidRPr="00AE7D9B">
        <w:rPr>
          <w:rFonts w:ascii="Arial" w:hAnsi="Arial"/>
          <w:sz w:val="16"/>
          <w:szCs w:val="16"/>
        </w:rPr>
        <w:t xml:space="preserve"> </w:t>
      </w:r>
      <w:r w:rsidRPr="00AE7D9B">
        <w:rPr>
          <w:rFonts w:ascii="Arial" w:hAnsi="Arial"/>
          <w:sz w:val="16"/>
          <w:szCs w:val="16"/>
        </w:rPr>
        <w:t xml:space="preserve"> </w:t>
      </w:r>
    </w:p>
  </w:footnote>
  <w:footnote w:id="16">
    <w:p w14:paraId="32450686" w14:textId="5088EFC9" w:rsidR="00EB6695" w:rsidRPr="00EB6695" w:rsidRDefault="00EB6695" w:rsidP="004C096C">
      <w:pPr>
        <w:pStyle w:val="FootnoteText"/>
        <w:ind w:left="284" w:hanging="284"/>
        <w:rPr>
          <w:rFonts w:ascii="Arial" w:hAnsi="Arial"/>
          <w:sz w:val="16"/>
          <w:szCs w:val="16"/>
        </w:rPr>
      </w:pPr>
      <w:r w:rsidRPr="00AE7D9B">
        <w:rPr>
          <w:rStyle w:val="FootnoteReference"/>
          <w:rFonts w:ascii="Arial" w:hAnsi="Arial"/>
          <w:sz w:val="16"/>
          <w:szCs w:val="16"/>
        </w:rPr>
        <w:footnoteRef/>
      </w:r>
      <w:r w:rsidRPr="00AE7D9B">
        <w:rPr>
          <w:rFonts w:ascii="Arial" w:hAnsi="Arial"/>
          <w:sz w:val="16"/>
          <w:szCs w:val="16"/>
        </w:rPr>
        <w:t xml:space="preserve"> </w:t>
      </w:r>
      <w:r w:rsidR="004C096C" w:rsidRPr="00AE7D9B">
        <w:rPr>
          <w:rFonts w:ascii="Arial" w:hAnsi="Arial"/>
          <w:sz w:val="16"/>
          <w:szCs w:val="16"/>
        </w:rPr>
        <w:tab/>
      </w:r>
      <w:r w:rsidRPr="00AE7D9B">
        <w:rPr>
          <w:rFonts w:ascii="Arial" w:hAnsi="Arial"/>
          <w:sz w:val="16"/>
          <w:szCs w:val="16"/>
        </w:rPr>
        <w:t>See Guio et al (2017).</w:t>
      </w:r>
    </w:p>
  </w:footnote>
  <w:footnote w:id="17">
    <w:p w14:paraId="1B111A62" w14:textId="3D5E239E" w:rsidR="009B4F0D" w:rsidRPr="009B4F0D" w:rsidRDefault="009B4F0D" w:rsidP="009B4F0D">
      <w:pPr>
        <w:pStyle w:val="FootnoteText"/>
        <w:ind w:left="284" w:hanging="284"/>
        <w:rPr>
          <w:rFonts w:ascii="Arial" w:hAnsi="Arial"/>
          <w:sz w:val="16"/>
          <w:szCs w:val="16"/>
        </w:rPr>
      </w:pPr>
      <w:r w:rsidRPr="009B4F0D">
        <w:rPr>
          <w:rStyle w:val="FootnoteReference"/>
          <w:rFonts w:ascii="Arial" w:hAnsi="Arial"/>
          <w:sz w:val="16"/>
          <w:szCs w:val="16"/>
        </w:rPr>
        <w:footnoteRef/>
      </w:r>
      <w:r w:rsidRPr="009B4F0D">
        <w:rPr>
          <w:rFonts w:ascii="Arial" w:hAnsi="Arial"/>
          <w:sz w:val="16"/>
          <w:szCs w:val="16"/>
        </w:rPr>
        <w:t xml:space="preserve"> </w:t>
      </w:r>
      <w:r>
        <w:rPr>
          <w:rFonts w:ascii="Arial" w:hAnsi="Arial"/>
          <w:sz w:val="16"/>
          <w:szCs w:val="16"/>
        </w:rPr>
        <w:tab/>
      </w:r>
      <w:r w:rsidRPr="009B4F0D">
        <w:rPr>
          <w:rFonts w:ascii="Arial" w:hAnsi="Arial"/>
          <w:sz w:val="16"/>
          <w:szCs w:val="16"/>
        </w:rPr>
        <w:t>See especially Nolan and Whelan (1996, 2011)</w:t>
      </w:r>
      <w:r w:rsidR="00C83AE5">
        <w:rPr>
          <w:rFonts w:ascii="Arial" w:hAnsi="Arial"/>
          <w:sz w:val="16"/>
          <w:szCs w:val="16"/>
        </w:rPr>
        <w:t xml:space="preserve"> and Whelan et al (2004).</w:t>
      </w:r>
    </w:p>
  </w:footnote>
  <w:footnote w:id="18">
    <w:p w14:paraId="5D429E0A" w14:textId="4B85937C" w:rsidR="0057577D" w:rsidRPr="0000468B" w:rsidRDefault="0057577D" w:rsidP="009B4F0D">
      <w:pPr>
        <w:pStyle w:val="FootnoteText"/>
        <w:spacing w:after="40"/>
        <w:ind w:left="284" w:hanging="284"/>
        <w:rPr>
          <w:rFonts w:ascii="Arial" w:hAnsi="Arial"/>
          <w:sz w:val="16"/>
          <w:szCs w:val="16"/>
        </w:rPr>
      </w:pPr>
      <w:r w:rsidRPr="009B4F0D">
        <w:rPr>
          <w:rStyle w:val="FootnoteReference"/>
          <w:rFonts w:ascii="Arial" w:hAnsi="Arial"/>
          <w:sz w:val="16"/>
          <w:szCs w:val="16"/>
        </w:rPr>
        <w:footnoteRef/>
      </w:r>
      <w:r w:rsidRPr="009B4F0D">
        <w:rPr>
          <w:rFonts w:ascii="Arial" w:hAnsi="Arial"/>
          <w:sz w:val="16"/>
          <w:szCs w:val="16"/>
        </w:rPr>
        <w:t xml:space="preserve"> </w:t>
      </w:r>
      <w:r w:rsidR="009B4F0D">
        <w:rPr>
          <w:rFonts w:ascii="Arial" w:hAnsi="Arial"/>
          <w:sz w:val="16"/>
          <w:szCs w:val="16"/>
        </w:rPr>
        <w:tab/>
      </w:r>
      <w:r w:rsidRPr="009B4F0D">
        <w:rPr>
          <w:rFonts w:ascii="Arial" w:hAnsi="Arial"/>
          <w:sz w:val="16"/>
          <w:szCs w:val="16"/>
        </w:rPr>
        <w:t xml:space="preserve">See </w:t>
      </w:r>
      <w:r w:rsidR="00A43836" w:rsidRPr="009B4F0D">
        <w:rPr>
          <w:rFonts w:ascii="Arial" w:hAnsi="Arial"/>
          <w:sz w:val="16"/>
          <w:szCs w:val="16"/>
        </w:rPr>
        <w:t xml:space="preserve">Penne </w:t>
      </w:r>
      <w:r w:rsidR="00A43836" w:rsidRPr="009B4F0D">
        <w:rPr>
          <w:rFonts w:ascii="Arial" w:hAnsi="Arial"/>
          <w:i/>
          <w:iCs/>
          <w:sz w:val="16"/>
          <w:szCs w:val="16"/>
        </w:rPr>
        <w:t>et al</w:t>
      </w:r>
      <w:r w:rsidR="00A43836" w:rsidRPr="009B4F0D">
        <w:rPr>
          <w:rFonts w:ascii="Arial" w:hAnsi="Arial"/>
          <w:sz w:val="16"/>
          <w:szCs w:val="16"/>
        </w:rPr>
        <w:t xml:space="preserve"> (2016) for reference budgets in Europe</w:t>
      </w:r>
      <w:r w:rsidR="00DA73BD" w:rsidRPr="009B4F0D">
        <w:rPr>
          <w:rFonts w:ascii="Arial" w:hAnsi="Arial"/>
          <w:sz w:val="16"/>
          <w:szCs w:val="16"/>
        </w:rPr>
        <w:t xml:space="preserve"> and Graham &amp; Garlick</w:t>
      </w:r>
      <w:r w:rsidR="00DA73BD">
        <w:rPr>
          <w:rFonts w:ascii="Arial" w:hAnsi="Arial"/>
          <w:sz w:val="16"/>
          <w:szCs w:val="16"/>
        </w:rPr>
        <w:t xml:space="preserve"> </w:t>
      </w:r>
      <w:r w:rsidR="00DA73BD" w:rsidRPr="00DA73BD">
        <w:rPr>
          <w:rFonts w:ascii="Arial" w:hAnsi="Arial"/>
          <w:sz w:val="16"/>
          <w:szCs w:val="16"/>
        </w:rPr>
        <w:t>(2022) for New Zealand.</w:t>
      </w:r>
      <w:r w:rsidR="00DA73BD" w:rsidRPr="003D4137">
        <w:rPr>
          <w:rFonts w:ascii="Arial" w:hAnsi="Arial"/>
        </w:rPr>
        <w:t xml:space="preserve"> </w:t>
      </w:r>
      <w:r w:rsidRPr="0000468B">
        <w:rPr>
          <w:rFonts w:ascii="Arial" w:hAnsi="Arial"/>
          <w:sz w:val="16"/>
          <w:szCs w:val="16"/>
        </w:rPr>
        <w:t xml:space="preserve">Notten &amp; Kaplan (2022) </w:t>
      </w:r>
      <w:r w:rsidR="002D3668" w:rsidRPr="0000468B">
        <w:rPr>
          <w:rFonts w:ascii="Arial" w:hAnsi="Arial"/>
          <w:sz w:val="16"/>
          <w:szCs w:val="16"/>
        </w:rPr>
        <w:t xml:space="preserve">and </w:t>
      </w:r>
      <w:r w:rsidR="0000468B" w:rsidRPr="0000468B">
        <w:rPr>
          <w:rFonts w:ascii="Arial" w:hAnsi="Arial"/>
          <w:sz w:val="16"/>
          <w:szCs w:val="16"/>
        </w:rPr>
        <w:t>Nájera &amp; Gordon</w:t>
      </w:r>
      <w:r w:rsidR="0000468B">
        <w:rPr>
          <w:rFonts w:ascii="Arial" w:hAnsi="Arial"/>
          <w:sz w:val="16"/>
          <w:szCs w:val="16"/>
        </w:rPr>
        <w:t xml:space="preserve"> (2023) </w:t>
      </w:r>
      <w:r w:rsidR="00DA73BD">
        <w:rPr>
          <w:rFonts w:ascii="Arial" w:hAnsi="Arial"/>
          <w:sz w:val="16"/>
          <w:szCs w:val="16"/>
        </w:rPr>
        <w:t>report on</w:t>
      </w:r>
      <w:r w:rsidR="0000468B">
        <w:rPr>
          <w:rFonts w:ascii="Arial" w:hAnsi="Arial"/>
          <w:sz w:val="16"/>
          <w:szCs w:val="16"/>
        </w:rPr>
        <w:t xml:space="preserve"> empirical</w:t>
      </w:r>
      <w:r w:rsidR="0000468B" w:rsidRPr="0000468B">
        <w:rPr>
          <w:rFonts w:ascii="Arial" w:hAnsi="Arial"/>
          <w:sz w:val="16"/>
          <w:szCs w:val="16"/>
        </w:rPr>
        <w:t xml:space="preserve"> alternatives</w:t>
      </w:r>
      <w:r w:rsidR="00DA73BD">
        <w:rPr>
          <w:rFonts w:ascii="Arial" w:hAnsi="Arial"/>
          <w:sz w:val="16"/>
          <w:szCs w:val="16"/>
        </w:rPr>
        <w:t xml:space="preserve"> that ‘narrow the range of plausible thresholds’</w:t>
      </w:r>
      <w:r w:rsidR="0017189F">
        <w:rPr>
          <w:rFonts w:ascii="Arial" w:hAnsi="Arial"/>
          <w:sz w:val="16"/>
          <w:szCs w:val="16"/>
        </w:rPr>
        <w:t>.</w:t>
      </w:r>
    </w:p>
  </w:footnote>
  <w:footnote w:id="19">
    <w:p w14:paraId="31A9BE22" w14:textId="5E77CC98" w:rsidR="00DC5A25" w:rsidRPr="00DC5A25" w:rsidRDefault="00DC5A25" w:rsidP="009B4F0D">
      <w:pPr>
        <w:pStyle w:val="FootnoteText"/>
        <w:spacing w:after="40"/>
        <w:ind w:left="284" w:hanging="284"/>
        <w:rPr>
          <w:rFonts w:ascii="Arial" w:hAnsi="Arial"/>
          <w:sz w:val="16"/>
          <w:szCs w:val="16"/>
        </w:rPr>
      </w:pPr>
      <w:r w:rsidRPr="00DC5A25">
        <w:rPr>
          <w:rStyle w:val="FootnoteReference"/>
          <w:rFonts w:ascii="Arial" w:hAnsi="Arial"/>
          <w:sz w:val="16"/>
          <w:szCs w:val="16"/>
        </w:rPr>
        <w:footnoteRef/>
      </w:r>
      <w:r w:rsidRPr="00DC5A25">
        <w:rPr>
          <w:rFonts w:ascii="Arial" w:hAnsi="Arial"/>
          <w:sz w:val="16"/>
          <w:szCs w:val="16"/>
        </w:rPr>
        <w:t xml:space="preserve"> </w:t>
      </w:r>
      <w:r w:rsidR="009B4F0D">
        <w:rPr>
          <w:rFonts w:ascii="Arial" w:hAnsi="Arial"/>
          <w:sz w:val="16"/>
          <w:szCs w:val="16"/>
        </w:rPr>
        <w:tab/>
      </w:r>
      <w:r w:rsidRPr="00DC5A25">
        <w:rPr>
          <w:rFonts w:ascii="Arial" w:hAnsi="Arial"/>
          <w:sz w:val="16"/>
          <w:szCs w:val="16"/>
        </w:rPr>
        <w:t xml:space="preserve">See, for example: </w:t>
      </w:r>
      <w:hyperlink r:id="rId5" w:history="1">
        <w:r w:rsidRPr="00DC5A25">
          <w:rPr>
            <w:rStyle w:val="Hyperlink"/>
            <w:rFonts w:ascii="Arial" w:hAnsi="Arial"/>
            <w:sz w:val="16"/>
            <w:szCs w:val="16"/>
          </w:rPr>
          <w:t>https://www150.statcan.gc.ca/n1/en/pub/75f0002m/75f0002m2023007-eng.pdf?st=rS8MUnl6</w:t>
        </w:r>
      </w:hyperlink>
      <w:r w:rsidRPr="00DC5A25">
        <w:rPr>
          <w:rFonts w:ascii="Arial" w:hAnsi="Arial"/>
          <w:sz w:val="16"/>
          <w:szCs w:val="16"/>
        </w:rPr>
        <w:t xml:space="preserve"> </w:t>
      </w:r>
    </w:p>
  </w:footnote>
  <w:footnote w:id="20">
    <w:p w14:paraId="559941AB" w14:textId="6685B5C3" w:rsidR="00111E86" w:rsidRPr="008312BD" w:rsidRDefault="00111E86" w:rsidP="003D7D36">
      <w:pPr>
        <w:pStyle w:val="FootnoteText"/>
        <w:spacing w:after="40"/>
        <w:ind w:left="284" w:hanging="284"/>
        <w:rPr>
          <w:rFonts w:ascii="Arial" w:hAnsi="Arial"/>
          <w:color w:val="000000" w:themeColor="text1"/>
          <w:sz w:val="16"/>
          <w:szCs w:val="16"/>
        </w:rPr>
      </w:pPr>
      <w:r w:rsidRPr="00A66262">
        <w:rPr>
          <w:rStyle w:val="FootnoteReference"/>
          <w:rFonts w:ascii="Arial" w:hAnsi="Arial"/>
          <w:color w:val="000000" w:themeColor="text1"/>
          <w:sz w:val="16"/>
          <w:szCs w:val="16"/>
        </w:rPr>
        <w:footnoteRef/>
      </w:r>
      <w:r w:rsidRPr="00A66262">
        <w:rPr>
          <w:rFonts w:ascii="Arial" w:hAnsi="Arial"/>
          <w:color w:val="000000" w:themeColor="text1"/>
          <w:sz w:val="16"/>
          <w:szCs w:val="16"/>
        </w:rPr>
        <w:t xml:space="preserve"> </w:t>
      </w:r>
      <w:r w:rsidR="00D10B6A" w:rsidRPr="00A66262">
        <w:rPr>
          <w:rFonts w:ascii="Arial" w:hAnsi="Arial"/>
          <w:color w:val="000000" w:themeColor="text1"/>
          <w:sz w:val="16"/>
          <w:szCs w:val="16"/>
        </w:rPr>
        <w:tab/>
      </w:r>
      <w:r w:rsidRPr="008312BD">
        <w:rPr>
          <w:rFonts w:ascii="Arial" w:hAnsi="Arial"/>
          <w:color w:val="000000" w:themeColor="text1"/>
          <w:sz w:val="16"/>
          <w:szCs w:val="16"/>
        </w:rPr>
        <w:t xml:space="preserve">MSD’s Household Incomes </w:t>
      </w:r>
      <w:r w:rsidR="005E4281" w:rsidRPr="008312BD">
        <w:rPr>
          <w:rFonts w:ascii="Arial" w:hAnsi="Arial"/>
          <w:color w:val="000000" w:themeColor="text1"/>
          <w:sz w:val="16"/>
          <w:szCs w:val="16"/>
        </w:rPr>
        <w:t>R</w:t>
      </w:r>
      <w:r w:rsidRPr="008312BD">
        <w:rPr>
          <w:rFonts w:ascii="Arial" w:hAnsi="Arial"/>
          <w:color w:val="000000" w:themeColor="text1"/>
          <w:sz w:val="16"/>
          <w:szCs w:val="16"/>
        </w:rPr>
        <w:t xml:space="preserve">eport </w:t>
      </w:r>
      <w:r w:rsidR="0019254E" w:rsidRPr="008312BD">
        <w:rPr>
          <w:rFonts w:ascii="Arial" w:hAnsi="Arial"/>
          <w:color w:val="000000" w:themeColor="text1"/>
          <w:sz w:val="16"/>
          <w:szCs w:val="16"/>
        </w:rPr>
        <w:t>use</w:t>
      </w:r>
      <w:r w:rsidR="008B4B0B">
        <w:rPr>
          <w:rFonts w:ascii="Arial" w:hAnsi="Arial"/>
          <w:color w:val="000000" w:themeColor="text1"/>
          <w:sz w:val="16"/>
          <w:szCs w:val="16"/>
        </w:rPr>
        <w:t>s</w:t>
      </w:r>
      <w:r w:rsidRPr="008312BD">
        <w:rPr>
          <w:rFonts w:ascii="Arial" w:hAnsi="Arial"/>
          <w:color w:val="000000" w:themeColor="text1"/>
          <w:sz w:val="16"/>
          <w:szCs w:val="16"/>
        </w:rPr>
        <w:t xml:space="preserve"> </w:t>
      </w:r>
      <w:r w:rsidR="00B9448D" w:rsidRPr="008312BD">
        <w:rPr>
          <w:rFonts w:ascii="Arial" w:hAnsi="Arial"/>
          <w:color w:val="000000" w:themeColor="text1"/>
          <w:sz w:val="16"/>
          <w:szCs w:val="16"/>
        </w:rPr>
        <w:t>BHC incomes for selected purposes</w:t>
      </w:r>
      <w:r w:rsidR="00D51FE7" w:rsidRPr="008312BD">
        <w:rPr>
          <w:rFonts w:ascii="Arial" w:hAnsi="Arial"/>
          <w:color w:val="000000" w:themeColor="text1"/>
          <w:sz w:val="16"/>
          <w:szCs w:val="16"/>
        </w:rPr>
        <w:t>, including for</w:t>
      </w:r>
      <w:r w:rsidR="00BD0946" w:rsidRPr="008312BD">
        <w:rPr>
          <w:rFonts w:ascii="Arial" w:hAnsi="Arial"/>
          <w:color w:val="000000" w:themeColor="text1"/>
          <w:sz w:val="16"/>
          <w:szCs w:val="16"/>
        </w:rPr>
        <w:t xml:space="preserve"> monitoring BHC low-income trends and income inequality both within New Zealand and internationally. </w:t>
      </w:r>
      <w:r w:rsidR="008B4B0B">
        <w:rPr>
          <w:rFonts w:ascii="Arial" w:hAnsi="Arial"/>
          <w:color w:val="000000" w:themeColor="text1"/>
          <w:sz w:val="16"/>
          <w:szCs w:val="16"/>
        </w:rPr>
        <w:t>This larger publication has</w:t>
      </w:r>
      <w:r w:rsidR="00BD0946" w:rsidRPr="008312BD">
        <w:rPr>
          <w:rFonts w:ascii="Arial" w:hAnsi="Arial"/>
          <w:color w:val="000000" w:themeColor="text1"/>
          <w:sz w:val="16"/>
          <w:szCs w:val="16"/>
        </w:rPr>
        <w:t xml:space="preserve"> the space</w:t>
      </w:r>
      <w:r w:rsidRPr="008312BD">
        <w:rPr>
          <w:rFonts w:ascii="Arial" w:hAnsi="Arial"/>
          <w:color w:val="000000" w:themeColor="text1"/>
          <w:sz w:val="16"/>
          <w:szCs w:val="16"/>
        </w:rPr>
        <w:t xml:space="preserve"> </w:t>
      </w:r>
      <w:r w:rsidR="005E4281" w:rsidRPr="008312BD">
        <w:rPr>
          <w:rFonts w:ascii="Arial" w:hAnsi="Arial"/>
          <w:color w:val="000000" w:themeColor="text1"/>
          <w:sz w:val="16"/>
          <w:szCs w:val="16"/>
        </w:rPr>
        <w:t xml:space="preserve">to fully discuss </w:t>
      </w:r>
      <w:r w:rsidR="00BD0946" w:rsidRPr="008312BD">
        <w:rPr>
          <w:rFonts w:ascii="Arial" w:hAnsi="Arial"/>
          <w:color w:val="000000" w:themeColor="text1"/>
          <w:sz w:val="16"/>
          <w:szCs w:val="16"/>
        </w:rPr>
        <w:t xml:space="preserve">the pros and cons of the BHC approach, whereas </w:t>
      </w:r>
      <w:r w:rsidR="008B4B0B">
        <w:rPr>
          <w:rFonts w:ascii="Arial" w:hAnsi="Arial"/>
          <w:color w:val="000000" w:themeColor="text1"/>
          <w:sz w:val="16"/>
          <w:szCs w:val="16"/>
        </w:rPr>
        <w:t>the Child Poverty Report</w:t>
      </w:r>
      <w:r w:rsidR="00BD0946" w:rsidRPr="008312BD">
        <w:rPr>
          <w:rFonts w:ascii="Arial" w:hAnsi="Arial"/>
          <w:color w:val="000000" w:themeColor="text1"/>
          <w:sz w:val="16"/>
          <w:szCs w:val="16"/>
        </w:rPr>
        <w:t xml:space="preserve"> does not have that space</w:t>
      </w:r>
      <w:r w:rsidR="00077662" w:rsidRPr="008312BD">
        <w:rPr>
          <w:rFonts w:ascii="Arial" w:hAnsi="Arial"/>
          <w:color w:val="000000" w:themeColor="text1"/>
          <w:sz w:val="16"/>
          <w:szCs w:val="16"/>
        </w:rPr>
        <w:t>.</w:t>
      </w:r>
    </w:p>
  </w:footnote>
  <w:footnote w:id="21">
    <w:p w14:paraId="614D9D5A" w14:textId="77777777" w:rsidR="00503F72" w:rsidRPr="008312BD" w:rsidRDefault="00503F72" w:rsidP="008312BD">
      <w:pPr>
        <w:pStyle w:val="FootnoteText"/>
        <w:spacing w:after="40"/>
        <w:ind w:left="284" w:hanging="284"/>
        <w:rPr>
          <w:rFonts w:ascii="Arial" w:hAnsi="Arial"/>
          <w:color w:val="000000" w:themeColor="text1"/>
          <w:sz w:val="16"/>
          <w:szCs w:val="16"/>
        </w:rPr>
      </w:pPr>
      <w:r w:rsidRPr="008312BD">
        <w:rPr>
          <w:rStyle w:val="FootnoteReference"/>
          <w:rFonts w:ascii="Arial" w:hAnsi="Arial"/>
          <w:color w:val="0000FF"/>
          <w:sz w:val="16"/>
          <w:szCs w:val="16"/>
        </w:rPr>
        <w:footnoteRef/>
      </w:r>
      <w:r w:rsidRPr="008312BD">
        <w:rPr>
          <w:rFonts w:ascii="Arial" w:hAnsi="Arial"/>
          <w:color w:val="0000FF"/>
          <w:sz w:val="16"/>
          <w:szCs w:val="16"/>
        </w:rPr>
        <w:t xml:space="preserve"> </w:t>
      </w:r>
      <w:r w:rsidRPr="008312BD">
        <w:rPr>
          <w:rFonts w:ascii="Arial" w:hAnsi="Arial"/>
          <w:color w:val="000000" w:themeColor="text1"/>
          <w:sz w:val="16"/>
          <w:szCs w:val="16"/>
        </w:rPr>
        <w:tab/>
        <w:t>See Graham and Garlick (2022). Table 2 sets out the range of items deemed to make up the basic basket of goods for core costs that allow a household to ’just get by’ without borrowing. It also has a slightly less restrictive list which allows for some minimal ‘participation’ costs such as presents for immediate family and a few friends, sports/fitness costs and so on.</w:t>
      </w:r>
    </w:p>
  </w:footnote>
  <w:footnote w:id="22">
    <w:p w14:paraId="055B734E" w14:textId="76F2951F" w:rsidR="008312BD" w:rsidRPr="004C7033" w:rsidRDefault="008312BD" w:rsidP="006B26BA">
      <w:pPr>
        <w:pStyle w:val="FootnoteText"/>
        <w:spacing w:after="60"/>
        <w:ind w:left="284" w:hanging="284"/>
        <w:rPr>
          <w:rFonts w:ascii="Arial" w:hAnsi="Arial"/>
          <w:sz w:val="16"/>
          <w:szCs w:val="16"/>
        </w:rPr>
      </w:pPr>
      <w:r w:rsidRPr="008312BD">
        <w:rPr>
          <w:rStyle w:val="FootnoteReference"/>
          <w:rFonts w:ascii="Arial" w:hAnsi="Arial"/>
          <w:sz w:val="16"/>
          <w:szCs w:val="16"/>
        </w:rPr>
        <w:footnoteRef/>
      </w:r>
      <w:r w:rsidRPr="008312BD">
        <w:rPr>
          <w:rFonts w:ascii="Arial" w:hAnsi="Arial"/>
          <w:sz w:val="16"/>
          <w:szCs w:val="16"/>
        </w:rPr>
        <w:t xml:space="preserve"> </w:t>
      </w:r>
      <w:r>
        <w:rPr>
          <w:rFonts w:ascii="Arial" w:hAnsi="Arial"/>
          <w:sz w:val="16"/>
          <w:szCs w:val="16"/>
        </w:rPr>
        <w:tab/>
      </w:r>
      <w:r w:rsidRPr="004C7033">
        <w:rPr>
          <w:rFonts w:ascii="Arial" w:hAnsi="Arial"/>
          <w:sz w:val="16"/>
          <w:szCs w:val="16"/>
        </w:rPr>
        <w:t>See Appendix 6 in Perry (201</w:t>
      </w:r>
      <w:r w:rsidR="00081903">
        <w:rPr>
          <w:rFonts w:ascii="Arial" w:hAnsi="Arial"/>
          <w:sz w:val="16"/>
          <w:szCs w:val="16"/>
        </w:rPr>
        <w:t>9</w:t>
      </w:r>
      <w:r w:rsidRPr="004C7033">
        <w:rPr>
          <w:rFonts w:ascii="Arial" w:hAnsi="Arial"/>
          <w:sz w:val="16"/>
          <w:szCs w:val="16"/>
        </w:rPr>
        <w:t>).</w:t>
      </w:r>
    </w:p>
  </w:footnote>
  <w:footnote w:id="23">
    <w:p w14:paraId="49537677" w14:textId="0417A829" w:rsidR="00911AC4" w:rsidRPr="00AC192A" w:rsidRDefault="00911AC4" w:rsidP="006B26BA">
      <w:pPr>
        <w:pStyle w:val="FootnoteText"/>
        <w:spacing w:after="60"/>
        <w:ind w:left="284" w:hanging="284"/>
        <w:rPr>
          <w:rFonts w:ascii="Arial" w:hAnsi="Arial"/>
          <w:color w:val="000000" w:themeColor="text1"/>
          <w:sz w:val="16"/>
          <w:szCs w:val="16"/>
        </w:rPr>
      </w:pPr>
      <w:r w:rsidRPr="00AC192A">
        <w:rPr>
          <w:rStyle w:val="FootnoteReference"/>
          <w:rFonts w:ascii="Arial" w:hAnsi="Arial"/>
          <w:color w:val="000000" w:themeColor="text1"/>
          <w:sz w:val="16"/>
          <w:szCs w:val="16"/>
        </w:rPr>
        <w:footnoteRef/>
      </w:r>
      <w:r w:rsidRPr="00AC192A">
        <w:rPr>
          <w:rFonts w:ascii="Arial" w:hAnsi="Arial"/>
          <w:color w:val="000000" w:themeColor="text1"/>
          <w:sz w:val="16"/>
          <w:szCs w:val="16"/>
        </w:rPr>
        <w:t xml:space="preserve"> </w:t>
      </w:r>
      <w:r w:rsidRPr="00AC192A">
        <w:rPr>
          <w:rFonts w:ascii="Arial" w:hAnsi="Arial"/>
          <w:color w:val="000000" w:themeColor="text1"/>
          <w:sz w:val="16"/>
          <w:szCs w:val="16"/>
        </w:rPr>
        <w:tab/>
        <w:t xml:space="preserve">See Section M in MSD’s 2022 Child Poverty Report for </w:t>
      </w:r>
      <w:r>
        <w:rPr>
          <w:rFonts w:ascii="Arial" w:hAnsi="Arial"/>
          <w:color w:val="000000" w:themeColor="text1"/>
          <w:sz w:val="16"/>
          <w:szCs w:val="16"/>
        </w:rPr>
        <w:t xml:space="preserve">more on this and for </w:t>
      </w:r>
      <w:r w:rsidRPr="00AC192A">
        <w:rPr>
          <w:rFonts w:ascii="Arial" w:hAnsi="Arial"/>
          <w:color w:val="000000" w:themeColor="text1"/>
          <w:sz w:val="16"/>
          <w:szCs w:val="16"/>
        </w:rPr>
        <w:t>further discussion on the setting of low-income thresholds.</w:t>
      </w:r>
    </w:p>
  </w:footnote>
  <w:footnote w:id="24">
    <w:p w14:paraId="6DF95838" w14:textId="6F5B47FF" w:rsidR="004C7033" w:rsidRPr="004C7033" w:rsidRDefault="004C7033" w:rsidP="006B26BA">
      <w:pPr>
        <w:pStyle w:val="FootnoteText"/>
        <w:spacing w:after="60"/>
        <w:ind w:left="284" w:hanging="284"/>
        <w:rPr>
          <w:rFonts w:ascii="Arial" w:hAnsi="Arial"/>
          <w:color w:val="000000" w:themeColor="text1"/>
          <w:sz w:val="16"/>
          <w:szCs w:val="16"/>
        </w:rPr>
      </w:pPr>
      <w:r w:rsidRPr="00FD384C">
        <w:rPr>
          <w:rStyle w:val="FootnoteReference"/>
          <w:rFonts w:ascii="Arial" w:hAnsi="Arial"/>
          <w:color w:val="000000" w:themeColor="text1"/>
          <w:sz w:val="16"/>
          <w:szCs w:val="16"/>
        </w:rPr>
        <w:footnoteRef/>
      </w:r>
      <w:r w:rsidRPr="00FD384C">
        <w:rPr>
          <w:rFonts w:ascii="Arial" w:hAnsi="Arial"/>
          <w:color w:val="000000" w:themeColor="text1"/>
          <w:sz w:val="16"/>
          <w:szCs w:val="16"/>
        </w:rPr>
        <w:t xml:space="preserve"> </w:t>
      </w:r>
      <w:r w:rsidRPr="00FD384C">
        <w:rPr>
          <w:rFonts w:ascii="Arial" w:hAnsi="Arial"/>
          <w:color w:val="000000" w:themeColor="text1"/>
          <w:sz w:val="16"/>
          <w:szCs w:val="16"/>
        </w:rPr>
        <w:tab/>
        <w:t>These figures are based on the 202</w:t>
      </w:r>
      <w:r w:rsidR="00FD384C" w:rsidRPr="00FD384C">
        <w:rPr>
          <w:rFonts w:ascii="Arial" w:hAnsi="Arial"/>
          <w:color w:val="000000" w:themeColor="text1"/>
          <w:sz w:val="16"/>
          <w:szCs w:val="16"/>
        </w:rPr>
        <w:t>4</w:t>
      </w:r>
      <w:r w:rsidRPr="00FD384C">
        <w:rPr>
          <w:rFonts w:ascii="Arial" w:hAnsi="Arial"/>
          <w:color w:val="000000" w:themeColor="text1"/>
          <w:sz w:val="16"/>
          <w:szCs w:val="16"/>
        </w:rPr>
        <w:t>-2</w:t>
      </w:r>
      <w:r w:rsidR="00FD384C" w:rsidRPr="00FD384C">
        <w:rPr>
          <w:rFonts w:ascii="Arial" w:hAnsi="Arial"/>
          <w:color w:val="000000" w:themeColor="text1"/>
          <w:sz w:val="16"/>
          <w:szCs w:val="16"/>
        </w:rPr>
        <w:t>5</w:t>
      </w:r>
      <w:r w:rsidRPr="00FD384C">
        <w:rPr>
          <w:rFonts w:ascii="Arial" w:hAnsi="Arial"/>
          <w:color w:val="000000" w:themeColor="text1"/>
          <w:sz w:val="16"/>
          <w:szCs w:val="16"/>
        </w:rPr>
        <w:t xml:space="preserve"> H</w:t>
      </w:r>
      <w:r w:rsidR="00FD384C" w:rsidRPr="00FD384C">
        <w:rPr>
          <w:rFonts w:ascii="Arial" w:hAnsi="Arial"/>
          <w:color w:val="000000" w:themeColor="text1"/>
          <w:sz w:val="16"/>
          <w:szCs w:val="16"/>
        </w:rPr>
        <w:t>ILS</w:t>
      </w:r>
      <w:r w:rsidRPr="00FD384C">
        <w:rPr>
          <w:rFonts w:ascii="Arial" w:hAnsi="Arial"/>
          <w:color w:val="000000" w:themeColor="text1"/>
          <w:sz w:val="16"/>
          <w:szCs w:val="16"/>
        </w:rPr>
        <w:t xml:space="preserve"> AHC media</w:t>
      </w:r>
      <w:r w:rsidR="00FD384C" w:rsidRPr="00FD384C">
        <w:rPr>
          <w:rFonts w:ascii="Arial" w:hAnsi="Arial"/>
          <w:color w:val="000000" w:themeColor="text1"/>
          <w:sz w:val="16"/>
          <w:szCs w:val="16"/>
        </w:rPr>
        <w:t>n.</w:t>
      </w:r>
    </w:p>
  </w:footnote>
  <w:footnote w:id="25">
    <w:p w14:paraId="3C8A8168" w14:textId="01868FEF" w:rsidR="009E174A" w:rsidRPr="008B4B0B" w:rsidRDefault="009E174A" w:rsidP="006B26BA">
      <w:pPr>
        <w:pStyle w:val="FootnoteText"/>
        <w:spacing w:after="60"/>
        <w:ind w:left="284" w:hanging="284"/>
        <w:rPr>
          <w:rFonts w:ascii="Arial" w:hAnsi="Arial"/>
          <w:color w:val="000000" w:themeColor="text1"/>
          <w:sz w:val="16"/>
          <w:szCs w:val="16"/>
        </w:rPr>
      </w:pPr>
      <w:r w:rsidRPr="008B4B0B">
        <w:rPr>
          <w:rStyle w:val="FootnoteReference"/>
          <w:rFonts w:ascii="Arial" w:hAnsi="Arial"/>
          <w:color w:val="000000" w:themeColor="text1"/>
          <w:sz w:val="16"/>
          <w:szCs w:val="16"/>
        </w:rPr>
        <w:footnoteRef/>
      </w:r>
      <w:r w:rsidRPr="008B4B0B">
        <w:rPr>
          <w:rFonts w:ascii="Arial" w:hAnsi="Arial"/>
          <w:color w:val="000000" w:themeColor="text1"/>
          <w:sz w:val="16"/>
          <w:szCs w:val="16"/>
        </w:rPr>
        <w:t xml:space="preserve"> </w:t>
      </w:r>
      <w:r w:rsidRPr="008B4B0B">
        <w:rPr>
          <w:rFonts w:ascii="Arial" w:hAnsi="Arial"/>
          <w:color w:val="000000" w:themeColor="text1"/>
          <w:sz w:val="16"/>
          <w:szCs w:val="16"/>
        </w:rPr>
        <w:tab/>
        <w:t>See Section L in MSD’s 2022 Child Poverty Report for further discussion on the setting of hardship thresholds.</w:t>
      </w:r>
    </w:p>
  </w:footnote>
  <w:footnote w:id="26">
    <w:p w14:paraId="01D53D2F" w14:textId="18053022" w:rsidR="008B4B0B" w:rsidRPr="008B4B0B" w:rsidRDefault="008B4B0B" w:rsidP="006B26BA">
      <w:pPr>
        <w:pStyle w:val="FootnoteText"/>
        <w:spacing w:after="60"/>
        <w:ind w:left="284" w:hanging="284"/>
        <w:rPr>
          <w:rFonts w:ascii="Arial" w:hAnsi="Arial"/>
          <w:sz w:val="16"/>
          <w:szCs w:val="16"/>
        </w:rPr>
      </w:pPr>
      <w:r w:rsidRPr="008B4B0B">
        <w:rPr>
          <w:rStyle w:val="FootnoteReference"/>
          <w:rFonts w:ascii="Arial" w:hAnsi="Arial"/>
          <w:sz w:val="16"/>
          <w:szCs w:val="16"/>
        </w:rPr>
        <w:footnoteRef/>
      </w:r>
      <w:r w:rsidRPr="008B4B0B">
        <w:rPr>
          <w:rFonts w:ascii="Arial" w:hAnsi="Arial"/>
          <w:sz w:val="16"/>
          <w:szCs w:val="16"/>
        </w:rPr>
        <w:t xml:space="preserve"> </w:t>
      </w:r>
      <w:r w:rsidRPr="008B4B0B">
        <w:rPr>
          <w:rFonts w:ascii="Arial" w:hAnsi="Arial"/>
          <w:sz w:val="16"/>
          <w:szCs w:val="16"/>
        </w:rPr>
        <w:tab/>
      </w:r>
      <w:r w:rsidR="006B26BA">
        <w:rPr>
          <w:rFonts w:ascii="Arial" w:hAnsi="Arial"/>
          <w:sz w:val="16"/>
          <w:szCs w:val="16"/>
        </w:rPr>
        <w:t>We have not yet found a way of using the revised MWQs in HILS 2024-25 to construct a usable proxy for EU-13.</w:t>
      </w:r>
    </w:p>
  </w:footnote>
  <w:footnote w:id="27">
    <w:p w14:paraId="12FC6E2B" w14:textId="2288FB61" w:rsidR="00905F5B" w:rsidRPr="00277DA9" w:rsidRDefault="00905F5B" w:rsidP="006B26BA">
      <w:pPr>
        <w:pStyle w:val="FootnoteText"/>
        <w:spacing w:after="60"/>
        <w:ind w:left="284" w:hanging="284"/>
        <w:rPr>
          <w:rFonts w:ascii="Arial" w:hAnsi="Arial"/>
          <w:color w:val="0000FF"/>
          <w:sz w:val="16"/>
          <w:szCs w:val="16"/>
        </w:rPr>
      </w:pPr>
      <w:r w:rsidRPr="008B4B0B">
        <w:rPr>
          <w:rStyle w:val="FootnoteReference"/>
          <w:rFonts w:ascii="Arial" w:hAnsi="Arial"/>
          <w:color w:val="000000" w:themeColor="text1"/>
          <w:sz w:val="16"/>
          <w:szCs w:val="16"/>
        </w:rPr>
        <w:footnoteRef/>
      </w:r>
      <w:r w:rsidRPr="008B4B0B">
        <w:rPr>
          <w:rFonts w:ascii="Arial" w:hAnsi="Arial"/>
          <w:color w:val="000000" w:themeColor="text1"/>
          <w:sz w:val="16"/>
          <w:szCs w:val="16"/>
        </w:rPr>
        <w:t xml:space="preserve"> </w:t>
      </w:r>
      <w:r w:rsidRPr="008B4B0B">
        <w:rPr>
          <w:rFonts w:ascii="Arial" w:hAnsi="Arial"/>
          <w:color w:val="000000" w:themeColor="text1"/>
          <w:sz w:val="16"/>
          <w:szCs w:val="16"/>
        </w:rPr>
        <w:tab/>
        <w:t>Despite the different items used in DEP-17 and</w:t>
      </w:r>
      <w:r w:rsidRPr="00AC192A">
        <w:rPr>
          <w:rFonts w:ascii="Arial" w:hAnsi="Arial"/>
          <w:color w:val="000000" w:themeColor="text1"/>
          <w:sz w:val="16"/>
          <w:szCs w:val="16"/>
        </w:rPr>
        <w:t xml:space="preserve"> EU-13, the correlation between the scores produced by the two indices is </w:t>
      </w:r>
      <w:r w:rsidRPr="00942DCF">
        <w:rPr>
          <w:rFonts w:ascii="Arial" w:hAnsi="Arial"/>
          <w:color w:val="000000" w:themeColor="text1"/>
          <w:sz w:val="16"/>
          <w:szCs w:val="16"/>
        </w:rPr>
        <w:t>high (0.86), and the overlap in children identified as being in hardship is 80% (85% for bottom quintile)</w:t>
      </w:r>
      <w:r w:rsidR="00E02199" w:rsidRPr="00942DCF">
        <w:rPr>
          <w:rFonts w:ascii="Arial" w:hAnsi="Arial"/>
          <w:color w:val="000000" w:themeColor="text1"/>
          <w:sz w:val="16"/>
          <w:szCs w:val="16"/>
        </w:rPr>
        <w:t xml:space="preserve">. See also the chart in </w:t>
      </w:r>
      <w:r w:rsidR="00E02199" w:rsidRPr="00942DCF">
        <w:rPr>
          <w:rFonts w:ascii="Arial" w:hAnsi="Arial"/>
          <w:b/>
          <w:bCs/>
          <w:color w:val="000000" w:themeColor="text1"/>
          <w:sz w:val="16"/>
          <w:szCs w:val="16"/>
        </w:rPr>
        <w:t xml:space="preserve">Appendix </w:t>
      </w:r>
      <w:r w:rsidR="00942DCF" w:rsidRPr="00942DCF">
        <w:rPr>
          <w:rFonts w:ascii="Arial" w:hAnsi="Arial"/>
          <w:b/>
          <w:bCs/>
          <w:color w:val="000000" w:themeColor="text1"/>
          <w:sz w:val="16"/>
          <w:szCs w:val="16"/>
        </w:rPr>
        <w:t>4</w:t>
      </w:r>
      <w:r w:rsidR="00E02199" w:rsidRPr="00942DCF">
        <w:rPr>
          <w:rFonts w:ascii="Arial" w:hAnsi="Arial"/>
          <w:color w:val="000000" w:themeColor="text1"/>
          <w:sz w:val="16"/>
          <w:szCs w:val="16"/>
        </w:rPr>
        <w:t>.</w:t>
      </w:r>
    </w:p>
  </w:footnote>
  <w:footnote w:id="28">
    <w:p w14:paraId="5F07C2C9" w14:textId="43CE0D77" w:rsidR="0043172C" w:rsidRDefault="0043172C" w:rsidP="0043172C">
      <w:pPr>
        <w:spacing w:after="40" w:line="240" w:lineRule="auto"/>
        <w:ind w:left="284" w:hanging="284"/>
      </w:pPr>
      <w:r w:rsidRPr="0043172C">
        <w:rPr>
          <w:rStyle w:val="FootnoteReference"/>
          <w:rFonts w:ascii="Arial" w:hAnsi="Arial"/>
          <w:sz w:val="16"/>
          <w:szCs w:val="16"/>
        </w:rPr>
        <w:footnoteRef/>
      </w:r>
      <w:r w:rsidRPr="0043172C">
        <w:rPr>
          <w:rFonts w:ascii="Arial" w:hAnsi="Arial"/>
          <w:sz w:val="16"/>
          <w:szCs w:val="16"/>
        </w:rPr>
        <w:t xml:space="preserve"> </w:t>
      </w:r>
      <w:r>
        <w:rPr>
          <w:rFonts w:ascii="Arial" w:hAnsi="Arial"/>
          <w:sz w:val="16"/>
          <w:szCs w:val="16"/>
        </w:rPr>
        <w:tab/>
      </w:r>
      <w:r w:rsidRPr="0043172C">
        <w:rPr>
          <w:rFonts w:ascii="Arial" w:hAnsi="Arial"/>
          <w:color w:val="000000" w:themeColor="text1"/>
          <w:sz w:val="16"/>
          <w:szCs w:val="16"/>
        </w:rPr>
        <w:t>The threshold for the AHC 50 FIXED-18 line was equivalent to AHC 47 in 2023, and AHC 63 in 2007. The AHC 50 FIXED -07 line was equivalent to AHC 37 in 2023.</w:t>
      </w:r>
    </w:p>
  </w:footnote>
  <w:footnote w:id="29">
    <w:p w14:paraId="7CF9050F" w14:textId="3F67F310" w:rsidR="00D07E63" w:rsidRPr="008A33CF" w:rsidRDefault="00D07E63" w:rsidP="0043172C">
      <w:pPr>
        <w:pStyle w:val="FootnoteText"/>
        <w:ind w:left="284" w:hanging="284"/>
        <w:rPr>
          <w:rFonts w:ascii="Arial" w:hAnsi="Arial"/>
          <w:color w:val="000000" w:themeColor="text1"/>
          <w:sz w:val="16"/>
          <w:szCs w:val="16"/>
        </w:rPr>
      </w:pPr>
      <w:r w:rsidRPr="008A33CF">
        <w:rPr>
          <w:rStyle w:val="FootnoteReference"/>
          <w:rFonts w:ascii="Arial" w:hAnsi="Arial"/>
          <w:color w:val="000000" w:themeColor="text1"/>
          <w:sz w:val="16"/>
          <w:szCs w:val="16"/>
        </w:rPr>
        <w:footnoteRef/>
      </w:r>
      <w:r w:rsidRPr="008A33CF">
        <w:rPr>
          <w:rFonts w:ascii="Arial" w:hAnsi="Arial"/>
          <w:color w:val="000000" w:themeColor="text1"/>
          <w:sz w:val="16"/>
          <w:szCs w:val="16"/>
        </w:rPr>
        <w:t xml:space="preserve"> </w:t>
      </w:r>
      <w:r w:rsidRPr="008A33CF">
        <w:rPr>
          <w:rFonts w:ascii="Arial" w:eastAsia="Times New Roman" w:hAnsi="Arial"/>
          <w:color w:val="000000" w:themeColor="text1"/>
          <w:sz w:val="16"/>
          <w:szCs w:val="16"/>
          <w:lang w:val="en-GB"/>
        </w:rPr>
        <w:t xml:space="preserve"> </w:t>
      </w:r>
      <w:r w:rsidRPr="008A33CF">
        <w:rPr>
          <w:rFonts w:ascii="Arial" w:eastAsia="Times New Roman" w:hAnsi="Arial"/>
          <w:color w:val="000000" w:themeColor="text1"/>
          <w:sz w:val="16"/>
          <w:szCs w:val="16"/>
          <w:lang w:val="en-GB"/>
        </w:rPr>
        <w:tab/>
        <w:t>As happened in New Zealand from the late 1980s through to the mid</w:t>
      </w:r>
      <w:r w:rsidR="0043172C">
        <w:rPr>
          <w:rFonts w:ascii="Arial" w:eastAsia="Times New Roman" w:hAnsi="Arial"/>
          <w:color w:val="000000" w:themeColor="text1"/>
          <w:sz w:val="16"/>
          <w:szCs w:val="16"/>
          <w:lang w:val="en-GB"/>
        </w:rPr>
        <w:t>-</w:t>
      </w:r>
      <w:r w:rsidRPr="008A33CF">
        <w:rPr>
          <w:rFonts w:ascii="Arial" w:eastAsia="Times New Roman" w:hAnsi="Arial"/>
          <w:color w:val="000000" w:themeColor="text1"/>
          <w:sz w:val="16"/>
          <w:szCs w:val="16"/>
          <w:lang w:val="en-GB"/>
        </w:rPr>
        <w:t>1990s, then again during the recent period of high inflation and low real-terms growth</w:t>
      </w:r>
      <w:r w:rsidR="00F66583">
        <w:rPr>
          <w:rFonts w:ascii="Arial" w:eastAsia="Times New Roman" w:hAnsi="Arial"/>
          <w:color w:val="000000" w:themeColor="text1"/>
          <w:sz w:val="16"/>
          <w:szCs w:val="16"/>
          <w:lang w:val="en-GB"/>
        </w:rPr>
        <w:t>.</w:t>
      </w:r>
    </w:p>
  </w:footnote>
  <w:footnote w:id="30">
    <w:p w14:paraId="74DBB022" w14:textId="522A995E" w:rsidR="001C5E91" w:rsidRPr="001C5E91" w:rsidRDefault="001C5E91" w:rsidP="001C5E91">
      <w:pPr>
        <w:pStyle w:val="FootnoteText"/>
        <w:ind w:left="284" w:hanging="284"/>
        <w:rPr>
          <w:rFonts w:ascii="Arial" w:hAnsi="Arial"/>
          <w:sz w:val="16"/>
          <w:szCs w:val="16"/>
        </w:rPr>
      </w:pPr>
      <w:r w:rsidRPr="001C5E91">
        <w:rPr>
          <w:rStyle w:val="FootnoteReference"/>
          <w:rFonts w:ascii="Arial" w:hAnsi="Arial"/>
          <w:sz w:val="16"/>
          <w:szCs w:val="16"/>
        </w:rPr>
        <w:footnoteRef/>
      </w:r>
      <w:r w:rsidRPr="001C5E91">
        <w:rPr>
          <w:rFonts w:ascii="Arial" w:hAnsi="Arial"/>
          <w:sz w:val="16"/>
          <w:szCs w:val="16"/>
        </w:rPr>
        <w:t xml:space="preserve"> </w:t>
      </w:r>
      <w:r w:rsidRPr="001C5E91">
        <w:rPr>
          <w:rFonts w:ascii="Arial" w:hAnsi="Arial"/>
          <w:sz w:val="16"/>
          <w:szCs w:val="16"/>
        </w:rPr>
        <w:tab/>
        <w:t>For Stats NZ’s definition of persistent poverty and</w:t>
      </w:r>
      <w:r w:rsidR="00551879">
        <w:rPr>
          <w:rFonts w:ascii="Arial" w:hAnsi="Arial"/>
          <w:sz w:val="16"/>
          <w:szCs w:val="16"/>
        </w:rPr>
        <w:t xml:space="preserve"> </w:t>
      </w:r>
      <w:r w:rsidRPr="001C5E91">
        <w:rPr>
          <w:rFonts w:ascii="Arial" w:hAnsi="Arial"/>
          <w:sz w:val="16"/>
          <w:szCs w:val="16"/>
        </w:rPr>
        <w:t xml:space="preserve">baseline estimates see </w:t>
      </w:r>
      <w:hyperlink r:id="rId6" w:history="1">
        <w:r w:rsidRPr="001C5E91">
          <w:rPr>
            <w:rStyle w:val="Hyperlink"/>
            <w:rFonts w:ascii="Arial" w:hAnsi="Arial"/>
            <w:sz w:val="16"/>
            <w:szCs w:val="16"/>
          </w:rPr>
          <w:t>https://www.stats.govt.nz/news/stats-nz-delivers-on-its-commitment-to-measure-persistent-child-poverty/</w:t>
        </w:r>
      </w:hyperlink>
      <w:r w:rsidRPr="001C5E91">
        <w:rPr>
          <w:rFonts w:ascii="Arial" w:hAnsi="Arial"/>
          <w:sz w:val="16"/>
          <w:szCs w:val="16"/>
        </w:rPr>
        <w:t xml:space="preserve"> </w:t>
      </w:r>
    </w:p>
  </w:footnote>
  <w:footnote w:id="31">
    <w:p w14:paraId="0284E458" w14:textId="4F0BAAE3" w:rsidR="009A0132" w:rsidRPr="00620D80" w:rsidRDefault="009A0132" w:rsidP="00620D80">
      <w:pPr>
        <w:pStyle w:val="FootnoteText"/>
        <w:spacing w:after="40"/>
        <w:ind w:left="284" w:hanging="284"/>
        <w:rPr>
          <w:rFonts w:ascii="Arial" w:hAnsi="Arial"/>
          <w:color w:val="000000" w:themeColor="text1"/>
          <w:sz w:val="16"/>
          <w:szCs w:val="16"/>
        </w:rPr>
      </w:pPr>
      <w:r w:rsidRPr="00620D80">
        <w:rPr>
          <w:rStyle w:val="FootnoteReference"/>
          <w:rFonts w:ascii="Arial" w:hAnsi="Arial"/>
          <w:color w:val="000000" w:themeColor="text1"/>
          <w:sz w:val="16"/>
          <w:szCs w:val="16"/>
        </w:rPr>
        <w:footnoteRef/>
      </w:r>
      <w:r w:rsidRPr="00620D80">
        <w:rPr>
          <w:rFonts w:ascii="Arial" w:hAnsi="Arial"/>
          <w:color w:val="000000" w:themeColor="text1"/>
          <w:sz w:val="16"/>
          <w:szCs w:val="16"/>
        </w:rPr>
        <w:t xml:space="preserve"> </w:t>
      </w:r>
      <w:r w:rsidRPr="00620D80">
        <w:rPr>
          <w:rFonts w:ascii="Arial" w:hAnsi="Arial"/>
          <w:color w:val="000000" w:themeColor="text1"/>
          <w:sz w:val="16"/>
          <w:szCs w:val="16"/>
        </w:rPr>
        <w:tab/>
      </w:r>
      <w:r w:rsidR="00CC2617" w:rsidRPr="00620D80">
        <w:rPr>
          <w:rFonts w:ascii="Arial" w:hAnsi="Arial"/>
          <w:color w:val="000000" w:themeColor="text1"/>
          <w:sz w:val="16"/>
          <w:szCs w:val="16"/>
        </w:rPr>
        <w:t>A</w:t>
      </w:r>
      <w:r w:rsidR="00DE29A3" w:rsidRPr="00620D80">
        <w:rPr>
          <w:rFonts w:ascii="Arial" w:hAnsi="Arial"/>
          <w:color w:val="000000" w:themeColor="text1"/>
          <w:sz w:val="16"/>
          <w:szCs w:val="16"/>
        </w:rPr>
        <w:t xml:space="preserve"> good example</w:t>
      </w:r>
      <w:r w:rsidR="00CC2617" w:rsidRPr="00620D80">
        <w:rPr>
          <w:rFonts w:ascii="Arial" w:hAnsi="Arial"/>
          <w:color w:val="000000" w:themeColor="text1"/>
          <w:sz w:val="16"/>
          <w:szCs w:val="16"/>
        </w:rPr>
        <w:t xml:space="preserve"> is</w:t>
      </w:r>
      <w:r w:rsidRPr="00620D80">
        <w:rPr>
          <w:rFonts w:ascii="Arial" w:hAnsi="Arial"/>
          <w:color w:val="000000" w:themeColor="text1"/>
          <w:sz w:val="16"/>
          <w:szCs w:val="16"/>
        </w:rPr>
        <w:t xml:space="preserve"> </w:t>
      </w:r>
      <w:r w:rsidR="006970F7" w:rsidRPr="00620D80">
        <w:rPr>
          <w:rFonts w:ascii="Arial" w:hAnsi="Arial"/>
          <w:color w:val="000000" w:themeColor="text1"/>
          <w:sz w:val="16"/>
          <w:szCs w:val="16"/>
        </w:rPr>
        <w:t xml:space="preserve">the </w:t>
      </w:r>
      <w:r w:rsidR="00CC2617" w:rsidRPr="00620D80">
        <w:rPr>
          <w:rFonts w:ascii="Arial" w:hAnsi="Arial"/>
          <w:color w:val="000000" w:themeColor="text1"/>
          <w:sz w:val="16"/>
          <w:szCs w:val="16"/>
        </w:rPr>
        <w:t xml:space="preserve">Auckland City Mission’s </w:t>
      </w:r>
      <w:r w:rsidR="00DE29A3" w:rsidRPr="00620D80">
        <w:rPr>
          <w:rFonts w:ascii="Arial" w:hAnsi="Arial"/>
          <w:color w:val="000000" w:themeColor="text1"/>
          <w:sz w:val="16"/>
          <w:szCs w:val="16"/>
        </w:rPr>
        <w:t>‘</w:t>
      </w:r>
      <w:r w:rsidR="006970F7" w:rsidRPr="00620D80">
        <w:rPr>
          <w:rFonts w:ascii="Arial" w:hAnsi="Arial"/>
          <w:color w:val="000000" w:themeColor="text1"/>
          <w:sz w:val="16"/>
          <w:szCs w:val="16"/>
        </w:rPr>
        <w:t>Family 100</w:t>
      </w:r>
      <w:r w:rsidR="00DE29A3" w:rsidRPr="00620D80">
        <w:rPr>
          <w:rFonts w:ascii="Arial" w:hAnsi="Arial"/>
          <w:color w:val="000000" w:themeColor="text1"/>
          <w:sz w:val="16"/>
          <w:szCs w:val="16"/>
        </w:rPr>
        <w:t>’</w:t>
      </w:r>
      <w:r w:rsidR="006970F7" w:rsidRPr="00620D80">
        <w:rPr>
          <w:rFonts w:ascii="Arial" w:hAnsi="Arial"/>
          <w:color w:val="000000" w:themeColor="text1"/>
          <w:sz w:val="16"/>
          <w:szCs w:val="16"/>
        </w:rPr>
        <w:t xml:space="preserve"> project </w:t>
      </w:r>
      <w:r w:rsidR="00CC2617" w:rsidRPr="00620D80">
        <w:rPr>
          <w:rFonts w:ascii="Arial" w:hAnsi="Arial"/>
          <w:color w:val="000000" w:themeColor="text1"/>
          <w:sz w:val="16"/>
          <w:szCs w:val="16"/>
        </w:rPr>
        <w:t xml:space="preserve">reported in </w:t>
      </w:r>
      <w:r w:rsidRPr="00620D80">
        <w:rPr>
          <w:rFonts w:ascii="Arial" w:hAnsi="Arial"/>
          <w:color w:val="000000" w:themeColor="text1"/>
          <w:sz w:val="16"/>
          <w:szCs w:val="16"/>
        </w:rPr>
        <w:t>Auckland City Mission (2014a, 2014b)</w:t>
      </w:r>
      <w:r w:rsidR="00CC2617" w:rsidRPr="00620D80">
        <w:rPr>
          <w:rFonts w:ascii="Arial" w:hAnsi="Arial"/>
          <w:color w:val="000000" w:themeColor="text1"/>
          <w:sz w:val="16"/>
          <w:szCs w:val="16"/>
        </w:rPr>
        <w:t>.</w:t>
      </w:r>
    </w:p>
  </w:footnote>
  <w:footnote w:id="32">
    <w:p w14:paraId="3F38A5FD" w14:textId="77777777" w:rsidR="009A0132" w:rsidRPr="00620D80" w:rsidRDefault="009A0132" w:rsidP="009A0132">
      <w:pPr>
        <w:pStyle w:val="FootnoteText"/>
        <w:spacing w:after="60"/>
        <w:ind w:left="284" w:hanging="284"/>
        <w:jc w:val="both"/>
        <w:rPr>
          <w:rFonts w:ascii="Arial" w:hAnsi="Arial"/>
          <w:color w:val="000000" w:themeColor="text1"/>
          <w:sz w:val="16"/>
          <w:szCs w:val="16"/>
        </w:rPr>
      </w:pPr>
      <w:r w:rsidRPr="00620D80">
        <w:rPr>
          <w:rStyle w:val="FootnoteReference"/>
          <w:rFonts w:ascii="Arial" w:hAnsi="Arial"/>
          <w:color w:val="000000" w:themeColor="text1"/>
          <w:sz w:val="16"/>
          <w:szCs w:val="16"/>
        </w:rPr>
        <w:footnoteRef/>
      </w:r>
      <w:r w:rsidRPr="00620D80">
        <w:rPr>
          <w:rFonts w:ascii="Arial" w:hAnsi="Arial"/>
          <w:color w:val="000000" w:themeColor="text1"/>
          <w:sz w:val="16"/>
          <w:szCs w:val="16"/>
        </w:rPr>
        <w:t xml:space="preserve">  </w:t>
      </w:r>
      <w:r w:rsidRPr="00620D80">
        <w:rPr>
          <w:rFonts w:ascii="Arial" w:hAnsi="Arial"/>
          <w:color w:val="000000" w:themeColor="text1"/>
          <w:sz w:val="16"/>
          <w:szCs w:val="16"/>
        </w:rPr>
        <w:tab/>
        <w:t>In his efforts to reconcile the relative and absolute notions of poverty, Sen distinguished between ‘capabilities’ and ‘functionings’. Capabilities are the potential that people have to lead fulfilled and engaging lives and are absolute and everywhere the same. Functionings, on the other hand, are the facilities and resources required to enable people to achieve their capabilities and are determined by cultural expectations and resource constraints. Sen’s view is that ‘the ability to go about without shame’, like a capability, is at the ‘irreducible absolutist core in the idea of poverty’.</w:t>
      </w:r>
    </w:p>
  </w:footnote>
  <w:footnote w:id="33">
    <w:p w14:paraId="68521A81" w14:textId="73553797" w:rsidR="006E2907" w:rsidRPr="004C61C3" w:rsidRDefault="006E2907" w:rsidP="004C61C3">
      <w:pPr>
        <w:spacing w:after="0" w:line="240" w:lineRule="auto"/>
        <w:ind w:left="284" w:hanging="284"/>
        <w:rPr>
          <w:rFonts w:ascii="Arial" w:hAnsi="Arial"/>
          <w:color w:val="0D0D0D" w:themeColor="text1" w:themeTint="F2"/>
          <w:sz w:val="16"/>
          <w:szCs w:val="16"/>
        </w:rPr>
      </w:pPr>
      <w:r w:rsidRPr="004C61C3">
        <w:rPr>
          <w:rStyle w:val="FootnoteReference"/>
          <w:rFonts w:ascii="Arial" w:hAnsi="Arial"/>
          <w:sz w:val="16"/>
          <w:szCs w:val="16"/>
        </w:rPr>
        <w:footnoteRef/>
      </w:r>
      <w:r w:rsidRPr="004C61C3">
        <w:rPr>
          <w:rFonts w:ascii="Arial" w:hAnsi="Arial"/>
          <w:sz w:val="16"/>
          <w:szCs w:val="16"/>
        </w:rPr>
        <w:t xml:space="preserve"> </w:t>
      </w:r>
      <w:r w:rsidR="004C61C3">
        <w:rPr>
          <w:rFonts w:ascii="Arial" w:hAnsi="Arial"/>
          <w:sz w:val="16"/>
          <w:szCs w:val="16"/>
        </w:rPr>
        <w:tab/>
      </w:r>
      <w:r w:rsidRPr="004C61C3">
        <w:rPr>
          <w:rFonts w:ascii="Arial" w:hAnsi="Arial"/>
          <w:sz w:val="16"/>
          <w:szCs w:val="16"/>
        </w:rPr>
        <w:t>Three example</w:t>
      </w:r>
      <w:r w:rsidR="00DB7F1C">
        <w:rPr>
          <w:rFonts w:ascii="Arial" w:hAnsi="Arial"/>
          <w:sz w:val="16"/>
          <w:szCs w:val="16"/>
        </w:rPr>
        <w:t>s</w:t>
      </w:r>
      <w:r w:rsidRPr="004C61C3">
        <w:rPr>
          <w:rFonts w:ascii="Arial" w:hAnsi="Arial"/>
          <w:sz w:val="16"/>
          <w:szCs w:val="16"/>
        </w:rPr>
        <w:t xml:space="preserve"> from the literature are </w:t>
      </w:r>
      <w:r w:rsidRPr="004C61C3">
        <w:rPr>
          <w:rFonts w:ascii="Arial" w:hAnsi="Arial"/>
          <w:color w:val="0D0D0D" w:themeColor="text1" w:themeTint="F2"/>
          <w:sz w:val="16"/>
          <w:szCs w:val="16"/>
        </w:rPr>
        <w:t xml:space="preserve">Whelan and </w:t>
      </w:r>
      <w:r w:rsidRPr="004C61C3">
        <w:rPr>
          <w:rFonts w:ascii="Arial" w:hAnsi="Arial"/>
          <w:color w:val="000000" w:themeColor="text1"/>
          <w:sz w:val="16"/>
          <w:szCs w:val="16"/>
          <w:shd w:val="clear" w:color="auto" w:fill="FFFFFF"/>
        </w:rPr>
        <w:t>Maître</w:t>
      </w:r>
      <w:r w:rsidRPr="004C61C3">
        <w:rPr>
          <w:rFonts w:ascii="Arial" w:hAnsi="Arial"/>
          <w:color w:val="0D0D0D" w:themeColor="text1" w:themeTint="F2"/>
          <w:sz w:val="16"/>
          <w:szCs w:val="16"/>
        </w:rPr>
        <w:t xml:space="preserve"> (2012b)</w:t>
      </w:r>
      <w:r w:rsidR="00DB7F1C">
        <w:rPr>
          <w:rFonts w:ascii="Arial" w:hAnsi="Arial"/>
          <w:color w:val="0D0D0D" w:themeColor="text1" w:themeTint="F2"/>
          <w:sz w:val="16"/>
          <w:szCs w:val="16"/>
        </w:rPr>
        <w:t>,</w:t>
      </w:r>
      <w:r w:rsidRPr="004C61C3">
        <w:rPr>
          <w:rFonts w:ascii="Arial" w:hAnsi="Arial"/>
          <w:color w:val="0D0D0D" w:themeColor="text1" w:themeTint="F2"/>
          <w:sz w:val="16"/>
          <w:szCs w:val="16"/>
        </w:rPr>
        <w:t xml:space="preserve"> Guio </w:t>
      </w:r>
      <w:r w:rsidRPr="004C61C3">
        <w:rPr>
          <w:rFonts w:ascii="Arial" w:hAnsi="Arial"/>
          <w:i/>
          <w:iCs/>
          <w:color w:val="0D0D0D" w:themeColor="text1" w:themeTint="F2"/>
          <w:sz w:val="16"/>
          <w:szCs w:val="16"/>
        </w:rPr>
        <w:t>et al</w:t>
      </w:r>
      <w:r w:rsidRPr="004C61C3">
        <w:rPr>
          <w:rFonts w:ascii="Arial" w:hAnsi="Arial"/>
          <w:color w:val="0D0D0D" w:themeColor="text1" w:themeTint="F2"/>
          <w:sz w:val="16"/>
          <w:szCs w:val="16"/>
        </w:rPr>
        <w:t xml:space="preserve"> (2020)</w:t>
      </w:r>
      <w:r w:rsidR="00DB7F1C">
        <w:rPr>
          <w:rFonts w:ascii="Arial" w:hAnsi="Arial"/>
          <w:color w:val="0D0D0D" w:themeColor="text1" w:themeTint="F2"/>
          <w:sz w:val="16"/>
          <w:szCs w:val="16"/>
        </w:rPr>
        <w:t xml:space="preserve"> and</w:t>
      </w:r>
      <w:r w:rsidR="004C61C3">
        <w:rPr>
          <w:rFonts w:ascii="Arial" w:hAnsi="Arial"/>
          <w:color w:val="0D0D0D" w:themeColor="text1" w:themeTint="F2"/>
          <w:sz w:val="16"/>
          <w:szCs w:val="16"/>
        </w:rPr>
        <w:t xml:space="preserve"> </w:t>
      </w:r>
      <w:r w:rsidRPr="004C61C3">
        <w:rPr>
          <w:rFonts w:ascii="Arial" w:hAnsi="Arial"/>
          <w:color w:val="0D0D0D" w:themeColor="text1" w:themeTint="F2"/>
          <w:sz w:val="16"/>
          <w:szCs w:val="16"/>
        </w:rPr>
        <w:t xml:space="preserve">JRF (2026) </w:t>
      </w:r>
      <w:hyperlink r:id="rId7" w:history="1">
        <w:r w:rsidRPr="004C61C3">
          <w:rPr>
            <w:rStyle w:val="Hyperlink"/>
            <w:rFonts w:ascii="Arial" w:hAnsi="Arial"/>
            <w:sz w:val="16"/>
            <w:szCs w:val="16"/>
          </w:rPr>
          <w:t>https://www.jrf.org.uk/what-drives-poverty-and-inequality-and-how-can-governments-tackle-them</w:t>
        </w:r>
      </w:hyperlink>
      <w:r>
        <w:rPr>
          <w:rFonts w:ascii="Arial" w:hAnsi="Arial"/>
          <w:color w:val="0D0D0D" w:themeColor="text1" w:themeTint="F2"/>
          <w:szCs w:val="20"/>
        </w:rPr>
        <w:t xml:space="preserve"> </w:t>
      </w:r>
    </w:p>
    <w:p w14:paraId="2FA5ACF4" w14:textId="30CFAEDD" w:rsidR="006E2907" w:rsidRDefault="006E2907">
      <w:pPr>
        <w:pStyle w:val="FootnoteText"/>
      </w:pPr>
    </w:p>
  </w:footnote>
  <w:footnote w:id="34">
    <w:p w14:paraId="0A0919CE" w14:textId="20281BB6" w:rsidR="008D002C" w:rsidRPr="005A3A05" w:rsidRDefault="008D002C" w:rsidP="00FC5363">
      <w:pPr>
        <w:pStyle w:val="FootnoteText"/>
        <w:spacing w:after="40"/>
        <w:ind w:left="284" w:hanging="284"/>
        <w:rPr>
          <w:rFonts w:ascii="Arial" w:hAnsi="Arial"/>
          <w:color w:val="0000FF"/>
          <w:sz w:val="16"/>
          <w:szCs w:val="16"/>
        </w:rPr>
      </w:pPr>
      <w:r w:rsidRPr="005A3A05">
        <w:rPr>
          <w:rStyle w:val="FootnoteReference"/>
          <w:rFonts w:ascii="Arial" w:hAnsi="Arial"/>
          <w:color w:val="0000FF"/>
          <w:sz w:val="16"/>
          <w:szCs w:val="16"/>
        </w:rPr>
        <w:footnoteRef/>
      </w:r>
      <w:r w:rsidRPr="005A3A05">
        <w:rPr>
          <w:rFonts w:ascii="Arial" w:hAnsi="Arial"/>
          <w:color w:val="0000FF"/>
          <w:sz w:val="16"/>
          <w:szCs w:val="16"/>
        </w:rPr>
        <w:t xml:space="preserve"> </w:t>
      </w:r>
      <w:r w:rsidRPr="008D002C">
        <w:rPr>
          <w:rFonts w:ascii="Arial" w:hAnsi="Arial"/>
          <w:color w:val="000000" w:themeColor="text1"/>
          <w:sz w:val="16"/>
          <w:szCs w:val="16"/>
        </w:rPr>
        <w:tab/>
        <w:t xml:space="preserve">Stats NZ created special combined HES-HLFS datasets for producing a 2007 to 2018 BHC low-income back series to assist with estimating the 2017-18 BHC baseline low-income rates for the CPRA. These datasets were larger than the HES datasets themselves and thus the sample error was reduced. The back series for AHC incomes and material hardship measures use the HES-TAWA data, but with upgraded </w:t>
      </w:r>
      <w:r w:rsidRPr="00274738">
        <w:rPr>
          <w:rFonts w:ascii="Arial" w:hAnsi="Arial"/>
          <w:color w:val="000000" w:themeColor="text1"/>
          <w:sz w:val="16"/>
          <w:szCs w:val="16"/>
        </w:rPr>
        <w:t>weights.</w:t>
      </w:r>
      <w:r w:rsidR="00274738" w:rsidRPr="00274738">
        <w:rPr>
          <w:sz w:val="20"/>
          <w:szCs w:val="22"/>
        </w:rPr>
        <w:t xml:space="preserve"> </w:t>
      </w:r>
      <w:r w:rsidR="00274738" w:rsidRPr="00274738">
        <w:rPr>
          <w:rFonts w:ascii="Arial" w:hAnsi="Arial"/>
          <w:color w:val="000000" w:themeColor="text1"/>
          <w:sz w:val="16"/>
          <w:szCs w:val="16"/>
        </w:rPr>
        <w:t>This data is published by Stats</w:t>
      </w:r>
      <w:r w:rsidR="0092445B">
        <w:rPr>
          <w:rFonts w:ascii="Arial" w:hAnsi="Arial"/>
          <w:color w:val="000000" w:themeColor="text1"/>
          <w:sz w:val="16"/>
          <w:szCs w:val="16"/>
        </w:rPr>
        <w:t xml:space="preserve"> </w:t>
      </w:r>
      <w:r w:rsidR="00274738" w:rsidRPr="00274738">
        <w:rPr>
          <w:rFonts w:ascii="Arial" w:hAnsi="Arial"/>
          <w:color w:val="000000" w:themeColor="text1"/>
          <w:sz w:val="16"/>
          <w:szCs w:val="16"/>
        </w:rPr>
        <w:t xml:space="preserve">NZ for their child poverty statistics for 2007-2018 but is not used in the body of this report due to limitations in the subgroup analysis able to be carried out with it. </w:t>
      </w:r>
      <w:r w:rsidRPr="008D002C">
        <w:rPr>
          <w:rFonts w:ascii="Arial" w:hAnsi="Arial"/>
          <w:color w:val="000000" w:themeColor="text1"/>
          <w:sz w:val="16"/>
          <w:szCs w:val="16"/>
        </w:rPr>
        <w:t xml:space="preserve"> See Sections J and Section N in the 2022 Child Poverty Report for more detail. </w:t>
      </w:r>
      <w:r w:rsidRPr="008D002C">
        <w:rPr>
          <w:rFonts w:ascii="Arial" w:hAnsi="Arial"/>
          <w:color w:val="0000FF"/>
          <w:sz w:val="16"/>
          <w:szCs w:val="16"/>
        </w:rPr>
        <w:t>https://www.msd.govt.nz/about-msd-and-our-work/publications-resources/research/child-poverty-in-nz/child-poverty-2022-report.html</w:t>
      </w:r>
    </w:p>
  </w:footnote>
  <w:footnote w:id="35">
    <w:p w14:paraId="1B763AA2" w14:textId="721CE9D9" w:rsidR="00FC5363" w:rsidRPr="00F739A4" w:rsidRDefault="00FC5363" w:rsidP="00FC5363">
      <w:pPr>
        <w:pStyle w:val="FootnoteText"/>
        <w:ind w:left="284" w:hanging="284"/>
        <w:rPr>
          <w:rFonts w:ascii="Arial" w:hAnsi="Arial"/>
          <w:sz w:val="16"/>
          <w:szCs w:val="16"/>
        </w:rPr>
      </w:pPr>
      <w:r w:rsidRPr="00F739A4">
        <w:rPr>
          <w:rStyle w:val="FootnoteReference"/>
          <w:rFonts w:ascii="Arial" w:hAnsi="Arial"/>
          <w:sz w:val="16"/>
          <w:szCs w:val="16"/>
        </w:rPr>
        <w:footnoteRef/>
      </w:r>
      <w:r w:rsidRPr="00F739A4">
        <w:rPr>
          <w:rFonts w:ascii="Arial" w:hAnsi="Arial"/>
          <w:sz w:val="16"/>
          <w:szCs w:val="16"/>
        </w:rPr>
        <w:t xml:space="preserve"> </w:t>
      </w:r>
      <w:r w:rsidR="00F739A4">
        <w:rPr>
          <w:rFonts w:ascii="Arial" w:hAnsi="Arial"/>
          <w:sz w:val="16"/>
          <w:szCs w:val="16"/>
        </w:rPr>
        <w:tab/>
      </w:r>
      <w:r w:rsidR="00F739A4" w:rsidRPr="00F739A4">
        <w:rPr>
          <w:rFonts w:ascii="Arial" w:hAnsi="Arial"/>
          <w:sz w:val="16"/>
          <w:szCs w:val="16"/>
        </w:rPr>
        <w:t xml:space="preserve">The revisions to the MWQs included changes to the wording of some of the MWQ items themselves, changes to some of the response options, and changes to where in the questionnaire the MWQs were located. </w:t>
      </w:r>
      <w:r w:rsidRPr="00F739A4">
        <w:rPr>
          <w:rFonts w:ascii="Arial" w:hAnsi="Arial"/>
          <w:sz w:val="16"/>
          <w:szCs w:val="16"/>
        </w:rPr>
        <w:t xml:space="preserve">The </w:t>
      </w:r>
      <w:r w:rsidR="00A93363">
        <w:rPr>
          <w:rFonts w:ascii="Arial" w:hAnsi="Arial"/>
          <w:sz w:val="16"/>
          <w:szCs w:val="16"/>
        </w:rPr>
        <w:t xml:space="preserve">full text of </w:t>
      </w:r>
      <w:r w:rsidRPr="00F739A4">
        <w:rPr>
          <w:rFonts w:ascii="Arial" w:hAnsi="Arial"/>
          <w:sz w:val="16"/>
          <w:szCs w:val="16"/>
        </w:rPr>
        <w:t xml:space="preserve">HES-based and HILS-based MWQs are listed and compared in </w:t>
      </w:r>
      <w:r w:rsidRPr="000A3BB8">
        <w:rPr>
          <w:rFonts w:ascii="Arial" w:hAnsi="Arial"/>
          <w:b/>
          <w:bCs/>
          <w:sz w:val="16"/>
          <w:szCs w:val="16"/>
        </w:rPr>
        <w:t xml:space="preserve">Table </w:t>
      </w:r>
      <w:r w:rsidR="000A3BB8" w:rsidRPr="000A3BB8">
        <w:rPr>
          <w:rFonts w:ascii="Arial" w:hAnsi="Arial"/>
          <w:b/>
          <w:bCs/>
          <w:sz w:val="16"/>
          <w:szCs w:val="16"/>
        </w:rPr>
        <w:t>20.1</w:t>
      </w:r>
      <w:r w:rsidRPr="000A3BB8">
        <w:rPr>
          <w:rFonts w:ascii="Arial" w:hAnsi="Arial"/>
          <w:sz w:val="16"/>
          <w:szCs w:val="16"/>
        </w:rPr>
        <w:t xml:space="preserve"> in </w:t>
      </w:r>
      <w:r w:rsidRPr="000A3BB8">
        <w:rPr>
          <w:rFonts w:ascii="Arial" w:hAnsi="Arial"/>
          <w:b/>
          <w:bCs/>
          <w:sz w:val="16"/>
          <w:szCs w:val="16"/>
        </w:rPr>
        <w:t>Appendix 20</w:t>
      </w:r>
      <w:r w:rsidRPr="000A3BB8">
        <w:rPr>
          <w:rFonts w:ascii="Arial" w:hAnsi="Arial"/>
          <w:sz w:val="16"/>
          <w:szCs w:val="16"/>
        </w:rPr>
        <w:t>.</w:t>
      </w:r>
      <w:r w:rsidR="00F739A4" w:rsidRPr="00F739A4">
        <w:rPr>
          <w:rFonts w:ascii="Arial" w:hAnsi="Arial"/>
          <w:sz w:val="16"/>
          <w:szCs w:val="16"/>
        </w:rPr>
        <w:t xml:space="preserve"> </w:t>
      </w:r>
    </w:p>
  </w:footnote>
  <w:footnote w:id="36">
    <w:p w14:paraId="53507B42" w14:textId="77777777" w:rsidR="00FC5363" w:rsidRPr="007A09E5" w:rsidRDefault="00FC5363" w:rsidP="00FC5363">
      <w:pPr>
        <w:pStyle w:val="FootnoteText"/>
        <w:spacing w:after="40"/>
        <w:ind w:left="284" w:hanging="284"/>
        <w:rPr>
          <w:rFonts w:ascii="Arial" w:hAnsi="Arial"/>
          <w:sz w:val="16"/>
          <w:szCs w:val="16"/>
        </w:rPr>
      </w:pPr>
      <w:r w:rsidRPr="002053A7">
        <w:rPr>
          <w:rStyle w:val="FootnoteReference"/>
          <w:rFonts w:ascii="Arial" w:hAnsi="Arial"/>
          <w:sz w:val="16"/>
          <w:szCs w:val="16"/>
        </w:rPr>
        <w:footnoteRef/>
      </w:r>
      <w:r w:rsidRPr="002053A7">
        <w:rPr>
          <w:rFonts w:ascii="Arial" w:hAnsi="Arial"/>
          <w:sz w:val="16"/>
          <w:szCs w:val="16"/>
        </w:rPr>
        <w:t xml:space="preserve"> </w:t>
      </w:r>
      <w:r>
        <w:rPr>
          <w:rFonts w:ascii="Arial" w:hAnsi="Arial"/>
          <w:sz w:val="16"/>
          <w:szCs w:val="16"/>
        </w:rPr>
        <w:tab/>
      </w:r>
      <w:hyperlink r:id="rId8" w:history="1">
        <w:r w:rsidRPr="007A09E5">
          <w:rPr>
            <w:rStyle w:val="Hyperlink"/>
            <w:rFonts w:ascii="Arial" w:hAnsi="Arial"/>
            <w:sz w:val="16"/>
            <w:szCs w:val="16"/>
          </w:rPr>
          <w:t>https://www.stats.govt.nz/methods/about-the-transition-from-the-household-economic-survey-to-the-household-income-and-living-survey/</w:t>
        </w:r>
      </w:hyperlink>
      <w:r w:rsidRPr="007A09E5">
        <w:rPr>
          <w:rFonts w:ascii="Arial" w:hAnsi="Arial"/>
          <w:sz w:val="16"/>
          <w:szCs w:val="16"/>
        </w:rPr>
        <w:t xml:space="preserve"> and </w:t>
      </w:r>
      <w:hyperlink r:id="rId9" w:history="1">
        <w:r w:rsidRPr="007A09E5">
          <w:rPr>
            <w:rStyle w:val="Hyperlink"/>
            <w:rFonts w:ascii="Arial" w:hAnsi="Arial"/>
            <w:sz w:val="16"/>
            <w:szCs w:val="16"/>
          </w:rPr>
          <w:t>https://www.stats.govt.nz/methods/measuring-child-poverty-concepts-and-definitions-fourth-edition/</w:t>
        </w:r>
      </w:hyperlink>
      <w:r w:rsidRPr="007A09E5">
        <w:rPr>
          <w:rFonts w:ascii="Arial" w:hAnsi="Arial"/>
          <w:sz w:val="16"/>
          <w:szCs w:val="16"/>
        </w:rPr>
        <w:t xml:space="preserve"> </w:t>
      </w:r>
    </w:p>
  </w:footnote>
  <w:footnote w:id="37">
    <w:p w14:paraId="51956300" w14:textId="15EFFE58" w:rsidR="00FC5363" w:rsidRDefault="00FC5363" w:rsidP="00FC5363">
      <w:pPr>
        <w:pStyle w:val="FootnoteText"/>
        <w:spacing w:after="40"/>
        <w:ind w:left="284" w:hanging="284"/>
      </w:pPr>
      <w:r w:rsidRPr="007A09E5">
        <w:rPr>
          <w:rStyle w:val="FootnoteReference"/>
          <w:rFonts w:ascii="Arial" w:hAnsi="Arial"/>
          <w:sz w:val="16"/>
          <w:szCs w:val="16"/>
        </w:rPr>
        <w:footnoteRef/>
      </w:r>
      <w:r w:rsidRPr="007A09E5">
        <w:rPr>
          <w:rFonts w:ascii="Arial" w:hAnsi="Arial"/>
          <w:sz w:val="16"/>
          <w:szCs w:val="16"/>
        </w:rPr>
        <w:t xml:space="preserve"> </w:t>
      </w:r>
      <w:r>
        <w:rPr>
          <w:rFonts w:ascii="Arial" w:hAnsi="Arial"/>
          <w:sz w:val="16"/>
          <w:szCs w:val="16"/>
        </w:rPr>
        <w:tab/>
      </w:r>
      <w:r w:rsidRPr="00017A19">
        <w:rPr>
          <w:rFonts w:ascii="Arial" w:hAnsi="Arial"/>
          <w:sz w:val="16"/>
          <w:szCs w:val="16"/>
        </w:rPr>
        <w:t xml:space="preserve">See the MSD Working Papers 01/26 and 02/26 at </w:t>
      </w:r>
      <w:hyperlink r:id="rId10" w:history="1">
        <w:r w:rsidRPr="00017A19">
          <w:rPr>
            <w:rStyle w:val="Hyperlink"/>
            <w:rFonts w:ascii="Arial" w:hAnsi="Arial"/>
            <w:sz w:val="16"/>
            <w:szCs w:val="16"/>
          </w:rPr>
          <w:t>https://www.msd.govt.nz/about-msd-and-our-work/publications-resources/working-papers/index.html</w:t>
        </w:r>
      </w:hyperlink>
      <w:r w:rsidRPr="007A09E5">
        <w:rPr>
          <w:rFonts w:ascii="Arial" w:hAnsi="Arial"/>
          <w:sz w:val="16"/>
          <w:szCs w:val="16"/>
        </w:rPr>
        <w:t xml:space="preserve"> </w:t>
      </w:r>
    </w:p>
  </w:footnote>
  <w:footnote w:id="38">
    <w:p w14:paraId="01EEEE9D" w14:textId="2F9C0313" w:rsidR="00D37D0B" w:rsidRPr="00762CBF" w:rsidRDefault="00D37D0B" w:rsidP="00D37D0B">
      <w:pPr>
        <w:pStyle w:val="FootnoteText"/>
        <w:spacing w:after="40"/>
        <w:ind w:left="284" w:hanging="284"/>
        <w:rPr>
          <w:rFonts w:ascii="Arial" w:hAnsi="Arial"/>
          <w:sz w:val="16"/>
          <w:szCs w:val="16"/>
        </w:rPr>
      </w:pPr>
      <w:r w:rsidRPr="003A18B6">
        <w:rPr>
          <w:rStyle w:val="FootnoteReference"/>
          <w:rFonts w:ascii="Arial" w:hAnsi="Arial"/>
          <w:sz w:val="16"/>
          <w:szCs w:val="16"/>
        </w:rPr>
        <w:footnoteRef/>
      </w:r>
      <w:r w:rsidRPr="003A18B6">
        <w:rPr>
          <w:rFonts w:ascii="Arial" w:hAnsi="Arial"/>
          <w:sz w:val="16"/>
          <w:szCs w:val="16"/>
        </w:rPr>
        <w:t xml:space="preserve"> </w:t>
      </w:r>
      <w:r w:rsidRPr="003A18B6">
        <w:rPr>
          <w:rFonts w:ascii="Arial" w:hAnsi="Arial"/>
          <w:sz w:val="16"/>
          <w:szCs w:val="16"/>
        </w:rPr>
        <w:tab/>
        <w:t>For example, the HES does not include the families in Emergency Housing which in February 2023 included around 3200 children</w:t>
      </w:r>
      <w:r w:rsidR="00672E2D">
        <w:rPr>
          <w:rFonts w:ascii="Arial" w:hAnsi="Arial"/>
          <w:sz w:val="16"/>
          <w:szCs w:val="16"/>
        </w:rPr>
        <w:t>.</w:t>
      </w:r>
      <w:r w:rsidRPr="003A18B6">
        <w:rPr>
          <w:rFonts w:ascii="Arial" w:hAnsi="Arial"/>
          <w:sz w:val="16"/>
          <w:szCs w:val="16"/>
        </w:rPr>
        <w:t xml:space="preserve"> </w:t>
      </w:r>
      <w:r w:rsidR="00CD0A2D">
        <w:rPr>
          <w:rFonts w:ascii="Arial" w:hAnsi="Arial"/>
          <w:sz w:val="16"/>
          <w:szCs w:val="16"/>
        </w:rPr>
        <w:t>At</w:t>
      </w:r>
      <w:r>
        <w:rPr>
          <w:rFonts w:ascii="Arial" w:hAnsi="Arial"/>
          <w:sz w:val="16"/>
          <w:szCs w:val="16"/>
        </w:rPr>
        <w:t xml:space="preserve"> the end of the HILS 2024-25 collection period</w:t>
      </w:r>
      <w:r w:rsidRPr="00377363">
        <w:rPr>
          <w:rFonts w:ascii="Arial" w:hAnsi="Arial"/>
          <w:sz w:val="16"/>
          <w:szCs w:val="16"/>
        </w:rPr>
        <w:t xml:space="preserve"> </w:t>
      </w:r>
      <w:r w:rsidR="00E70966">
        <w:rPr>
          <w:rFonts w:ascii="Arial" w:hAnsi="Arial"/>
          <w:sz w:val="16"/>
          <w:szCs w:val="16"/>
        </w:rPr>
        <w:t xml:space="preserve">in June 2025 the numbers were </w:t>
      </w:r>
      <w:r w:rsidRPr="00377363">
        <w:rPr>
          <w:rFonts w:ascii="Arial" w:hAnsi="Arial"/>
          <w:sz w:val="16"/>
          <w:szCs w:val="16"/>
        </w:rPr>
        <w:t>426</w:t>
      </w:r>
      <w:r>
        <w:rPr>
          <w:rFonts w:ascii="Arial" w:hAnsi="Arial"/>
          <w:sz w:val="16"/>
          <w:szCs w:val="16"/>
        </w:rPr>
        <w:t>.</w:t>
      </w:r>
      <w:r w:rsidR="00C402DD" w:rsidRPr="00C402DD">
        <w:rPr>
          <w:rFonts w:ascii="Arial" w:hAnsi="Arial"/>
          <w:sz w:val="16"/>
          <w:szCs w:val="16"/>
        </w:rPr>
        <w:t xml:space="preserve"> </w:t>
      </w:r>
      <w:r w:rsidR="00C402DD" w:rsidRPr="003A18B6">
        <w:rPr>
          <w:rFonts w:ascii="Arial" w:hAnsi="Arial"/>
          <w:sz w:val="16"/>
          <w:szCs w:val="16"/>
        </w:rPr>
        <w:t>(Source: MSD Monthly Housing Update</w:t>
      </w:r>
      <w:r w:rsidR="00672E2D">
        <w:rPr>
          <w:rFonts w:ascii="Arial" w:hAnsi="Arial"/>
          <w:sz w:val="16"/>
          <w:szCs w:val="16"/>
        </w:rPr>
        <w:t xml:space="preserve"> available at </w:t>
      </w:r>
      <w:hyperlink r:id="rId11" w:history="1">
        <w:r w:rsidR="00672E2D" w:rsidRPr="00B06352">
          <w:rPr>
            <w:rStyle w:val="Hyperlink"/>
            <w:rFonts w:ascii="Arial" w:hAnsi="Arial"/>
            <w:sz w:val="16"/>
            <w:szCs w:val="16"/>
          </w:rPr>
          <w:t>https://www.msd.govt.nz/about-msd-and-our-work/publications-resources/statistics/housing/housing-monthly-archive/index.html</w:t>
        </w:r>
      </w:hyperlink>
      <w:r w:rsidR="00672E2D">
        <w:rPr>
          <w:rFonts w:ascii="Arial" w:hAnsi="Arial"/>
          <w:sz w:val="16"/>
          <w:szCs w:val="16"/>
        </w:rPr>
        <w:t xml:space="preserve"> </w:t>
      </w:r>
      <w:r w:rsidR="00C402DD" w:rsidRPr="003A18B6">
        <w:rPr>
          <w:rFonts w:ascii="Arial" w:hAnsi="Arial"/>
          <w:sz w:val="16"/>
          <w:szCs w:val="16"/>
        </w:rPr>
        <w:t>).</w:t>
      </w:r>
    </w:p>
  </w:footnote>
  <w:footnote w:id="39">
    <w:p w14:paraId="4009A1C1" w14:textId="4AF6ACA0" w:rsidR="00F07788" w:rsidRPr="00762CBF" w:rsidRDefault="00F07788" w:rsidP="00F07788">
      <w:pPr>
        <w:spacing w:after="20" w:line="240" w:lineRule="auto"/>
        <w:ind w:left="284" w:hanging="284"/>
        <w:rPr>
          <w:rFonts w:ascii="Arial" w:hAnsi="Arial"/>
          <w:sz w:val="16"/>
          <w:szCs w:val="16"/>
        </w:rPr>
      </w:pPr>
      <w:r w:rsidRPr="00762CBF">
        <w:rPr>
          <w:rStyle w:val="FootnoteReference"/>
          <w:rFonts w:ascii="Arial" w:hAnsi="Arial"/>
          <w:sz w:val="16"/>
          <w:szCs w:val="16"/>
        </w:rPr>
        <w:footnoteRef/>
      </w:r>
      <w:r w:rsidRPr="00762CBF">
        <w:rPr>
          <w:rFonts w:ascii="Arial" w:hAnsi="Arial"/>
          <w:sz w:val="16"/>
          <w:szCs w:val="16"/>
        </w:rPr>
        <w:t xml:space="preserve"> </w:t>
      </w:r>
      <w:r w:rsidRPr="00762CBF">
        <w:rPr>
          <w:rFonts w:ascii="Arial" w:hAnsi="Arial"/>
          <w:sz w:val="16"/>
          <w:szCs w:val="16"/>
        </w:rPr>
        <w:tab/>
      </w:r>
      <w:r w:rsidR="007C59EE">
        <w:rPr>
          <w:rFonts w:ascii="Arial" w:hAnsi="Arial"/>
          <w:sz w:val="16"/>
          <w:szCs w:val="16"/>
        </w:rPr>
        <w:t>For example, t</w:t>
      </w:r>
      <w:r w:rsidRPr="00762CBF">
        <w:rPr>
          <w:rFonts w:ascii="Arial" w:hAnsi="Arial"/>
          <w:sz w:val="16"/>
          <w:szCs w:val="16"/>
        </w:rPr>
        <w:t xml:space="preserve">he Ministry of Housing and Urban Development (HUD) contracted the University of Otago to produce an estimate of New Zealand’s homeless population, using 2018 Census data. This estimated </w:t>
      </w:r>
      <w:r>
        <w:rPr>
          <w:rFonts w:ascii="Arial" w:hAnsi="Arial"/>
          <w:sz w:val="16"/>
          <w:szCs w:val="16"/>
        </w:rPr>
        <w:t xml:space="preserve">that </w:t>
      </w:r>
      <w:r w:rsidRPr="00762CBF">
        <w:rPr>
          <w:rFonts w:ascii="Arial" w:hAnsi="Arial"/>
          <w:sz w:val="16"/>
          <w:szCs w:val="16"/>
        </w:rPr>
        <w:t>there were around 3500 people living without shelter, and 7500 people in emergency housing, campgrounds, motels, and other temporary accommodation.  </w:t>
      </w:r>
      <w:hyperlink r:id="rId12" w:history="1">
        <w:r w:rsidRPr="00762CBF">
          <w:rPr>
            <w:rStyle w:val="Hyperlink"/>
            <w:rFonts w:ascii="Arial" w:hAnsi="Arial"/>
            <w:sz w:val="16"/>
            <w:szCs w:val="16"/>
          </w:rPr>
          <w:t>2018 Severe Housing Deprivation Estimate - Te Tūāpapa Kura Kāinga - Ministry of Housing and Urban Development (hud.govt.nz)</w:t>
        </w:r>
      </w:hyperlink>
    </w:p>
  </w:footnote>
  <w:footnote w:id="40">
    <w:p w14:paraId="4644A473" w14:textId="77777777" w:rsidR="00D37D0B" w:rsidRPr="00762CBF" w:rsidRDefault="00D37D0B" w:rsidP="00D37D0B">
      <w:pPr>
        <w:pStyle w:val="FootnoteText"/>
        <w:spacing w:after="40"/>
        <w:ind w:left="284" w:hanging="284"/>
        <w:rPr>
          <w:rFonts w:ascii="Arial" w:hAnsi="Arial"/>
          <w:sz w:val="16"/>
          <w:szCs w:val="16"/>
        </w:rPr>
      </w:pPr>
      <w:r w:rsidRPr="00762CBF">
        <w:rPr>
          <w:rStyle w:val="FootnoteReference"/>
          <w:rFonts w:ascii="Arial" w:hAnsi="Arial"/>
          <w:sz w:val="16"/>
          <w:szCs w:val="16"/>
        </w:rPr>
        <w:footnoteRef/>
      </w:r>
      <w:r w:rsidRPr="00762CBF">
        <w:rPr>
          <w:rFonts w:ascii="Arial" w:hAnsi="Arial"/>
          <w:sz w:val="16"/>
          <w:szCs w:val="16"/>
        </w:rPr>
        <w:t xml:space="preserve"> </w:t>
      </w:r>
      <w:r w:rsidRPr="00762CBF">
        <w:rPr>
          <w:rFonts w:ascii="Arial" w:hAnsi="Arial"/>
          <w:sz w:val="16"/>
          <w:szCs w:val="16"/>
        </w:rPr>
        <w:tab/>
        <w:t>Once the population weights were applied to gross up the sample numbers to population estimates the number of individuals in the lower two NZDep deciles was 19.4%.</w:t>
      </w:r>
    </w:p>
  </w:footnote>
  <w:footnote w:id="41">
    <w:p w14:paraId="53C387A3" w14:textId="32231A1D" w:rsidR="00D37D0B" w:rsidRPr="007F4AAA" w:rsidRDefault="00D37D0B" w:rsidP="00D37D0B">
      <w:pPr>
        <w:pStyle w:val="FootnoteText"/>
        <w:spacing w:after="20"/>
        <w:ind w:left="284" w:hanging="284"/>
        <w:rPr>
          <w:rFonts w:ascii="Arial" w:hAnsi="Arial"/>
          <w:sz w:val="16"/>
          <w:szCs w:val="16"/>
        </w:rPr>
      </w:pPr>
      <w:r w:rsidRPr="007F4AAA">
        <w:rPr>
          <w:rStyle w:val="FootnoteReference"/>
          <w:rFonts w:ascii="Arial" w:hAnsi="Arial"/>
          <w:sz w:val="16"/>
          <w:szCs w:val="16"/>
        </w:rPr>
        <w:footnoteRef/>
      </w:r>
      <w:r w:rsidRPr="007F4AAA">
        <w:rPr>
          <w:rFonts w:ascii="Arial" w:hAnsi="Arial"/>
          <w:sz w:val="16"/>
          <w:szCs w:val="16"/>
        </w:rPr>
        <w:t xml:space="preserve"> </w:t>
      </w:r>
      <w:r>
        <w:rPr>
          <w:rFonts w:ascii="Arial" w:hAnsi="Arial"/>
          <w:sz w:val="16"/>
          <w:szCs w:val="16"/>
        </w:rPr>
        <w:tab/>
      </w:r>
      <w:r w:rsidRPr="007F4AAA">
        <w:rPr>
          <w:rFonts w:ascii="Arial" w:hAnsi="Arial"/>
          <w:sz w:val="16"/>
          <w:szCs w:val="16"/>
        </w:rPr>
        <w:t xml:space="preserve">See </w:t>
      </w:r>
      <w:r w:rsidR="00C752F8">
        <w:rPr>
          <w:rFonts w:ascii="Arial" w:hAnsi="Arial"/>
          <w:sz w:val="16"/>
          <w:szCs w:val="16"/>
        </w:rPr>
        <w:t xml:space="preserve">also </w:t>
      </w:r>
      <w:r w:rsidRPr="007F4AAA">
        <w:rPr>
          <w:rFonts w:ascii="Arial" w:hAnsi="Arial"/>
          <w:sz w:val="16"/>
          <w:szCs w:val="16"/>
        </w:rPr>
        <w:t>Stats NZ’s reports at</w:t>
      </w:r>
      <w:r>
        <w:rPr>
          <w:rFonts w:ascii="Arial" w:hAnsi="Arial"/>
          <w:sz w:val="16"/>
          <w:szCs w:val="16"/>
        </w:rPr>
        <w:t xml:space="preserve"> </w:t>
      </w:r>
      <w:hyperlink r:id="rId13" w:history="1">
        <w:r w:rsidRPr="00EE4D04">
          <w:rPr>
            <w:rStyle w:val="Hyperlink"/>
            <w:rFonts w:ascii="Arial" w:hAnsi="Arial"/>
            <w:sz w:val="16"/>
            <w:szCs w:val="16"/>
          </w:rPr>
          <w:t>https://www.stats.govt.nz/methods/child-poverty-statistics-year-ended-june-2022-technical-appendix/</w:t>
        </w:r>
      </w:hyperlink>
      <w:r>
        <w:rPr>
          <w:rFonts w:ascii="Arial" w:hAnsi="Arial"/>
          <w:sz w:val="16"/>
          <w:szCs w:val="16"/>
        </w:rPr>
        <w:t xml:space="preserve"> and </w:t>
      </w:r>
      <w:r w:rsidRPr="007F4AAA">
        <w:rPr>
          <w:rFonts w:ascii="Arial" w:hAnsi="Arial"/>
          <w:sz w:val="16"/>
          <w:szCs w:val="16"/>
        </w:rPr>
        <w:t xml:space="preserve"> </w:t>
      </w:r>
      <w:hyperlink r:id="rId14" w:history="1">
        <w:r w:rsidRPr="00EE4D04">
          <w:rPr>
            <w:rStyle w:val="Hyperlink"/>
            <w:rFonts w:ascii="Arial" w:hAnsi="Arial"/>
            <w:sz w:val="16"/>
            <w:szCs w:val="16"/>
          </w:rPr>
          <w:t>https://www.stats.govt.nz/methods/child-poverty-statistics-year-ended-june-2025-technical-appendix/</w:t>
        </w:r>
      </w:hyperlink>
      <w:r>
        <w:rPr>
          <w:rFonts w:ascii="Arial" w:hAnsi="Arial"/>
          <w:sz w:val="16"/>
          <w:szCs w:val="16"/>
        </w:rPr>
        <w:t xml:space="preserve"> </w:t>
      </w:r>
    </w:p>
  </w:footnote>
  <w:footnote w:id="42">
    <w:p w14:paraId="0F374B17" w14:textId="77777777" w:rsidR="00D37D0B" w:rsidRPr="007F4AAA" w:rsidRDefault="00D37D0B" w:rsidP="00D37D0B">
      <w:pPr>
        <w:pStyle w:val="FootnoteText"/>
        <w:ind w:left="284" w:hanging="284"/>
        <w:rPr>
          <w:rFonts w:ascii="Arial" w:hAnsi="Arial"/>
          <w:color w:val="000000" w:themeColor="text1"/>
          <w:sz w:val="16"/>
          <w:szCs w:val="16"/>
        </w:rPr>
      </w:pPr>
      <w:r w:rsidRPr="007F4AAA">
        <w:rPr>
          <w:rStyle w:val="FootnoteReference"/>
          <w:rFonts w:ascii="Arial" w:hAnsi="Arial"/>
          <w:sz w:val="16"/>
          <w:szCs w:val="16"/>
        </w:rPr>
        <w:footnoteRef/>
      </w:r>
      <w:r w:rsidRPr="007F4AAA">
        <w:rPr>
          <w:rFonts w:ascii="Arial" w:hAnsi="Arial"/>
          <w:sz w:val="16"/>
          <w:szCs w:val="16"/>
        </w:rPr>
        <w:t xml:space="preserve"> </w:t>
      </w:r>
      <w:r>
        <w:rPr>
          <w:rFonts w:ascii="Arial" w:hAnsi="Arial"/>
          <w:sz w:val="16"/>
          <w:szCs w:val="16"/>
        </w:rPr>
        <w:tab/>
      </w:r>
      <w:r w:rsidRPr="007F4AAA">
        <w:rPr>
          <w:rFonts w:ascii="Arial" w:hAnsi="Arial"/>
          <w:color w:val="000000" w:themeColor="text1"/>
          <w:sz w:val="16"/>
          <w:szCs w:val="16"/>
        </w:rPr>
        <w:t>For a more detailed discussion of the HES data</w:t>
      </w:r>
      <w:r>
        <w:rPr>
          <w:rFonts w:ascii="Arial" w:hAnsi="Arial"/>
          <w:color w:val="000000" w:themeColor="text1"/>
          <w:sz w:val="16"/>
          <w:szCs w:val="16"/>
        </w:rPr>
        <w:t xml:space="preserve"> especially in relation to addressing issues relating to households with very low incomes (VLIs)</w:t>
      </w:r>
      <w:r w:rsidRPr="007F4AAA">
        <w:rPr>
          <w:rFonts w:ascii="Arial" w:hAnsi="Arial"/>
          <w:color w:val="000000" w:themeColor="text1"/>
          <w:sz w:val="16"/>
          <w:szCs w:val="16"/>
        </w:rPr>
        <w:t xml:space="preserve">, see </w:t>
      </w:r>
      <w:r w:rsidRPr="007F4AAA">
        <w:rPr>
          <w:rFonts w:ascii="Arial" w:hAnsi="Arial"/>
          <w:b/>
          <w:bCs/>
          <w:color w:val="000000" w:themeColor="text1"/>
          <w:sz w:val="16"/>
          <w:szCs w:val="16"/>
        </w:rPr>
        <w:t xml:space="preserve">Sections N and O </w:t>
      </w:r>
      <w:r w:rsidRPr="007F4AAA">
        <w:rPr>
          <w:rFonts w:ascii="Arial" w:hAnsi="Arial"/>
          <w:color w:val="000000" w:themeColor="text1"/>
          <w:sz w:val="16"/>
          <w:szCs w:val="16"/>
        </w:rPr>
        <w:t xml:space="preserve">in MSD’s 2022 Child Poverty Report available at: </w:t>
      </w:r>
    </w:p>
    <w:p w14:paraId="574860C9" w14:textId="77777777" w:rsidR="00D37D0B" w:rsidRDefault="00D37D0B" w:rsidP="00D37D0B">
      <w:pPr>
        <w:pStyle w:val="FootnoteText"/>
        <w:spacing w:after="40"/>
        <w:ind w:left="284"/>
      </w:pPr>
      <w:hyperlink r:id="rId15" w:history="1">
        <w:r w:rsidRPr="00EE4D04">
          <w:rPr>
            <w:rStyle w:val="Hyperlink"/>
            <w:rFonts w:ascii="Arial" w:hAnsi="Arial"/>
            <w:sz w:val="16"/>
            <w:szCs w:val="16"/>
          </w:rPr>
          <w:t>https://www.msd.govt.nz/about-msd-and-our-work/publications-resources/research/child-poverty-in-nz/index.html</w:t>
        </w:r>
      </w:hyperlink>
    </w:p>
  </w:footnote>
  <w:footnote w:id="43">
    <w:p w14:paraId="31E808F5" w14:textId="7E540B1E" w:rsidR="00F07CF3" w:rsidRPr="006A11E5" w:rsidRDefault="00F07CF3" w:rsidP="0004752F">
      <w:pPr>
        <w:spacing w:after="20" w:line="240" w:lineRule="auto"/>
        <w:ind w:left="284" w:hanging="284"/>
        <w:rPr>
          <w:rFonts w:ascii="Arial" w:hAnsi="Arial"/>
          <w:sz w:val="16"/>
          <w:szCs w:val="16"/>
        </w:rPr>
      </w:pPr>
      <w:r w:rsidRPr="003041F3">
        <w:rPr>
          <w:rStyle w:val="FootnoteReference"/>
          <w:rFonts w:ascii="Arial" w:hAnsi="Arial"/>
          <w:sz w:val="16"/>
          <w:szCs w:val="16"/>
        </w:rPr>
        <w:footnoteRef/>
      </w:r>
      <w:r w:rsidR="003041F3">
        <w:rPr>
          <w:rFonts w:ascii="Arial" w:hAnsi="Arial"/>
          <w:color w:val="000000" w:themeColor="text1"/>
          <w:sz w:val="16"/>
          <w:szCs w:val="16"/>
        </w:rPr>
        <w:t xml:space="preserve"> </w:t>
      </w:r>
      <w:r w:rsidR="003041F3">
        <w:rPr>
          <w:rFonts w:ascii="Arial" w:hAnsi="Arial"/>
          <w:color w:val="000000" w:themeColor="text1"/>
          <w:sz w:val="16"/>
          <w:szCs w:val="16"/>
        </w:rPr>
        <w:tab/>
        <w:t xml:space="preserve">We </w:t>
      </w:r>
      <w:r w:rsidR="003041F3" w:rsidRPr="003041F3">
        <w:rPr>
          <w:rFonts w:ascii="Arial" w:hAnsi="Arial"/>
          <w:color w:val="000000" w:themeColor="text1"/>
          <w:sz w:val="16"/>
          <w:szCs w:val="16"/>
        </w:rPr>
        <w:t>have not yet developed a satisfactory replication using the revised MWQs</w:t>
      </w:r>
      <w:r w:rsidR="003041F3">
        <w:rPr>
          <w:rFonts w:ascii="Arial" w:hAnsi="Arial"/>
          <w:color w:val="000000" w:themeColor="text1"/>
          <w:sz w:val="16"/>
          <w:szCs w:val="16"/>
        </w:rPr>
        <w:t xml:space="preserve"> in HILS 2024-25</w:t>
      </w:r>
      <w:r w:rsidR="003041F3">
        <w:rPr>
          <w:rFonts w:ascii="Arial" w:hAnsi="Arial"/>
          <w:color w:val="000000" w:themeColor="text1"/>
          <w:szCs w:val="20"/>
        </w:rPr>
        <w:t xml:space="preserve">. </w:t>
      </w:r>
      <w:r w:rsidR="003041F3" w:rsidRPr="003041F3">
        <w:rPr>
          <w:rFonts w:ascii="Arial" w:hAnsi="Arial"/>
          <w:sz w:val="16"/>
          <w:szCs w:val="16"/>
        </w:rPr>
        <w:t>HES 2023-24 comparison is therefore the latest available</w:t>
      </w:r>
      <w:r w:rsidR="003041F3">
        <w:rPr>
          <w:rFonts w:ascii="Arial" w:hAnsi="Arial"/>
          <w:sz w:val="16"/>
          <w:szCs w:val="16"/>
        </w:rPr>
        <w:t>.</w:t>
      </w:r>
      <w:r w:rsidR="00312A84">
        <w:rPr>
          <w:rFonts w:ascii="Arial" w:hAnsi="Arial"/>
          <w:sz w:val="16"/>
          <w:szCs w:val="16"/>
        </w:rPr>
        <w:t xml:space="preserve"> Comparisons in this report are still valid, but will not remain so indefinitely</w:t>
      </w:r>
      <w:r w:rsidR="0004752F">
        <w:rPr>
          <w:rFonts w:ascii="Arial" w:hAnsi="Arial"/>
          <w:sz w:val="16"/>
          <w:szCs w:val="16"/>
        </w:rPr>
        <w:t>.</w:t>
      </w:r>
      <w:r w:rsidRPr="006A11E5">
        <w:rPr>
          <w:rFonts w:ascii="Arial" w:hAnsi="Arial"/>
          <w:sz w:val="16"/>
          <w:szCs w:val="16"/>
        </w:rPr>
        <w:t xml:space="preserve"> </w:t>
      </w:r>
    </w:p>
  </w:footnote>
  <w:footnote w:id="44">
    <w:p w14:paraId="2E030257" w14:textId="0127BE54" w:rsidR="0004752F" w:rsidRPr="0004752F" w:rsidRDefault="0004752F" w:rsidP="002B7FC0">
      <w:pPr>
        <w:pStyle w:val="FootnoteText"/>
        <w:spacing w:after="20"/>
        <w:ind w:left="284" w:hanging="284"/>
        <w:rPr>
          <w:rFonts w:ascii="Arial" w:hAnsi="Arial"/>
          <w:sz w:val="16"/>
          <w:szCs w:val="16"/>
        </w:rPr>
      </w:pPr>
      <w:r w:rsidRPr="0004752F">
        <w:rPr>
          <w:rStyle w:val="FootnoteReference"/>
          <w:rFonts w:ascii="Arial" w:hAnsi="Arial"/>
          <w:sz w:val="16"/>
          <w:szCs w:val="16"/>
        </w:rPr>
        <w:footnoteRef/>
      </w:r>
      <w:r w:rsidRPr="0004752F">
        <w:rPr>
          <w:rFonts w:ascii="Arial" w:hAnsi="Arial"/>
          <w:sz w:val="16"/>
          <w:szCs w:val="16"/>
        </w:rPr>
        <w:t xml:space="preserve"> </w:t>
      </w:r>
      <w:r>
        <w:rPr>
          <w:rFonts w:ascii="Arial" w:hAnsi="Arial"/>
          <w:sz w:val="16"/>
          <w:szCs w:val="16"/>
        </w:rPr>
        <w:tab/>
      </w:r>
      <w:r w:rsidR="00EE384A">
        <w:rPr>
          <w:rFonts w:ascii="Arial" w:hAnsi="Arial"/>
          <w:sz w:val="16"/>
          <w:szCs w:val="16"/>
        </w:rPr>
        <w:t xml:space="preserve">For Australia see Section 3 in the HILDA Statistical Reports starting with 2021 </w:t>
      </w:r>
      <w:hyperlink r:id="rId16" w:history="1">
        <w:r w:rsidR="00EE384A" w:rsidRPr="004D3673">
          <w:rPr>
            <w:rStyle w:val="Hyperlink"/>
            <w:rFonts w:ascii="Arial" w:hAnsi="Arial"/>
            <w:sz w:val="16"/>
            <w:szCs w:val="16"/>
          </w:rPr>
          <w:t>https://melbourneinstitute.unimelb.edu.au/hilda/publications/hilda-statistical-reports</w:t>
        </w:r>
      </w:hyperlink>
      <w:r w:rsidR="00EE384A">
        <w:rPr>
          <w:rFonts w:ascii="Arial" w:hAnsi="Arial"/>
          <w:sz w:val="16"/>
          <w:szCs w:val="16"/>
        </w:rPr>
        <w:t>, and for Can</w:t>
      </w:r>
      <w:r w:rsidR="00245256">
        <w:rPr>
          <w:rFonts w:ascii="Arial" w:hAnsi="Arial"/>
          <w:sz w:val="16"/>
          <w:szCs w:val="16"/>
        </w:rPr>
        <w:t>a</w:t>
      </w:r>
      <w:r w:rsidR="00EE384A">
        <w:rPr>
          <w:rFonts w:ascii="Arial" w:hAnsi="Arial"/>
          <w:sz w:val="16"/>
          <w:szCs w:val="16"/>
        </w:rPr>
        <w:t>da see Notten et al (2024).</w:t>
      </w:r>
    </w:p>
  </w:footnote>
  <w:footnote w:id="45">
    <w:p w14:paraId="497AB277" w14:textId="083CA789" w:rsidR="008B7D1F" w:rsidRPr="006A11E5" w:rsidRDefault="008B7D1F" w:rsidP="006A11E5">
      <w:pPr>
        <w:pStyle w:val="FootnoteText"/>
        <w:ind w:left="284" w:hanging="284"/>
        <w:rPr>
          <w:rFonts w:ascii="Arial" w:hAnsi="Arial"/>
          <w:sz w:val="16"/>
          <w:szCs w:val="16"/>
        </w:rPr>
      </w:pPr>
      <w:r w:rsidRPr="006A11E5">
        <w:rPr>
          <w:rStyle w:val="FootnoteReference"/>
          <w:rFonts w:ascii="Arial" w:hAnsi="Arial"/>
          <w:sz w:val="16"/>
          <w:szCs w:val="16"/>
        </w:rPr>
        <w:footnoteRef/>
      </w:r>
      <w:r w:rsidRPr="006A11E5">
        <w:rPr>
          <w:rFonts w:ascii="Arial" w:hAnsi="Arial"/>
          <w:sz w:val="16"/>
          <w:szCs w:val="16"/>
        </w:rPr>
        <w:t xml:space="preserve"> </w:t>
      </w:r>
      <w:r w:rsidRPr="006A11E5">
        <w:rPr>
          <w:rFonts w:ascii="Arial" w:hAnsi="Arial"/>
          <w:sz w:val="16"/>
          <w:szCs w:val="16"/>
        </w:rPr>
        <w:tab/>
        <w:t>Krassoi Peach and Cording (2018).</w:t>
      </w:r>
    </w:p>
  </w:footnote>
  <w:footnote w:id="46">
    <w:p w14:paraId="1D95C6FF" w14:textId="398FA52B" w:rsidR="00C77828" w:rsidRPr="00C77828" w:rsidRDefault="00C77828" w:rsidP="00995319">
      <w:pPr>
        <w:spacing w:after="20" w:line="240" w:lineRule="auto"/>
        <w:ind w:left="284" w:hanging="284"/>
        <w:rPr>
          <w:rFonts w:ascii="Arial" w:hAnsi="Arial"/>
          <w:color w:val="000000" w:themeColor="text1"/>
          <w:sz w:val="16"/>
          <w:szCs w:val="16"/>
        </w:rPr>
      </w:pPr>
      <w:r w:rsidRPr="000B31C0">
        <w:rPr>
          <w:rStyle w:val="FootnoteReference"/>
          <w:color w:val="000000" w:themeColor="text1"/>
          <w:sz w:val="16"/>
          <w:szCs w:val="18"/>
        </w:rPr>
        <w:footnoteRef/>
      </w:r>
      <w:r w:rsidRPr="000B31C0">
        <w:rPr>
          <w:color w:val="000000" w:themeColor="text1"/>
          <w:sz w:val="16"/>
          <w:szCs w:val="18"/>
        </w:rPr>
        <w:t xml:space="preserve"> </w:t>
      </w:r>
      <w:r w:rsidRPr="000B31C0">
        <w:rPr>
          <w:color w:val="000000" w:themeColor="text1"/>
          <w:sz w:val="16"/>
          <w:szCs w:val="18"/>
        </w:rPr>
        <w:tab/>
      </w:r>
      <w:r w:rsidRPr="000B31C0">
        <w:rPr>
          <w:rFonts w:ascii="Arial" w:hAnsi="Arial"/>
          <w:color w:val="000000" w:themeColor="text1"/>
          <w:sz w:val="16"/>
          <w:szCs w:val="16"/>
        </w:rPr>
        <w:t>HES 2023-24 data is used for the analysis in this section as the HILS 2024-25 data has information from child-specific items only for those aged 6 to 14 y</w:t>
      </w:r>
      <w:r w:rsidR="00E36EC3" w:rsidRPr="000B31C0">
        <w:rPr>
          <w:rFonts w:ascii="Arial" w:hAnsi="Arial"/>
          <w:color w:val="000000" w:themeColor="text1"/>
          <w:sz w:val="16"/>
          <w:szCs w:val="16"/>
        </w:rPr>
        <w:t>ea</w:t>
      </w:r>
      <w:r w:rsidRPr="000B31C0">
        <w:rPr>
          <w:rFonts w:ascii="Arial" w:hAnsi="Arial"/>
          <w:color w:val="000000" w:themeColor="text1"/>
          <w:sz w:val="16"/>
          <w:szCs w:val="16"/>
        </w:rPr>
        <w:t>rs rather than 6-17 y</w:t>
      </w:r>
      <w:r w:rsidR="00E36EC3" w:rsidRPr="000B31C0">
        <w:rPr>
          <w:rFonts w:ascii="Arial" w:hAnsi="Arial"/>
          <w:color w:val="000000" w:themeColor="text1"/>
          <w:sz w:val="16"/>
          <w:szCs w:val="16"/>
        </w:rPr>
        <w:t>ea</w:t>
      </w:r>
      <w:r w:rsidRPr="000B31C0">
        <w:rPr>
          <w:rFonts w:ascii="Arial" w:hAnsi="Arial"/>
          <w:color w:val="000000" w:themeColor="text1"/>
          <w:sz w:val="16"/>
          <w:szCs w:val="16"/>
        </w:rPr>
        <w:t xml:space="preserve">rs as in the HES, and some of the items in HILS </w:t>
      </w:r>
      <w:r w:rsidR="00E36EC3" w:rsidRPr="000B31C0">
        <w:rPr>
          <w:rFonts w:ascii="Arial" w:hAnsi="Arial"/>
          <w:color w:val="000000" w:themeColor="text1"/>
          <w:sz w:val="16"/>
          <w:szCs w:val="16"/>
        </w:rPr>
        <w:t>have different</w:t>
      </w:r>
      <w:r w:rsidRPr="000B31C0">
        <w:rPr>
          <w:rFonts w:ascii="Arial" w:hAnsi="Arial"/>
          <w:color w:val="000000" w:themeColor="text1"/>
          <w:sz w:val="16"/>
          <w:szCs w:val="16"/>
        </w:rPr>
        <w:t xml:space="preserve"> wording </w:t>
      </w:r>
      <w:r w:rsidR="00E36EC3" w:rsidRPr="000B31C0">
        <w:rPr>
          <w:rFonts w:ascii="Arial" w:hAnsi="Arial"/>
          <w:color w:val="000000" w:themeColor="text1"/>
          <w:sz w:val="16"/>
          <w:szCs w:val="16"/>
        </w:rPr>
        <w:t>compared with</w:t>
      </w:r>
      <w:r w:rsidRPr="000B31C0">
        <w:rPr>
          <w:rFonts w:ascii="Arial" w:hAnsi="Arial"/>
          <w:color w:val="000000" w:themeColor="text1"/>
          <w:sz w:val="16"/>
          <w:szCs w:val="16"/>
        </w:rPr>
        <w:t xml:space="preserve"> the HES</w:t>
      </w:r>
      <w:r w:rsidR="00E36EC3" w:rsidRPr="000B31C0">
        <w:rPr>
          <w:rFonts w:ascii="Arial" w:hAnsi="Arial"/>
          <w:color w:val="000000" w:themeColor="text1"/>
          <w:sz w:val="16"/>
          <w:szCs w:val="16"/>
        </w:rPr>
        <w:t xml:space="preserve"> versions</w:t>
      </w:r>
      <w:r w:rsidRPr="000B31C0">
        <w:rPr>
          <w:rFonts w:ascii="Arial" w:hAnsi="Arial"/>
          <w:color w:val="000000" w:themeColor="text1"/>
          <w:sz w:val="16"/>
          <w:szCs w:val="16"/>
        </w:rPr>
        <w:t xml:space="preserve">. </w:t>
      </w:r>
      <w:r w:rsidRPr="00903E31">
        <w:rPr>
          <w:rFonts w:ascii="Arial" w:hAnsi="Arial"/>
          <w:color w:val="000000" w:themeColor="text1"/>
          <w:sz w:val="16"/>
          <w:szCs w:val="16"/>
        </w:rPr>
        <w:t xml:space="preserve">See </w:t>
      </w:r>
      <w:r w:rsidR="00E17F30" w:rsidRPr="00903E31">
        <w:rPr>
          <w:rFonts w:ascii="Arial" w:hAnsi="Arial"/>
          <w:b/>
          <w:bCs/>
          <w:color w:val="000000" w:themeColor="text1"/>
          <w:sz w:val="16"/>
          <w:szCs w:val="16"/>
        </w:rPr>
        <w:t>Appendix</w:t>
      </w:r>
      <w:r w:rsidRPr="00903E31">
        <w:rPr>
          <w:rFonts w:ascii="Arial" w:hAnsi="Arial"/>
          <w:b/>
          <w:bCs/>
          <w:color w:val="000000" w:themeColor="text1"/>
          <w:sz w:val="16"/>
          <w:szCs w:val="16"/>
        </w:rPr>
        <w:t xml:space="preserve"> </w:t>
      </w:r>
      <w:r w:rsidR="00903E31" w:rsidRPr="00903E31">
        <w:rPr>
          <w:rFonts w:ascii="Arial" w:hAnsi="Arial"/>
          <w:b/>
          <w:bCs/>
          <w:color w:val="000000" w:themeColor="text1"/>
          <w:sz w:val="16"/>
          <w:szCs w:val="16"/>
        </w:rPr>
        <w:t>20</w:t>
      </w:r>
      <w:r w:rsidRPr="00903E31">
        <w:rPr>
          <w:rFonts w:ascii="Arial" w:hAnsi="Arial"/>
          <w:color w:val="000000" w:themeColor="text1"/>
          <w:sz w:val="16"/>
          <w:szCs w:val="16"/>
        </w:rPr>
        <w:t xml:space="preserve"> for more information on these </w:t>
      </w:r>
      <w:r w:rsidR="00E36EC3" w:rsidRPr="00903E31">
        <w:rPr>
          <w:rFonts w:ascii="Arial" w:hAnsi="Arial"/>
          <w:color w:val="000000" w:themeColor="text1"/>
          <w:sz w:val="16"/>
          <w:szCs w:val="16"/>
        </w:rPr>
        <w:t>differences</w:t>
      </w:r>
      <w:r w:rsidRPr="00903E31">
        <w:rPr>
          <w:rFonts w:ascii="Arial" w:hAnsi="Arial"/>
          <w:color w:val="000000" w:themeColor="text1"/>
          <w:sz w:val="16"/>
          <w:szCs w:val="16"/>
        </w:rPr>
        <w:t>.</w:t>
      </w:r>
    </w:p>
  </w:footnote>
  <w:footnote w:id="47">
    <w:p w14:paraId="43F72795" w14:textId="26E2AC4A" w:rsidR="00690508" w:rsidRPr="00690508" w:rsidRDefault="00E95423" w:rsidP="00690508">
      <w:pPr>
        <w:pStyle w:val="FootnoteText"/>
        <w:ind w:left="284" w:hanging="284"/>
        <w:rPr>
          <w:rFonts w:ascii="Arial" w:hAnsi="Arial"/>
          <w:sz w:val="16"/>
          <w:szCs w:val="16"/>
        </w:rPr>
      </w:pPr>
      <w:r w:rsidRPr="00E95423">
        <w:rPr>
          <w:rStyle w:val="FootnoteReference"/>
          <w:rFonts w:ascii="Arial" w:hAnsi="Arial"/>
          <w:sz w:val="16"/>
          <w:szCs w:val="16"/>
        </w:rPr>
        <w:footnoteRef/>
      </w:r>
      <w:r w:rsidRPr="00E95423">
        <w:rPr>
          <w:rFonts w:ascii="Arial" w:hAnsi="Arial"/>
          <w:sz w:val="16"/>
          <w:szCs w:val="16"/>
        </w:rPr>
        <w:t xml:space="preserve"> </w:t>
      </w:r>
      <w:r>
        <w:rPr>
          <w:rFonts w:ascii="Arial" w:hAnsi="Arial"/>
          <w:sz w:val="16"/>
          <w:szCs w:val="16"/>
        </w:rPr>
        <w:tab/>
      </w:r>
      <w:r w:rsidR="009B131E">
        <w:rPr>
          <w:rFonts w:ascii="Arial" w:hAnsi="Arial"/>
          <w:sz w:val="16"/>
          <w:szCs w:val="16"/>
        </w:rPr>
        <w:t>Because of</w:t>
      </w:r>
      <w:r w:rsidR="00690508" w:rsidRPr="00690508">
        <w:rPr>
          <w:rFonts w:ascii="Arial" w:hAnsi="Arial"/>
          <w:sz w:val="16"/>
          <w:szCs w:val="16"/>
        </w:rPr>
        <w:t xml:space="preserve"> the way respondents are selected to answer the child MWQs there were no responses to these questions for around 10% of children in HES 2023-24.  Children with no child item responses are distributed evenly across the ventiles, and the </w:t>
      </w:r>
      <w:r w:rsidR="00690508">
        <w:rPr>
          <w:rFonts w:ascii="Arial" w:hAnsi="Arial"/>
          <w:sz w:val="16"/>
          <w:szCs w:val="16"/>
        </w:rPr>
        <w:t>proportions</w:t>
      </w:r>
      <w:r w:rsidR="00690508" w:rsidRPr="00690508">
        <w:rPr>
          <w:rFonts w:ascii="Arial" w:hAnsi="Arial"/>
          <w:sz w:val="16"/>
          <w:szCs w:val="16"/>
        </w:rPr>
        <w:t xml:space="preserve"> with 4+ and 5+ in Figure D.1 represent these children as a proportion of those who have </w:t>
      </w:r>
      <w:r w:rsidR="00690508">
        <w:rPr>
          <w:rFonts w:ascii="Arial" w:hAnsi="Arial"/>
          <w:sz w:val="16"/>
          <w:szCs w:val="16"/>
        </w:rPr>
        <w:t>c</w:t>
      </w:r>
      <w:r w:rsidR="00690508" w:rsidRPr="00690508">
        <w:rPr>
          <w:rFonts w:ascii="Arial" w:hAnsi="Arial"/>
          <w:sz w:val="16"/>
          <w:szCs w:val="16"/>
        </w:rPr>
        <w:t>hild item responses (36,000 per ventile, rather than 40,000).</w:t>
      </w:r>
    </w:p>
    <w:p w14:paraId="1D22057D" w14:textId="7BB6464F" w:rsidR="00E95423" w:rsidRPr="00E95423" w:rsidRDefault="00E95423" w:rsidP="00E95423">
      <w:pPr>
        <w:pStyle w:val="FootnoteText"/>
        <w:ind w:left="284" w:hanging="284"/>
        <w:rPr>
          <w:rFonts w:ascii="Arial" w:hAnsi="Arial"/>
          <w:sz w:val="16"/>
          <w:szCs w:val="16"/>
        </w:rPr>
      </w:pPr>
    </w:p>
  </w:footnote>
  <w:footnote w:id="48">
    <w:p w14:paraId="0805BB41" w14:textId="77777777" w:rsidR="00402096" w:rsidRPr="00CC41D8" w:rsidRDefault="00402096" w:rsidP="00592883">
      <w:pPr>
        <w:pStyle w:val="FootnoteText"/>
        <w:ind w:left="284" w:hanging="284"/>
        <w:rPr>
          <w:rFonts w:ascii="Arial" w:hAnsi="Arial"/>
          <w:color w:val="0000FF"/>
          <w:sz w:val="16"/>
          <w:szCs w:val="16"/>
        </w:rPr>
      </w:pPr>
      <w:r w:rsidRPr="009D6015">
        <w:rPr>
          <w:rStyle w:val="FootnoteReference"/>
          <w:rFonts w:ascii="Arial" w:hAnsi="Arial"/>
          <w:color w:val="000000" w:themeColor="text1"/>
          <w:sz w:val="16"/>
          <w:szCs w:val="16"/>
        </w:rPr>
        <w:footnoteRef/>
      </w:r>
      <w:r w:rsidRPr="009D6015">
        <w:rPr>
          <w:rFonts w:ascii="Arial" w:hAnsi="Arial"/>
          <w:color w:val="000000" w:themeColor="text1"/>
          <w:sz w:val="16"/>
          <w:szCs w:val="16"/>
        </w:rPr>
        <w:t xml:space="preserve"> </w:t>
      </w:r>
      <w:r w:rsidRPr="009D6015">
        <w:rPr>
          <w:rFonts w:ascii="Arial" w:hAnsi="Arial"/>
          <w:color w:val="000000" w:themeColor="text1"/>
          <w:sz w:val="16"/>
          <w:szCs w:val="16"/>
        </w:rPr>
        <w:tab/>
        <w:t>Cf Notten and de Neubourg (2011).</w:t>
      </w:r>
    </w:p>
  </w:footnote>
  <w:footnote w:id="49">
    <w:p w14:paraId="6B23D3FE" w14:textId="77777777" w:rsidR="00F340AE" w:rsidRPr="004A1FD6" w:rsidRDefault="00F340AE" w:rsidP="00F340AE">
      <w:pPr>
        <w:pStyle w:val="FootnoteText"/>
        <w:spacing w:after="60"/>
        <w:ind w:left="284" w:hanging="284"/>
        <w:rPr>
          <w:rFonts w:ascii="Arial" w:hAnsi="Arial"/>
          <w:sz w:val="16"/>
          <w:szCs w:val="16"/>
        </w:rPr>
      </w:pPr>
      <w:r w:rsidRPr="00407817">
        <w:rPr>
          <w:rStyle w:val="FootnoteReference"/>
          <w:rFonts w:ascii="Arial" w:hAnsi="Arial"/>
          <w:sz w:val="16"/>
          <w:szCs w:val="16"/>
        </w:rPr>
        <w:footnoteRef/>
      </w:r>
      <w:r w:rsidRPr="00407817">
        <w:rPr>
          <w:rFonts w:ascii="Arial" w:hAnsi="Arial"/>
          <w:sz w:val="16"/>
          <w:szCs w:val="16"/>
        </w:rPr>
        <w:t xml:space="preserve"> </w:t>
      </w:r>
      <w:r w:rsidRPr="00407817">
        <w:rPr>
          <w:rFonts w:ascii="Arial" w:hAnsi="Arial"/>
          <w:sz w:val="16"/>
          <w:szCs w:val="16"/>
        </w:rPr>
        <w:tab/>
        <w:t>The risk ratio is a very useful statistic that can be used to succinctly summarise the over- or under-representation of a population subgroup (in this case) in a hardship category, with ratios greater than 1 indicating over-representation</w:t>
      </w:r>
    </w:p>
  </w:footnote>
  <w:footnote w:id="50">
    <w:p w14:paraId="5888B048" w14:textId="5F7D8BB7" w:rsidR="00F340AE" w:rsidRPr="004A1FD6" w:rsidRDefault="00F340AE" w:rsidP="00F340AE">
      <w:pPr>
        <w:pStyle w:val="FootnoteText"/>
        <w:spacing w:after="60"/>
        <w:ind w:left="284" w:hanging="284"/>
        <w:rPr>
          <w:rFonts w:ascii="Arial" w:hAnsi="Arial"/>
          <w:sz w:val="16"/>
          <w:szCs w:val="16"/>
        </w:rPr>
      </w:pPr>
      <w:r w:rsidRPr="004A1FD6">
        <w:rPr>
          <w:rStyle w:val="FootnoteReference"/>
          <w:rFonts w:ascii="Arial" w:hAnsi="Arial"/>
          <w:sz w:val="16"/>
          <w:szCs w:val="16"/>
        </w:rPr>
        <w:footnoteRef/>
      </w:r>
      <w:r w:rsidRPr="004A1FD6">
        <w:rPr>
          <w:rFonts w:ascii="Arial" w:hAnsi="Arial"/>
          <w:sz w:val="16"/>
          <w:szCs w:val="16"/>
        </w:rPr>
        <w:t xml:space="preserve"> </w:t>
      </w:r>
      <w:r w:rsidRPr="004A1FD6">
        <w:rPr>
          <w:rFonts w:ascii="Arial" w:hAnsi="Arial"/>
          <w:sz w:val="16"/>
          <w:szCs w:val="16"/>
        </w:rPr>
        <w:tab/>
        <w:t xml:space="preserve">To state the obvious, one of the main reasons for the difference in hardship rates for these two household types is that there is much less potential for paid employment hours in sole parent households compared with two parent (and other multi-adult) households with children. This </w:t>
      </w:r>
      <w:r w:rsidR="00E17F30">
        <w:rPr>
          <w:rFonts w:ascii="Arial" w:hAnsi="Arial"/>
          <w:sz w:val="16"/>
          <w:szCs w:val="16"/>
        </w:rPr>
        <w:t>needs to be</w:t>
      </w:r>
      <w:r w:rsidRPr="004A1FD6">
        <w:rPr>
          <w:rFonts w:ascii="Arial" w:hAnsi="Arial"/>
          <w:sz w:val="16"/>
          <w:szCs w:val="16"/>
        </w:rPr>
        <w:t xml:space="preserve"> part of the conversation about the difference.</w:t>
      </w:r>
    </w:p>
  </w:footnote>
  <w:footnote w:id="51">
    <w:p w14:paraId="337C983F" w14:textId="77777777" w:rsidR="00B25121" w:rsidRPr="00DC1035" w:rsidRDefault="00B25121" w:rsidP="00BF5657">
      <w:pPr>
        <w:pStyle w:val="FootnoteText"/>
        <w:spacing w:after="20"/>
        <w:ind w:left="284" w:hanging="284"/>
        <w:rPr>
          <w:rFonts w:ascii="Arial" w:hAnsi="Arial"/>
          <w:color w:val="000000" w:themeColor="text1"/>
          <w:sz w:val="16"/>
          <w:szCs w:val="16"/>
        </w:rPr>
      </w:pPr>
      <w:r w:rsidRPr="00DC1035">
        <w:rPr>
          <w:rStyle w:val="FootnoteReference"/>
          <w:rFonts w:ascii="Arial" w:hAnsi="Arial"/>
          <w:color w:val="000000" w:themeColor="text1"/>
          <w:sz w:val="16"/>
          <w:szCs w:val="16"/>
        </w:rPr>
        <w:footnoteRef/>
      </w:r>
      <w:r w:rsidRPr="00DC1035">
        <w:rPr>
          <w:rFonts w:ascii="Arial" w:hAnsi="Arial"/>
          <w:color w:val="000000" w:themeColor="text1"/>
          <w:sz w:val="16"/>
          <w:szCs w:val="16"/>
        </w:rPr>
        <w:t xml:space="preserve"> </w:t>
      </w:r>
      <w:r w:rsidRPr="00DC1035">
        <w:rPr>
          <w:rFonts w:ascii="Arial" w:hAnsi="Arial"/>
          <w:color w:val="000000" w:themeColor="text1"/>
          <w:sz w:val="16"/>
          <w:szCs w:val="16"/>
        </w:rPr>
        <w:tab/>
        <w:t xml:space="preserve">A third way is the single/combination classification which counts people in mutually exclusive categories. People are counted just once in the relevant single or combination group. </w:t>
      </w:r>
    </w:p>
  </w:footnote>
  <w:footnote w:id="52">
    <w:p w14:paraId="4DE97397" w14:textId="77777777" w:rsidR="00B25121" w:rsidRPr="008625C1" w:rsidRDefault="00B25121" w:rsidP="00B25121">
      <w:pPr>
        <w:pStyle w:val="FootnoteText"/>
        <w:ind w:left="284" w:hanging="284"/>
        <w:rPr>
          <w:color w:val="0000FF"/>
        </w:rPr>
      </w:pPr>
      <w:r w:rsidRPr="00DC1035">
        <w:rPr>
          <w:rStyle w:val="FootnoteReference"/>
          <w:rFonts w:ascii="Arial" w:hAnsi="Arial"/>
          <w:color w:val="000000" w:themeColor="text1"/>
          <w:sz w:val="16"/>
          <w:szCs w:val="16"/>
        </w:rPr>
        <w:footnoteRef/>
      </w:r>
      <w:r w:rsidRPr="00DC1035">
        <w:rPr>
          <w:rFonts w:ascii="Arial" w:hAnsi="Arial"/>
          <w:color w:val="000000" w:themeColor="text1"/>
          <w:sz w:val="16"/>
          <w:szCs w:val="16"/>
        </w:rPr>
        <w:t xml:space="preserve"> </w:t>
      </w:r>
      <w:r w:rsidRPr="00DC1035">
        <w:rPr>
          <w:rFonts w:ascii="Arial" w:hAnsi="Arial"/>
          <w:color w:val="000000" w:themeColor="text1"/>
          <w:sz w:val="16"/>
          <w:szCs w:val="16"/>
        </w:rPr>
        <w:tab/>
        <w:t>The application of the ‘total ethnicity’ approach in this report is a little different from the way Stats NZ implement it, but the relativities reported are the same.</w:t>
      </w:r>
    </w:p>
  </w:footnote>
  <w:footnote w:id="53">
    <w:p w14:paraId="5967FF3D" w14:textId="77777777" w:rsidR="00770BD1" w:rsidRPr="00CB74D4" w:rsidRDefault="00770BD1" w:rsidP="00770BD1">
      <w:pPr>
        <w:pStyle w:val="ListParagraph"/>
        <w:spacing w:after="0" w:line="240" w:lineRule="auto"/>
        <w:ind w:left="284" w:hanging="284"/>
        <w:contextualSpacing w:val="0"/>
        <w:rPr>
          <w:rFonts w:ascii="Arial" w:hAnsi="Arial"/>
          <w:sz w:val="16"/>
          <w:szCs w:val="16"/>
        </w:rPr>
      </w:pPr>
      <w:r w:rsidRPr="00CB74D4">
        <w:rPr>
          <w:rStyle w:val="FootnoteReference"/>
          <w:rFonts w:ascii="Arial" w:hAnsi="Arial"/>
          <w:sz w:val="16"/>
          <w:szCs w:val="16"/>
        </w:rPr>
        <w:footnoteRef/>
      </w:r>
      <w:r w:rsidRPr="00CB74D4">
        <w:rPr>
          <w:rFonts w:ascii="Arial" w:hAnsi="Arial"/>
          <w:sz w:val="16"/>
          <w:szCs w:val="16"/>
        </w:rPr>
        <w:t xml:space="preserve"> </w:t>
      </w:r>
      <w:r w:rsidRPr="00CB74D4">
        <w:rPr>
          <w:rFonts w:ascii="Arial" w:hAnsi="Arial"/>
          <w:sz w:val="16"/>
          <w:szCs w:val="16"/>
        </w:rPr>
        <w:tab/>
      </w:r>
      <w:r w:rsidRPr="00CB74D4">
        <w:rPr>
          <w:rFonts w:ascii="Arial" w:eastAsia="Times New Roman" w:hAnsi="Arial"/>
          <w:color w:val="000000" w:themeColor="text1"/>
          <w:sz w:val="16"/>
          <w:szCs w:val="16"/>
          <w:lang w:eastAsia="en-NZ"/>
        </w:rPr>
        <w:t xml:space="preserve">Liquid assets </w:t>
      </w:r>
      <w:r w:rsidRPr="00CB74D4">
        <w:rPr>
          <w:rFonts w:ascii="Arial" w:eastAsia="Times New Roman" w:hAnsi="Arial"/>
          <w:color w:val="000000"/>
          <w:sz w:val="16"/>
          <w:szCs w:val="16"/>
        </w:rPr>
        <w:t xml:space="preserve">in brief are savings and accessible investments. </w:t>
      </w:r>
      <w:r w:rsidRPr="00CB74D4">
        <w:rPr>
          <w:rFonts w:ascii="Arial" w:eastAsia="Times New Roman" w:hAnsi="Arial"/>
          <w:color w:val="000000" w:themeColor="text1"/>
          <w:sz w:val="16"/>
          <w:szCs w:val="16"/>
          <w:lang w:eastAsia="en-NZ"/>
        </w:rPr>
        <w:t>More fully, for the HES, they are the total across the following asset classes: foreign and NZ currency greater than $1000, bank deposits, bonds and other debt, managed funds and other investment funds, shares in listed corporations, other non-pension financial assets.</w:t>
      </w:r>
      <w:r w:rsidRPr="00CB74D4">
        <w:rPr>
          <w:rFonts w:ascii="Arial" w:eastAsia="Times New Roman" w:hAnsi="Arial"/>
          <w:color w:val="000000"/>
          <w:sz w:val="16"/>
          <w:szCs w:val="16"/>
        </w:rPr>
        <w:t xml:space="preserve"> </w:t>
      </w:r>
    </w:p>
    <w:p w14:paraId="05B7B3BC" w14:textId="77777777" w:rsidR="00770BD1" w:rsidRPr="00CB74D4" w:rsidRDefault="00770BD1" w:rsidP="00770BD1">
      <w:pPr>
        <w:pStyle w:val="FootnoteText"/>
        <w:rPr>
          <w:rFonts w:ascii="Arial" w:hAnsi="Arial"/>
          <w:sz w:val="16"/>
          <w:szCs w:val="16"/>
        </w:rPr>
      </w:pPr>
    </w:p>
  </w:footnote>
  <w:footnote w:id="54">
    <w:p w14:paraId="6AB4A460" w14:textId="77777777" w:rsidR="00674A3D" w:rsidRPr="00C45D9E" w:rsidRDefault="00674A3D" w:rsidP="00C45D9E">
      <w:pPr>
        <w:spacing w:after="40" w:line="240" w:lineRule="auto"/>
        <w:ind w:left="284" w:hanging="284"/>
        <w:rPr>
          <w:rFonts w:ascii="Arial" w:hAnsi="Arial"/>
          <w:sz w:val="16"/>
          <w:szCs w:val="16"/>
        </w:rPr>
      </w:pPr>
      <w:r w:rsidRPr="00C45D9E">
        <w:rPr>
          <w:rStyle w:val="FootnoteReference"/>
          <w:rFonts w:ascii="Arial" w:hAnsi="Arial"/>
          <w:sz w:val="16"/>
          <w:szCs w:val="16"/>
        </w:rPr>
        <w:footnoteRef/>
      </w:r>
      <w:r w:rsidRPr="00C45D9E">
        <w:rPr>
          <w:rFonts w:ascii="Arial" w:hAnsi="Arial"/>
          <w:sz w:val="16"/>
          <w:szCs w:val="16"/>
        </w:rPr>
        <w:t xml:space="preserve"> </w:t>
      </w:r>
      <w:r w:rsidRPr="00C45D9E">
        <w:rPr>
          <w:rFonts w:ascii="Arial" w:hAnsi="Arial"/>
          <w:sz w:val="16"/>
          <w:szCs w:val="16"/>
        </w:rPr>
        <w:tab/>
      </w:r>
      <w:r w:rsidRPr="00C45D9E">
        <w:rPr>
          <w:rFonts w:ascii="Arial" w:hAnsi="Arial"/>
          <w:bCs/>
          <w:color w:val="000000" w:themeColor="text1"/>
          <w:sz w:val="16"/>
          <w:szCs w:val="16"/>
        </w:rPr>
        <w:t>Differences</w:t>
      </w:r>
      <w:r w:rsidRPr="00C45D9E">
        <w:rPr>
          <w:rFonts w:ascii="Arial" w:eastAsia="Times New Roman" w:hAnsi="Arial"/>
          <w:color w:val="000000"/>
          <w:sz w:val="16"/>
          <w:szCs w:val="16"/>
          <w:lang w:eastAsia="en-NZ"/>
        </w:rPr>
        <w:t xml:space="preserve"> in the way disabled people are defined means that these figures are not comparable with disability rates from the 2013 Disability Survey (nor with the previous HES series).</w:t>
      </w:r>
    </w:p>
  </w:footnote>
  <w:footnote w:id="55">
    <w:p w14:paraId="52F1AF7A" w14:textId="0AC9559F" w:rsidR="00D32B94" w:rsidRPr="00950719" w:rsidRDefault="00D32B94" w:rsidP="00D32B94">
      <w:pPr>
        <w:pStyle w:val="FootnoteText"/>
        <w:spacing w:after="40"/>
        <w:ind w:left="284" w:hanging="284"/>
        <w:rPr>
          <w:rFonts w:ascii="Arial" w:hAnsi="Arial"/>
          <w:sz w:val="16"/>
          <w:szCs w:val="16"/>
        </w:rPr>
      </w:pPr>
      <w:r w:rsidRPr="00950719">
        <w:rPr>
          <w:rStyle w:val="FootnoteReference"/>
          <w:rFonts w:ascii="Arial" w:hAnsi="Arial"/>
          <w:sz w:val="16"/>
          <w:szCs w:val="16"/>
        </w:rPr>
        <w:footnoteRef/>
      </w:r>
      <w:r w:rsidRPr="00950719">
        <w:rPr>
          <w:rFonts w:ascii="Arial" w:hAnsi="Arial"/>
          <w:sz w:val="16"/>
          <w:szCs w:val="16"/>
        </w:rPr>
        <w:t xml:space="preserve"> </w:t>
      </w:r>
      <w:r>
        <w:rPr>
          <w:rFonts w:ascii="Arial" w:hAnsi="Arial"/>
          <w:sz w:val="16"/>
          <w:szCs w:val="16"/>
        </w:rPr>
        <w:tab/>
      </w:r>
      <w:r w:rsidRPr="003825A2">
        <w:rPr>
          <w:rFonts w:ascii="Arial" w:hAnsi="Arial"/>
          <w:sz w:val="16"/>
          <w:szCs w:val="16"/>
        </w:rPr>
        <w:t xml:space="preserve">The MWI ranks households across the full MWB spectrum from low to high. See </w:t>
      </w:r>
      <w:r w:rsidR="0095390F">
        <w:rPr>
          <w:rFonts w:ascii="Arial" w:hAnsi="Arial"/>
          <w:b/>
          <w:bCs/>
          <w:sz w:val="16"/>
          <w:szCs w:val="16"/>
        </w:rPr>
        <w:t xml:space="preserve">Section A and Appendix 3 </w:t>
      </w:r>
      <w:r w:rsidR="0095390F" w:rsidRPr="0095390F">
        <w:rPr>
          <w:rFonts w:ascii="Arial" w:hAnsi="Arial"/>
          <w:sz w:val="16"/>
          <w:szCs w:val="16"/>
        </w:rPr>
        <w:t>in this report, and</w:t>
      </w:r>
      <w:r w:rsidR="0095390F">
        <w:rPr>
          <w:rFonts w:ascii="Arial" w:hAnsi="Arial"/>
          <w:b/>
          <w:bCs/>
          <w:sz w:val="16"/>
          <w:szCs w:val="16"/>
        </w:rPr>
        <w:t xml:space="preserve"> MSD’s 02/26 Working Paper </w:t>
      </w:r>
      <w:r w:rsidR="0095390F" w:rsidRPr="0095390F">
        <w:rPr>
          <w:rFonts w:ascii="Arial" w:hAnsi="Arial"/>
          <w:sz w:val="16"/>
          <w:szCs w:val="16"/>
        </w:rPr>
        <w:t>at</w:t>
      </w:r>
      <w:r w:rsidR="0095390F" w:rsidRPr="0095390F">
        <w:t xml:space="preserve"> </w:t>
      </w:r>
      <w:hyperlink r:id="rId17" w:history="1">
        <w:r w:rsidR="0095390F" w:rsidRPr="00AB506C">
          <w:rPr>
            <w:rStyle w:val="Hyperlink"/>
            <w:rFonts w:ascii="Arial" w:hAnsi="Arial"/>
            <w:sz w:val="16"/>
            <w:szCs w:val="16"/>
          </w:rPr>
          <w:t>https://www.msd.govt.nz/about-msd-and-our-work/publications-resources/working-papers/index.html#</w:t>
        </w:r>
      </w:hyperlink>
      <w:r w:rsidR="0095390F">
        <w:rPr>
          <w:rFonts w:ascii="Arial" w:hAnsi="Arial"/>
          <w:sz w:val="16"/>
          <w:szCs w:val="16"/>
        </w:rPr>
        <w:t xml:space="preserve"> </w:t>
      </w:r>
      <w:r w:rsidR="0095390F" w:rsidRPr="003825A2">
        <w:rPr>
          <w:rFonts w:ascii="Arial" w:hAnsi="Arial"/>
          <w:sz w:val="16"/>
          <w:szCs w:val="16"/>
        </w:rPr>
        <w:t>for information on the MWI</w:t>
      </w:r>
      <w:r w:rsidR="0095390F">
        <w:rPr>
          <w:rFonts w:ascii="Arial" w:hAnsi="Arial"/>
          <w:sz w:val="16"/>
          <w:szCs w:val="16"/>
        </w:rPr>
        <w:t>.</w:t>
      </w:r>
    </w:p>
  </w:footnote>
  <w:footnote w:id="56">
    <w:p w14:paraId="3E9E835D" w14:textId="1CCC0982" w:rsidR="009B7BA9" w:rsidRPr="00232D78" w:rsidRDefault="009B7BA9" w:rsidP="009B7BA9">
      <w:pPr>
        <w:pStyle w:val="FootnoteText"/>
        <w:spacing w:after="40"/>
        <w:ind w:left="284" w:hanging="284"/>
        <w:rPr>
          <w:rFonts w:ascii="Arial" w:hAnsi="Arial"/>
          <w:sz w:val="16"/>
          <w:szCs w:val="16"/>
        </w:rPr>
      </w:pPr>
      <w:r w:rsidRPr="00232D78">
        <w:rPr>
          <w:rStyle w:val="FootnoteReference"/>
          <w:rFonts w:ascii="Arial" w:hAnsi="Arial"/>
          <w:sz w:val="16"/>
          <w:szCs w:val="16"/>
        </w:rPr>
        <w:footnoteRef/>
      </w:r>
      <w:r w:rsidRPr="00232D78">
        <w:rPr>
          <w:rFonts w:ascii="Arial" w:hAnsi="Arial"/>
          <w:sz w:val="16"/>
          <w:szCs w:val="16"/>
        </w:rPr>
        <w:t xml:space="preserve"> </w:t>
      </w:r>
      <w:r>
        <w:rPr>
          <w:rFonts w:ascii="Arial" w:hAnsi="Arial"/>
          <w:sz w:val="16"/>
          <w:szCs w:val="16"/>
        </w:rPr>
        <w:tab/>
        <w:t xml:space="preserve">Sampling errors are not mistakes. They are an inevitable consequence of using a sample rather than interviewing </w:t>
      </w:r>
      <w:r w:rsidR="001616C1">
        <w:rPr>
          <w:rFonts w:ascii="Arial" w:hAnsi="Arial"/>
          <w:sz w:val="16"/>
          <w:szCs w:val="16"/>
        </w:rPr>
        <w:t xml:space="preserve">/ gathering information on </w:t>
      </w:r>
      <w:r>
        <w:rPr>
          <w:rFonts w:ascii="Arial" w:hAnsi="Arial"/>
          <w:sz w:val="16"/>
          <w:szCs w:val="16"/>
        </w:rPr>
        <w:t>the whole population.</w:t>
      </w:r>
    </w:p>
  </w:footnote>
  <w:footnote w:id="57">
    <w:p w14:paraId="62225622" w14:textId="77777777" w:rsidR="009B7BA9" w:rsidRPr="00096F95" w:rsidRDefault="009B7BA9" w:rsidP="009B7BA9">
      <w:pPr>
        <w:pStyle w:val="FootnoteText"/>
        <w:spacing w:after="40"/>
        <w:ind w:left="284" w:hanging="284"/>
        <w:rPr>
          <w:rFonts w:ascii="Arial" w:hAnsi="Arial"/>
          <w:sz w:val="16"/>
          <w:szCs w:val="16"/>
        </w:rPr>
      </w:pPr>
      <w:r w:rsidRPr="00096F95">
        <w:rPr>
          <w:rStyle w:val="FootnoteReference"/>
          <w:rFonts w:ascii="Arial" w:hAnsi="Arial"/>
          <w:sz w:val="16"/>
          <w:szCs w:val="16"/>
        </w:rPr>
        <w:footnoteRef/>
      </w:r>
      <w:r w:rsidRPr="00096F95">
        <w:rPr>
          <w:rFonts w:ascii="Arial" w:hAnsi="Arial"/>
          <w:sz w:val="16"/>
          <w:szCs w:val="16"/>
        </w:rPr>
        <w:t xml:space="preserve"> </w:t>
      </w:r>
      <w:r>
        <w:rPr>
          <w:rFonts w:ascii="Arial" w:hAnsi="Arial"/>
          <w:sz w:val="16"/>
          <w:szCs w:val="16"/>
        </w:rPr>
        <w:tab/>
      </w:r>
      <w:r w:rsidRPr="00096F95">
        <w:rPr>
          <w:rFonts w:ascii="Arial" w:hAnsi="Arial"/>
          <w:sz w:val="16"/>
          <w:szCs w:val="16"/>
        </w:rPr>
        <w:t>The sampling error on the change is derived from the sampling errors on the two years in question.</w:t>
      </w:r>
    </w:p>
  </w:footnote>
  <w:footnote w:id="58">
    <w:p w14:paraId="5A4F3DE7" w14:textId="463EC272" w:rsidR="009B7BA9" w:rsidRPr="00DF7594" w:rsidRDefault="009B7BA9" w:rsidP="009B7BA9">
      <w:pPr>
        <w:spacing w:after="0" w:line="240" w:lineRule="auto"/>
        <w:ind w:left="284" w:hanging="284"/>
        <w:rPr>
          <w:rFonts w:ascii="Arial" w:hAnsi="Arial"/>
          <w:color w:val="000000" w:themeColor="text1"/>
          <w:sz w:val="16"/>
          <w:szCs w:val="16"/>
        </w:rPr>
      </w:pPr>
      <w:r w:rsidRPr="00DF7594">
        <w:rPr>
          <w:rStyle w:val="FootnoteReference"/>
          <w:rFonts w:ascii="Arial" w:hAnsi="Arial"/>
          <w:sz w:val="16"/>
          <w:szCs w:val="16"/>
        </w:rPr>
        <w:footnoteRef/>
      </w:r>
      <w:r w:rsidRPr="00DF7594">
        <w:rPr>
          <w:rFonts w:ascii="Arial" w:hAnsi="Arial"/>
          <w:sz w:val="16"/>
          <w:szCs w:val="16"/>
        </w:rPr>
        <w:t xml:space="preserve"> </w:t>
      </w:r>
      <w:r>
        <w:rPr>
          <w:rFonts w:ascii="Arial" w:hAnsi="Arial"/>
          <w:sz w:val="16"/>
          <w:szCs w:val="16"/>
        </w:rPr>
        <w:tab/>
      </w:r>
      <w:r w:rsidRPr="00CD1B6A">
        <w:rPr>
          <w:rFonts w:ascii="Arial" w:hAnsi="Arial"/>
          <w:b/>
          <w:bCs/>
          <w:color w:val="000000" w:themeColor="text1"/>
          <w:sz w:val="16"/>
          <w:szCs w:val="16"/>
        </w:rPr>
        <w:t xml:space="preserve">Appendix </w:t>
      </w:r>
      <w:r w:rsidR="00CD1B6A" w:rsidRPr="00CD1B6A">
        <w:rPr>
          <w:rFonts w:ascii="Arial" w:hAnsi="Arial"/>
          <w:b/>
          <w:bCs/>
          <w:color w:val="000000" w:themeColor="text1"/>
          <w:sz w:val="16"/>
          <w:szCs w:val="16"/>
        </w:rPr>
        <w:t>2</w:t>
      </w:r>
      <w:r w:rsidRPr="00CD1B6A">
        <w:rPr>
          <w:rFonts w:ascii="Arial" w:hAnsi="Arial"/>
          <w:color w:val="000000" w:themeColor="text1"/>
          <w:sz w:val="16"/>
          <w:szCs w:val="16"/>
        </w:rPr>
        <w:t xml:space="preserve"> shows</w:t>
      </w:r>
      <w:r w:rsidRPr="00DF7594">
        <w:rPr>
          <w:rFonts w:ascii="Arial" w:hAnsi="Arial"/>
          <w:color w:val="000000" w:themeColor="text1"/>
          <w:sz w:val="16"/>
          <w:szCs w:val="16"/>
        </w:rPr>
        <w:t xml:space="preserve"> the </w:t>
      </w:r>
      <w:r>
        <w:rPr>
          <w:rFonts w:ascii="Arial" w:hAnsi="Arial"/>
          <w:color w:val="000000" w:themeColor="text1"/>
          <w:sz w:val="16"/>
          <w:szCs w:val="16"/>
        </w:rPr>
        <w:t xml:space="preserve">longer </w:t>
      </w:r>
      <w:r w:rsidRPr="00DF7594">
        <w:rPr>
          <w:rFonts w:ascii="Arial" w:hAnsi="Arial"/>
          <w:color w:val="000000" w:themeColor="text1"/>
          <w:sz w:val="16"/>
          <w:szCs w:val="16"/>
        </w:rPr>
        <w:t>trend with error bars</w:t>
      </w:r>
      <w:r>
        <w:rPr>
          <w:rFonts w:ascii="Arial" w:hAnsi="Arial"/>
          <w:color w:val="000000" w:themeColor="text1"/>
          <w:sz w:val="16"/>
          <w:szCs w:val="16"/>
        </w:rPr>
        <w:t>.</w:t>
      </w:r>
      <w:r w:rsidRPr="00DF7594">
        <w:rPr>
          <w:rFonts w:ascii="Arial" w:hAnsi="Arial"/>
          <w:color w:val="000000" w:themeColor="text1"/>
          <w:sz w:val="16"/>
          <w:szCs w:val="16"/>
        </w:rPr>
        <w:t xml:space="preserve"> Stats NZ publishes detailed tables </w:t>
      </w:r>
      <w:r>
        <w:rPr>
          <w:rFonts w:ascii="Arial" w:hAnsi="Arial"/>
          <w:color w:val="000000" w:themeColor="text1"/>
          <w:sz w:val="16"/>
          <w:szCs w:val="16"/>
        </w:rPr>
        <w:t>that include</w:t>
      </w:r>
      <w:r w:rsidRPr="00DF7594">
        <w:rPr>
          <w:rFonts w:ascii="Arial" w:hAnsi="Arial"/>
          <w:color w:val="000000" w:themeColor="text1"/>
          <w:sz w:val="16"/>
          <w:szCs w:val="16"/>
        </w:rPr>
        <w:t xml:space="preserve"> </w:t>
      </w:r>
      <w:r>
        <w:rPr>
          <w:rFonts w:ascii="Arial" w:hAnsi="Arial"/>
          <w:color w:val="000000" w:themeColor="text1"/>
          <w:sz w:val="16"/>
          <w:szCs w:val="16"/>
        </w:rPr>
        <w:t>sampling errors on the changes</w:t>
      </w:r>
      <w:r w:rsidRPr="00DF7594">
        <w:rPr>
          <w:rFonts w:ascii="Arial" w:hAnsi="Arial"/>
          <w:color w:val="000000" w:themeColor="text1"/>
          <w:sz w:val="16"/>
          <w:szCs w:val="16"/>
        </w:rPr>
        <w:t xml:space="preserve"> – see</w:t>
      </w:r>
      <w:r>
        <w:rPr>
          <w:rFonts w:ascii="Arial" w:hAnsi="Arial"/>
          <w:color w:val="000000" w:themeColor="text1"/>
          <w:sz w:val="16"/>
          <w:szCs w:val="16"/>
        </w:rPr>
        <w:t>, for example,</w:t>
      </w:r>
      <w:r w:rsidRPr="00DF7594">
        <w:rPr>
          <w:rFonts w:ascii="Arial" w:hAnsi="Arial"/>
          <w:color w:val="000000" w:themeColor="text1"/>
          <w:sz w:val="16"/>
          <w:szCs w:val="16"/>
        </w:rPr>
        <w:t xml:space="preserve"> Table 3.01 in the 202</w:t>
      </w:r>
      <w:r>
        <w:rPr>
          <w:rFonts w:ascii="Arial" w:hAnsi="Arial"/>
          <w:color w:val="000000" w:themeColor="text1"/>
          <w:sz w:val="16"/>
          <w:szCs w:val="16"/>
        </w:rPr>
        <w:t>6</w:t>
      </w:r>
      <w:r w:rsidRPr="00DF7594">
        <w:rPr>
          <w:rFonts w:ascii="Arial" w:hAnsi="Arial"/>
          <w:color w:val="000000" w:themeColor="text1"/>
          <w:sz w:val="16"/>
          <w:szCs w:val="16"/>
        </w:rPr>
        <w:t xml:space="preserve"> release, available at: </w:t>
      </w:r>
    </w:p>
    <w:p w14:paraId="2D06A1CF" w14:textId="77777777" w:rsidR="009B7BA9" w:rsidRPr="00DF7594" w:rsidRDefault="009B7BA9" w:rsidP="009B7BA9">
      <w:pPr>
        <w:spacing w:after="0" w:line="240" w:lineRule="auto"/>
        <w:ind w:left="284"/>
        <w:rPr>
          <w:rFonts w:ascii="Arial" w:hAnsi="Arial"/>
          <w:color w:val="000000" w:themeColor="text1"/>
          <w:sz w:val="16"/>
          <w:szCs w:val="16"/>
        </w:rPr>
      </w:pPr>
      <w:hyperlink r:id="rId18" w:history="1">
        <w:r w:rsidRPr="00536C83">
          <w:rPr>
            <w:rStyle w:val="Hyperlink"/>
            <w:rFonts w:ascii="Arial" w:hAnsi="Arial"/>
            <w:sz w:val="16"/>
            <w:szCs w:val="16"/>
          </w:rPr>
          <w:t>https://www.stats.govt.nz/information-releases/child-poverty-statistics-year-ended-june-2025/</w:t>
        </w:r>
      </w:hyperlink>
      <w:r w:rsidRPr="00DF7594">
        <w:rPr>
          <w:rFonts w:ascii="Arial" w:hAnsi="Arial"/>
          <w:color w:val="000000" w:themeColor="text1"/>
          <w:sz w:val="16"/>
          <w:szCs w:val="16"/>
        </w:rPr>
        <w:t xml:space="preserve"> </w:t>
      </w:r>
    </w:p>
    <w:p w14:paraId="727A4256" w14:textId="77777777" w:rsidR="009B7BA9" w:rsidRDefault="009B7BA9" w:rsidP="009B7BA9">
      <w:pPr>
        <w:pStyle w:val="FootnoteText"/>
      </w:pPr>
    </w:p>
  </w:footnote>
  <w:footnote w:id="59">
    <w:p w14:paraId="05BBA5AB" w14:textId="6E339BA8" w:rsidR="00BE548B" w:rsidRPr="00474C66" w:rsidRDefault="00BE548B" w:rsidP="00711943">
      <w:pPr>
        <w:pStyle w:val="FootnoteText"/>
        <w:spacing w:after="20"/>
        <w:ind w:left="284" w:hanging="284"/>
        <w:rPr>
          <w:rFonts w:ascii="Arial" w:hAnsi="Arial"/>
          <w:sz w:val="16"/>
          <w:szCs w:val="16"/>
        </w:rPr>
      </w:pPr>
      <w:r w:rsidRPr="00474C66">
        <w:rPr>
          <w:rStyle w:val="FootnoteReference"/>
          <w:rFonts w:ascii="Arial" w:hAnsi="Arial"/>
          <w:sz w:val="16"/>
          <w:szCs w:val="16"/>
        </w:rPr>
        <w:footnoteRef/>
      </w:r>
      <w:r w:rsidRPr="00474C66">
        <w:rPr>
          <w:rFonts w:ascii="Arial" w:hAnsi="Arial"/>
          <w:sz w:val="16"/>
          <w:szCs w:val="16"/>
        </w:rPr>
        <w:t xml:space="preserve"> </w:t>
      </w:r>
      <w:r w:rsidR="00711943">
        <w:rPr>
          <w:rFonts w:ascii="Arial" w:hAnsi="Arial"/>
          <w:sz w:val="16"/>
          <w:szCs w:val="16"/>
        </w:rPr>
        <w:tab/>
      </w:r>
      <w:r w:rsidRPr="00474C66">
        <w:rPr>
          <w:rFonts w:ascii="Arial" w:hAnsi="Arial"/>
          <w:sz w:val="16"/>
          <w:szCs w:val="16"/>
        </w:rPr>
        <w:t>That is, from HES 2017-18 to HILS 2024-25.</w:t>
      </w:r>
    </w:p>
  </w:footnote>
  <w:footnote w:id="60">
    <w:p w14:paraId="0ACF4846" w14:textId="4CE77A49" w:rsidR="00BE548B" w:rsidRPr="00474C66" w:rsidRDefault="00BE548B" w:rsidP="00711943">
      <w:pPr>
        <w:pStyle w:val="FootnoteText"/>
        <w:ind w:left="284" w:hanging="284"/>
        <w:rPr>
          <w:rFonts w:ascii="Arial" w:hAnsi="Arial"/>
          <w:sz w:val="16"/>
          <w:szCs w:val="16"/>
        </w:rPr>
      </w:pPr>
      <w:r w:rsidRPr="00474C66">
        <w:rPr>
          <w:rStyle w:val="FootnoteReference"/>
          <w:rFonts w:ascii="Arial" w:hAnsi="Arial"/>
          <w:sz w:val="16"/>
          <w:szCs w:val="16"/>
        </w:rPr>
        <w:footnoteRef/>
      </w:r>
      <w:r w:rsidRPr="00474C66">
        <w:rPr>
          <w:rFonts w:ascii="Arial" w:hAnsi="Arial"/>
          <w:sz w:val="16"/>
          <w:szCs w:val="16"/>
        </w:rPr>
        <w:t xml:space="preserve"> </w:t>
      </w:r>
      <w:r w:rsidR="00711943">
        <w:rPr>
          <w:rFonts w:ascii="Arial" w:hAnsi="Arial"/>
          <w:sz w:val="16"/>
          <w:szCs w:val="16"/>
        </w:rPr>
        <w:tab/>
      </w:r>
      <w:r w:rsidRPr="00474C66">
        <w:rPr>
          <w:rFonts w:ascii="Arial" w:hAnsi="Arial"/>
          <w:sz w:val="16"/>
          <w:szCs w:val="16"/>
        </w:rPr>
        <w:t xml:space="preserve">The 2.0 ppt change from 2022 to 2023 </w:t>
      </w:r>
      <w:r>
        <w:rPr>
          <w:rFonts w:ascii="Arial" w:hAnsi="Arial"/>
          <w:sz w:val="16"/>
          <w:szCs w:val="16"/>
        </w:rPr>
        <w:t xml:space="preserve">is / looks quite strong compared with the other annual changes, but it </w:t>
      </w:r>
      <w:r w:rsidRPr="00474C66">
        <w:rPr>
          <w:rFonts w:ascii="Arial" w:hAnsi="Arial"/>
          <w:sz w:val="16"/>
          <w:szCs w:val="16"/>
        </w:rPr>
        <w:t xml:space="preserve">is only just statistically significant, with the sampling error on the change </w:t>
      </w:r>
      <w:r>
        <w:rPr>
          <w:rFonts w:ascii="Arial" w:hAnsi="Arial"/>
          <w:sz w:val="16"/>
          <w:szCs w:val="16"/>
        </w:rPr>
        <w:t xml:space="preserve">also </w:t>
      </w:r>
      <w:r w:rsidRPr="00474C66">
        <w:rPr>
          <w:rFonts w:ascii="Arial" w:hAnsi="Arial"/>
          <w:sz w:val="16"/>
          <w:szCs w:val="16"/>
        </w:rPr>
        <w:t>being 2.0 ppt</w:t>
      </w:r>
      <w:r>
        <w:rPr>
          <w:rFonts w:ascii="Arial" w:hAnsi="Arial"/>
          <w:sz w:val="16"/>
          <w:szCs w:val="16"/>
        </w:rPr>
        <w:t>.</w:t>
      </w:r>
    </w:p>
  </w:footnote>
  <w:footnote w:id="61">
    <w:p w14:paraId="574FC9AA" w14:textId="7DBBCD63" w:rsidR="009B7BA9" w:rsidRPr="00087201" w:rsidRDefault="009B7BA9" w:rsidP="00A142FE">
      <w:pPr>
        <w:pStyle w:val="FootnoteText"/>
        <w:spacing w:after="20"/>
        <w:ind w:left="284" w:hanging="284"/>
        <w:rPr>
          <w:rFonts w:ascii="Arial" w:hAnsi="Arial"/>
          <w:sz w:val="16"/>
          <w:szCs w:val="16"/>
        </w:rPr>
      </w:pPr>
      <w:r w:rsidRPr="00087201">
        <w:rPr>
          <w:rStyle w:val="FootnoteReference"/>
          <w:rFonts w:ascii="Arial" w:hAnsi="Arial"/>
          <w:sz w:val="16"/>
          <w:szCs w:val="16"/>
        </w:rPr>
        <w:footnoteRef/>
      </w:r>
      <w:r w:rsidRPr="00087201">
        <w:rPr>
          <w:rFonts w:ascii="Arial" w:hAnsi="Arial"/>
          <w:sz w:val="16"/>
          <w:szCs w:val="16"/>
        </w:rPr>
        <w:t xml:space="preserve"> </w:t>
      </w:r>
      <w:r>
        <w:rPr>
          <w:rFonts w:ascii="Arial" w:hAnsi="Arial"/>
          <w:sz w:val="16"/>
          <w:szCs w:val="16"/>
        </w:rPr>
        <w:tab/>
      </w:r>
      <w:r w:rsidRPr="00711943">
        <w:rPr>
          <w:rFonts w:ascii="Arial" w:hAnsi="Arial"/>
          <w:sz w:val="16"/>
          <w:szCs w:val="16"/>
        </w:rPr>
        <w:t xml:space="preserve">See </w:t>
      </w:r>
      <w:r w:rsidRPr="00711943">
        <w:rPr>
          <w:rFonts w:ascii="Arial" w:hAnsi="Arial"/>
          <w:b/>
          <w:bCs/>
          <w:sz w:val="16"/>
          <w:szCs w:val="16"/>
        </w:rPr>
        <w:t xml:space="preserve">Figure </w:t>
      </w:r>
      <w:r w:rsidR="00711943" w:rsidRPr="00711943">
        <w:rPr>
          <w:rFonts w:ascii="Arial" w:hAnsi="Arial"/>
          <w:b/>
          <w:bCs/>
          <w:sz w:val="16"/>
          <w:szCs w:val="16"/>
        </w:rPr>
        <w:t>G</w:t>
      </w:r>
      <w:r w:rsidR="002E13D2" w:rsidRPr="00711943">
        <w:rPr>
          <w:rFonts w:ascii="Arial" w:hAnsi="Arial"/>
          <w:b/>
          <w:bCs/>
          <w:sz w:val="16"/>
          <w:szCs w:val="16"/>
        </w:rPr>
        <w:t>.</w:t>
      </w:r>
      <w:r w:rsidR="005C7D32" w:rsidRPr="00711943">
        <w:rPr>
          <w:rFonts w:ascii="Arial" w:hAnsi="Arial"/>
          <w:b/>
          <w:bCs/>
          <w:sz w:val="16"/>
          <w:szCs w:val="16"/>
        </w:rPr>
        <w:t>6</w:t>
      </w:r>
      <w:r w:rsidR="00711943">
        <w:rPr>
          <w:rFonts w:ascii="Arial" w:hAnsi="Arial"/>
          <w:b/>
          <w:bCs/>
          <w:sz w:val="16"/>
          <w:szCs w:val="16"/>
        </w:rPr>
        <w:t>.</w:t>
      </w:r>
    </w:p>
  </w:footnote>
  <w:footnote w:id="62">
    <w:p w14:paraId="47DC9B10" w14:textId="77777777" w:rsidR="002565F8" w:rsidRDefault="002565F8" w:rsidP="002565F8">
      <w:pPr>
        <w:pStyle w:val="FootnoteText"/>
        <w:ind w:left="284" w:hanging="284"/>
        <w:rPr>
          <w:rFonts w:ascii="Arial" w:hAnsi="Arial"/>
          <w:sz w:val="16"/>
          <w:szCs w:val="16"/>
        </w:rPr>
      </w:pPr>
      <w:r>
        <w:rPr>
          <w:rStyle w:val="FootnoteReference"/>
          <w:rFonts w:ascii="Arial" w:hAnsi="Arial"/>
          <w:sz w:val="16"/>
          <w:szCs w:val="16"/>
        </w:rPr>
        <w:footnoteRef/>
      </w:r>
      <w:r>
        <w:rPr>
          <w:rFonts w:ascii="Arial" w:hAnsi="Arial"/>
          <w:sz w:val="16"/>
          <w:szCs w:val="16"/>
        </w:rPr>
        <w:t xml:space="preserve"> </w:t>
      </w:r>
      <w:r>
        <w:rPr>
          <w:rFonts w:ascii="Arial" w:hAnsi="Arial"/>
          <w:sz w:val="16"/>
          <w:szCs w:val="16"/>
        </w:rPr>
        <w:tab/>
        <w:t>See the ‘Summary Table’ on the landing page of Stats NZ’s February 2026 Child Poverty Statistics release,</w:t>
      </w:r>
    </w:p>
    <w:p w14:paraId="75358A9A" w14:textId="77777777" w:rsidR="002565F8" w:rsidRDefault="002565F8" w:rsidP="002565F8">
      <w:pPr>
        <w:pStyle w:val="FootnoteText"/>
        <w:spacing w:after="60"/>
        <w:ind w:left="284"/>
        <w:rPr>
          <w:rFonts w:ascii="Aptos" w:hAnsi="Aptos"/>
          <w:sz w:val="20"/>
        </w:rPr>
      </w:pPr>
      <w:hyperlink r:id="rId19" w:history="1">
        <w:r>
          <w:rPr>
            <w:rStyle w:val="Hyperlink"/>
            <w:rFonts w:ascii="Arial" w:hAnsi="Arial"/>
            <w:color w:val="000000"/>
            <w:sz w:val="16"/>
            <w:szCs w:val="16"/>
          </w:rPr>
          <w:t>https://www.stats.govt.nz/information-releases/child-poverty-statistics-year-ended-june-2025/</w:t>
        </w:r>
      </w:hyperlink>
      <w:r>
        <w:rPr>
          <w:rFonts w:ascii="Arial" w:hAnsi="Arial"/>
          <w:sz w:val="16"/>
          <w:szCs w:val="16"/>
        </w:rPr>
        <w:t xml:space="preserve"> . Note that the 1.1 ppt change is calculated from unrounded numbers.</w:t>
      </w:r>
    </w:p>
  </w:footnote>
  <w:footnote w:id="63">
    <w:p w14:paraId="54475330" w14:textId="77777777" w:rsidR="009B7BA9" w:rsidRPr="007E19C5" w:rsidRDefault="009B7BA9" w:rsidP="009B7BA9">
      <w:pPr>
        <w:pStyle w:val="FootnoteText"/>
        <w:ind w:left="284" w:hanging="284"/>
        <w:rPr>
          <w:rFonts w:ascii="Arial" w:hAnsi="Arial"/>
          <w:sz w:val="16"/>
          <w:szCs w:val="16"/>
        </w:rPr>
      </w:pPr>
      <w:r w:rsidRPr="007E19C5">
        <w:rPr>
          <w:rStyle w:val="FootnoteReference"/>
          <w:rFonts w:ascii="Arial" w:hAnsi="Arial"/>
          <w:sz w:val="16"/>
          <w:szCs w:val="16"/>
        </w:rPr>
        <w:footnoteRef/>
      </w:r>
      <w:r w:rsidRPr="007E19C5">
        <w:rPr>
          <w:rFonts w:ascii="Arial" w:hAnsi="Arial"/>
          <w:sz w:val="16"/>
          <w:szCs w:val="16"/>
        </w:rPr>
        <w:t xml:space="preserve"> </w:t>
      </w:r>
      <w:r>
        <w:rPr>
          <w:rFonts w:ascii="Arial" w:hAnsi="Arial"/>
          <w:sz w:val="16"/>
          <w:szCs w:val="16"/>
        </w:rPr>
        <w:tab/>
      </w:r>
      <w:r w:rsidRPr="007E19C5">
        <w:rPr>
          <w:rFonts w:ascii="Arial" w:hAnsi="Arial"/>
          <w:sz w:val="16"/>
          <w:szCs w:val="16"/>
        </w:rPr>
        <w:t>When using other material hardship measures (eg MWI, DEP/MH) this ratio for NZ differs slightly however remains high, typically around 4 to 5.</w:t>
      </w:r>
    </w:p>
    <w:p w14:paraId="4F4F2D8E" w14:textId="77777777" w:rsidR="009B7BA9" w:rsidRDefault="009B7BA9" w:rsidP="009B7BA9">
      <w:pPr>
        <w:pStyle w:val="FootnoteText"/>
      </w:pPr>
    </w:p>
  </w:footnote>
  <w:footnote w:id="64">
    <w:p w14:paraId="2B93879D" w14:textId="77777777" w:rsidR="009B7BA9" w:rsidRPr="00087E23" w:rsidRDefault="009B7BA9" w:rsidP="009B7BA9">
      <w:pPr>
        <w:pStyle w:val="FootnoteText"/>
        <w:ind w:left="284" w:hanging="284"/>
        <w:rPr>
          <w:rFonts w:ascii="Arial" w:hAnsi="Arial"/>
          <w:sz w:val="16"/>
          <w:szCs w:val="16"/>
        </w:rPr>
      </w:pPr>
      <w:r w:rsidRPr="00087E23">
        <w:rPr>
          <w:rStyle w:val="FootnoteReference"/>
          <w:rFonts w:ascii="Arial" w:hAnsi="Arial"/>
          <w:sz w:val="16"/>
          <w:szCs w:val="16"/>
        </w:rPr>
        <w:footnoteRef/>
      </w:r>
      <w:r w:rsidRPr="00087E23">
        <w:rPr>
          <w:rFonts w:ascii="Arial" w:hAnsi="Arial"/>
          <w:sz w:val="16"/>
          <w:szCs w:val="16"/>
        </w:rPr>
        <w:t xml:space="preserve"> </w:t>
      </w:r>
      <w:r w:rsidRPr="00087E23">
        <w:rPr>
          <w:rFonts w:ascii="Arial" w:hAnsi="Arial"/>
          <w:sz w:val="16"/>
          <w:szCs w:val="16"/>
        </w:rPr>
        <w:tab/>
        <w:t>Around 5% using DEP-17 and MH-18 measures.</w:t>
      </w:r>
    </w:p>
  </w:footnote>
  <w:footnote w:id="65">
    <w:p w14:paraId="55C66282" w14:textId="77777777" w:rsidR="009B7BA9" w:rsidRPr="0035668A" w:rsidRDefault="009B7BA9" w:rsidP="009B7BA9">
      <w:pPr>
        <w:pStyle w:val="FootnoteText"/>
        <w:ind w:left="284" w:hanging="284"/>
        <w:rPr>
          <w:rFonts w:ascii="Arial" w:hAnsi="Arial"/>
          <w:sz w:val="16"/>
          <w:szCs w:val="16"/>
        </w:rPr>
      </w:pPr>
      <w:r w:rsidRPr="0035668A">
        <w:rPr>
          <w:rStyle w:val="FootnoteReference"/>
          <w:rFonts w:ascii="Arial" w:hAnsi="Arial"/>
          <w:sz w:val="16"/>
          <w:szCs w:val="16"/>
        </w:rPr>
        <w:footnoteRef/>
      </w:r>
      <w:r w:rsidRPr="0035668A">
        <w:rPr>
          <w:rFonts w:ascii="Arial" w:hAnsi="Arial"/>
          <w:sz w:val="16"/>
          <w:szCs w:val="16"/>
        </w:rPr>
        <w:t xml:space="preserve"> </w:t>
      </w:r>
      <w:r w:rsidRPr="0035668A">
        <w:rPr>
          <w:rFonts w:ascii="Arial" w:hAnsi="Arial"/>
          <w:sz w:val="16"/>
          <w:szCs w:val="16"/>
        </w:rPr>
        <w:tab/>
        <w:t>Author’s own calculations using the ‘square root of the sum of the squares’ approximation and the level sampling errors in Stats NZ’s release in February 2026</w:t>
      </w:r>
      <w:r>
        <w:rPr>
          <w:rFonts w:ascii="Arial" w:hAnsi="Arial"/>
          <w:sz w:val="16"/>
          <w:szCs w:val="16"/>
        </w:rPr>
        <w:t>. The rise from 2023 to 2025 is also statistically significant.</w:t>
      </w:r>
    </w:p>
  </w:footnote>
  <w:footnote w:id="66">
    <w:p w14:paraId="36BDF237" w14:textId="77777777" w:rsidR="009B7BA9" w:rsidRPr="000F5FEE" w:rsidRDefault="009B7BA9" w:rsidP="000F5FEE">
      <w:pPr>
        <w:widowControl w:val="0"/>
        <w:autoSpaceDE w:val="0"/>
        <w:autoSpaceDN w:val="0"/>
        <w:adjustRightInd w:val="0"/>
        <w:spacing w:after="20" w:line="240" w:lineRule="auto"/>
        <w:ind w:left="284" w:hanging="284"/>
        <w:rPr>
          <w:rFonts w:ascii="Arial" w:hAnsi="Arial"/>
          <w:sz w:val="16"/>
          <w:szCs w:val="16"/>
        </w:rPr>
      </w:pPr>
      <w:r w:rsidRPr="000F5FEE">
        <w:rPr>
          <w:rStyle w:val="FootnoteReference"/>
          <w:rFonts w:ascii="Arial" w:hAnsi="Arial"/>
          <w:sz w:val="16"/>
          <w:szCs w:val="16"/>
        </w:rPr>
        <w:footnoteRef/>
      </w:r>
      <w:r w:rsidRPr="000F5FEE">
        <w:rPr>
          <w:rFonts w:ascii="Arial" w:hAnsi="Arial"/>
          <w:sz w:val="16"/>
          <w:szCs w:val="16"/>
        </w:rPr>
        <w:t xml:space="preserve"> </w:t>
      </w:r>
      <w:r w:rsidRPr="000F5FEE">
        <w:rPr>
          <w:rFonts w:ascii="Arial" w:hAnsi="Arial"/>
          <w:sz w:val="16"/>
          <w:szCs w:val="16"/>
        </w:rPr>
        <w:tab/>
      </w:r>
      <w:r w:rsidRPr="000F5FEE">
        <w:rPr>
          <w:rFonts w:ascii="Arial" w:hAnsi="Arial"/>
          <w:color w:val="000000" w:themeColor="text1"/>
          <w:sz w:val="16"/>
          <w:szCs w:val="16"/>
        </w:rPr>
        <w:t>See Table 3.04 in Stats NZ’s 2025 release</w:t>
      </w:r>
      <w:r w:rsidRPr="000F5FEE">
        <w:rPr>
          <w:rFonts w:ascii="Arial" w:hAnsi="Arial"/>
          <w:color w:val="0000FF"/>
          <w:sz w:val="16"/>
          <w:szCs w:val="16"/>
        </w:rPr>
        <w:t>:</w:t>
      </w:r>
      <w:r w:rsidRPr="000F5FEE">
        <w:rPr>
          <w:rFonts w:ascii="Arial" w:hAnsi="Arial"/>
          <w:sz w:val="16"/>
          <w:szCs w:val="16"/>
        </w:rPr>
        <w:t xml:space="preserve"> </w:t>
      </w:r>
      <w:hyperlink r:id="rId20" w:history="1">
        <w:r w:rsidRPr="000F5FEE">
          <w:rPr>
            <w:rStyle w:val="Hyperlink"/>
            <w:rFonts w:ascii="Arial" w:hAnsi="Arial"/>
            <w:sz w:val="16"/>
            <w:szCs w:val="16"/>
          </w:rPr>
          <w:t>https://www.stats.govt.nz/information-releases/child-poverty-statistics-year-ended-june-2024/</w:t>
        </w:r>
      </w:hyperlink>
      <w:r w:rsidRPr="000F5FEE">
        <w:rPr>
          <w:rFonts w:ascii="Arial" w:hAnsi="Arial"/>
          <w:sz w:val="16"/>
          <w:szCs w:val="16"/>
        </w:rPr>
        <w:t xml:space="preserve"> </w:t>
      </w:r>
    </w:p>
  </w:footnote>
  <w:footnote w:id="67">
    <w:p w14:paraId="4B265764" w14:textId="49D008C6" w:rsidR="000F5FEE" w:rsidRPr="000F5FEE" w:rsidRDefault="000F5FEE" w:rsidP="000F5FEE">
      <w:pPr>
        <w:pStyle w:val="FootnoteText"/>
        <w:ind w:left="284" w:hanging="284"/>
        <w:rPr>
          <w:rFonts w:ascii="Arial" w:hAnsi="Arial"/>
          <w:sz w:val="16"/>
          <w:szCs w:val="16"/>
        </w:rPr>
      </w:pPr>
      <w:r w:rsidRPr="000F5FEE">
        <w:rPr>
          <w:rStyle w:val="FootnoteReference"/>
          <w:rFonts w:ascii="Arial" w:hAnsi="Arial"/>
          <w:sz w:val="16"/>
          <w:szCs w:val="16"/>
        </w:rPr>
        <w:footnoteRef/>
      </w:r>
      <w:r w:rsidRPr="000F5FEE">
        <w:rPr>
          <w:rFonts w:ascii="Arial" w:hAnsi="Arial"/>
          <w:sz w:val="16"/>
          <w:szCs w:val="16"/>
        </w:rPr>
        <w:t xml:space="preserve"> </w:t>
      </w:r>
      <w:r>
        <w:rPr>
          <w:rFonts w:ascii="Arial" w:hAnsi="Arial"/>
          <w:sz w:val="16"/>
          <w:szCs w:val="16"/>
        </w:rPr>
        <w:tab/>
      </w:r>
      <w:hyperlink r:id="rId21" w:history="1">
        <w:r w:rsidR="00073040" w:rsidRPr="00A6686C">
          <w:rPr>
            <w:rStyle w:val="Hyperlink"/>
            <w:rFonts w:ascii="Arial" w:hAnsi="Arial"/>
            <w:sz w:val="16"/>
            <w:szCs w:val="16"/>
          </w:rPr>
          <w:t>https://www.washingtongroup-disability.com/</w:t>
        </w:r>
      </w:hyperlink>
      <w:r w:rsidR="00073040">
        <w:rPr>
          <w:rFonts w:ascii="Arial" w:hAnsi="Arial"/>
          <w:sz w:val="16"/>
          <w:szCs w:val="16"/>
        </w:rPr>
        <w:t xml:space="preserve"> </w:t>
      </w:r>
    </w:p>
  </w:footnote>
  <w:footnote w:id="68">
    <w:p w14:paraId="3001EB6B" w14:textId="77777777" w:rsidR="009B7BA9" w:rsidRPr="003B359D" w:rsidRDefault="009B7BA9" w:rsidP="009B7BA9">
      <w:pPr>
        <w:pStyle w:val="FootnoteText"/>
        <w:spacing w:after="40"/>
        <w:ind w:left="284" w:hanging="284"/>
        <w:rPr>
          <w:rFonts w:ascii="Arial" w:hAnsi="Arial"/>
          <w:sz w:val="16"/>
          <w:szCs w:val="16"/>
        </w:rPr>
      </w:pPr>
      <w:r w:rsidRPr="003B359D">
        <w:rPr>
          <w:rStyle w:val="FootnoteReference"/>
          <w:rFonts w:ascii="Arial" w:hAnsi="Arial"/>
          <w:sz w:val="16"/>
          <w:szCs w:val="16"/>
        </w:rPr>
        <w:footnoteRef/>
      </w:r>
      <w:r w:rsidRPr="003B359D">
        <w:rPr>
          <w:rFonts w:ascii="Arial" w:hAnsi="Arial"/>
          <w:sz w:val="16"/>
          <w:szCs w:val="16"/>
        </w:rPr>
        <w:t xml:space="preserve"> </w:t>
      </w:r>
      <w:r>
        <w:rPr>
          <w:rFonts w:ascii="Arial" w:hAnsi="Arial"/>
          <w:sz w:val="16"/>
          <w:szCs w:val="16"/>
        </w:rPr>
        <w:tab/>
      </w:r>
      <w:r w:rsidRPr="003B359D">
        <w:rPr>
          <w:rFonts w:ascii="Arial" w:hAnsi="Arial"/>
          <w:sz w:val="16"/>
          <w:szCs w:val="16"/>
        </w:rPr>
        <w:t xml:space="preserve">For more detail see </w:t>
      </w:r>
      <w:hyperlink r:id="rId22" w:history="1">
        <w:r w:rsidRPr="003B359D">
          <w:rPr>
            <w:rStyle w:val="Hyperlink"/>
            <w:rFonts w:ascii="Arial" w:hAnsi="Arial"/>
            <w:sz w:val="16"/>
            <w:szCs w:val="16"/>
          </w:rPr>
          <w:t>https://www.stats.govt.nz/methods/about-the-transition-from-the-household-economic-survey-to-the-household-income-and-living-survey/</w:t>
        </w:r>
      </w:hyperlink>
      <w:r w:rsidRPr="003B359D">
        <w:rPr>
          <w:rFonts w:ascii="Arial" w:hAnsi="Arial"/>
          <w:sz w:val="16"/>
          <w:szCs w:val="16"/>
        </w:rPr>
        <w:t xml:space="preserve"> </w:t>
      </w:r>
    </w:p>
  </w:footnote>
  <w:footnote w:id="69">
    <w:p w14:paraId="54B12DA1" w14:textId="77777777" w:rsidR="009B7BA9" w:rsidRDefault="009B7BA9" w:rsidP="009B7BA9">
      <w:pPr>
        <w:spacing w:after="40" w:line="240" w:lineRule="auto"/>
        <w:ind w:left="284" w:hanging="284"/>
      </w:pPr>
      <w:r w:rsidRPr="00652D80">
        <w:rPr>
          <w:rStyle w:val="FootnoteReference"/>
          <w:rFonts w:ascii="Arial" w:hAnsi="Arial"/>
          <w:sz w:val="16"/>
          <w:szCs w:val="16"/>
        </w:rPr>
        <w:footnoteRef/>
      </w:r>
      <w:r w:rsidRPr="00652D80">
        <w:rPr>
          <w:rFonts w:ascii="Arial" w:hAnsi="Arial"/>
          <w:sz w:val="16"/>
          <w:szCs w:val="16"/>
        </w:rPr>
        <w:t xml:space="preserve"> </w:t>
      </w:r>
      <w:r>
        <w:rPr>
          <w:rFonts w:ascii="Arial" w:hAnsi="Arial"/>
          <w:sz w:val="16"/>
          <w:szCs w:val="16"/>
        </w:rPr>
        <w:tab/>
      </w:r>
      <w:r>
        <w:rPr>
          <w:rFonts w:ascii="Arial" w:hAnsi="Arial"/>
          <w:bCs/>
          <w:color w:val="000000" w:themeColor="text1"/>
          <w:sz w:val="16"/>
          <w:szCs w:val="16"/>
        </w:rPr>
        <w:t>Differences</w:t>
      </w:r>
      <w:r w:rsidRPr="00652D80">
        <w:rPr>
          <w:rFonts w:ascii="Arial" w:eastAsia="Times New Roman" w:hAnsi="Arial"/>
          <w:color w:val="000000"/>
          <w:sz w:val="16"/>
          <w:szCs w:val="16"/>
          <w:lang w:eastAsia="en-NZ"/>
        </w:rPr>
        <w:t xml:space="preserve"> in the way disabled people are defined means that </w:t>
      </w:r>
      <w:r>
        <w:rPr>
          <w:rFonts w:ascii="Arial" w:eastAsia="Times New Roman" w:hAnsi="Arial"/>
          <w:color w:val="000000"/>
          <w:sz w:val="16"/>
          <w:szCs w:val="16"/>
          <w:lang w:eastAsia="en-NZ"/>
        </w:rPr>
        <w:t>these figures are</w:t>
      </w:r>
      <w:r w:rsidRPr="00652D80">
        <w:rPr>
          <w:rFonts w:ascii="Arial" w:eastAsia="Times New Roman" w:hAnsi="Arial"/>
          <w:color w:val="000000"/>
          <w:sz w:val="16"/>
          <w:szCs w:val="16"/>
          <w:lang w:eastAsia="en-NZ"/>
        </w:rPr>
        <w:t xml:space="preserve"> not comparable with disability rates from the 2013 Disability Survey</w:t>
      </w:r>
      <w:r>
        <w:rPr>
          <w:rFonts w:ascii="Arial" w:eastAsia="Times New Roman" w:hAnsi="Arial"/>
          <w:color w:val="000000"/>
          <w:sz w:val="16"/>
          <w:szCs w:val="16"/>
          <w:lang w:eastAsia="en-NZ"/>
        </w:rPr>
        <w:t xml:space="preserve"> (nor with the previous HES series).</w:t>
      </w:r>
    </w:p>
  </w:footnote>
  <w:footnote w:id="70">
    <w:p w14:paraId="2C305773" w14:textId="77777777" w:rsidR="009B7BA9" w:rsidRPr="003A4A8B" w:rsidRDefault="009B7BA9" w:rsidP="009B7BA9">
      <w:pPr>
        <w:pStyle w:val="FootnoteText"/>
        <w:spacing w:after="40"/>
        <w:ind w:left="284" w:hanging="284"/>
        <w:rPr>
          <w:rFonts w:ascii="Arial" w:hAnsi="Arial"/>
          <w:sz w:val="16"/>
          <w:szCs w:val="16"/>
        </w:rPr>
      </w:pPr>
      <w:r w:rsidRPr="00192D5F">
        <w:rPr>
          <w:rStyle w:val="FootnoteReference"/>
          <w:rFonts w:ascii="Arial" w:hAnsi="Arial"/>
          <w:sz w:val="16"/>
          <w:szCs w:val="16"/>
        </w:rPr>
        <w:footnoteRef/>
      </w:r>
      <w:r w:rsidRPr="00192D5F">
        <w:rPr>
          <w:rFonts w:ascii="Arial" w:hAnsi="Arial"/>
          <w:sz w:val="16"/>
          <w:szCs w:val="16"/>
        </w:rPr>
        <w:t xml:space="preserve"> </w:t>
      </w:r>
      <w:r w:rsidRPr="00192D5F">
        <w:rPr>
          <w:rFonts w:ascii="Arial" w:hAnsi="Arial"/>
          <w:sz w:val="16"/>
          <w:szCs w:val="16"/>
        </w:rPr>
        <w:tab/>
        <w:t xml:space="preserve">The focus in this report is on paid work. The value of unpaid work is immense, especially in relation to parenting and other </w:t>
      </w:r>
      <w:r w:rsidRPr="003A4A8B">
        <w:rPr>
          <w:rFonts w:ascii="Arial" w:hAnsi="Arial"/>
          <w:sz w:val="16"/>
          <w:szCs w:val="16"/>
        </w:rPr>
        <w:t xml:space="preserve">caring responsibilities, but is not looked at in this report. </w:t>
      </w:r>
    </w:p>
  </w:footnote>
  <w:footnote w:id="71">
    <w:p w14:paraId="5597A813" w14:textId="77777777" w:rsidR="009B7BA9" w:rsidRPr="003A4A8B" w:rsidRDefault="009B7BA9" w:rsidP="009B7BA9">
      <w:pPr>
        <w:pStyle w:val="FootnoteText"/>
        <w:ind w:left="284" w:hanging="284"/>
        <w:rPr>
          <w:rFonts w:ascii="Arial" w:hAnsi="Arial"/>
          <w:color w:val="000000" w:themeColor="text1"/>
          <w:sz w:val="16"/>
          <w:szCs w:val="16"/>
        </w:rPr>
      </w:pPr>
      <w:r w:rsidRPr="003A4A8B">
        <w:rPr>
          <w:rStyle w:val="FootnoteReference"/>
          <w:rFonts w:ascii="Arial" w:hAnsi="Arial"/>
          <w:color w:val="000000" w:themeColor="text1"/>
          <w:sz w:val="16"/>
          <w:szCs w:val="16"/>
        </w:rPr>
        <w:footnoteRef/>
      </w:r>
      <w:r w:rsidRPr="003A4A8B">
        <w:rPr>
          <w:rFonts w:ascii="Arial" w:hAnsi="Arial"/>
          <w:color w:val="000000" w:themeColor="text1"/>
          <w:sz w:val="16"/>
          <w:szCs w:val="16"/>
        </w:rPr>
        <w:t xml:space="preserve"> </w:t>
      </w:r>
      <w:r w:rsidRPr="003A4A8B">
        <w:rPr>
          <w:rFonts w:ascii="Arial" w:hAnsi="Arial"/>
          <w:color w:val="000000" w:themeColor="text1"/>
          <w:sz w:val="16"/>
          <w:szCs w:val="16"/>
        </w:rPr>
        <w:tab/>
        <w:t xml:space="preserve">The reporting currently goes only to 2023-24 as the HILS 2024-25 data behind this analysis currently produces a split for the two categories in 2024-25 </w:t>
      </w:r>
      <w:r>
        <w:rPr>
          <w:rFonts w:ascii="Arial" w:hAnsi="Arial"/>
          <w:color w:val="000000" w:themeColor="text1"/>
          <w:sz w:val="16"/>
          <w:szCs w:val="16"/>
        </w:rPr>
        <w:t xml:space="preserve">that </w:t>
      </w:r>
      <w:r w:rsidRPr="003A4A8B">
        <w:rPr>
          <w:rFonts w:ascii="Arial" w:hAnsi="Arial"/>
          <w:color w:val="000000" w:themeColor="text1"/>
          <w:sz w:val="16"/>
          <w:szCs w:val="16"/>
        </w:rPr>
        <w:t>is at variance with the steady pattern and trends up to and including 2023-24.</w:t>
      </w:r>
    </w:p>
    <w:p w14:paraId="3617BDD0" w14:textId="77777777" w:rsidR="009B7BA9" w:rsidRPr="0016511A" w:rsidRDefault="009B7BA9" w:rsidP="009B7BA9">
      <w:pPr>
        <w:pStyle w:val="FootnoteText"/>
        <w:ind w:left="284" w:hanging="284"/>
        <w:rPr>
          <w:rFonts w:ascii="Arial" w:hAnsi="Arial"/>
          <w:color w:val="FF0000"/>
          <w:sz w:val="16"/>
          <w:szCs w:val="16"/>
        </w:rPr>
      </w:pPr>
    </w:p>
  </w:footnote>
  <w:footnote w:id="72">
    <w:p w14:paraId="47D9B765" w14:textId="0C8C18A7" w:rsidR="009B7BA9" w:rsidRPr="00585B79" w:rsidRDefault="009B7BA9" w:rsidP="009B7BA9">
      <w:pPr>
        <w:pStyle w:val="FootnoteText"/>
        <w:spacing w:after="40"/>
        <w:ind w:left="284" w:hanging="284"/>
        <w:rPr>
          <w:rFonts w:ascii="Arial" w:hAnsi="Arial"/>
          <w:sz w:val="16"/>
          <w:szCs w:val="16"/>
        </w:rPr>
      </w:pPr>
      <w:r w:rsidRPr="00585B79">
        <w:rPr>
          <w:rStyle w:val="FootnoteReference"/>
          <w:rFonts w:ascii="Arial" w:hAnsi="Arial"/>
          <w:color w:val="000000" w:themeColor="text1"/>
          <w:sz w:val="16"/>
          <w:szCs w:val="16"/>
        </w:rPr>
        <w:footnoteRef/>
      </w:r>
      <w:r w:rsidRPr="00585B79">
        <w:rPr>
          <w:rFonts w:ascii="Arial" w:hAnsi="Arial"/>
          <w:color w:val="000000" w:themeColor="text1"/>
          <w:sz w:val="16"/>
          <w:szCs w:val="16"/>
        </w:rPr>
        <w:t xml:space="preserve"> </w:t>
      </w:r>
      <w:r w:rsidRPr="00585B79">
        <w:rPr>
          <w:rFonts w:ascii="Arial" w:hAnsi="Arial"/>
          <w:color w:val="000000" w:themeColor="text1"/>
          <w:sz w:val="16"/>
          <w:szCs w:val="16"/>
        </w:rPr>
        <w:tab/>
      </w:r>
      <w:r w:rsidRPr="00FC7E7F">
        <w:rPr>
          <w:rFonts w:ascii="Arial" w:hAnsi="Arial"/>
          <w:color w:val="000000" w:themeColor="text1"/>
          <w:sz w:val="16"/>
          <w:szCs w:val="16"/>
        </w:rPr>
        <w:t xml:space="preserve">In this report, </w:t>
      </w:r>
      <w:r w:rsidR="00FC7E7F" w:rsidRPr="00FC7E7F">
        <w:rPr>
          <w:rFonts w:ascii="Arial" w:hAnsi="Arial"/>
          <w:b/>
          <w:bCs/>
          <w:color w:val="000000" w:themeColor="text1"/>
          <w:sz w:val="16"/>
          <w:szCs w:val="16"/>
        </w:rPr>
        <w:t>Section A</w:t>
      </w:r>
      <w:r w:rsidR="00FC7E7F" w:rsidRPr="00FC7E7F">
        <w:rPr>
          <w:rFonts w:ascii="Arial" w:hAnsi="Arial"/>
          <w:color w:val="000000" w:themeColor="text1"/>
          <w:sz w:val="16"/>
          <w:szCs w:val="16"/>
        </w:rPr>
        <w:t xml:space="preserve"> and</w:t>
      </w:r>
      <w:r w:rsidR="00FC7E7F" w:rsidRPr="00FC7E7F">
        <w:rPr>
          <w:rFonts w:ascii="Arial" w:hAnsi="Arial"/>
          <w:b/>
          <w:bCs/>
          <w:color w:val="000000" w:themeColor="text1"/>
          <w:sz w:val="16"/>
          <w:szCs w:val="16"/>
        </w:rPr>
        <w:t xml:space="preserve"> Appendix 3</w:t>
      </w:r>
      <w:r w:rsidRPr="00FC7E7F">
        <w:rPr>
          <w:rFonts w:ascii="Arial" w:hAnsi="Arial"/>
          <w:color w:val="000000" w:themeColor="text1"/>
          <w:sz w:val="16"/>
          <w:szCs w:val="16"/>
        </w:rPr>
        <w:t>.give basic information on the MWI. See Section E in Perry (2019) for more detailed information on the index</w:t>
      </w:r>
      <w:r w:rsidR="00FC7E7F">
        <w:rPr>
          <w:rFonts w:ascii="Arial" w:hAnsi="Arial"/>
          <w:color w:val="000000" w:themeColor="text1"/>
          <w:sz w:val="16"/>
          <w:szCs w:val="16"/>
        </w:rPr>
        <w:t xml:space="preserve">, available at </w:t>
      </w:r>
      <w:hyperlink r:id="rId23" w:history="1">
        <w:r w:rsidR="00FC7E7F" w:rsidRPr="00AB506C">
          <w:rPr>
            <w:rStyle w:val="Hyperlink"/>
            <w:rFonts w:ascii="Arial" w:hAnsi="Arial"/>
            <w:sz w:val="16"/>
            <w:szCs w:val="16"/>
          </w:rPr>
          <w:t>https://www.msd.govt.nz/about-msd-and-our-work/publications-resources/monitoring/living-standards/</w:t>
        </w:r>
      </w:hyperlink>
      <w:r w:rsidR="007F3AB9">
        <w:rPr>
          <w:rFonts w:ascii="Arial" w:hAnsi="Arial"/>
          <w:color w:val="000000" w:themeColor="text1"/>
          <w:sz w:val="16"/>
          <w:szCs w:val="16"/>
        </w:rPr>
        <w:t>.</w:t>
      </w:r>
    </w:p>
  </w:footnote>
  <w:footnote w:id="73">
    <w:p w14:paraId="065D6793" w14:textId="77777777" w:rsidR="009B7BA9" w:rsidRPr="00585B79" w:rsidRDefault="009B7BA9" w:rsidP="009B7BA9">
      <w:pPr>
        <w:pStyle w:val="FootnoteText"/>
        <w:spacing w:after="40"/>
        <w:ind w:left="284" w:hanging="284"/>
        <w:rPr>
          <w:rFonts w:ascii="Arial" w:hAnsi="Arial"/>
          <w:sz w:val="16"/>
          <w:szCs w:val="16"/>
        </w:rPr>
      </w:pPr>
      <w:r w:rsidRPr="00585B79">
        <w:rPr>
          <w:rStyle w:val="FootnoteReference"/>
          <w:rFonts w:ascii="Arial" w:hAnsi="Arial"/>
          <w:sz w:val="16"/>
          <w:szCs w:val="16"/>
        </w:rPr>
        <w:footnoteRef/>
      </w:r>
      <w:r w:rsidRPr="00585B79">
        <w:rPr>
          <w:rFonts w:ascii="Arial" w:hAnsi="Arial"/>
          <w:sz w:val="16"/>
          <w:szCs w:val="16"/>
        </w:rPr>
        <w:t xml:space="preserve"> </w:t>
      </w:r>
      <w:r w:rsidRPr="00585B79">
        <w:rPr>
          <w:rFonts w:ascii="Arial" w:hAnsi="Arial"/>
          <w:sz w:val="16"/>
          <w:szCs w:val="16"/>
        </w:rPr>
        <w:tab/>
        <w:t xml:space="preserve">See Perry (2022), available at </w:t>
      </w:r>
      <w:hyperlink r:id="rId24" w:history="1">
        <w:r w:rsidRPr="00585B79">
          <w:rPr>
            <w:rStyle w:val="Hyperlink"/>
            <w:rFonts w:ascii="Arial" w:hAnsi="Arial"/>
            <w:sz w:val="16"/>
            <w:szCs w:val="16"/>
          </w:rPr>
          <w:t>https://www.msd.govt.nz/about-msd-and-our-work/publications-resources/research/child-poverty-in-nz/child-poverty-2022-report.html</w:t>
        </w:r>
      </w:hyperlink>
      <w:r w:rsidRPr="00585B79">
        <w:rPr>
          <w:rFonts w:ascii="Arial" w:hAnsi="Arial"/>
          <w:sz w:val="16"/>
          <w:szCs w:val="16"/>
        </w:rPr>
        <w:t xml:space="preserve"> </w:t>
      </w:r>
    </w:p>
  </w:footnote>
  <w:footnote w:id="74">
    <w:p w14:paraId="485B29A0" w14:textId="759A7A15" w:rsidR="009B7BA9" w:rsidRPr="00585B79" w:rsidRDefault="009B7BA9" w:rsidP="009B7BA9">
      <w:pPr>
        <w:pStyle w:val="FootnoteText"/>
        <w:spacing w:after="40"/>
        <w:ind w:left="284" w:hanging="284"/>
        <w:rPr>
          <w:rFonts w:ascii="Arial" w:hAnsi="Arial"/>
          <w:sz w:val="16"/>
          <w:szCs w:val="16"/>
        </w:rPr>
      </w:pPr>
      <w:r w:rsidRPr="00585B79">
        <w:rPr>
          <w:rStyle w:val="FootnoteReference"/>
          <w:rFonts w:ascii="Arial" w:hAnsi="Arial"/>
          <w:sz w:val="16"/>
          <w:szCs w:val="16"/>
        </w:rPr>
        <w:footnoteRef/>
      </w:r>
      <w:r w:rsidRPr="00585B79">
        <w:rPr>
          <w:rFonts w:ascii="Arial" w:hAnsi="Arial"/>
          <w:sz w:val="16"/>
          <w:szCs w:val="16"/>
        </w:rPr>
        <w:t xml:space="preserve"> </w:t>
      </w:r>
      <w:r>
        <w:rPr>
          <w:rFonts w:ascii="Arial" w:hAnsi="Arial"/>
          <w:sz w:val="16"/>
          <w:szCs w:val="16"/>
        </w:rPr>
        <w:tab/>
      </w:r>
      <w:r w:rsidRPr="00585B79">
        <w:rPr>
          <w:rFonts w:ascii="Arial" w:hAnsi="Arial"/>
          <w:sz w:val="16"/>
          <w:szCs w:val="16"/>
        </w:rPr>
        <w:t>One of the design requirements</w:t>
      </w:r>
      <w:r>
        <w:rPr>
          <w:rFonts w:ascii="Arial" w:hAnsi="Arial"/>
          <w:sz w:val="16"/>
          <w:szCs w:val="16"/>
        </w:rPr>
        <w:t xml:space="preserve"> for</w:t>
      </w:r>
      <w:r w:rsidRPr="00585B79">
        <w:rPr>
          <w:rFonts w:ascii="Arial" w:hAnsi="Arial"/>
          <w:sz w:val="16"/>
          <w:szCs w:val="16"/>
        </w:rPr>
        <w:t xml:space="preserve"> the revised </w:t>
      </w:r>
      <w:r>
        <w:rPr>
          <w:rFonts w:ascii="Arial" w:hAnsi="Arial"/>
          <w:sz w:val="16"/>
          <w:szCs w:val="16"/>
        </w:rPr>
        <w:t xml:space="preserve">HILS-based </w:t>
      </w:r>
      <w:r w:rsidRPr="00585B79">
        <w:rPr>
          <w:rFonts w:ascii="Arial" w:hAnsi="Arial"/>
          <w:sz w:val="16"/>
          <w:szCs w:val="16"/>
        </w:rPr>
        <w:t>MWI</w:t>
      </w:r>
      <w:r>
        <w:rPr>
          <w:rFonts w:ascii="Arial" w:hAnsi="Arial"/>
          <w:sz w:val="16"/>
          <w:szCs w:val="16"/>
        </w:rPr>
        <w:t xml:space="preserve"> </w:t>
      </w:r>
      <w:r w:rsidRPr="00585B79">
        <w:rPr>
          <w:rFonts w:ascii="Arial" w:hAnsi="Arial"/>
          <w:sz w:val="16"/>
          <w:szCs w:val="16"/>
        </w:rPr>
        <w:t>index was that it had to provide continuity in measuring material hardship from HES to HILS. It achieved that goal using</w:t>
      </w:r>
      <w:r>
        <w:rPr>
          <w:rFonts w:ascii="Arial" w:hAnsi="Arial"/>
          <w:sz w:val="16"/>
          <w:szCs w:val="16"/>
        </w:rPr>
        <w:t xml:space="preserve"> an MWI-26 index with</w:t>
      </w:r>
      <w:r w:rsidRPr="00585B79">
        <w:rPr>
          <w:rFonts w:ascii="Arial" w:hAnsi="Arial"/>
          <w:sz w:val="16"/>
          <w:szCs w:val="16"/>
        </w:rPr>
        <w:t xml:space="preserve"> a ‘less than 12’ threshold.(see the</w:t>
      </w:r>
      <w:r>
        <w:rPr>
          <w:rFonts w:ascii="Arial" w:hAnsi="Arial"/>
          <w:sz w:val="16"/>
          <w:szCs w:val="16"/>
        </w:rPr>
        <w:t xml:space="preserve"> 2026</w:t>
      </w:r>
      <w:r w:rsidRPr="00585B79">
        <w:rPr>
          <w:rFonts w:ascii="Arial" w:hAnsi="Arial"/>
          <w:sz w:val="16"/>
          <w:szCs w:val="16"/>
        </w:rPr>
        <w:t xml:space="preserve"> Working paper available at</w:t>
      </w:r>
      <w:r>
        <w:rPr>
          <w:rFonts w:ascii="Arial" w:hAnsi="Arial"/>
          <w:sz w:val="16"/>
          <w:szCs w:val="16"/>
        </w:rPr>
        <w:t xml:space="preserve"> </w:t>
      </w:r>
      <w:hyperlink r:id="rId25" w:history="1">
        <w:r w:rsidRPr="00604DF7">
          <w:rPr>
            <w:rStyle w:val="Hyperlink"/>
            <w:rFonts w:ascii="Arial" w:hAnsi="Arial"/>
            <w:sz w:val="16"/>
            <w:szCs w:val="16"/>
          </w:rPr>
          <w:t>https://www.msd.govt.nz/about-msd-and-our-work/publications-resources/working-papers/index.html</w:t>
        </w:r>
      </w:hyperlink>
      <w:r>
        <w:rPr>
          <w:rFonts w:ascii="Arial" w:hAnsi="Arial"/>
          <w:sz w:val="16"/>
          <w:szCs w:val="16"/>
        </w:rPr>
        <w:t xml:space="preserve"> ). </w:t>
      </w:r>
      <w:r w:rsidRPr="00585B79">
        <w:rPr>
          <w:rFonts w:ascii="Arial" w:hAnsi="Arial"/>
          <w:sz w:val="16"/>
          <w:szCs w:val="16"/>
        </w:rPr>
        <w:t xml:space="preserve"> However it </w:t>
      </w:r>
      <w:r w:rsidRPr="007F3AB9">
        <w:rPr>
          <w:rFonts w:ascii="Arial" w:hAnsi="Arial"/>
          <w:sz w:val="16"/>
          <w:szCs w:val="16"/>
        </w:rPr>
        <w:t>cannot provide continuity for any particular level of standard of living above the MH level (eg for a time series in line with MWI-24 greater than 24, an MWI-26 threshold of 24 is too high and 23 is too low, Hence the analysis on this page can go only to 2024</w:t>
      </w:r>
      <w:r w:rsidR="007F3AB9" w:rsidRPr="007F3AB9">
        <w:rPr>
          <w:rFonts w:ascii="Arial" w:hAnsi="Arial"/>
          <w:sz w:val="16"/>
          <w:szCs w:val="16"/>
        </w:rPr>
        <w:t>)</w:t>
      </w:r>
      <w:r w:rsidRPr="007F3AB9">
        <w:rPr>
          <w:rFonts w:ascii="Arial" w:hAnsi="Arial"/>
          <w:sz w:val="16"/>
          <w:szCs w:val="16"/>
        </w:rPr>
        <w:t>.</w:t>
      </w:r>
    </w:p>
  </w:footnote>
  <w:footnote w:id="75">
    <w:p w14:paraId="6C58B3F1" w14:textId="428E82A0" w:rsidR="009B7BA9" w:rsidRPr="006D0F2D" w:rsidRDefault="009B7BA9" w:rsidP="009B7BA9">
      <w:pPr>
        <w:pStyle w:val="FootnoteText"/>
        <w:ind w:left="284" w:hanging="284"/>
        <w:rPr>
          <w:rFonts w:ascii="Arial" w:hAnsi="Arial"/>
          <w:sz w:val="16"/>
          <w:szCs w:val="16"/>
        </w:rPr>
      </w:pPr>
      <w:r w:rsidRPr="005761A2">
        <w:rPr>
          <w:rStyle w:val="FootnoteReference"/>
          <w:rFonts w:ascii="Arial" w:hAnsi="Arial"/>
          <w:sz w:val="16"/>
          <w:szCs w:val="16"/>
        </w:rPr>
        <w:footnoteRef/>
      </w:r>
      <w:r w:rsidRPr="005761A2">
        <w:rPr>
          <w:rFonts w:ascii="Arial" w:hAnsi="Arial"/>
          <w:sz w:val="16"/>
          <w:szCs w:val="16"/>
        </w:rPr>
        <w:t xml:space="preserve"> </w:t>
      </w:r>
      <w:r w:rsidRPr="005761A2">
        <w:rPr>
          <w:rFonts w:ascii="Arial" w:hAnsi="Arial"/>
          <w:sz w:val="16"/>
          <w:szCs w:val="16"/>
        </w:rPr>
        <w:tab/>
        <w:t xml:space="preserve">See </w:t>
      </w:r>
      <w:r w:rsidR="005761A2" w:rsidRPr="005761A2">
        <w:rPr>
          <w:rFonts w:ascii="Arial" w:hAnsi="Arial"/>
          <w:b/>
          <w:bCs/>
          <w:sz w:val="16"/>
          <w:szCs w:val="16"/>
        </w:rPr>
        <w:t>Section G</w:t>
      </w:r>
      <w:r w:rsidR="005761A2" w:rsidRPr="005761A2">
        <w:rPr>
          <w:rFonts w:ascii="Arial" w:hAnsi="Arial"/>
          <w:sz w:val="16"/>
          <w:szCs w:val="16"/>
        </w:rPr>
        <w:t xml:space="preserve"> and </w:t>
      </w:r>
      <w:r w:rsidRPr="005761A2">
        <w:rPr>
          <w:rFonts w:ascii="Arial" w:hAnsi="Arial"/>
          <w:b/>
          <w:bCs/>
          <w:sz w:val="16"/>
          <w:szCs w:val="16"/>
        </w:rPr>
        <w:t xml:space="preserve">Appendix </w:t>
      </w:r>
      <w:r w:rsidR="005761A2" w:rsidRPr="005761A2">
        <w:rPr>
          <w:rFonts w:ascii="Arial" w:hAnsi="Arial"/>
          <w:b/>
          <w:bCs/>
          <w:sz w:val="16"/>
          <w:szCs w:val="16"/>
        </w:rPr>
        <w:t>10</w:t>
      </w:r>
      <w:r w:rsidRPr="005761A2">
        <w:rPr>
          <w:rFonts w:ascii="Arial" w:hAnsi="Arial"/>
          <w:sz w:val="16"/>
          <w:szCs w:val="16"/>
        </w:rPr>
        <w:t xml:space="preserve"> for information on the trends in real household income.</w:t>
      </w:r>
    </w:p>
  </w:footnote>
  <w:footnote w:id="76">
    <w:p w14:paraId="70053180" w14:textId="600C4A16" w:rsidR="0033010F" w:rsidRDefault="0033010F" w:rsidP="0033010F">
      <w:pPr>
        <w:pStyle w:val="FootnoteText"/>
        <w:ind w:left="284" w:hanging="284"/>
        <w:rPr>
          <w:rFonts w:ascii="Arial" w:hAnsi="Arial"/>
          <w:sz w:val="16"/>
          <w:szCs w:val="16"/>
        </w:rPr>
      </w:pPr>
      <w:r w:rsidRPr="009F050D">
        <w:rPr>
          <w:rStyle w:val="FootnoteReference"/>
          <w:rFonts w:ascii="Arial" w:hAnsi="Arial"/>
          <w:sz w:val="16"/>
          <w:szCs w:val="16"/>
        </w:rPr>
        <w:footnoteRef/>
      </w:r>
      <w:r w:rsidRPr="009F050D">
        <w:rPr>
          <w:rFonts w:ascii="Arial" w:hAnsi="Arial"/>
          <w:sz w:val="16"/>
          <w:szCs w:val="16"/>
        </w:rPr>
        <w:t xml:space="preserve"> </w:t>
      </w:r>
      <w:r>
        <w:rPr>
          <w:rFonts w:ascii="Arial" w:hAnsi="Arial"/>
          <w:sz w:val="16"/>
          <w:szCs w:val="16"/>
        </w:rPr>
        <w:tab/>
      </w:r>
      <w:r w:rsidRPr="009F050D">
        <w:rPr>
          <w:rFonts w:ascii="Arial" w:hAnsi="Arial"/>
          <w:sz w:val="16"/>
          <w:szCs w:val="16"/>
        </w:rPr>
        <w:t xml:space="preserve">For a detailed analysis of nominal household incomes in New Zealand, see Stats NZ’s February 2026 </w:t>
      </w:r>
      <w:r>
        <w:rPr>
          <w:rFonts w:ascii="Arial" w:hAnsi="Arial"/>
          <w:sz w:val="16"/>
          <w:szCs w:val="16"/>
        </w:rPr>
        <w:t>repor</w:t>
      </w:r>
      <w:r w:rsidRPr="009F050D">
        <w:rPr>
          <w:rFonts w:ascii="Arial" w:hAnsi="Arial"/>
          <w:sz w:val="16"/>
          <w:szCs w:val="16"/>
        </w:rPr>
        <w:t>t:</w:t>
      </w:r>
    </w:p>
    <w:p w14:paraId="1248F3EA" w14:textId="77777777" w:rsidR="0033010F" w:rsidRPr="009F050D" w:rsidRDefault="0033010F" w:rsidP="0033010F">
      <w:pPr>
        <w:pStyle w:val="FootnoteText"/>
        <w:ind w:left="284"/>
        <w:rPr>
          <w:rFonts w:ascii="Arial" w:hAnsi="Arial"/>
          <w:sz w:val="16"/>
          <w:szCs w:val="16"/>
        </w:rPr>
      </w:pPr>
      <w:hyperlink r:id="rId26" w:history="1">
        <w:r w:rsidRPr="00D644C8">
          <w:rPr>
            <w:rStyle w:val="Hyperlink"/>
            <w:rFonts w:ascii="Arial" w:hAnsi="Arial"/>
            <w:sz w:val="16"/>
            <w:szCs w:val="16"/>
          </w:rPr>
          <w:t>https://www.stats.govt.nz/information-releases/household-income-and-housing-cost-statistics-year-ended-june-2025/</w:t>
        </w:r>
      </w:hyperlink>
      <w:r>
        <w:rPr>
          <w:rFonts w:ascii="Arial" w:hAnsi="Arial"/>
          <w:sz w:val="16"/>
          <w:szCs w:val="16"/>
        </w:rPr>
        <w:t xml:space="preserve"> </w:t>
      </w:r>
    </w:p>
  </w:footnote>
  <w:footnote w:id="77">
    <w:p w14:paraId="2C92207B" w14:textId="331AC344" w:rsidR="00786A88" w:rsidRPr="002C66ED" w:rsidRDefault="00786A88" w:rsidP="002C7C05">
      <w:pPr>
        <w:spacing w:after="20" w:line="240" w:lineRule="auto"/>
        <w:ind w:left="284" w:hanging="284"/>
        <w:rPr>
          <w:rFonts w:ascii="Arial" w:hAnsi="Arial"/>
          <w:sz w:val="16"/>
          <w:szCs w:val="16"/>
        </w:rPr>
      </w:pPr>
      <w:r w:rsidRPr="002C66ED">
        <w:rPr>
          <w:rStyle w:val="FootnoteReference"/>
          <w:rFonts w:ascii="Arial" w:hAnsi="Arial"/>
          <w:sz w:val="16"/>
          <w:szCs w:val="16"/>
        </w:rPr>
        <w:footnoteRef/>
      </w:r>
      <w:r w:rsidRPr="002C66ED">
        <w:rPr>
          <w:rFonts w:ascii="Arial" w:hAnsi="Arial"/>
          <w:sz w:val="16"/>
          <w:szCs w:val="16"/>
        </w:rPr>
        <w:t xml:space="preserve"> </w:t>
      </w:r>
      <w:r w:rsidRPr="002C66ED">
        <w:rPr>
          <w:rFonts w:ascii="Arial" w:hAnsi="Arial"/>
          <w:sz w:val="16"/>
          <w:szCs w:val="16"/>
        </w:rPr>
        <w:tab/>
        <w:t xml:space="preserve">The reported trend goes only to 2024 (the final HES year) as the HILS 2025 data does not support the analysis behind Figure </w:t>
      </w:r>
      <w:r w:rsidR="001E1422">
        <w:rPr>
          <w:rFonts w:ascii="Arial" w:hAnsi="Arial"/>
          <w:sz w:val="16"/>
          <w:szCs w:val="16"/>
        </w:rPr>
        <w:t>G</w:t>
      </w:r>
      <w:r w:rsidRPr="002C66ED">
        <w:rPr>
          <w:rFonts w:ascii="Arial" w:hAnsi="Arial"/>
          <w:sz w:val="16"/>
          <w:szCs w:val="16"/>
        </w:rPr>
        <w:t xml:space="preserve">.6. </w:t>
      </w:r>
      <w:r w:rsidR="00FD673C" w:rsidRPr="00140879">
        <w:rPr>
          <w:rFonts w:ascii="Arial" w:hAnsi="Arial"/>
          <w:color w:val="000000" w:themeColor="text1"/>
          <w:sz w:val="16"/>
          <w:szCs w:val="16"/>
        </w:rPr>
        <w:t xml:space="preserve">See also </w:t>
      </w:r>
      <w:hyperlink r:id="rId27" w:history="1">
        <w:r w:rsidR="00FD673C" w:rsidRPr="00140879">
          <w:rPr>
            <w:rStyle w:val="Hyperlink"/>
            <w:rFonts w:ascii="Arial" w:hAnsi="Arial"/>
            <w:sz w:val="16"/>
            <w:szCs w:val="16"/>
          </w:rPr>
          <w:t>Material Hardship Lead Indicators Dashboard - Ministry of Social Development</w:t>
        </w:r>
      </w:hyperlink>
      <w:r w:rsidR="00FD673C" w:rsidRPr="00140879">
        <w:rPr>
          <w:rFonts w:ascii="Arial" w:hAnsi="Arial"/>
          <w:color w:val="FF0000"/>
          <w:sz w:val="16"/>
          <w:szCs w:val="16"/>
        </w:rPr>
        <w:t xml:space="preserve"> </w:t>
      </w:r>
      <w:r w:rsidR="00FD673C" w:rsidRPr="00140879">
        <w:rPr>
          <w:rFonts w:ascii="Arial" w:hAnsi="Arial"/>
          <w:color w:val="000000" w:themeColor="text1"/>
          <w:sz w:val="16"/>
          <w:szCs w:val="16"/>
        </w:rPr>
        <w:t>for employment rates for partnered and sole parent females</w:t>
      </w:r>
      <w:r w:rsidR="00FD673C">
        <w:rPr>
          <w:rFonts w:ascii="Arial" w:hAnsi="Arial"/>
          <w:color w:val="FF0000"/>
          <w:sz w:val="16"/>
          <w:szCs w:val="16"/>
        </w:rPr>
        <w:t>.</w:t>
      </w:r>
    </w:p>
  </w:footnote>
  <w:footnote w:id="78">
    <w:p w14:paraId="5F775A8F" w14:textId="702C17A7" w:rsidR="00786A88" w:rsidRPr="002C66ED" w:rsidRDefault="00786A88" w:rsidP="002C7C05">
      <w:pPr>
        <w:pStyle w:val="FootnoteText"/>
        <w:spacing w:after="20"/>
        <w:ind w:left="284" w:hanging="284"/>
        <w:rPr>
          <w:rFonts w:ascii="Arial" w:hAnsi="Arial"/>
          <w:sz w:val="16"/>
          <w:szCs w:val="16"/>
        </w:rPr>
      </w:pPr>
      <w:r w:rsidRPr="002C66ED">
        <w:rPr>
          <w:rStyle w:val="FootnoteReference"/>
          <w:rFonts w:ascii="Arial" w:hAnsi="Arial"/>
          <w:sz w:val="16"/>
          <w:szCs w:val="16"/>
        </w:rPr>
        <w:footnoteRef/>
      </w:r>
      <w:r w:rsidRPr="002C66ED">
        <w:rPr>
          <w:rFonts w:ascii="Arial" w:hAnsi="Arial"/>
          <w:sz w:val="16"/>
          <w:szCs w:val="16"/>
        </w:rPr>
        <w:t xml:space="preserve"> </w:t>
      </w:r>
      <w:r w:rsidRPr="002C66ED">
        <w:rPr>
          <w:rFonts w:ascii="Arial" w:hAnsi="Arial"/>
          <w:sz w:val="16"/>
          <w:szCs w:val="16"/>
        </w:rPr>
        <w:tab/>
        <w:t xml:space="preserve">In 2024, around 4% of all two-parent households had only part-time workers and around 5% were workless. </w:t>
      </w:r>
    </w:p>
  </w:footnote>
  <w:footnote w:id="79">
    <w:p w14:paraId="45BAE745" w14:textId="77777777" w:rsidR="00786A88" w:rsidRPr="002C66ED" w:rsidRDefault="00786A88" w:rsidP="002C7C05">
      <w:pPr>
        <w:pStyle w:val="FootnoteText"/>
        <w:ind w:left="284" w:hanging="284"/>
        <w:rPr>
          <w:rFonts w:ascii="Arial" w:hAnsi="Arial"/>
          <w:sz w:val="16"/>
          <w:szCs w:val="16"/>
        </w:rPr>
      </w:pPr>
      <w:r w:rsidRPr="002C66ED">
        <w:rPr>
          <w:rStyle w:val="FootnoteReference"/>
          <w:rFonts w:ascii="Arial" w:hAnsi="Arial"/>
          <w:sz w:val="16"/>
          <w:szCs w:val="16"/>
        </w:rPr>
        <w:footnoteRef/>
      </w:r>
      <w:r w:rsidRPr="002C66ED">
        <w:rPr>
          <w:rFonts w:ascii="Arial" w:hAnsi="Arial"/>
          <w:sz w:val="16"/>
          <w:szCs w:val="16"/>
        </w:rPr>
        <w:t xml:space="preserve"> </w:t>
      </w:r>
      <w:r w:rsidRPr="002C66ED">
        <w:rPr>
          <w:rFonts w:ascii="Arial" w:hAnsi="Arial"/>
          <w:sz w:val="16"/>
          <w:szCs w:val="16"/>
        </w:rPr>
        <w:tab/>
        <w:t>See Baxter (2023).</w:t>
      </w:r>
    </w:p>
  </w:footnote>
  <w:footnote w:id="80">
    <w:p w14:paraId="5F40BC3E" w14:textId="292579AC" w:rsidR="008F5C1D" w:rsidRPr="008F5C1D" w:rsidRDefault="008F5C1D" w:rsidP="008F5C1D">
      <w:pPr>
        <w:spacing w:after="0" w:line="240" w:lineRule="auto"/>
        <w:ind w:left="142" w:hanging="142"/>
        <w:rPr>
          <w:rFonts w:ascii="Arial" w:hAnsi="Arial"/>
          <w:color w:val="000000"/>
          <w:sz w:val="16"/>
          <w:szCs w:val="16"/>
        </w:rPr>
      </w:pPr>
      <w:r w:rsidRPr="008F5C1D">
        <w:rPr>
          <w:rStyle w:val="FootnoteReference"/>
          <w:rFonts w:ascii="Arial" w:hAnsi="Arial"/>
          <w:sz w:val="16"/>
          <w:szCs w:val="16"/>
        </w:rPr>
        <w:footnoteRef/>
      </w:r>
      <w:r w:rsidRPr="008F5C1D">
        <w:rPr>
          <w:rFonts w:ascii="Arial" w:hAnsi="Arial"/>
          <w:sz w:val="16"/>
          <w:szCs w:val="16"/>
        </w:rPr>
        <w:t xml:space="preserve"> </w:t>
      </w:r>
      <w:r w:rsidRPr="008F5C1D">
        <w:rPr>
          <w:rFonts w:ascii="Arial" w:hAnsi="Arial"/>
          <w:color w:val="000000"/>
          <w:sz w:val="16"/>
          <w:szCs w:val="16"/>
        </w:rPr>
        <w:t xml:space="preserve">The April 2024 rates are the benefit levels relevant to the latest HILS 2024-25 </w:t>
      </w:r>
      <w:r>
        <w:rPr>
          <w:rFonts w:ascii="Arial" w:hAnsi="Arial"/>
          <w:color w:val="000000"/>
          <w:sz w:val="16"/>
          <w:szCs w:val="16"/>
        </w:rPr>
        <w:t xml:space="preserve">incomes </w:t>
      </w:r>
      <w:r w:rsidRPr="008F5C1D">
        <w:rPr>
          <w:rFonts w:ascii="Arial" w:hAnsi="Arial"/>
          <w:color w:val="000000"/>
          <w:sz w:val="16"/>
          <w:szCs w:val="16"/>
        </w:rPr>
        <w:t>data.</w:t>
      </w:r>
    </w:p>
    <w:p w14:paraId="551DCC8F" w14:textId="51828950" w:rsidR="008F5C1D" w:rsidRDefault="008F5C1D">
      <w:pPr>
        <w:pStyle w:val="FootnoteText"/>
      </w:pPr>
    </w:p>
  </w:footnote>
  <w:footnote w:id="81">
    <w:p w14:paraId="25B10902" w14:textId="685F9E25" w:rsidR="001F5C74" w:rsidRPr="007B6EB9" w:rsidRDefault="001F5C74" w:rsidP="007B6EB9">
      <w:pPr>
        <w:spacing w:after="0" w:line="240" w:lineRule="auto"/>
        <w:ind w:left="284" w:hanging="284"/>
        <w:rPr>
          <w:rFonts w:ascii="Arial" w:hAnsi="Arial"/>
          <w:color w:val="000000" w:themeColor="text1"/>
          <w:sz w:val="16"/>
          <w:szCs w:val="16"/>
        </w:rPr>
      </w:pPr>
      <w:r w:rsidRPr="001F5C74">
        <w:rPr>
          <w:rStyle w:val="FootnoteReference"/>
          <w:rFonts w:ascii="Arial" w:hAnsi="Arial"/>
          <w:sz w:val="16"/>
          <w:szCs w:val="16"/>
        </w:rPr>
        <w:footnoteRef/>
      </w:r>
      <w:r w:rsidRPr="001F5C74">
        <w:rPr>
          <w:rFonts w:ascii="Arial" w:hAnsi="Arial"/>
          <w:sz w:val="16"/>
          <w:szCs w:val="16"/>
        </w:rPr>
        <w:t xml:space="preserve"> </w:t>
      </w:r>
      <w:r>
        <w:rPr>
          <w:rFonts w:ascii="Arial" w:hAnsi="Arial"/>
          <w:sz w:val="16"/>
          <w:szCs w:val="16"/>
        </w:rPr>
        <w:tab/>
      </w:r>
      <w:r w:rsidRPr="001F5C74">
        <w:rPr>
          <w:rFonts w:ascii="Arial" w:hAnsi="Arial"/>
          <w:color w:val="000000" w:themeColor="text1"/>
          <w:sz w:val="16"/>
          <w:szCs w:val="16"/>
        </w:rPr>
        <w:t>The household income is ‘equivalised’</w:t>
      </w:r>
      <w:r w:rsidR="001976BF">
        <w:rPr>
          <w:rFonts w:ascii="Arial" w:hAnsi="Arial"/>
          <w:color w:val="000000" w:themeColor="text1"/>
          <w:sz w:val="16"/>
          <w:szCs w:val="16"/>
        </w:rPr>
        <w:t xml:space="preserve"> – it </w:t>
      </w:r>
      <w:r w:rsidRPr="001F5C74">
        <w:rPr>
          <w:rFonts w:ascii="Arial" w:hAnsi="Arial"/>
          <w:color w:val="000000" w:themeColor="text1"/>
          <w:sz w:val="16"/>
          <w:szCs w:val="16"/>
        </w:rPr>
        <w:t xml:space="preserve">is adjusted for household size and composition to enable more reasonable comparisons of the purchasing power of household income between households of different </w:t>
      </w:r>
      <w:r w:rsidR="001976BF">
        <w:rPr>
          <w:rFonts w:ascii="Arial" w:hAnsi="Arial"/>
          <w:color w:val="000000" w:themeColor="text1"/>
          <w:sz w:val="16"/>
          <w:szCs w:val="16"/>
        </w:rPr>
        <w:t>types</w:t>
      </w:r>
      <w:r>
        <w:rPr>
          <w:rFonts w:ascii="Arial" w:hAnsi="Arial"/>
          <w:color w:val="000000" w:themeColor="text1"/>
          <w:sz w:val="16"/>
          <w:szCs w:val="16"/>
        </w:rPr>
        <w:t>.</w:t>
      </w:r>
      <w:r w:rsidR="00FF4E45">
        <w:rPr>
          <w:rFonts w:ascii="Arial" w:hAnsi="Arial"/>
          <w:color w:val="000000" w:themeColor="text1"/>
          <w:sz w:val="16"/>
          <w:szCs w:val="16"/>
        </w:rPr>
        <w:t xml:space="preserve"> </w:t>
      </w:r>
      <w:r w:rsidR="004032A0">
        <w:rPr>
          <w:rFonts w:ascii="Arial" w:hAnsi="Arial"/>
          <w:color w:val="000000" w:themeColor="text1"/>
          <w:sz w:val="16"/>
          <w:szCs w:val="16"/>
        </w:rPr>
        <w:t xml:space="preserve">In Figure </w:t>
      </w:r>
      <w:r w:rsidR="001E1422">
        <w:rPr>
          <w:rFonts w:ascii="Arial" w:hAnsi="Arial"/>
          <w:color w:val="000000" w:themeColor="text1"/>
          <w:sz w:val="16"/>
          <w:szCs w:val="16"/>
        </w:rPr>
        <w:t>G</w:t>
      </w:r>
      <w:r w:rsidR="00B83E3A">
        <w:rPr>
          <w:rFonts w:ascii="Arial" w:hAnsi="Arial"/>
          <w:color w:val="000000" w:themeColor="text1"/>
          <w:sz w:val="16"/>
          <w:szCs w:val="16"/>
        </w:rPr>
        <w:t>.9, the</w:t>
      </w:r>
      <w:r w:rsidR="004032A0">
        <w:rPr>
          <w:rFonts w:ascii="Arial" w:hAnsi="Arial"/>
          <w:color w:val="000000" w:themeColor="text1"/>
          <w:sz w:val="16"/>
          <w:szCs w:val="16"/>
        </w:rPr>
        <w:t xml:space="preserve"> unequivalised incomes of couple households with dependent children may well be equal to or </w:t>
      </w:r>
      <w:r w:rsidR="001976BF">
        <w:rPr>
          <w:rFonts w:ascii="Arial" w:hAnsi="Arial"/>
          <w:color w:val="000000" w:themeColor="text1"/>
          <w:sz w:val="16"/>
          <w:szCs w:val="16"/>
        </w:rPr>
        <w:t>higher than</w:t>
      </w:r>
      <w:r w:rsidR="004032A0">
        <w:rPr>
          <w:rFonts w:ascii="Arial" w:hAnsi="Arial"/>
          <w:color w:val="000000" w:themeColor="text1"/>
          <w:sz w:val="16"/>
          <w:szCs w:val="16"/>
        </w:rPr>
        <w:t xml:space="preserve"> those of couple households without children, but after equivalisation they are on average lower. </w:t>
      </w:r>
      <w:r w:rsidR="00B83E3A">
        <w:rPr>
          <w:rFonts w:ascii="Arial" w:hAnsi="Arial"/>
          <w:color w:val="000000" w:themeColor="text1"/>
          <w:sz w:val="16"/>
          <w:szCs w:val="16"/>
        </w:rPr>
        <w:t xml:space="preserve"> </w:t>
      </w:r>
      <w:r w:rsidR="001976BF" w:rsidRPr="007B6EB9">
        <w:rPr>
          <w:rFonts w:ascii="Arial" w:hAnsi="Arial"/>
          <w:color w:val="000000" w:themeColor="text1"/>
          <w:sz w:val="16"/>
          <w:szCs w:val="16"/>
        </w:rPr>
        <w:t xml:space="preserve">See </w:t>
      </w:r>
      <w:r w:rsidR="0095447B" w:rsidRPr="007B6EB9">
        <w:rPr>
          <w:rFonts w:ascii="Arial" w:hAnsi="Arial"/>
          <w:b/>
          <w:bCs/>
          <w:color w:val="000000" w:themeColor="text1"/>
          <w:sz w:val="16"/>
          <w:szCs w:val="16"/>
        </w:rPr>
        <w:t>Appendix</w:t>
      </w:r>
      <w:r w:rsidR="007B6EB9">
        <w:rPr>
          <w:rFonts w:ascii="Arial" w:hAnsi="Arial"/>
          <w:b/>
          <w:bCs/>
          <w:color w:val="000000" w:themeColor="text1"/>
          <w:sz w:val="16"/>
          <w:szCs w:val="16"/>
        </w:rPr>
        <w:t xml:space="preserve"> 8 </w:t>
      </w:r>
      <w:r w:rsidR="001976BF" w:rsidRPr="007B6EB9">
        <w:rPr>
          <w:rFonts w:ascii="Arial" w:hAnsi="Arial"/>
          <w:color w:val="000000" w:themeColor="text1"/>
          <w:sz w:val="16"/>
          <w:szCs w:val="16"/>
        </w:rPr>
        <w:t xml:space="preserve">for more </w:t>
      </w:r>
      <w:r w:rsidR="00100D67" w:rsidRPr="007B6EB9">
        <w:rPr>
          <w:rFonts w:ascii="Arial" w:hAnsi="Arial"/>
          <w:color w:val="000000" w:themeColor="text1"/>
          <w:sz w:val="16"/>
          <w:szCs w:val="16"/>
        </w:rPr>
        <w:t>information</w:t>
      </w:r>
      <w:r w:rsidR="00100D67">
        <w:rPr>
          <w:rFonts w:ascii="Arial" w:hAnsi="Arial"/>
          <w:color w:val="000000" w:themeColor="text1"/>
          <w:sz w:val="16"/>
          <w:szCs w:val="16"/>
        </w:rPr>
        <w:t>.</w:t>
      </w:r>
      <w:r w:rsidR="0092067A">
        <w:rPr>
          <w:rFonts w:ascii="Arial" w:hAnsi="Arial"/>
          <w:color w:val="000000" w:themeColor="text1"/>
          <w:sz w:val="16"/>
          <w:szCs w:val="16"/>
        </w:rPr>
        <w:t>on equivalisation.</w:t>
      </w:r>
      <w:r w:rsidR="000425EA" w:rsidRPr="000425EA">
        <w:rPr>
          <w:rFonts w:ascii="Arial" w:hAnsi="Arial"/>
          <w:color w:val="000000" w:themeColor="text1"/>
          <w:sz w:val="16"/>
          <w:szCs w:val="16"/>
        </w:rPr>
        <w:t xml:space="preserve"> </w:t>
      </w:r>
    </w:p>
  </w:footnote>
  <w:footnote w:id="82">
    <w:p w14:paraId="6963EBF5" w14:textId="1C970F2B" w:rsidR="007161F6" w:rsidRPr="00153CA1" w:rsidRDefault="007161F6" w:rsidP="00153CA1">
      <w:pPr>
        <w:pStyle w:val="FootnoteText"/>
        <w:spacing w:after="40"/>
        <w:ind w:left="284" w:hanging="284"/>
        <w:rPr>
          <w:rFonts w:ascii="Arial" w:hAnsi="Arial"/>
          <w:sz w:val="16"/>
          <w:szCs w:val="16"/>
        </w:rPr>
      </w:pPr>
      <w:r w:rsidRPr="00153CA1">
        <w:rPr>
          <w:rStyle w:val="FootnoteReference"/>
          <w:rFonts w:ascii="Arial" w:hAnsi="Arial"/>
          <w:sz w:val="16"/>
          <w:szCs w:val="16"/>
        </w:rPr>
        <w:footnoteRef/>
      </w:r>
      <w:r w:rsidRPr="00153CA1">
        <w:rPr>
          <w:rFonts w:ascii="Arial" w:hAnsi="Arial"/>
          <w:sz w:val="16"/>
          <w:szCs w:val="16"/>
        </w:rPr>
        <w:t xml:space="preserve"> </w:t>
      </w:r>
      <w:r w:rsidRPr="00153CA1">
        <w:rPr>
          <w:rFonts w:ascii="Arial" w:hAnsi="Arial"/>
          <w:sz w:val="16"/>
          <w:szCs w:val="16"/>
        </w:rPr>
        <w:tab/>
      </w:r>
      <w:r w:rsidRPr="00153CA1">
        <w:rPr>
          <w:rFonts w:ascii="Arial" w:hAnsi="Arial"/>
          <w:color w:val="000000" w:themeColor="text1"/>
          <w:sz w:val="16"/>
          <w:szCs w:val="16"/>
        </w:rPr>
        <w:t>The threshold for the AHC 50 FIXED-18 line was equivalent to AHC 4</w:t>
      </w:r>
      <w:r w:rsidR="000C2981" w:rsidRPr="00153CA1">
        <w:rPr>
          <w:rFonts w:ascii="Arial" w:hAnsi="Arial"/>
          <w:color w:val="000000" w:themeColor="text1"/>
          <w:sz w:val="16"/>
          <w:szCs w:val="16"/>
        </w:rPr>
        <w:t>6</w:t>
      </w:r>
      <w:r w:rsidRPr="00153CA1">
        <w:rPr>
          <w:rFonts w:ascii="Arial" w:hAnsi="Arial"/>
          <w:color w:val="000000" w:themeColor="text1"/>
          <w:sz w:val="16"/>
          <w:szCs w:val="16"/>
        </w:rPr>
        <w:t xml:space="preserve"> in 202</w:t>
      </w:r>
      <w:r w:rsidR="000C2981" w:rsidRPr="00153CA1">
        <w:rPr>
          <w:rFonts w:ascii="Arial" w:hAnsi="Arial"/>
          <w:color w:val="000000" w:themeColor="text1"/>
          <w:sz w:val="16"/>
          <w:szCs w:val="16"/>
        </w:rPr>
        <w:t>5</w:t>
      </w:r>
      <w:r w:rsidRPr="00153CA1">
        <w:rPr>
          <w:rFonts w:ascii="Arial" w:hAnsi="Arial"/>
          <w:color w:val="000000" w:themeColor="text1"/>
          <w:sz w:val="16"/>
          <w:szCs w:val="16"/>
        </w:rPr>
        <w:t>, and AHC 63 in 2007. The AHC 50 FIXED -07 line was equivalent to AHC 3</w:t>
      </w:r>
      <w:r w:rsidR="000C2981" w:rsidRPr="00153CA1">
        <w:rPr>
          <w:rFonts w:ascii="Arial" w:hAnsi="Arial"/>
          <w:color w:val="000000" w:themeColor="text1"/>
          <w:sz w:val="16"/>
          <w:szCs w:val="16"/>
        </w:rPr>
        <w:t>6</w:t>
      </w:r>
      <w:r w:rsidRPr="00153CA1">
        <w:rPr>
          <w:rFonts w:ascii="Arial" w:hAnsi="Arial"/>
          <w:color w:val="000000" w:themeColor="text1"/>
          <w:sz w:val="16"/>
          <w:szCs w:val="16"/>
        </w:rPr>
        <w:t xml:space="preserve"> in 202</w:t>
      </w:r>
      <w:r w:rsidR="000C2981" w:rsidRPr="00153CA1">
        <w:rPr>
          <w:rFonts w:ascii="Arial" w:hAnsi="Arial"/>
          <w:color w:val="000000" w:themeColor="text1"/>
          <w:sz w:val="16"/>
          <w:szCs w:val="16"/>
        </w:rPr>
        <w:t>5</w:t>
      </w:r>
      <w:r w:rsidRPr="00153CA1">
        <w:rPr>
          <w:rFonts w:ascii="Arial" w:hAnsi="Arial"/>
          <w:color w:val="000000" w:themeColor="text1"/>
          <w:sz w:val="16"/>
          <w:szCs w:val="16"/>
        </w:rPr>
        <w:t>.</w:t>
      </w:r>
      <w:r w:rsidR="00765AEE">
        <w:rPr>
          <w:rFonts w:ascii="Arial" w:hAnsi="Arial"/>
          <w:color w:val="000000" w:themeColor="text1"/>
          <w:sz w:val="16"/>
          <w:szCs w:val="16"/>
        </w:rPr>
        <w:t xml:space="preserve"> See </w:t>
      </w:r>
      <w:r w:rsidR="00765AEE" w:rsidRPr="00765AEE">
        <w:rPr>
          <w:rFonts w:ascii="Arial" w:hAnsi="Arial"/>
          <w:b/>
          <w:bCs/>
          <w:color w:val="000000" w:themeColor="text1"/>
          <w:sz w:val="16"/>
          <w:szCs w:val="16"/>
        </w:rPr>
        <w:t>Appendix</w:t>
      </w:r>
      <w:r w:rsidR="00765AEE">
        <w:rPr>
          <w:rFonts w:ascii="Arial" w:hAnsi="Arial"/>
          <w:b/>
          <w:bCs/>
          <w:color w:val="000000" w:themeColor="text1"/>
          <w:sz w:val="16"/>
          <w:szCs w:val="16"/>
        </w:rPr>
        <w:t xml:space="preserve"> 9</w:t>
      </w:r>
      <w:r w:rsidR="00765AEE">
        <w:rPr>
          <w:rFonts w:ascii="Arial" w:hAnsi="Arial"/>
          <w:color w:val="000000" w:themeColor="text1"/>
          <w:sz w:val="16"/>
          <w:szCs w:val="16"/>
        </w:rPr>
        <w:t xml:space="preserve"> for low-income thresholds for all measures for all HH types.</w:t>
      </w:r>
    </w:p>
  </w:footnote>
  <w:footnote w:id="83">
    <w:p w14:paraId="469D7885" w14:textId="5165B8DA" w:rsidR="00153CA1" w:rsidRPr="00153CA1" w:rsidRDefault="00153CA1" w:rsidP="00153CA1">
      <w:pPr>
        <w:pStyle w:val="FootnoteText"/>
        <w:ind w:left="284" w:hanging="284"/>
        <w:rPr>
          <w:rFonts w:ascii="Arial" w:hAnsi="Arial"/>
          <w:sz w:val="16"/>
          <w:szCs w:val="16"/>
        </w:rPr>
      </w:pPr>
      <w:r w:rsidRPr="00153CA1">
        <w:rPr>
          <w:rStyle w:val="FootnoteReference"/>
          <w:rFonts w:ascii="Arial" w:hAnsi="Arial"/>
          <w:sz w:val="16"/>
          <w:szCs w:val="16"/>
        </w:rPr>
        <w:footnoteRef/>
      </w:r>
      <w:r w:rsidRPr="00153CA1">
        <w:rPr>
          <w:rFonts w:ascii="Arial" w:hAnsi="Arial"/>
          <w:sz w:val="16"/>
          <w:szCs w:val="16"/>
        </w:rPr>
        <w:t xml:space="preserve">  </w:t>
      </w:r>
      <w:r>
        <w:rPr>
          <w:rFonts w:ascii="Arial" w:hAnsi="Arial"/>
          <w:sz w:val="16"/>
          <w:szCs w:val="16"/>
        </w:rPr>
        <w:tab/>
      </w:r>
      <w:r w:rsidRPr="00153CA1">
        <w:rPr>
          <w:rFonts w:ascii="Arial" w:hAnsi="Arial"/>
          <w:sz w:val="16"/>
          <w:szCs w:val="16"/>
        </w:rPr>
        <w:t>The AHC 50 fixed line measure is one of the three primary measures specified in the CPRA. Stats NZ report on this in their annual Child Poverty Statistics Report as ‘Measure (b)’, with 20</w:t>
      </w:r>
      <w:r w:rsidR="00F705F8">
        <w:rPr>
          <w:rFonts w:ascii="Arial" w:hAnsi="Arial"/>
          <w:sz w:val="16"/>
          <w:szCs w:val="16"/>
        </w:rPr>
        <w:t>1</w:t>
      </w:r>
      <w:r w:rsidRPr="00153CA1">
        <w:rPr>
          <w:rFonts w:ascii="Arial" w:hAnsi="Arial"/>
          <w:sz w:val="16"/>
          <w:szCs w:val="16"/>
        </w:rPr>
        <w:t xml:space="preserve">8 as the reference year. See </w:t>
      </w:r>
      <w:hyperlink r:id="rId28" w:history="1">
        <w:r w:rsidRPr="00153CA1">
          <w:rPr>
            <w:rStyle w:val="Hyperlink"/>
            <w:rFonts w:ascii="Arial" w:hAnsi="Arial"/>
            <w:sz w:val="16"/>
            <w:szCs w:val="16"/>
          </w:rPr>
          <w:t>Child poverty statistics: Year ended June 2025 | Stats NZ</w:t>
        </w:r>
      </w:hyperlink>
    </w:p>
  </w:footnote>
  <w:footnote w:id="84">
    <w:p w14:paraId="2DAB9562" w14:textId="77777777" w:rsidR="00951355" w:rsidRPr="00C7308A" w:rsidRDefault="00951355" w:rsidP="00951355">
      <w:pPr>
        <w:pStyle w:val="FootnoteText"/>
        <w:ind w:left="284" w:hanging="284"/>
        <w:rPr>
          <w:rFonts w:ascii="Arial" w:hAnsi="Arial"/>
          <w:b/>
          <w:bCs/>
          <w:color w:val="FF0000"/>
          <w:sz w:val="16"/>
          <w:szCs w:val="16"/>
        </w:rPr>
      </w:pPr>
      <w:r w:rsidRPr="00153071">
        <w:rPr>
          <w:rStyle w:val="FootnoteReference"/>
          <w:rFonts w:ascii="Arial" w:hAnsi="Arial"/>
          <w:sz w:val="16"/>
          <w:szCs w:val="16"/>
        </w:rPr>
        <w:footnoteRef/>
      </w:r>
      <w:r w:rsidRPr="00153071">
        <w:rPr>
          <w:rFonts w:ascii="Arial" w:hAnsi="Arial"/>
          <w:sz w:val="16"/>
          <w:szCs w:val="16"/>
        </w:rPr>
        <w:t xml:space="preserve"> </w:t>
      </w:r>
      <w:r>
        <w:rPr>
          <w:rFonts w:ascii="Arial" w:hAnsi="Arial"/>
          <w:sz w:val="16"/>
          <w:szCs w:val="16"/>
        </w:rPr>
        <w:tab/>
      </w:r>
      <w:r w:rsidRPr="00C7308A">
        <w:rPr>
          <w:rFonts w:ascii="Arial" w:hAnsi="Arial"/>
          <w:sz w:val="16"/>
          <w:szCs w:val="16"/>
        </w:rPr>
        <w:t xml:space="preserve">See p4 in Treasury’s Budget 2026 Child Poverty Report: </w:t>
      </w:r>
      <w:hyperlink r:id="rId29" w:history="1">
        <w:r w:rsidRPr="00C7308A">
          <w:rPr>
            <w:rStyle w:val="Hyperlink"/>
            <w:rFonts w:ascii="Arial" w:hAnsi="Arial"/>
            <w:sz w:val="16"/>
            <w:szCs w:val="16"/>
          </w:rPr>
          <w:t>Child Poverty Report 2026 | The Treasury New Zealand</w:t>
        </w:r>
      </w:hyperlink>
      <w:r w:rsidRPr="00C7308A">
        <w:rPr>
          <w:rFonts w:ascii="Arial" w:hAnsi="Arial"/>
          <w:sz w:val="16"/>
          <w:szCs w:val="16"/>
        </w:rPr>
        <w:t xml:space="preserve"> and </w:t>
      </w:r>
      <w:hyperlink r:id="rId30" w:history="1">
        <w:r w:rsidRPr="00140879">
          <w:rPr>
            <w:rStyle w:val="Hyperlink"/>
            <w:rFonts w:ascii="Arial" w:hAnsi="Arial"/>
            <w:sz w:val="16"/>
            <w:szCs w:val="16"/>
          </w:rPr>
          <w:t>Material Hardship Lead Indicators Dashboard - Ministry of Social Development</w:t>
        </w:r>
      </w:hyperlink>
      <w:r>
        <w:rPr>
          <w:rFonts w:ascii="Arial" w:hAnsi="Arial"/>
          <w:sz w:val="16"/>
          <w:szCs w:val="16"/>
        </w:rPr>
        <w:t>.</w:t>
      </w:r>
    </w:p>
  </w:footnote>
  <w:footnote w:id="85">
    <w:p w14:paraId="60CEB7BC" w14:textId="77777777" w:rsidR="007473A9" w:rsidRPr="00E904C3" w:rsidRDefault="007473A9" w:rsidP="007473A9">
      <w:pPr>
        <w:pStyle w:val="FootnoteText"/>
        <w:spacing w:after="40"/>
        <w:ind w:left="284" w:hanging="284"/>
        <w:rPr>
          <w:rFonts w:ascii="Arial" w:hAnsi="Arial"/>
          <w:sz w:val="16"/>
          <w:szCs w:val="16"/>
        </w:rPr>
      </w:pPr>
      <w:r w:rsidRPr="00E904C3">
        <w:rPr>
          <w:rStyle w:val="FootnoteReference"/>
          <w:rFonts w:ascii="Arial" w:hAnsi="Arial"/>
          <w:sz w:val="16"/>
          <w:szCs w:val="16"/>
        </w:rPr>
        <w:footnoteRef/>
      </w:r>
      <w:r w:rsidRPr="00E904C3">
        <w:rPr>
          <w:rFonts w:ascii="Arial" w:hAnsi="Arial"/>
          <w:sz w:val="16"/>
          <w:szCs w:val="16"/>
        </w:rPr>
        <w:t xml:space="preserve"> </w:t>
      </w:r>
      <w:r>
        <w:rPr>
          <w:rFonts w:ascii="Arial" w:hAnsi="Arial"/>
          <w:sz w:val="16"/>
          <w:szCs w:val="16"/>
        </w:rPr>
        <w:tab/>
      </w:r>
      <w:r w:rsidRPr="00E904C3">
        <w:rPr>
          <w:rFonts w:ascii="Arial" w:hAnsi="Arial"/>
          <w:sz w:val="16"/>
          <w:szCs w:val="16"/>
        </w:rPr>
        <w:t>See MSD (2023) for a comprehensive evaluation report on the impact of the Fami</w:t>
      </w:r>
      <w:r>
        <w:rPr>
          <w:rFonts w:ascii="Arial" w:hAnsi="Arial"/>
          <w:sz w:val="16"/>
          <w:szCs w:val="16"/>
        </w:rPr>
        <w:t>l</w:t>
      </w:r>
      <w:r w:rsidRPr="00E904C3">
        <w:rPr>
          <w:rFonts w:ascii="Arial" w:hAnsi="Arial"/>
          <w:sz w:val="16"/>
          <w:szCs w:val="16"/>
        </w:rPr>
        <w:t>ies Package, etc.</w:t>
      </w:r>
      <w:r w:rsidRPr="002207DC">
        <w:t xml:space="preserve"> </w:t>
      </w:r>
      <w:hyperlink r:id="rId31" w:history="1">
        <w:r w:rsidRPr="004C5153">
          <w:rPr>
            <w:rStyle w:val="Hyperlink"/>
            <w:rFonts w:ascii="Arial" w:hAnsi="Arial"/>
            <w:sz w:val="16"/>
            <w:szCs w:val="16"/>
          </w:rPr>
          <w:t>https://www.msd.govt.nz/documents/about-msd-and-our-work/publications-resources/evaluation/families-package-reports/summaries-of-findings/families-package-final-report.pdf</w:t>
        </w:r>
      </w:hyperlink>
      <w:r>
        <w:rPr>
          <w:rFonts w:ascii="Arial" w:hAnsi="Arial"/>
          <w:sz w:val="16"/>
          <w:szCs w:val="16"/>
        </w:rPr>
        <w:t xml:space="preserve"> </w:t>
      </w:r>
    </w:p>
  </w:footnote>
  <w:footnote w:id="86">
    <w:p w14:paraId="682221DB" w14:textId="4446DF6B" w:rsidR="009E7374" w:rsidRPr="007E731A" w:rsidRDefault="009E7374" w:rsidP="00A72A00">
      <w:pPr>
        <w:pStyle w:val="FootnoteText"/>
        <w:spacing w:after="20"/>
        <w:ind w:left="284" w:hanging="284"/>
        <w:rPr>
          <w:rFonts w:ascii="Arial" w:hAnsi="Arial"/>
          <w:color w:val="000000" w:themeColor="text1"/>
          <w:sz w:val="16"/>
          <w:szCs w:val="16"/>
        </w:rPr>
      </w:pPr>
      <w:r w:rsidRPr="009E7374">
        <w:rPr>
          <w:rStyle w:val="FootnoteReference"/>
          <w:rFonts w:ascii="Arial" w:hAnsi="Arial"/>
          <w:color w:val="0000FF"/>
          <w:sz w:val="16"/>
          <w:szCs w:val="16"/>
        </w:rPr>
        <w:footnoteRef/>
      </w:r>
      <w:r w:rsidRPr="009E7374">
        <w:rPr>
          <w:rFonts w:ascii="Arial" w:hAnsi="Arial"/>
          <w:color w:val="0000FF"/>
          <w:sz w:val="16"/>
          <w:szCs w:val="16"/>
        </w:rPr>
        <w:t xml:space="preserve"> </w:t>
      </w:r>
      <w:r>
        <w:rPr>
          <w:rFonts w:ascii="Arial" w:hAnsi="Arial"/>
          <w:color w:val="0000FF"/>
          <w:sz w:val="16"/>
          <w:szCs w:val="16"/>
        </w:rPr>
        <w:tab/>
      </w:r>
      <w:r w:rsidRPr="007E731A">
        <w:rPr>
          <w:rFonts w:ascii="Arial" w:hAnsi="Arial"/>
          <w:color w:val="000000" w:themeColor="text1"/>
          <w:sz w:val="16"/>
          <w:szCs w:val="16"/>
        </w:rPr>
        <w:t xml:space="preserve">See Section I in Perry (2022) </w:t>
      </w:r>
      <w:r w:rsidR="00261FBB" w:rsidRPr="007E731A">
        <w:rPr>
          <w:rFonts w:ascii="Arial" w:hAnsi="Arial"/>
          <w:color w:val="000000" w:themeColor="text1"/>
          <w:sz w:val="16"/>
          <w:szCs w:val="16"/>
        </w:rPr>
        <w:t xml:space="preserve">for a </w:t>
      </w:r>
      <w:r w:rsidRPr="007E731A">
        <w:rPr>
          <w:rFonts w:ascii="Arial" w:hAnsi="Arial"/>
          <w:color w:val="000000" w:themeColor="text1"/>
          <w:sz w:val="16"/>
          <w:szCs w:val="16"/>
        </w:rPr>
        <w:t xml:space="preserve">discussion of the difference between the OECD’s approach (using gross housing costs) </w:t>
      </w:r>
      <w:r w:rsidR="00B25E99" w:rsidRPr="007E731A">
        <w:rPr>
          <w:rFonts w:ascii="Arial" w:hAnsi="Arial"/>
          <w:color w:val="000000" w:themeColor="text1"/>
          <w:sz w:val="16"/>
          <w:szCs w:val="16"/>
        </w:rPr>
        <w:t>and</w:t>
      </w:r>
      <w:r w:rsidRPr="007E731A">
        <w:rPr>
          <w:rFonts w:ascii="Arial" w:hAnsi="Arial"/>
          <w:color w:val="000000" w:themeColor="text1"/>
          <w:sz w:val="16"/>
          <w:szCs w:val="16"/>
        </w:rPr>
        <w:t xml:space="preserve"> </w:t>
      </w:r>
      <w:r w:rsidR="00B25E99" w:rsidRPr="007E731A">
        <w:rPr>
          <w:rFonts w:ascii="Arial" w:hAnsi="Arial"/>
          <w:color w:val="000000" w:themeColor="text1"/>
          <w:sz w:val="16"/>
          <w:szCs w:val="16"/>
        </w:rPr>
        <w:t>Eurostat’s</w:t>
      </w:r>
      <w:r w:rsidRPr="007E731A">
        <w:rPr>
          <w:rFonts w:ascii="Arial" w:hAnsi="Arial"/>
          <w:color w:val="000000" w:themeColor="text1"/>
          <w:sz w:val="16"/>
          <w:szCs w:val="16"/>
        </w:rPr>
        <w:t xml:space="preserve"> approach (which uses net housing costs after offsetting gross with any housing support such as the AS)</w:t>
      </w:r>
      <w:r w:rsidR="00B25E99" w:rsidRPr="007E731A">
        <w:rPr>
          <w:rFonts w:ascii="Arial" w:hAnsi="Arial"/>
          <w:color w:val="000000" w:themeColor="text1"/>
          <w:sz w:val="16"/>
          <w:szCs w:val="16"/>
        </w:rPr>
        <w:t>. This report uses the OECD approach.</w:t>
      </w:r>
      <w:r w:rsidR="00074529" w:rsidRPr="007E731A">
        <w:rPr>
          <w:rFonts w:ascii="Arial" w:hAnsi="Arial"/>
          <w:color w:val="000000" w:themeColor="text1"/>
          <w:sz w:val="16"/>
          <w:szCs w:val="16"/>
        </w:rPr>
        <w:t xml:space="preserve"> See also Perry (202</w:t>
      </w:r>
      <w:r w:rsidR="00A72A00" w:rsidRPr="007E731A">
        <w:rPr>
          <w:rFonts w:ascii="Arial" w:hAnsi="Arial"/>
          <w:color w:val="000000" w:themeColor="text1"/>
          <w:sz w:val="16"/>
          <w:szCs w:val="16"/>
        </w:rPr>
        <w:t>1</w:t>
      </w:r>
      <w:r w:rsidR="00074529" w:rsidRPr="007E731A">
        <w:rPr>
          <w:rFonts w:ascii="Arial" w:hAnsi="Arial"/>
          <w:color w:val="000000" w:themeColor="text1"/>
          <w:sz w:val="16"/>
          <w:szCs w:val="16"/>
        </w:rPr>
        <w:t>) for</w:t>
      </w:r>
      <w:r w:rsidR="00A72A00" w:rsidRPr="007E731A">
        <w:rPr>
          <w:rFonts w:ascii="Arial" w:hAnsi="Arial"/>
          <w:color w:val="000000" w:themeColor="text1"/>
          <w:sz w:val="16"/>
          <w:szCs w:val="16"/>
        </w:rPr>
        <w:t xml:space="preserve"> some international comparisons.</w:t>
      </w:r>
    </w:p>
  </w:footnote>
  <w:footnote w:id="87">
    <w:p w14:paraId="5FBAA848" w14:textId="77777777" w:rsidR="009E7374" w:rsidRPr="007E731A" w:rsidRDefault="009E7374" w:rsidP="00A72A00">
      <w:pPr>
        <w:pStyle w:val="FootnoteText"/>
        <w:spacing w:after="20"/>
        <w:ind w:left="284" w:hanging="284"/>
        <w:rPr>
          <w:rFonts w:ascii="Arial" w:hAnsi="Arial"/>
          <w:color w:val="000000" w:themeColor="text1"/>
          <w:sz w:val="16"/>
          <w:szCs w:val="16"/>
        </w:rPr>
      </w:pPr>
      <w:r w:rsidRPr="007E731A">
        <w:rPr>
          <w:rStyle w:val="FootnoteReference"/>
          <w:rFonts w:ascii="Arial" w:hAnsi="Arial"/>
          <w:color w:val="000000" w:themeColor="text1"/>
          <w:sz w:val="16"/>
          <w:szCs w:val="16"/>
        </w:rPr>
        <w:footnoteRef/>
      </w:r>
      <w:r w:rsidRPr="007E731A">
        <w:rPr>
          <w:rFonts w:ascii="Arial" w:hAnsi="Arial"/>
          <w:color w:val="000000" w:themeColor="text1"/>
          <w:sz w:val="16"/>
          <w:szCs w:val="16"/>
        </w:rPr>
        <w:t xml:space="preserve"> </w:t>
      </w:r>
      <w:r w:rsidRPr="007E731A">
        <w:rPr>
          <w:rFonts w:ascii="Arial" w:hAnsi="Arial"/>
          <w:color w:val="000000" w:themeColor="text1"/>
          <w:sz w:val="16"/>
          <w:szCs w:val="16"/>
        </w:rPr>
        <w:tab/>
        <w:t>Another approach is to use a minimum level of ‘residual income’ as an indicator of housing stress. ‘Residual income’ is income left over after paying for accommodation. This method is covered off in the use of AHC low-income measures earlier in the report.</w:t>
      </w:r>
    </w:p>
  </w:footnote>
  <w:footnote w:id="88">
    <w:p w14:paraId="7F3B0B75" w14:textId="1BE35B8B" w:rsidR="00560E77" w:rsidRPr="007E731A" w:rsidRDefault="00560E77" w:rsidP="00A72A00">
      <w:pPr>
        <w:pStyle w:val="FootnoteText"/>
        <w:spacing w:after="20"/>
        <w:ind w:left="284" w:hanging="284"/>
        <w:rPr>
          <w:rFonts w:ascii="Arial" w:hAnsi="Arial"/>
          <w:color w:val="000000" w:themeColor="text1"/>
          <w:sz w:val="16"/>
          <w:szCs w:val="16"/>
        </w:rPr>
      </w:pPr>
      <w:r w:rsidRPr="007E731A">
        <w:rPr>
          <w:rStyle w:val="FootnoteReference"/>
          <w:rFonts w:ascii="Arial" w:hAnsi="Arial"/>
          <w:color w:val="000000" w:themeColor="text1"/>
          <w:sz w:val="16"/>
          <w:szCs w:val="16"/>
        </w:rPr>
        <w:footnoteRef/>
      </w:r>
      <w:r w:rsidRPr="007E731A">
        <w:rPr>
          <w:rFonts w:ascii="Arial" w:hAnsi="Arial"/>
          <w:color w:val="000000" w:themeColor="text1"/>
          <w:sz w:val="16"/>
          <w:szCs w:val="16"/>
        </w:rPr>
        <w:t xml:space="preserve"> </w:t>
      </w:r>
      <w:r w:rsidRPr="007E731A">
        <w:rPr>
          <w:rFonts w:ascii="Arial" w:hAnsi="Arial"/>
          <w:color w:val="000000" w:themeColor="text1"/>
          <w:sz w:val="16"/>
          <w:szCs w:val="16"/>
        </w:rPr>
        <w:tab/>
        <w:t xml:space="preserve">Using the standard </w:t>
      </w:r>
      <w:r w:rsidR="000D3F96" w:rsidRPr="007E731A">
        <w:rPr>
          <w:rFonts w:ascii="Arial" w:hAnsi="Arial"/>
          <w:color w:val="000000" w:themeColor="text1"/>
          <w:sz w:val="16"/>
          <w:szCs w:val="16"/>
        </w:rPr>
        <w:t>MH-18</w:t>
      </w:r>
      <w:r w:rsidRPr="007E731A">
        <w:rPr>
          <w:rFonts w:ascii="Arial" w:hAnsi="Arial"/>
          <w:color w:val="000000" w:themeColor="text1"/>
          <w:sz w:val="16"/>
          <w:szCs w:val="16"/>
        </w:rPr>
        <w:t xml:space="preserve"> (</w:t>
      </w:r>
      <w:r w:rsidR="000D3F96" w:rsidRPr="007E731A">
        <w:rPr>
          <w:rFonts w:ascii="Arial" w:hAnsi="Arial"/>
          <w:color w:val="000000" w:themeColor="text1"/>
          <w:sz w:val="16"/>
          <w:szCs w:val="16"/>
        </w:rPr>
        <w:t>7</w:t>
      </w:r>
      <w:r w:rsidRPr="007E731A">
        <w:rPr>
          <w:rFonts w:ascii="Arial" w:hAnsi="Arial"/>
          <w:color w:val="000000" w:themeColor="text1"/>
          <w:sz w:val="16"/>
          <w:szCs w:val="16"/>
        </w:rPr>
        <w:t xml:space="preserve">+) measure. </w:t>
      </w:r>
      <w:r w:rsidRPr="00293980">
        <w:rPr>
          <w:rFonts w:ascii="Arial" w:hAnsi="Arial"/>
          <w:color w:val="000000" w:themeColor="text1"/>
          <w:sz w:val="16"/>
          <w:szCs w:val="16"/>
        </w:rPr>
        <w:t xml:space="preserve">See </w:t>
      </w:r>
      <w:r w:rsidRPr="00293980">
        <w:rPr>
          <w:rFonts w:ascii="Arial" w:hAnsi="Arial"/>
          <w:b/>
          <w:bCs/>
          <w:color w:val="000000" w:themeColor="text1"/>
          <w:sz w:val="16"/>
          <w:szCs w:val="16"/>
        </w:rPr>
        <w:t xml:space="preserve">Table </w:t>
      </w:r>
      <w:r w:rsidR="00A72A00" w:rsidRPr="00293980">
        <w:rPr>
          <w:rFonts w:ascii="Arial" w:hAnsi="Arial"/>
          <w:b/>
          <w:bCs/>
          <w:color w:val="000000" w:themeColor="text1"/>
          <w:sz w:val="16"/>
          <w:szCs w:val="16"/>
        </w:rPr>
        <w:t>E</w:t>
      </w:r>
      <w:r w:rsidRPr="00293980">
        <w:rPr>
          <w:rFonts w:ascii="Arial" w:hAnsi="Arial"/>
          <w:b/>
          <w:bCs/>
          <w:color w:val="000000" w:themeColor="text1"/>
          <w:sz w:val="16"/>
          <w:szCs w:val="16"/>
        </w:rPr>
        <w:t>.</w:t>
      </w:r>
      <w:r w:rsidR="00D60709" w:rsidRPr="00293980">
        <w:rPr>
          <w:rFonts w:ascii="Arial" w:hAnsi="Arial"/>
          <w:b/>
          <w:bCs/>
          <w:color w:val="000000" w:themeColor="text1"/>
          <w:sz w:val="16"/>
          <w:szCs w:val="16"/>
        </w:rPr>
        <w:t>1</w:t>
      </w:r>
      <w:r w:rsidRPr="00293980">
        <w:rPr>
          <w:rFonts w:ascii="Arial" w:hAnsi="Arial"/>
          <w:color w:val="000000" w:themeColor="text1"/>
          <w:sz w:val="16"/>
          <w:szCs w:val="16"/>
        </w:rPr>
        <w:t>.</w:t>
      </w:r>
    </w:p>
  </w:footnote>
  <w:footnote w:id="89">
    <w:p w14:paraId="367E312F" w14:textId="28C24474" w:rsidR="00796E93" w:rsidRPr="007E731A" w:rsidRDefault="00796E93" w:rsidP="00796E93">
      <w:pPr>
        <w:pStyle w:val="FootnoteText"/>
        <w:ind w:left="284" w:hanging="284"/>
        <w:rPr>
          <w:rFonts w:ascii="Arial" w:hAnsi="Arial"/>
          <w:color w:val="000000" w:themeColor="text1"/>
          <w:sz w:val="16"/>
          <w:szCs w:val="16"/>
        </w:rPr>
      </w:pPr>
      <w:r w:rsidRPr="007E731A">
        <w:rPr>
          <w:rStyle w:val="FootnoteReference"/>
          <w:rFonts w:ascii="Arial" w:hAnsi="Arial"/>
          <w:color w:val="000000" w:themeColor="text1"/>
          <w:sz w:val="16"/>
          <w:szCs w:val="16"/>
        </w:rPr>
        <w:footnoteRef/>
      </w:r>
      <w:r w:rsidRPr="007E731A">
        <w:rPr>
          <w:rFonts w:ascii="Arial" w:hAnsi="Arial"/>
          <w:color w:val="000000" w:themeColor="text1"/>
          <w:sz w:val="16"/>
          <w:szCs w:val="16"/>
        </w:rPr>
        <w:t xml:space="preserve"> </w:t>
      </w:r>
      <w:r w:rsidRPr="007E731A">
        <w:rPr>
          <w:rFonts w:ascii="Arial" w:hAnsi="Arial"/>
          <w:color w:val="000000" w:themeColor="text1"/>
          <w:sz w:val="16"/>
          <w:szCs w:val="16"/>
        </w:rPr>
        <w:tab/>
        <w:t xml:space="preserve">The risk ratio (or ‘relative risk’) is a statistic that can be used to succinctly summarise the over- or under-representation of a population subgroup (in this case) in a hardship category, with ratios greater than 1 indicating over-representation. The simplest way to understand it in this instance is as the ratio of the proportion of the sub-group in hardship to the proportion of the sub-group in the population as a whole. See </w:t>
      </w:r>
      <w:r w:rsidRPr="00293980">
        <w:rPr>
          <w:rFonts w:ascii="Arial" w:hAnsi="Arial"/>
          <w:b/>
          <w:bCs/>
          <w:color w:val="000000" w:themeColor="text1"/>
          <w:sz w:val="16"/>
          <w:szCs w:val="16"/>
        </w:rPr>
        <w:t>Table E.1</w:t>
      </w:r>
      <w:r w:rsidRPr="007E731A">
        <w:rPr>
          <w:rFonts w:ascii="Arial" w:hAnsi="Arial"/>
          <w:color w:val="000000" w:themeColor="text1"/>
          <w:sz w:val="16"/>
          <w:szCs w:val="16"/>
        </w:rPr>
        <w:t xml:space="preserve"> </w:t>
      </w:r>
      <w:r w:rsidR="00293980">
        <w:rPr>
          <w:rFonts w:ascii="Arial" w:hAnsi="Arial"/>
          <w:color w:val="000000" w:themeColor="text1"/>
          <w:sz w:val="16"/>
          <w:szCs w:val="16"/>
        </w:rPr>
        <w:t>for</w:t>
      </w:r>
      <w:r w:rsidRPr="007E731A">
        <w:rPr>
          <w:rFonts w:ascii="Arial" w:hAnsi="Arial"/>
          <w:color w:val="000000" w:themeColor="text1"/>
          <w:sz w:val="16"/>
          <w:szCs w:val="16"/>
        </w:rPr>
        <w:t xml:space="preserve"> these proportions.</w:t>
      </w:r>
    </w:p>
  </w:footnote>
  <w:footnote w:id="90">
    <w:p w14:paraId="05D2AF12" w14:textId="77777777" w:rsidR="0027437F" w:rsidRPr="00762CBF" w:rsidRDefault="0027437F" w:rsidP="0027437F">
      <w:pPr>
        <w:pStyle w:val="FootnoteText"/>
        <w:spacing w:after="40"/>
        <w:ind w:left="284" w:hanging="284"/>
        <w:rPr>
          <w:rFonts w:ascii="Arial" w:hAnsi="Arial"/>
          <w:sz w:val="16"/>
          <w:szCs w:val="16"/>
        </w:rPr>
      </w:pPr>
      <w:r w:rsidRPr="003A18B6">
        <w:rPr>
          <w:rStyle w:val="FootnoteReference"/>
          <w:rFonts w:ascii="Arial" w:hAnsi="Arial"/>
          <w:sz w:val="16"/>
          <w:szCs w:val="16"/>
        </w:rPr>
        <w:footnoteRef/>
      </w:r>
      <w:r w:rsidRPr="003A18B6">
        <w:rPr>
          <w:rFonts w:ascii="Arial" w:hAnsi="Arial"/>
          <w:sz w:val="16"/>
          <w:szCs w:val="16"/>
        </w:rPr>
        <w:t xml:space="preserve"> </w:t>
      </w:r>
      <w:r w:rsidRPr="003A18B6">
        <w:rPr>
          <w:rFonts w:ascii="Arial" w:hAnsi="Arial"/>
          <w:sz w:val="16"/>
          <w:szCs w:val="16"/>
        </w:rPr>
        <w:tab/>
        <w:t>For example, the HES does not include the families in Emergency Housing which in February 2023 included around 3200 children</w:t>
      </w:r>
      <w:r>
        <w:rPr>
          <w:rFonts w:ascii="Arial" w:hAnsi="Arial"/>
          <w:sz w:val="16"/>
          <w:szCs w:val="16"/>
        </w:rPr>
        <w:t>.</w:t>
      </w:r>
      <w:r w:rsidRPr="003A18B6">
        <w:rPr>
          <w:rFonts w:ascii="Arial" w:hAnsi="Arial"/>
          <w:sz w:val="16"/>
          <w:szCs w:val="16"/>
        </w:rPr>
        <w:t xml:space="preserve"> </w:t>
      </w:r>
      <w:r>
        <w:rPr>
          <w:rFonts w:ascii="Arial" w:hAnsi="Arial"/>
          <w:sz w:val="16"/>
          <w:szCs w:val="16"/>
        </w:rPr>
        <w:t>At the end of the HILS 2024-25 collection period</w:t>
      </w:r>
      <w:r w:rsidRPr="00377363">
        <w:rPr>
          <w:rFonts w:ascii="Arial" w:hAnsi="Arial"/>
          <w:sz w:val="16"/>
          <w:szCs w:val="16"/>
        </w:rPr>
        <w:t xml:space="preserve"> </w:t>
      </w:r>
      <w:r>
        <w:rPr>
          <w:rFonts w:ascii="Arial" w:hAnsi="Arial"/>
          <w:sz w:val="16"/>
          <w:szCs w:val="16"/>
        </w:rPr>
        <w:t xml:space="preserve">in June 2025 the numbers were </w:t>
      </w:r>
      <w:r w:rsidRPr="00377363">
        <w:rPr>
          <w:rFonts w:ascii="Arial" w:hAnsi="Arial"/>
          <w:sz w:val="16"/>
          <w:szCs w:val="16"/>
        </w:rPr>
        <w:t>426</w:t>
      </w:r>
      <w:r>
        <w:rPr>
          <w:rFonts w:ascii="Arial" w:hAnsi="Arial"/>
          <w:sz w:val="16"/>
          <w:szCs w:val="16"/>
        </w:rPr>
        <w:t>.</w:t>
      </w:r>
      <w:r w:rsidRPr="00C402DD">
        <w:rPr>
          <w:rFonts w:ascii="Arial" w:hAnsi="Arial"/>
          <w:sz w:val="16"/>
          <w:szCs w:val="16"/>
        </w:rPr>
        <w:t xml:space="preserve"> </w:t>
      </w:r>
      <w:r w:rsidRPr="003A18B6">
        <w:rPr>
          <w:rFonts w:ascii="Arial" w:hAnsi="Arial"/>
          <w:sz w:val="16"/>
          <w:szCs w:val="16"/>
        </w:rPr>
        <w:t>(Source: MSD Monthly Housing Update</w:t>
      </w:r>
      <w:r>
        <w:rPr>
          <w:rFonts w:ascii="Arial" w:hAnsi="Arial"/>
          <w:sz w:val="16"/>
          <w:szCs w:val="16"/>
        </w:rPr>
        <w:t xml:space="preserve"> available at </w:t>
      </w:r>
      <w:hyperlink r:id="rId32" w:history="1">
        <w:r w:rsidRPr="00B06352">
          <w:rPr>
            <w:rStyle w:val="Hyperlink"/>
            <w:rFonts w:ascii="Arial" w:hAnsi="Arial"/>
            <w:sz w:val="16"/>
            <w:szCs w:val="16"/>
          </w:rPr>
          <w:t>https://www.msd.govt.nz/about-msd-and-our-work/publications-resources/statistics/housing/housing-monthly-archive/index.html</w:t>
        </w:r>
      </w:hyperlink>
      <w:r>
        <w:rPr>
          <w:rFonts w:ascii="Arial" w:hAnsi="Arial"/>
          <w:sz w:val="16"/>
          <w:szCs w:val="16"/>
        </w:rPr>
        <w:t xml:space="preserve"> </w:t>
      </w:r>
      <w:r w:rsidRPr="003A18B6">
        <w:rPr>
          <w:rFonts w:ascii="Arial" w:hAnsi="Arial"/>
          <w:sz w:val="16"/>
          <w:szCs w:val="16"/>
        </w:rPr>
        <w:t>).</w:t>
      </w:r>
    </w:p>
  </w:footnote>
  <w:footnote w:id="91">
    <w:p w14:paraId="7E92FB69" w14:textId="4790849D" w:rsidR="0027437F" w:rsidRPr="00762CBF" w:rsidRDefault="0027437F" w:rsidP="0027437F">
      <w:pPr>
        <w:spacing w:after="20" w:line="240" w:lineRule="auto"/>
        <w:ind w:left="284" w:hanging="284"/>
        <w:rPr>
          <w:rFonts w:ascii="Arial" w:hAnsi="Arial"/>
          <w:sz w:val="16"/>
          <w:szCs w:val="16"/>
        </w:rPr>
      </w:pPr>
      <w:r w:rsidRPr="00762CBF">
        <w:rPr>
          <w:rStyle w:val="FootnoteReference"/>
          <w:rFonts w:ascii="Arial" w:hAnsi="Arial"/>
          <w:sz w:val="16"/>
          <w:szCs w:val="16"/>
        </w:rPr>
        <w:footnoteRef/>
      </w:r>
      <w:r w:rsidRPr="00762CBF">
        <w:rPr>
          <w:rFonts w:ascii="Arial" w:hAnsi="Arial"/>
          <w:sz w:val="16"/>
          <w:szCs w:val="16"/>
        </w:rPr>
        <w:t xml:space="preserve"> </w:t>
      </w:r>
      <w:r w:rsidRPr="00762CBF">
        <w:rPr>
          <w:rFonts w:ascii="Arial" w:hAnsi="Arial"/>
          <w:sz w:val="16"/>
          <w:szCs w:val="16"/>
        </w:rPr>
        <w:tab/>
      </w:r>
      <w:r>
        <w:rPr>
          <w:rFonts w:ascii="Arial" w:hAnsi="Arial"/>
          <w:sz w:val="16"/>
          <w:szCs w:val="16"/>
        </w:rPr>
        <w:t>For example, t</w:t>
      </w:r>
      <w:r w:rsidRPr="00762CBF">
        <w:rPr>
          <w:rFonts w:ascii="Arial" w:hAnsi="Arial"/>
          <w:sz w:val="16"/>
          <w:szCs w:val="16"/>
        </w:rPr>
        <w:t xml:space="preserve">he Ministry of Housing and Urban Development (HUD) contracted the University of Otago to produce an estimate of New Zealand’s homeless population, using 2018 Census data. This estimated </w:t>
      </w:r>
      <w:r>
        <w:rPr>
          <w:rFonts w:ascii="Arial" w:hAnsi="Arial"/>
          <w:sz w:val="16"/>
          <w:szCs w:val="16"/>
        </w:rPr>
        <w:t xml:space="preserve">that </w:t>
      </w:r>
      <w:r w:rsidRPr="00762CBF">
        <w:rPr>
          <w:rFonts w:ascii="Arial" w:hAnsi="Arial"/>
          <w:sz w:val="16"/>
          <w:szCs w:val="16"/>
        </w:rPr>
        <w:t>there were around 3500 people living without shelter, and 7500 people in emergency housing, campgrounds, motels, and other temporary accommodation.  </w:t>
      </w:r>
      <w:hyperlink r:id="rId33" w:history="1">
        <w:r w:rsidRPr="00762CBF">
          <w:rPr>
            <w:rStyle w:val="Hyperlink"/>
            <w:rFonts w:ascii="Arial" w:hAnsi="Arial"/>
            <w:sz w:val="16"/>
            <w:szCs w:val="16"/>
          </w:rPr>
          <w:t>2018 Severe Housing Deprivation Estimate - Te Tūāpapa Kura Kāinga - Ministry of Housing and Urban Development (hud.govt.nz)</w:t>
        </w:r>
      </w:hyperlink>
    </w:p>
  </w:footnote>
  <w:footnote w:id="92">
    <w:p w14:paraId="67C3DBFC" w14:textId="77777777" w:rsidR="0027437F" w:rsidRPr="00762CBF" w:rsidRDefault="0027437F" w:rsidP="0027437F">
      <w:pPr>
        <w:pStyle w:val="FootnoteText"/>
        <w:spacing w:after="40"/>
        <w:ind w:left="284" w:hanging="284"/>
        <w:rPr>
          <w:rFonts w:ascii="Arial" w:hAnsi="Arial"/>
          <w:sz w:val="16"/>
          <w:szCs w:val="16"/>
        </w:rPr>
      </w:pPr>
      <w:r w:rsidRPr="00762CBF">
        <w:rPr>
          <w:rStyle w:val="FootnoteReference"/>
          <w:rFonts w:ascii="Arial" w:hAnsi="Arial"/>
          <w:sz w:val="16"/>
          <w:szCs w:val="16"/>
        </w:rPr>
        <w:footnoteRef/>
      </w:r>
      <w:r w:rsidRPr="00762CBF">
        <w:rPr>
          <w:rFonts w:ascii="Arial" w:hAnsi="Arial"/>
          <w:sz w:val="16"/>
          <w:szCs w:val="16"/>
        </w:rPr>
        <w:t xml:space="preserve"> </w:t>
      </w:r>
      <w:r w:rsidRPr="00762CBF">
        <w:rPr>
          <w:rFonts w:ascii="Arial" w:hAnsi="Arial"/>
          <w:sz w:val="16"/>
          <w:szCs w:val="16"/>
        </w:rPr>
        <w:tab/>
        <w:t>Once the population weights were applied to gross up the sample numbers to population estimates the number of individuals in the lower two NZDep deciles was 19.4%.</w:t>
      </w:r>
    </w:p>
  </w:footnote>
  <w:footnote w:id="93">
    <w:p w14:paraId="5DE49A68" w14:textId="68825D72" w:rsidR="00711FE4" w:rsidRPr="006671E9" w:rsidRDefault="00711FE4" w:rsidP="00711FE4">
      <w:pPr>
        <w:spacing w:after="0" w:line="240" w:lineRule="auto"/>
        <w:ind w:left="284" w:hanging="284"/>
        <w:jc w:val="both"/>
        <w:rPr>
          <w:rFonts w:ascii="Arial" w:hAnsi="Arial"/>
          <w:color w:val="000000"/>
          <w:sz w:val="16"/>
          <w:szCs w:val="16"/>
        </w:rPr>
      </w:pPr>
      <w:r w:rsidRPr="006671E9">
        <w:rPr>
          <w:rStyle w:val="FootnoteReference"/>
          <w:rFonts w:ascii="Arial" w:hAnsi="Arial"/>
          <w:sz w:val="16"/>
          <w:szCs w:val="16"/>
        </w:rPr>
        <w:footnoteRef/>
      </w:r>
      <w:r w:rsidRPr="006671E9">
        <w:rPr>
          <w:rFonts w:ascii="Arial" w:hAnsi="Arial"/>
          <w:sz w:val="16"/>
          <w:szCs w:val="16"/>
        </w:rPr>
        <w:t xml:space="preserve"> </w:t>
      </w:r>
      <w:r>
        <w:rPr>
          <w:rFonts w:ascii="Arial" w:hAnsi="Arial"/>
          <w:sz w:val="16"/>
          <w:szCs w:val="16"/>
        </w:rPr>
        <w:tab/>
      </w:r>
      <w:r w:rsidRPr="006671E9">
        <w:rPr>
          <w:rFonts w:ascii="Arial" w:hAnsi="Arial"/>
          <w:color w:val="000000"/>
          <w:sz w:val="16"/>
          <w:szCs w:val="16"/>
        </w:rPr>
        <w:t xml:space="preserve">Further information on the processing methodology is available </w:t>
      </w:r>
      <w:r w:rsidR="00437765">
        <w:rPr>
          <w:rFonts w:ascii="Arial" w:hAnsi="Arial"/>
          <w:color w:val="000000"/>
          <w:sz w:val="16"/>
          <w:szCs w:val="16"/>
        </w:rPr>
        <w:t>at</w:t>
      </w:r>
      <w:r w:rsidRPr="006671E9">
        <w:rPr>
          <w:rFonts w:ascii="Arial" w:hAnsi="Arial"/>
          <w:color w:val="000000"/>
          <w:sz w:val="16"/>
          <w:szCs w:val="16"/>
        </w:rPr>
        <w:t>:</w:t>
      </w:r>
    </w:p>
    <w:p w14:paraId="26046BAA" w14:textId="77777777" w:rsidR="00711FE4" w:rsidRPr="00B126CE" w:rsidRDefault="00711FE4" w:rsidP="00711FE4">
      <w:pPr>
        <w:pStyle w:val="FootnoteText"/>
        <w:ind w:firstLine="284"/>
        <w:rPr>
          <w:rFonts w:ascii="Arial" w:hAnsi="Arial"/>
          <w:sz w:val="16"/>
          <w:szCs w:val="16"/>
        </w:rPr>
      </w:pPr>
      <w:hyperlink r:id="rId34" w:history="1">
        <w:r w:rsidRPr="008D478E">
          <w:rPr>
            <w:rStyle w:val="Hyperlink"/>
            <w:rFonts w:ascii="Arial" w:hAnsi="Arial"/>
            <w:sz w:val="16"/>
            <w:szCs w:val="16"/>
          </w:rPr>
          <w:t>https://www.stats.govt.nz/methods/child-poverty-statistics-year-ended-june-2025-technical-appendix/</w:t>
        </w:r>
      </w:hyperlink>
      <w:r>
        <w:rPr>
          <w:rFonts w:ascii="Arial" w:hAnsi="Arial"/>
          <w:sz w:val="16"/>
          <w:szCs w:val="16"/>
        </w:rPr>
        <w:t xml:space="preserve"> </w:t>
      </w:r>
    </w:p>
  </w:footnote>
  <w:footnote w:id="94">
    <w:p w14:paraId="12A3111B" w14:textId="77777777" w:rsidR="00711FE4" w:rsidRPr="00C80089" w:rsidRDefault="00711FE4" w:rsidP="00711FE4">
      <w:pPr>
        <w:pStyle w:val="FootnoteText"/>
        <w:spacing w:after="20"/>
        <w:ind w:left="284" w:hanging="284"/>
        <w:rPr>
          <w:rFonts w:ascii="Arial" w:hAnsi="Arial"/>
          <w:sz w:val="16"/>
          <w:szCs w:val="16"/>
        </w:rPr>
      </w:pPr>
      <w:r w:rsidRPr="00C80089">
        <w:rPr>
          <w:rStyle w:val="FootnoteReference"/>
          <w:rFonts w:ascii="Arial" w:hAnsi="Arial"/>
          <w:sz w:val="16"/>
          <w:szCs w:val="16"/>
        </w:rPr>
        <w:footnoteRef/>
      </w:r>
      <w:r w:rsidRPr="00C80089">
        <w:rPr>
          <w:rFonts w:ascii="Arial" w:hAnsi="Arial"/>
          <w:sz w:val="16"/>
          <w:szCs w:val="16"/>
        </w:rPr>
        <w:t xml:space="preserve"> </w:t>
      </w:r>
      <w:r w:rsidRPr="00C80089">
        <w:rPr>
          <w:rFonts w:ascii="Arial" w:hAnsi="Arial"/>
          <w:sz w:val="16"/>
          <w:szCs w:val="16"/>
        </w:rPr>
        <w:tab/>
        <w:t>See</w:t>
      </w:r>
      <w:r w:rsidRPr="00C80089">
        <w:rPr>
          <w:rFonts w:ascii="Arial" w:hAnsi="Arial"/>
          <w:b/>
          <w:bCs/>
          <w:sz w:val="16"/>
          <w:szCs w:val="16"/>
        </w:rPr>
        <w:t xml:space="preserve"> Figure A2.2 </w:t>
      </w:r>
      <w:r w:rsidRPr="00C80089">
        <w:rPr>
          <w:rFonts w:ascii="Arial" w:hAnsi="Arial"/>
          <w:sz w:val="16"/>
          <w:szCs w:val="16"/>
        </w:rPr>
        <w:t xml:space="preserve">in Appendix 2 for the material hardship trend with error bars included. </w:t>
      </w:r>
    </w:p>
  </w:footnote>
  <w:footnote w:id="95">
    <w:p w14:paraId="14D40311" w14:textId="77777777" w:rsidR="00711FE4" w:rsidRPr="00C80089" w:rsidRDefault="00711FE4" w:rsidP="00711FE4">
      <w:pPr>
        <w:pStyle w:val="FootnoteText"/>
        <w:spacing w:after="20"/>
        <w:ind w:left="284" w:hanging="284"/>
        <w:rPr>
          <w:rFonts w:ascii="Arial" w:hAnsi="Arial"/>
          <w:sz w:val="16"/>
          <w:szCs w:val="16"/>
        </w:rPr>
      </w:pPr>
      <w:r w:rsidRPr="00C80089">
        <w:rPr>
          <w:rStyle w:val="FootnoteReference"/>
          <w:rFonts w:ascii="Arial" w:hAnsi="Arial"/>
          <w:sz w:val="16"/>
          <w:szCs w:val="16"/>
        </w:rPr>
        <w:footnoteRef/>
      </w:r>
      <w:r w:rsidRPr="00C80089">
        <w:rPr>
          <w:rFonts w:ascii="Arial" w:hAnsi="Arial"/>
          <w:sz w:val="16"/>
          <w:szCs w:val="16"/>
        </w:rPr>
        <w:t xml:space="preserve"> </w:t>
      </w:r>
      <w:r>
        <w:rPr>
          <w:rFonts w:ascii="Arial" w:hAnsi="Arial"/>
          <w:sz w:val="16"/>
          <w:szCs w:val="16"/>
        </w:rPr>
        <w:tab/>
      </w:r>
      <w:r w:rsidRPr="00C80089">
        <w:rPr>
          <w:rFonts w:ascii="Arial" w:hAnsi="Arial"/>
          <w:sz w:val="16"/>
          <w:szCs w:val="16"/>
        </w:rPr>
        <w:t xml:space="preserve">Stats NZ’s Summary Table in their February 2026 release has good information on both the level sampling error and the sampling error on the change between periods. </w:t>
      </w:r>
      <w:hyperlink r:id="rId35" w:history="1">
        <w:r w:rsidRPr="00C80089">
          <w:rPr>
            <w:rStyle w:val="Hyperlink"/>
            <w:rFonts w:ascii="Arial" w:hAnsi="Arial"/>
            <w:sz w:val="16"/>
            <w:szCs w:val="16"/>
          </w:rPr>
          <w:t>https://www.stats.govt.nz/information-releases/child-poverty-statistics-year-ended-june-2025/</w:t>
        </w:r>
      </w:hyperlink>
      <w:r w:rsidRPr="00C80089">
        <w:rPr>
          <w:rFonts w:ascii="Arial" w:hAnsi="Arial"/>
          <w:sz w:val="16"/>
          <w:szCs w:val="16"/>
        </w:rPr>
        <w:t xml:space="preserve"> </w:t>
      </w:r>
    </w:p>
  </w:footnote>
  <w:footnote w:id="96">
    <w:p w14:paraId="248656E1" w14:textId="77777777" w:rsidR="00711FE4" w:rsidRPr="00C80089" w:rsidRDefault="00711FE4" w:rsidP="00711FE4">
      <w:pPr>
        <w:pStyle w:val="FootnoteText"/>
        <w:spacing w:after="20"/>
        <w:ind w:left="284" w:hanging="284"/>
        <w:rPr>
          <w:rFonts w:ascii="Arial" w:hAnsi="Arial"/>
          <w:color w:val="000000" w:themeColor="text1"/>
          <w:sz w:val="16"/>
          <w:szCs w:val="16"/>
        </w:rPr>
      </w:pPr>
      <w:r w:rsidRPr="00C80089">
        <w:rPr>
          <w:rStyle w:val="FootnoteReference"/>
          <w:rFonts w:ascii="Arial" w:hAnsi="Arial"/>
          <w:color w:val="000000" w:themeColor="text1"/>
          <w:sz w:val="16"/>
          <w:szCs w:val="16"/>
        </w:rPr>
        <w:footnoteRef/>
      </w:r>
      <w:r w:rsidRPr="00C80089">
        <w:rPr>
          <w:rFonts w:ascii="Arial" w:hAnsi="Arial"/>
          <w:color w:val="000000" w:themeColor="text1"/>
          <w:sz w:val="16"/>
          <w:szCs w:val="16"/>
        </w:rPr>
        <w:t xml:space="preserve"> </w:t>
      </w:r>
      <w:r w:rsidRPr="00C80089">
        <w:rPr>
          <w:rFonts w:ascii="Arial" w:hAnsi="Arial"/>
          <w:color w:val="000000" w:themeColor="text1"/>
          <w:sz w:val="16"/>
          <w:szCs w:val="16"/>
        </w:rPr>
        <w:tab/>
        <w:t xml:space="preserve">See Stats NZ’s Technical Appendix for their Child Poverty Statistics release for an account of the strategies and procedures used to reduce non-sample error including the chances of sample bias. </w:t>
      </w:r>
    </w:p>
    <w:p w14:paraId="50BFB5F3" w14:textId="77777777" w:rsidR="00711FE4" w:rsidRPr="00C80089" w:rsidRDefault="00711FE4" w:rsidP="00711FE4">
      <w:pPr>
        <w:pStyle w:val="FootnoteText"/>
        <w:spacing w:after="20"/>
        <w:ind w:left="284"/>
        <w:rPr>
          <w:rFonts w:ascii="Arial" w:hAnsi="Arial"/>
          <w:color w:val="000000" w:themeColor="text1"/>
          <w:sz w:val="16"/>
          <w:szCs w:val="16"/>
        </w:rPr>
      </w:pPr>
      <w:hyperlink r:id="rId36" w:anchor="hils" w:history="1">
        <w:r w:rsidRPr="008D478E">
          <w:rPr>
            <w:rStyle w:val="Hyperlink"/>
            <w:rFonts w:ascii="Arial" w:hAnsi="Arial"/>
            <w:sz w:val="16"/>
            <w:szCs w:val="16"/>
          </w:rPr>
          <w:t>https://www.stats.govt.nz/methods/child-poverty-statistics-year-ended-june-2025-technical-appendix/#hils</w:t>
        </w:r>
      </w:hyperlink>
      <w:r>
        <w:rPr>
          <w:rFonts w:ascii="Arial" w:hAnsi="Arial"/>
          <w:color w:val="000000" w:themeColor="text1"/>
          <w:sz w:val="16"/>
          <w:szCs w:val="16"/>
        </w:rPr>
        <w:t xml:space="preserve"> </w:t>
      </w:r>
    </w:p>
  </w:footnote>
  <w:footnote w:id="97">
    <w:p w14:paraId="65B41EAA" w14:textId="77777777" w:rsidR="00711FE4" w:rsidRPr="00C80089" w:rsidRDefault="00711FE4" w:rsidP="00711FE4">
      <w:pPr>
        <w:pStyle w:val="FootnoteText"/>
        <w:spacing w:after="20"/>
        <w:ind w:left="284" w:hanging="284"/>
        <w:rPr>
          <w:rFonts w:ascii="Arial" w:hAnsi="Arial"/>
          <w:sz w:val="16"/>
          <w:szCs w:val="16"/>
        </w:rPr>
      </w:pPr>
      <w:r w:rsidRPr="00C80089">
        <w:rPr>
          <w:rStyle w:val="FootnoteReference"/>
          <w:rFonts w:ascii="Arial" w:hAnsi="Arial"/>
          <w:sz w:val="16"/>
          <w:szCs w:val="16"/>
        </w:rPr>
        <w:footnoteRef/>
      </w:r>
      <w:r w:rsidRPr="00C80089">
        <w:rPr>
          <w:rFonts w:ascii="Arial" w:hAnsi="Arial"/>
          <w:sz w:val="16"/>
          <w:szCs w:val="16"/>
        </w:rPr>
        <w:t xml:space="preserve"> </w:t>
      </w:r>
      <w:r w:rsidRPr="00C80089">
        <w:rPr>
          <w:rFonts w:ascii="Arial" w:hAnsi="Arial"/>
          <w:sz w:val="16"/>
          <w:szCs w:val="16"/>
        </w:rPr>
        <w:tab/>
        <w:t>See Sections N and O of the 2022 Child Poverty Report for more detailed discussion of the VLI issue and MSD’s interim treatment methodology and its rationale</w:t>
      </w:r>
      <w:r>
        <w:rPr>
          <w:rFonts w:ascii="Arial" w:hAnsi="Arial"/>
          <w:sz w:val="16"/>
          <w:szCs w:val="16"/>
        </w:rPr>
        <w:t xml:space="preserve">: </w:t>
      </w:r>
      <w:hyperlink r:id="rId37" w:history="1">
        <w:r w:rsidRPr="008D478E">
          <w:rPr>
            <w:rStyle w:val="Hyperlink"/>
            <w:rFonts w:ascii="Arial" w:hAnsi="Arial"/>
            <w:sz w:val="16"/>
            <w:szCs w:val="16"/>
          </w:rPr>
          <w:t>https://www.msd.govt.nz/about-msd-and-our-work/publications-resources/research/child-poverty-in-nz/child-poverty-2022-report.html</w:t>
        </w:r>
      </w:hyperlink>
      <w:r>
        <w:rPr>
          <w:rFonts w:ascii="Arial" w:hAnsi="Arial"/>
          <w:sz w:val="16"/>
          <w:szCs w:val="16"/>
        </w:rPr>
        <w:t xml:space="preserve"> </w:t>
      </w:r>
    </w:p>
  </w:footnote>
  <w:footnote w:id="98">
    <w:p w14:paraId="4A095578" w14:textId="77777777" w:rsidR="00711FE4" w:rsidRPr="008E40D7" w:rsidRDefault="00711FE4" w:rsidP="00711FE4">
      <w:pPr>
        <w:pStyle w:val="FootnoteText"/>
        <w:ind w:left="284" w:hanging="284"/>
        <w:rPr>
          <w:rFonts w:ascii="Arial" w:hAnsi="Arial"/>
          <w:sz w:val="16"/>
          <w:szCs w:val="16"/>
        </w:rPr>
      </w:pPr>
      <w:r w:rsidRPr="008E40D7">
        <w:rPr>
          <w:rStyle w:val="FootnoteReference"/>
          <w:rFonts w:ascii="Arial" w:hAnsi="Arial"/>
          <w:sz w:val="16"/>
          <w:szCs w:val="16"/>
        </w:rPr>
        <w:footnoteRef/>
      </w:r>
      <w:r w:rsidRPr="008E40D7">
        <w:rPr>
          <w:rFonts w:ascii="Arial" w:hAnsi="Arial"/>
          <w:sz w:val="16"/>
          <w:szCs w:val="16"/>
        </w:rPr>
        <w:t xml:space="preserve"> </w:t>
      </w:r>
      <w:r w:rsidRPr="008E40D7">
        <w:rPr>
          <w:rFonts w:ascii="Arial" w:hAnsi="Arial"/>
          <w:sz w:val="16"/>
          <w:szCs w:val="16"/>
        </w:rPr>
        <w:tab/>
        <w:t>The summary above is for the measures using low income. The non-income measures show only a very small if any change</w:t>
      </w:r>
      <w:r>
        <w:rPr>
          <w:rFonts w:ascii="Arial" w:hAnsi="Arial"/>
          <w:sz w:val="16"/>
          <w:szCs w:val="16"/>
        </w:rPr>
        <w:t>s</w:t>
      </w:r>
      <w:r w:rsidRPr="008E40D7">
        <w:rPr>
          <w:rFonts w:ascii="Arial" w:hAnsi="Arial"/>
          <w:sz w:val="16"/>
          <w:szCs w:val="16"/>
        </w:rPr>
        <w:t xml:space="preserve"> on the revision as it is only the changes in population estimates that can impact them.</w:t>
      </w:r>
    </w:p>
  </w:footnote>
  <w:footnote w:id="99">
    <w:p w14:paraId="6320C425" w14:textId="77777777" w:rsidR="00711FE4" w:rsidRPr="00474724" w:rsidRDefault="00711FE4" w:rsidP="00711FE4">
      <w:pPr>
        <w:pStyle w:val="FootnoteText"/>
        <w:spacing w:before="60"/>
        <w:ind w:left="284" w:hanging="284"/>
        <w:jc w:val="both"/>
        <w:rPr>
          <w:rFonts w:ascii="Arial" w:hAnsi="Arial"/>
          <w:sz w:val="16"/>
          <w:szCs w:val="16"/>
        </w:rPr>
      </w:pPr>
      <w:r w:rsidRPr="00474724">
        <w:rPr>
          <w:rStyle w:val="FootnoteReference"/>
          <w:rFonts w:ascii="Arial" w:hAnsi="Arial"/>
          <w:sz w:val="16"/>
          <w:szCs w:val="16"/>
        </w:rPr>
        <w:footnoteRef/>
      </w:r>
      <w:r w:rsidRPr="00474724">
        <w:rPr>
          <w:rFonts w:ascii="Arial" w:hAnsi="Arial"/>
          <w:sz w:val="16"/>
          <w:szCs w:val="16"/>
        </w:rPr>
        <w:t xml:space="preserve"> </w:t>
      </w:r>
      <w:r>
        <w:rPr>
          <w:rFonts w:ascii="Arial" w:hAnsi="Arial"/>
          <w:sz w:val="16"/>
          <w:szCs w:val="16"/>
        </w:rPr>
        <w:tab/>
      </w:r>
      <w:r w:rsidRPr="00474724">
        <w:rPr>
          <w:rFonts w:ascii="Arial" w:hAnsi="Arial"/>
          <w:sz w:val="16"/>
          <w:szCs w:val="16"/>
        </w:rPr>
        <w:t xml:space="preserve">For each country, the amount is set at a suitable value close to (±5%) the per month national income poverty line (60% of median) </w:t>
      </w:r>
      <w:r>
        <w:rPr>
          <w:rFonts w:ascii="Arial" w:hAnsi="Arial"/>
          <w:sz w:val="16"/>
          <w:szCs w:val="16"/>
        </w:rPr>
        <w:t xml:space="preserve">for the one person household. </w:t>
      </w:r>
      <w:r w:rsidRPr="00474724">
        <w:rPr>
          <w:rFonts w:ascii="Arial" w:hAnsi="Arial"/>
          <w:sz w:val="16"/>
          <w:szCs w:val="16"/>
        </w:rPr>
        <w:t>There is no adjustment for household size or composition.</w:t>
      </w:r>
    </w:p>
  </w:footnote>
  <w:footnote w:id="100">
    <w:p w14:paraId="7B119A53" w14:textId="77777777" w:rsidR="00711FE4" w:rsidRPr="00715C8C" w:rsidRDefault="00711FE4" w:rsidP="00711FE4">
      <w:pPr>
        <w:pStyle w:val="FootnoteText"/>
        <w:ind w:left="284" w:hanging="284"/>
        <w:rPr>
          <w:rFonts w:ascii="Arial" w:hAnsi="Arial"/>
          <w:sz w:val="16"/>
          <w:szCs w:val="16"/>
        </w:rPr>
      </w:pPr>
      <w:r w:rsidRPr="00715C8C">
        <w:rPr>
          <w:rStyle w:val="FootnoteReference"/>
          <w:rFonts w:ascii="Arial" w:hAnsi="Arial"/>
          <w:sz w:val="16"/>
          <w:szCs w:val="16"/>
        </w:rPr>
        <w:footnoteRef/>
      </w:r>
      <w:r w:rsidRPr="00715C8C">
        <w:rPr>
          <w:rFonts w:ascii="Arial" w:hAnsi="Arial"/>
          <w:sz w:val="16"/>
          <w:szCs w:val="16"/>
        </w:rPr>
        <w:t xml:space="preserve"> </w:t>
      </w:r>
      <w:r>
        <w:rPr>
          <w:rFonts w:ascii="Arial" w:hAnsi="Arial"/>
          <w:sz w:val="16"/>
          <w:szCs w:val="16"/>
        </w:rPr>
        <w:t xml:space="preserve">Both the ONS and DWP in the UK </w:t>
      </w:r>
      <w:r w:rsidRPr="00715C8C">
        <w:rPr>
          <w:rFonts w:ascii="Arial" w:hAnsi="Arial"/>
          <w:sz w:val="16"/>
          <w:szCs w:val="16"/>
        </w:rPr>
        <w:t>use this scale for BHC incomes and a slightly different one for AHC incomes.</w:t>
      </w:r>
    </w:p>
  </w:footnote>
  <w:footnote w:id="101">
    <w:p w14:paraId="6D5A6F04" w14:textId="77777777" w:rsidR="00711FE4" w:rsidRPr="00936D06" w:rsidRDefault="00711FE4" w:rsidP="00711FE4">
      <w:pPr>
        <w:pStyle w:val="FootnoteText"/>
        <w:spacing w:after="20"/>
        <w:ind w:left="284" w:hanging="284"/>
        <w:jc w:val="both"/>
        <w:rPr>
          <w:rFonts w:ascii="Arial" w:hAnsi="Arial"/>
          <w:sz w:val="16"/>
          <w:szCs w:val="16"/>
        </w:rPr>
      </w:pPr>
      <w:r w:rsidRPr="00936D06">
        <w:rPr>
          <w:rStyle w:val="FootnoteReference"/>
          <w:rFonts w:ascii="Arial" w:hAnsi="Arial"/>
          <w:sz w:val="16"/>
          <w:szCs w:val="16"/>
        </w:rPr>
        <w:footnoteRef/>
      </w:r>
      <w:r w:rsidRPr="00936D06">
        <w:rPr>
          <w:rFonts w:ascii="Arial" w:hAnsi="Arial"/>
          <w:sz w:val="16"/>
          <w:szCs w:val="16"/>
        </w:rPr>
        <w:t xml:space="preserve"> </w:t>
      </w:r>
      <w:r w:rsidRPr="00936D06">
        <w:rPr>
          <w:rFonts w:ascii="Arial" w:hAnsi="Arial"/>
          <w:sz w:val="16"/>
          <w:szCs w:val="16"/>
        </w:rPr>
        <w:tab/>
        <w:t>For example, a survey conducted in 1999 by the Social Policy Research Centre (University of New South Wales, Sydney) showed that the vast majority of Australians thought that their household incomes placed them in the middle of the distribution. Around half thought they were in either the 4</w:t>
      </w:r>
      <w:r w:rsidRPr="00936D06">
        <w:rPr>
          <w:rFonts w:ascii="Arial" w:hAnsi="Arial"/>
          <w:sz w:val="16"/>
          <w:szCs w:val="16"/>
          <w:vertAlign w:val="superscript"/>
        </w:rPr>
        <w:t>th</w:t>
      </w:r>
      <w:r w:rsidRPr="00936D06">
        <w:rPr>
          <w:rFonts w:ascii="Arial" w:hAnsi="Arial"/>
          <w:sz w:val="16"/>
          <w:szCs w:val="16"/>
        </w:rPr>
        <w:t xml:space="preserve"> or 5</w:t>
      </w:r>
      <w:r w:rsidRPr="00936D06">
        <w:rPr>
          <w:rFonts w:ascii="Arial" w:hAnsi="Arial"/>
          <w:sz w:val="16"/>
          <w:szCs w:val="16"/>
          <w:vertAlign w:val="superscript"/>
        </w:rPr>
        <w:t>th</w:t>
      </w:r>
      <w:r w:rsidRPr="00936D06">
        <w:rPr>
          <w:rFonts w:ascii="Arial" w:hAnsi="Arial"/>
          <w:sz w:val="16"/>
          <w:szCs w:val="16"/>
        </w:rPr>
        <w:t xml:space="preserve"> deciles and virtually none thought they were in the top quintile (Saunders, 1999). A similar perception is likely to hold in New Zealand too.  </w:t>
      </w:r>
    </w:p>
  </w:footnote>
  <w:footnote w:id="102">
    <w:p w14:paraId="4161D8E0" w14:textId="77777777" w:rsidR="00711FE4" w:rsidRPr="00936D06" w:rsidRDefault="00711FE4" w:rsidP="00711FE4">
      <w:pPr>
        <w:ind w:left="284" w:hanging="284"/>
        <w:jc w:val="both"/>
        <w:rPr>
          <w:rFonts w:ascii="Arial" w:hAnsi="Arial"/>
          <w:sz w:val="16"/>
          <w:szCs w:val="16"/>
        </w:rPr>
      </w:pPr>
      <w:r w:rsidRPr="00936D06">
        <w:rPr>
          <w:rStyle w:val="FootnoteReference"/>
          <w:rFonts w:ascii="Arial" w:hAnsi="Arial"/>
          <w:sz w:val="16"/>
          <w:szCs w:val="16"/>
        </w:rPr>
        <w:footnoteRef/>
      </w:r>
      <w:r w:rsidRPr="00936D06">
        <w:rPr>
          <w:rFonts w:ascii="Arial" w:hAnsi="Arial"/>
          <w:sz w:val="16"/>
          <w:szCs w:val="16"/>
        </w:rPr>
        <w:t xml:space="preserve"> </w:t>
      </w:r>
      <w:r w:rsidRPr="00936D06">
        <w:rPr>
          <w:rFonts w:ascii="Arial" w:hAnsi="Arial"/>
          <w:sz w:val="16"/>
          <w:szCs w:val="16"/>
        </w:rPr>
        <w:tab/>
        <w:t xml:space="preserve">The calculations in the two tables assume that any children are aged under 14 years. </w:t>
      </w:r>
    </w:p>
  </w:footnote>
  <w:footnote w:id="103">
    <w:p w14:paraId="61C9DCEB" w14:textId="77777777" w:rsidR="00711FE4" w:rsidRPr="00AB6184" w:rsidRDefault="00711FE4" w:rsidP="00711FE4">
      <w:pPr>
        <w:pStyle w:val="FootnoteText"/>
        <w:ind w:left="284" w:hanging="284"/>
        <w:rPr>
          <w:rFonts w:ascii="Arial" w:hAnsi="Arial"/>
          <w:sz w:val="16"/>
          <w:szCs w:val="16"/>
        </w:rPr>
      </w:pPr>
      <w:r w:rsidRPr="00AB6184">
        <w:rPr>
          <w:rStyle w:val="FootnoteReference"/>
          <w:rFonts w:ascii="Arial" w:hAnsi="Arial"/>
          <w:sz w:val="16"/>
          <w:szCs w:val="16"/>
        </w:rPr>
        <w:footnoteRef/>
      </w:r>
      <w:r w:rsidRPr="00AB6184">
        <w:rPr>
          <w:rFonts w:ascii="Arial" w:hAnsi="Arial"/>
          <w:sz w:val="16"/>
          <w:szCs w:val="16"/>
        </w:rPr>
        <w:t xml:space="preserve"> </w:t>
      </w:r>
      <w:r>
        <w:rPr>
          <w:rFonts w:ascii="Arial" w:hAnsi="Arial"/>
          <w:sz w:val="16"/>
          <w:szCs w:val="16"/>
        </w:rPr>
        <w:tab/>
      </w:r>
      <w:r w:rsidRPr="00AB6184">
        <w:rPr>
          <w:rFonts w:ascii="Arial" w:hAnsi="Arial"/>
          <w:sz w:val="16"/>
          <w:szCs w:val="16"/>
        </w:rPr>
        <w:t xml:space="preserve">See Stats NZ’s discussion in their Feb 2026 Child Poverty release: </w:t>
      </w:r>
      <w:hyperlink r:id="rId38" w:anchor="very-low" w:history="1">
        <w:r w:rsidRPr="00AB6184">
          <w:rPr>
            <w:rStyle w:val="Hyperlink"/>
            <w:rFonts w:ascii="Arial" w:hAnsi="Arial"/>
            <w:sz w:val="16"/>
            <w:szCs w:val="16"/>
          </w:rPr>
          <w:t>https://www.stats.govt.nz/methods/child-poverty-statistics-year-ended-june-2025-technical-appendix/#very-low</w:t>
        </w:r>
      </w:hyperlink>
      <w:r w:rsidRPr="00AB6184">
        <w:rPr>
          <w:rFonts w:ascii="Arial" w:hAnsi="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3465C" w14:textId="67213017" w:rsidR="00610345" w:rsidRDefault="006103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372753"/>
      <w:docPartObj>
        <w:docPartGallery w:val="Page Numbers (Top of Page)"/>
        <w:docPartUnique/>
      </w:docPartObj>
    </w:sdtPr>
    <w:sdtEndPr>
      <w:rPr>
        <w:rFonts w:ascii="Arial" w:hAnsi="Arial"/>
        <w:noProof/>
      </w:rPr>
    </w:sdtEndPr>
    <w:sdtContent>
      <w:p w14:paraId="33D5C0A7" w14:textId="5C5E7FDB" w:rsidR="004638FC" w:rsidRPr="002E5773" w:rsidRDefault="004638FC">
        <w:pPr>
          <w:pStyle w:val="Header"/>
          <w:jc w:val="right"/>
          <w:rPr>
            <w:rFonts w:ascii="Arial" w:hAnsi="Arial"/>
          </w:rPr>
        </w:pPr>
        <w:r w:rsidRPr="002E5773">
          <w:rPr>
            <w:rFonts w:ascii="Arial" w:hAnsi="Arial"/>
          </w:rPr>
          <w:fldChar w:fldCharType="begin"/>
        </w:r>
        <w:r w:rsidRPr="002E5773">
          <w:rPr>
            <w:rFonts w:ascii="Arial" w:hAnsi="Arial"/>
          </w:rPr>
          <w:instrText xml:space="preserve"> PAGE   \* MERGEFORMAT </w:instrText>
        </w:r>
        <w:r w:rsidRPr="002E5773">
          <w:rPr>
            <w:rFonts w:ascii="Arial" w:hAnsi="Arial"/>
          </w:rPr>
          <w:fldChar w:fldCharType="separate"/>
        </w:r>
        <w:r w:rsidRPr="002E5773">
          <w:rPr>
            <w:rFonts w:ascii="Arial" w:hAnsi="Arial"/>
            <w:noProof/>
          </w:rPr>
          <w:t>2</w:t>
        </w:r>
        <w:r w:rsidRPr="002E5773">
          <w:rPr>
            <w:rFonts w:ascii="Arial" w:hAnsi="Arial"/>
            <w:noProof/>
          </w:rPr>
          <w:fldChar w:fldCharType="end"/>
        </w:r>
      </w:p>
    </w:sdtContent>
  </w:sdt>
  <w:p w14:paraId="7E4510A9" w14:textId="77777777" w:rsidR="001A1542" w:rsidRDefault="001A15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3BEC" w14:textId="77777777" w:rsidR="001A1542" w:rsidRDefault="001A1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20072"/>
    <w:multiLevelType w:val="hybridMultilevel"/>
    <w:tmpl w:val="6F70B1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105393E"/>
    <w:multiLevelType w:val="hybridMultilevel"/>
    <w:tmpl w:val="89ECB1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26640AB"/>
    <w:multiLevelType w:val="hybridMultilevel"/>
    <w:tmpl w:val="E67CA0DE"/>
    <w:lvl w:ilvl="0" w:tplc="14090001">
      <w:start w:val="1"/>
      <w:numFmt w:val="bullet"/>
      <w:lvlText w:val=""/>
      <w:lvlJc w:val="left"/>
      <w:pPr>
        <w:ind w:left="720" w:hanging="360"/>
      </w:pPr>
      <w:rPr>
        <w:rFonts w:ascii="Symbol" w:hAnsi="Symbol" w:hint="default"/>
      </w:rPr>
    </w:lvl>
    <w:lvl w:ilvl="1" w:tplc="D5F833E4">
      <w:start w:val="1"/>
      <w:numFmt w:val="bullet"/>
      <w:lvlText w:val="+"/>
      <w:lvlJc w:val="left"/>
      <w:pPr>
        <w:ind w:left="72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2B2082D"/>
    <w:multiLevelType w:val="hybridMultilevel"/>
    <w:tmpl w:val="9092B45E"/>
    <w:lvl w:ilvl="0" w:tplc="A6AEFAF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3A16138"/>
    <w:multiLevelType w:val="hybridMultilevel"/>
    <w:tmpl w:val="C2F24C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6551F82"/>
    <w:multiLevelType w:val="hybridMultilevel"/>
    <w:tmpl w:val="CD9ECAB6"/>
    <w:lvl w:ilvl="0" w:tplc="0C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8" w15:restartNumberingAfterBreak="0">
    <w:nsid w:val="06907873"/>
    <w:multiLevelType w:val="hybridMultilevel"/>
    <w:tmpl w:val="E9B2E4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B06CF1"/>
    <w:multiLevelType w:val="hybridMultilevel"/>
    <w:tmpl w:val="64A46A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9F419EC"/>
    <w:multiLevelType w:val="hybridMultilevel"/>
    <w:tmpl w:val="A190B9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AFB7347"/>
    <w:multiLevelType w:val="hybridMultilevel"/>
    <w:tmpl w:val="919C90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E021A98"/>
    <w:multiLevelType w:val="hybridMultilevel"/>
    <w:tmpl w:val="E45EAFB6"/>
    <w:styleLink w:val="BodyList2"/>
    <w:lvl w:ilvl="0" w:tplc="14090001">
      <w:start w:val="1"/>
      <w:numFmt w:val="bullet"/>
      <w:lvlText w:val=""/>
      <w:lvlJc w:val="left"/>
      <w:pPr>
        <w:ind w:left="2421" w:hanging="360"/>
      </w:pPr>
      <w:rPr>
        <w:rFonts w:ascii="Symbol" w:hAnsi="Symbol" w:hint="default"/>
      </w:rPr>
    </w:lvl>
    <w:lvl w:ilvl="1" w:tplc="14090003" w:tentative="1">
      <w:start w:val="1"/>
      <w:numFmt w:val="bullet"/>
      <w:lvlText w:val="o"/>
      <w:lvlJc w:val="left"/>
      <w:pPr>
        <w:ind w:left="3141" w:hanging="360"/>
      </w:pPr>
      <w:rPr>
        <w:rFonts w:ascii="Courier New" w:hAnsi="Courier New" w:cs="Courier New" w:hint="default"/>
      </w:rPr>
    </w:lvl>
    <w:lvl w:ilvl="2" w:tplc="14090005" w:tentative="1">
      <w:start w:val="1"/>
      <w:numFmt w:val="bullet"/>
      <w:lvlText w:val=""/>
      <w:lvlJc w:val="left"/>
      <w:pPr>
        <w:ind w:left="3861" w:hanging="360"/>
      </w:pPr>
      <w:rPr>
        <w:rFonts w:ascii="Wingdings" w:hAnsi="Wingdings" w:hint="default"/>
      </w:rPr>
    </w:lvl>
    <w:lvl w:ilvl="3" w:tplc="14090001" w:tentative="1">
      <w:start w:val="1"/>
      <w:numFmt w:val="bullet"/>
      <w:lvlText w:val=""/>
      <w:lvlJc w:val="left"/>
      <w:pPr>
        <w:ind w:left="4581" w:hanging="360"/>
      </w:pPr>
      <w:rPr>
        <w:rFonts w:ascii="Symbol" w:hAnsi="Symbol" w:hint="default"/>
      </w:rPr>
    </w:lvl>
    <w:lvl w:ilvl="4" w:tplc="14090003" w:tentative="1">
      <w:start w:val="1"/>
      <w:numFmt w:val="bullet"/>
      <w:lvlText w:val="o"/>
      <w:lvlJc w:val="left"/>
      <w:pPr>
        <w:ind w:left="5301" w:hanging="360"/>
      </w:pPr>
      <w:rPr>
        <w:rFonts w:ascii="Courier New" w:hAnsi="Courier New" w:cs="Courier New" w:hint="default"/>
      </w:rPr>
    </w:lvl>
    <w:lvl w:ilvl="5" w:tplc="14090005" w:tentative="1">
      <w:start w:val="1"/>
      <w:numFmt w:val="bullet"/>
      <w:lvlText w:val=""/>
      <w:lvlJc w:val="left"/>
      <w:pPr>
        <w:ind w:left="6021" w:hanging="360"/>
      </w:pPr>
      <w:rPr>
        <w:rFonts w:ascii="Wingdings" w:hAnsi="Wingdings" w:hint="default"/>
      </w:rPr>
    </w:lvl>
    <w:lvl w:ilvl="6" w:tplc="14090001" w:tentative="1">
      <w:start w:val="1"/>
      <w:numFmt w:val="bullet"/>
      <w:lvlText w:val=""/>
      <w:lvlJc w:val="left"/>
      <w:pPr>
        <w:ind w:left="6741" w:hanging="360"/>
      </w:pPr>
      <w:rPr>
        <w:rFonts w:ascii="Symbol" w:hAnsi="Symbol" w:hint="default"/>
      </w:rPr>
    </w:lvl>
    <w:lvl w:ilvl="7" w:tplc="14090003" w:tentative="1">
      <w:start w:val="1"/>
      <w:numFmt w:val="bullet"/>
      <w:lvlText w:val="o"/>
      <w:lvlJc w:val="left"/>
      <w:pPr>
        <w:ind w:left="7461" w:hanging="360"/>
      </w:pPr>
      <w:rPr>
        <w:rFonts w:ascii="Courier New" w:hAnsi="Courier New" w:cs="Courier New" w:hint="default"/>
      </w:rPr>
    </w:lvl>
    <w:lvl w:ilvl="8" w:tplc="14090005" w:tentative="1">
      <w:start w:val="1"/>
      <w:numFmt w:val="bullet"/>
      <w:lvlText w:val=""/>
      <w:lvlJc w:val="left"/>
      <w:pPr>
        <w:ind w:left="8181" w:hanging="360"/>
      </w:pPr>
      <w:rPr>
        <w:rFonts w:ascii="Wingdings" w:hAnsi="Wingdings" w:hint="default"/>
      </w:rPr>
    </w:lvl>
  </w:abstractNum>
  <w:abstractNum w:abstractNumId="13" w15:restartNumberingAfterBreak="0">
    <w:nsid w:val="0FAD0EB7"/>
    <w:multiLevelType w:val="hybridMultilevel"/>
    <w:tmpl w:val="47BA0566"/>
    <w:lvl w:ilvl="0" w:tplc="14090001">
      <w:start w:val="1"/>
      <w:numFmt w:val="bullet"/>
      <w:lvlText w:val=""/>
      <w:lvlJc w:val="left"/>
      <w:pPr>
        <w:ind w:left="1070" w:hanging="360"/>
      </w:pPr>
      <w:rPr>
        <w:rFonts w:ascii="Symbol" w:hAnsi="Symbol" w:hint="default"/>
        <w:szCs w:val="22"/>
      </w:rPr>
    </w:lvl>
    <w:lvl w:ilvl="1" w:tplc="14090003" w:tentative="1">
      <w:start w:val="1"/>
      <w:numFmt w:val="bullet"/>
      <w:lvlText w:val="o"/>
      <w:lvlJc w:val="left"/>
      <w:pPr>
        <w:ind w:left="1790" w:hanging="360"/>
      </w:pPr>
      <w:rPr>
        <w:rFonts w:ascii="Courier New" w:hAnsi="Courier New" w:cs="Courier New" w:hint="default"/>
      </w:rPr>
    </w:lvl>
    <w:lvl w:ilvl="2" w:tplc="14090005" w:tentative="1">
      <w:start w:val="1"/>
      <w:numFmt w:val="bullet"/>
      <w:lvlText w:val=""/>
      <w:lvlJc w:val="left"/>
      <w:pPr>
        <w:ind w:left="2510" w:hanging="360"/>
      </w:pPr>
      <w:rPr>
        <w:rFonts w:ascii="Wingdings" w:hAnsi="Wingdings" w:hint="default"/>
      </w:rPr>
    </w:lvl>
    <w:lvl w:ilvl="3" w:tplc="14090001" w:tentative="1">
      <w:start w:val="1"/>
      <w:numFmt w:val="bullet"/>
      <w:lvlText w:val=""/>
      <w:lvlJc w:val="left"/>
      <w:pPr>
        <w:ind w:left="3230" w:hanging="360"/>
      </w:pPr>
      <w:rPr>
        <w:rFonts w:ascii="Symbol" w:hAnsi="Symbol" w:hint="default"/>
      </w:rPr>
    </w:lvl>
    <w:lvl w:ilvl="4" w:tplc="14090003" w:tentative="1">
      <w:start w:val="1"/>
      <w:numFmt w:val="bullet"/>
      <w:lvlText w:val="o"/>
      <w:lvlJc w:val="left"/>
      <w:pPr>
        <w:ind w:left="3950" w:hanging="360"/>
      </w:pPr>
      <w:rPr>
        <w:rFonts w:ascii="Courier New" w:hAnsi="Courier New" w:cs="Courier New" w:hint="default"/>
      </w:rPr>
    </w:lvl>
    <w:lvl w:ilvl="5" w:tplc="14090005" w:tentative="1">
      <w:start w:val="1"/>
      <w:numFmt w:val="bullet"/>
      <w:lvlText w:val=""/>
      <w:lvlJc w:val="left"/>
      <w:pPr>
        <w:ind w:left="4670" w:hanging="360"/>
      </w:pPr>
      <w:rPr>
        <w:rFonts w:ascii="Wingdings" w:hAnsi="Wingdings" w:hint="default"/>
      </w:rPr>
    </w:lvl>
    <w:lvl w:ilvl="6" w:tplc="14090001" w:tentative="1">
      <w:start w:val="1"/>
      <w:numFmt w:val="bullet"/>
      <w:lvlText w:val=""/>
      <w:lvlJc w:val="left"/>
      <w:pPr>
        <w:ind w:left="5390" w:hanging="360"/>
      </w:pPr>
      <w:rPr>
        <w:rFonts w:ascii="Symbol" w:hAnsi="Symbol" w:hint="default"/>
      </w:rPr>
    </w:lvl>
    <w:lvl w:ilvl="7" w:tplc="14090003" w:tentative="1">
      <w:start w:val="1"/>
      <w:numFmt w:val="bullet"/>
      <w:lvlText w:val="o"/>
      <w:lvlJc w:val="left"/>
      <w:pPr>
        <w:ind w:left="6110" w:hanging="360"/>
      </w:pPr>
      <w:rPr>
        <w:rFonts w:ascii="Courier New" w:hAnsi="Courier New" w:cs="Courier New" w:hint="default"/>
      </w:rPr>
    </w:lvl>
    <w:lvl w:ilvl="8" w:tplc="14090005" w:tentative="1">
      <w:start w:val="1"/>
      <w:numFmt w:val="bullet"/>
      <w:lvlText w:val=""/>
      <w:lvlJc w:val="left"/>
      <w:pPr>
        <w:ind w:left="6830" w:hanging="360"/>
      </w:pPr>
      <w:rPr>
        <w:rFonts w:ascii="Wingdings" w:hAnsi="Wingdings" w:hint="default"/>
      </w:rPr>
    </w:lvl>
  </w:abstractNum>
  <w:abstractNum w:abstractNumId="14" w15:restartNumberingAfterBreak="0">
    <w:nsid w:val="10065A7C"/>
    <w:multiLevelType w:val="hybridMultilevel"/>
    <w:tmpl w:val="B238AE6E"/>
    <w:lvl w:ilvl="0" w:tplc="38E0408C">
      <w:start w:val="2011"/>
      <w:numFmt w:val="bullet"/>
      <w:lvlText w:val=""/>
      <w:lvlJc w:val="left"/>
      <w:pPr>
        <w:ind w:left="502" w:hanging="360"/>
      </w:pPr>
      <w:rPr>
        <w:rFonts w:ascii="Symbol" w:eastAsia="Calibri" w:hAnsi="Symbol" w:cs="Arial" w:hint="default"/>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15" w15:restartNumberingAfterBreak="0">
    <w:nsid w:val="11203751"/>
    <w:multiLevelType w:val="hybridMultilevel"/>
    <w:tmpl w:val="D576C5BC"/>
    <w:lvl w:ilvl="0" w:tplc="04090001">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16"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753A45"/>
    <w:multiLevelType w:val="hybridMultilevel"/>
    <w:tmpl w:val="59C2E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3491B32"/>
    <w:multiLevelType w:val="hybridMultilevel"/>
    <w:tmpl w:val="F43891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14F76DA0"/>
    <w:multiLevelType w:val="hybridMultilevel"/>
    <w:tmpl w:val="C5FCCD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15C56073"/>
    <w:multiLevelType w:val="hybridMultilevel"/>
    <w:tmpl w:val="8ADED936"/>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3C352B"/>
    <w:multiLevelType w:val="hybridMultilevel"/>
    <w:tmpl w:val="E8F83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6BB2D58"/>
    <w:multiLevelType w:val="hybridMultilevel"/>
    <w:tmpl w:val="36607608"/>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24" w15:restartNumberingAfterBreak="0">
    <w:nsid w:val="189002CC"/>
    <w:multiLevelType w:val="multilevel"/>
    <w:tmpl w:val="2332A8FC"/>
    <w:styleLink w:val="ReportNumber22"/>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25" w15:restartNumberingAfterBreak="0">
    <w:nsid w:val="19A8760E"/>
    <w:multiLevelType w:val="hybridMultilevel"/>
    <w:tmpl w:val="584A92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1A102084"/>
    <w:multiLevelType w:val="hybridMultilevel"/>
    <w:tmpl w:val="2BC44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1AA9049B"/>
    <w:multiLevelType w:val="hybridMultilevel"/>
    <w:tmpl w:val="7388ACBA"/>
    <w:lvl w:ilvl="0" w:tplc="14090001">
      <w:start w:val="1"/>
      <w:numFmt w:val="bullet"/>
      <w:lvlText w:val=""/>
      <w:lvlJc w:val="left"/>
      <w:pPr>
        <w:ind w:left="502"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2160" w:hanging="360"/>
      </w:pPr>
      <w:rPr>
        <w:rFonts w:ascii="Courier New" w:hAnsi="Courier New" w:cs="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B331906"/>
    <w:multiLevelType w:val="hybridMultilevel"/>
    <w:tmpl w:val="5AD63400"/>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BA947F2"/>
    <w:multiLevelType w:val="hybridMultilevel"/>
    <w:tmpl w:val="BF6C12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1E69599B"/>
    <w:multiLevelType w:val="hybridMultilevel"/>
    <w:tmpl w:val="AB1CDD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1E805E33"/>
    <w:multiLevelType w:val="hybridMultilevel"/>
    <w:tmpl w:val="19BCB1A0"/>
    <w:styleLink w:val="ReportNumber3"/>
    <w:lvl w:ilvl="0" w:tplc="6E900BA6">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21CB2259"/>
    <w:multiLevelType w:val="hybridMultilevel"/>
    <w:tmpl w:val="C3A88E06"/>
    <w:lvl w:ilvl="0" w:tplc="14090001">
      <w:start w:val="1"/>
      <w:numFmt w:val="bullet"/>
      <w:lvlText w:val=""/>
      <w:lvlJc w:val="left"/>
      <w:pPr>
        <w:ind w:left="1429" w:hanging="360"/>
      </w:pPr>
      <w:rPr>
        <w:rFonts w:ascii="Symbol" w:hAnsi="Symbol" w:hint="default"/>
      </w:rPr>
    </w:lvl>
    <w:lvl w:ilvl="1" w:tplc="14090003">
      <w:start w:val="1"/>
      <w:numFmt w:val="bullet"/>
      <w:lvlText w:val="o"/>
      <w:lvlJc w:val="left"/>
      <w:pPr>
        <w:ind w:left="2149" w:hanging="360"/>
      </w:pPr>
      <w:rPr>
        <w:rFonts w:ascii="Courier New" w:hAnsi="Courier New" w:cs="Courier New" w:hint="default"/>
      </w:rPr>
    </w:lvl>
    <w:lvl w:ilvl="2" w:tplc="14090005">
      <w:start w:val="1"/>
      <w:numFmt w:val="bullet"/>
      <w:lvlText w:val=""/>
      <w:lvlJc w:val="left"/>
      <w:pPr>
        <w:ind w:left="2869" w:hanging="360"/>
      </w:pPr>
      <w:rPr>
        <w:rFonts w:ascii="Wingdings" w:hAnsi="Wingdings" w:hint="default"/>
      </w:rPr>
    </w:lvl>
    <w:lvl w:ilvl="3" w:tplc="14090001">
      <w:start w:val="1"/>
      <w:numFmt w:val="bullet"/>
      <w:lvlText w:val=""/>
      <w:lvlJc w:val="left"/>
      <w:pPr>
        <w:ind w:left="3589" w:hanging="360"/>
      </w:pPr>
      <w:rPr>
        <w:rFonts w:ascii="Symbol" w:hAnsi="Symbol" w:hint="default"/>
      </w:rPr>
    </w:lvl>
    <w:lvl w:ilvl="4" w:tplc="14090003">
      <w:start w:val="1"/>
      <w:numFmt w:val="bullet"/>
      <w:lvlText w:val="o"/>
      <w:lvlJc w:val="left"/>
      <w:pPr>
        <w:ind w:left="4309" w:hanging="360"/>
      </w:pPr>
      <w:rPr>
        <w:rFonts w:ascii="Courier New" w:hAnsi="Courier New" w:cs="Courier New" w:hint="default"/>
      </w:rPr>
    </w:lvl>
    <w:lvl w:ilvl="5" w:tplc="14090005">
      <w:start w:val="1"/>
      <w:numFmt w:val="bullet"/>
      <w:lvlText w:val=""/>
      <w:lvlJc w:val="left"/>
      <w:pPr>
        <w:ind w:left="5029" w:hanging="360"/>
      </w:pPr>
      <w:rPr>
        <w:rFonts w:ascii="Wingdings" w:hAnsi="Wingdings" w:hint="default"/>
      </w:rPr>
    </w:lvl>
    <w:lvl w:ilvl="6" w:tplc="14090001">
      <w:start w:val="1"/>
      <w:numFmt w:val="bullet"/>
      <w:lvlText w:val=""/>
      <w:lvlJc w:val="left"/>
      <w:pPr>
        <w:ind w:left="5749" w:hanging="360"/>
      </w:pPr>
      <w:rPr>
        <w:rFonts w:ascii="Symbol" w:hAnsi="Symbol" w:hint="default"/>
      </w:rPr>
    </w:lvl>
    <w:lvl w:ilvl="7" w:tplc="14090003">
      <w:start w:val="1"/>
      <w:numFmt w:val="bullet"/>
      <w:lvlText w:val="o"/>
      <w:lvlJc w:val="left"/>
      <w:pPr>
        <w:ind w:left="6469" w:hanging="360"/>
      </w:pPr>
      <w:rPr>
        <w:rFonts w:ascii="Courier New" w:hAnsi="Courier New" w:cs="Courier New" w:hint="default"/>
      </w:rPr>
    </w:lvl>
    <w:lvl w:ilvl="8" w:tplc="14090005">
      <w:start w:val="1"/>
      <w:numFmt w:val="bullet"/>
      <w:lvlText w:val=""/>
      <w:lvlJc w:val="left"/>
      <w:pPr>
        <w:ind w:left="7189" w:hanging="360"/>
      </w:pPr>
      <w:rPr>
        <w:rFonts w:ascii="Wingdings" w:hAnsi="Wingdings" w:hint="default"/>
      </w:rPr>
    </w:lvl>
  </w:abstractNum>
  <w:abstractNum w:abstractNumId="33" w15:restartNumberingAfterBreak="0">
    <w:nsid w:val="25975DC1"/>
    <w:multiLevelType w:val="hybridMultilevel"/>
    <w:tmpl w:val="07E88C02"/>
    <w:lvl w:ilvl="0" w:tplc="DAF8F786">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4" w15:restartNumberingAfterBreak="0">
    <w:nsid w:val="264679DF"/>
    <w:multiLevelType w:val="hybridMultilevel"/>
    <w:tmpl w:val="7C5A28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26D202E4"/>
    <w:multiLevelType w:val="hybridMultilevel"/>
    <w:tmpl w:val="25A48C22"/>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28F50AA2"/>
    <w:multiLevelType w:val="hybridMultilevel"/>
    <w:tmpl w:val="1D9414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294F6CB0"/>
    <w:multiLevelType w:val="hybridMultilevel"/>
    <w:tmpl w:val="BB5C2C76"/>
    <w:lvl w:ilvl="0" w:tplc="6E900BA6">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2AA245F8"/>
    <w:multiLevelType w:val="hybridMultilevel"/>
    <w:tmpl w:val="9BBC08F6"/>
    <w:lvl w:ilvl="0" w:tplc="14090003">
      <w:start w:val="1"/>
      <w:numFmt w:val="bullet"/>
      <w:lvlText w:val="o"/>
      <w:lvlJc w:val="left"/>
      <w:pPr>
        <w:ind w:left="1307" w:hanging="360"/>
      </w:pPr>
      <w:rPr>
        <w:rFonts w:ascii="Courier New" w:hAnsi="Courier New" w:cs="Courier New" w:hint="default"/>
      </w:rPr>
    </w:lvl>
    <w:lvl w:ilvl="1" w:tplc="14090003">
      <w:start w:val="1"/>
      <w:numFmt w:val="bullet"/>
      <w:lvlText w:val="o"/>
      <w:lvlJc w:val="left"/>
      <w:pPr>
        <w:ind w:left="2027" w:hanging="360"/>
      </w:pPr>
      <w:rPr>
        <w:rFonts w:ascii="Courier New" w:hAnsi="Courier New" w:cs="Courier New" w:hint="default"/>
      </w:rPr>
    </w:lvl>
    <w:lvl w:ilvl="2" w:tplc="14090005" w:tentative="1">
      <w:start w:val="1"/>
      <w:numFmt w:val="bullet"/>
      <w:lvlText w:val=""/>
      <w:lvlJc w:val="left"/>
      <w:pPr>
        <w:ind w:left="2747" w:hanging="360"/>
      </w:pPr>
      <w:rPr>
        <w:rFonts w:ascii="Wingdings" w:hAnsi="Wingdings" w:hint="default"/>
      </w:rPr>
    </w:lvl>
    <w:lvl w:ilvl="3" w:tplc="14090001" w:tentative="1">
      <w:start w:val="1"/>
      <w:numFmt w:val="bullet"/>
      <w:lvlText w:val=""/>
      <w:lvlJc w:val="left"/>
      <w:pPr>
        <w:ind w:left="3467" w:hanging="360"/>
      </w:pPr>
      <w:rPr>
        <w:rFonts w:ascii="Symbol" w:hAnsi="Symbol" w:hint="default"/>
      </w:rPr>
    </w:lvl>
    <w:lvl w:ilvl="4" w:tplc="14090003" w:tentative="1">
      <w:start w:val="1"/>
      <w:numFmt w:val="bullet"/>
      <w:lvlText w:val="o"/>
      <w:lvlJc w:val="left"/>
      <w:pPr>
        <w:ind w:left="4187" w:hanging="360"/>
      </w:pPr>
      <w:rPr>
        <w:rFonts w:ascii="Courier New" w:hAnsi="Courier New" w:cs="Courier New" w:hint="default"/>
      </w:rPr>
    </w:lvl>
    <w:lvl w:ilvl="5" w:tplc="14090005" w:tentative="1">
      <w:start w:val="1"/>
      <w:numFmt w:val="bullet"/>
      <w:lvlText w:val=""/>
      <w:lvlJc w:val="left"/>
      <w:pPr>
        <w:ind w:left="4907" w:hanging="360"/>
      </w:pPr>
      <w:rPr>
        <w:rFonts w:ascii="Wingdings" w:hAnsi="Wingdings" w:hint="default"/>
      </w:rPr>
    </w:lvl>
    <w:lvl w:ilvl="6" w:tplc="14090001" w:tentative="1">
      <w:start w:val="1"/>
      <w:numFmt w:val="bullet"/>
      <w:lvlText w:val=""/>
      <w:lvlJc w:val="left"/>
      <w:pPr>
        <w:ind w:left="5627" w:hanging="360"/>
      </w:pPr>
      <w:rPr>
        <w:rFonts w:ascii="Symbol" w:hAnsi="Symbol" w:hint="default"/>
      </w:rPr>
    </w:lvl>
    <w:lvl w:ilvl="7" w:tplc="14090003" w:tentative="1">
      <w:start w:val="1"/>
      <w:numFmt w:val="bullet"/>
      <w:lvlText w:val="o"/>
      <w:lvlJc w:val="left"/>
      <w:pPr>
        <w:ind w:left="6347" w:hanging="360"/>
      </w:pPr>
      <w:rPr>
        <w:rFonts w:ascii="Courier New" w:hAnsi="Courier New" w:cs="Courier New" w:hint="default"/>
      </w:rPr>
    </w:lvl>
    <w:lvl w:ilvl="8" w:tplc="14090005" w:tentative="1">
      <w:start w:val="1"/>
      <w:numFmt w:val="bullet"/>
      <w:lvlText w:val=""/>
      <w:lvlJc w:val="left"/>
      <w:pPr>
        <w:ind w:left="7067" w:hanging="360"/>
      </w:pPr>
      <w:rPr>
        <w:rFonts w:ascii="Wingdings" w:hAnsi="Wingdings" w:hint="default"/>
      </w:rPr>
    </w:lvl>
  </w:abstractNum>
  <w:abstractNum w:abstractNumId="39" w15:restartNumberingAfterBreak="0">
    <w:nsid w:val="2AFA7F80"/>
    <w:multiLevelType w:val="hybridMultilevel"/>
    <w:tmpl w:val="58423756"/>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40" w15:restartNumberingAfterBreak="0">
    <w:nsid w:val="2B367CAE"/>
    <w:multiLevelType w:val="hybridMultilevel"/>
    <w:tmpl w:val="D098E242"/>
    <w:lvl w:ilvl="0" w:tplc="0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41" w15:restartNumberingAfterBreak="0">
    <w:nsid w:val="2B9124BD"/>
    <w:multiLevelType w:val="hybridMultilevel"/>
    <w:tmpl w:val="2F121C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2CE806EF"/>
    <w:multiLevelType w:val="hybridMultilevel"/>
    <w:tmpl w:val="5EF695FC"/>
    <w:styleLink w:val="BodyNumber11"/>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2DD6346B"/>
    <w:multiLevelType w:val="hybridMultilevel"/>
    <w:tmpl w:val="7A544D96"/>
    <w:styleLink w:val="BodyList11"/>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330C0D5F"/>
    <w:multiLevelType w:val="hybridMultilevel"/>
    <w:tmpl w:val="6E1C8F88"/>
    <w:lvl w:ilvl="0" w:tplc="14090001">
      <w:start w:val="1"/>
      <w:numFmt w:val="bullet"/>
      <w:lvlText w:val=""/>
      <w:lvlJc w:val="left"/>
      <w:pPr>
        <w:ind w:left="2988" w:hanging="360"/>
      </w:pPr>
      <w:rPr>
        <w:rFonts w:ascii="Symbol" w:hAnsi="Symbol" w:hint="default"/>
      </w:rPr>
    </w:lvl>
    <w:lvl w:ilvl="1" w:tplc="14090003" w:tentative="1">
      <w:start w:val="1"/>
      <w:numFmt w:val="bullet"/>
      <w:lvlText w:val="o"/>
      <w:lvlJc w:val="left"/>
      <w:pPr>
        <w:ind w:left="3708" w:hanging="360"/>
      </w:pPr>
      <w:rPr>
        <w:rFonts w:ascii="Courier New" w:hAnsi="Courier New" w:cs="Courier New" w:hint="default"/>
      </w:rPr>
    </w:lvl>
    <w:lvl w:ilvl="2" w:tplc="14090005" w:tentative="1">
      <w:start w:val="1"/>
      <w:numFmt w:val="bullet"/>
      <w:lvlText w:val=""/>
      <w:lvlJc w:val="left"/>
      <w:pPr>
        <w:ind w:left="4428" w:hanging="360"/>
      </w:pPr>
      <w:rPr>
        <w:rFonts w:ascii="Wingdings" w:hAnsi="Wingdings" w:hint="default"/>
      </w:rPr>
    </w:lvl>
    <w:lvl w:ilvl="3" w:tplc="14090001" w:tentative="1">
      <w:start w:val="1"/>
      <w:numFmt w:val="bullet"/>
      <w:lvlText w:val=""/>
      <w:lvlJc w:val="left"/>
      <w:pPr>
        <w:ind w:left="5148" w:hanging="360"/>
      </w:pPr>
      <w:rPr>
        <w:rFonts w:ascii="Symbol" w:hAnsi="Symbol" w:hint="default"/>
      </w:rPr>
    </w:lvl>
    <w:lvl w:ilvl="4" w:tplc="14090003" w:tentative="1">
      <w:start w:val="1"/>
      <w:numFmt w:val="bullet"/>
      <w:lvlText w:val="o"/>
      <w:lvlJc w:val="left"/>
      <w:pPr>
        <w:ind w:left="5868" w:hanging="360"/>
      </w:pPr>
      <w:rPr>
        <w:rFonts w:ascii="Courier New" w:hAnsi="Courier New" w:cs="Courier New" w:hint="default"/>
      </w:rPr>
    </w:lvl>
    <w:lvl w:ilvl="5" w:tplc="14090005" w:tentative="1">
      <w:start w:val="1"/>
      <w:numFmt w:val="bullet"/>
      <w:lvlText w:val=""/>
      <w:lvlJc w:val="left"/>
      <w:pPr>
        <w:ind w:left="6588" w:hanging="360"/>
      </w:pPr>
      <w:rPr>
        <w:rFonts w:ascii="Wingdings" w:hAnsi="Wingdings" w:hint="default"/>
      </w:rPr>
    </w:lvl>
    <w:lvl w:ilvl="6" w:tplc="14090001" w:tentative="1">
      <w:start w:val="1"/>
      <w:numFmt w:val="bullet"/>
      <w:lvlText w:val=""/>
      <w:lvlJc w:val="left"/>
      <w:pPr>
        <w:ind w:left="7308" w:hanging="360"/>
      </w:pPr>
      <w:rPr>
        <w:rFonts w:ascii="Symbol" w:hAnsi="Symbol" w:hint="default"/>
      </w:rPr>
    </w:lvl>
    <w:lvl w:ilvl="7" w:tplc="14090003" w:tentative="1">
      <w:start w:val="1"/>
      <w:numFmt w:val="bullet"/>
      <w:lvlText w:val="o"/>
      <w:lvlJc w:val="left"/>
      <w:pPr>
        <w:ind w:left="8028" w:hanging="360"/>
      </w:pPr>
      <w:rPr>
        <w:rFonts w:ascii="Courier New" w:hAnsi="Courier New" w:cs="Courier New" w:hint="default"/>
      </w:rPr>
    </w:lvl>
    <w:lvl w:ilvl="8" w:tplc="14090005" w:tentative="1">
      <w:start w:val="1"/>
      <w:numFmt w:val="bullet"/>
      <w:lvlText w:val=""/>
      <w:lvlJc w:val="left"/>
      <w:pPr>
        <w:ind w:left="8748" w:hanging="360"/>
      </w:pPr>
      <w:rPr>
        <w:rFonts w:ascii="Wingdings" w:hAnsi="Wingdings" w:hint="default"/>
      </w:rPr>
    </w:lvl>
  </w:abstractNum>
  <w:abstractNum w:abstractNumId="45" w15:restartNumberingAfterBreak="0">
    <w:nsid w:val="333F3187"/>
    <w:multiLevelType w:val="hybridMultilevel"/>
    <w:tmpl w:val="66AAE348"/>
    <w:styleLink w:val="BodyList1"/>
    <w:lvl w:ilvl="0" w:tplc="0C090001">
      <w:start w:val="1"/>
      <w:numFmt w:val="bullet"/>
      <w:lvlText w:val=""/>
      <w:lvlJc w:val="left"/>
      <w:pPr>
        <w:tabs>
          <w:tab w:val="num" w:pos="873"/>
        </w:tabs>
        <w:ind w:left="873" w:hanging="360"/>
      </w:pPr>
      <w:rPr>
        <w:rFonts w:ascii="Symbol" w:hAnsi="Symbol" w:hint="default"/>
      </w:rPr>
    </w:lvl>
    <w:lvl w:ilvl="1" w:tplc="0C090001">
      <w:start w:val="1"/>
      <w:numFmt w:val="bullet"/>
      <w:lvlText w:val=""/>
      <w:lvlJc w:val="left"/>
      <w:pPr>
        <w:tabs>
          <w:tab w:val="num" w:pos="1593"/>
        </w:tabs>
        <w:ind w:left="1593" w:hanging="360"/>
      </w:pPr>
      <w:rPr>
        <w:rFonts w:ascii="Symbol" w:hAnsi="Symbol" w:hint="default"/>
      </w:rPr>
    </w:lvl>
    <w:lvl w:ilvl="2" w:tplc="0C090005" w:tentative="1">
      <w:start w:val="1"/>
      <w:numFmt w:val="bullet"/>
      <w:lvlText w:val=""/>
      <w:lvlJc w:val="left"/>
      <w:pPr>
        <w:tabs>
          <w:tab w:val="num" w:pos="2313"/>
        </w:tabs>
        <w:ind w:left="2313" w:hanging="360"/>
      </w:pPr>
      <w:rPr>
        <w:rFonts w:ascii="Wingdings" w:hAnsi="Wingdings" w:hint="default"/>
      </w:rPr>
    </w:lvl>
    <w:lvl w:ilvl="3" w:tplc="0C090001" w:tentative="1">
      <w:start w:val="1"/>
      <w:numFmt w:val="bullet"/>
      <w:lvlText w:val=""/>
      <w:lvlJc w:val="left"/>
      <w:pPr>
        <w:tabs>
          <w:tab w:val="num" w:pos="3033"/>
        </w:tabs>
        <w:ind w:left="3033" w:hanging="360"/>
      </w:pPr>
      <w:rPr>
        <w:rFonts w:ascii="Symbol" w:hAnsi="Symbol" w:hint="default"/>
      </w:rPr>
    </w:lvl>
    <w:lvl w:ilvl="4" w:tplc="0C090003" w:tentative="1">
      <w:start w:val="1"/>
      <w:numFmt w:val="bullet"/>
      <w:lvlText w:val="o"/>
      <w:lvlJc w:val="left"/>
      <w:pPr>
        <w:tabs>
          <w:tab w:val="num" w:pos="3753"/>
        </w:tabs>
        <w:ind w:left="3753" w:hanging="360"/>
      </w:pPr>
      <w:rPr>
        <w:rFonts w:ascii="Courier New" w:hAnsi="Courier New" w:cs="Courier New" w:hint="default"/>
      </w:rPr>
    </w:lvl>
    <w:lvl w:ilvl="5" w:tplc="0C090005" w:tentative="1">
      <w:start w:val="1"/>
      <w:numFmt w:val="bullet"/>
      <w:lvlText w:val=""/>
      <w:lvlJc w:val="left"/>
      <w:pPr>
        <w:tabs>
          <w:tab w:val="num" w:pos="4473"/>
        </w:tabs>
        <w:ind w:left="4473" w:hanging="360"/>
      </w:pPr>
      <w:rPr>
        <w:rFonts w:ascii="Wingdings" w:hAnsi="Wingdings" w:hint="default"/>
      </w:rPr>
    </w:lvl>
    <w:lvl w:ilvl="6" w:tplc="0C090001" w:tentative="1">
      <w:start w:val="1"/>
      <w:numFmt w:val="bullet"/>
      <w:lvlText w:val=""/>
      <w:lvlJc w:val="left"/>
      <w:pPr>
        <w:tabs>
          <w:tab w:val="num" w:pos="5193"/>
        </w:tabs>
        <w:ind w:left="5193" w:hanging="360"/>
      </w:pPr>
      <w:rPr>
        <w:rFonts w:ascii="Symbol" w:hAnsi="Symbol" w:hint="default"/>
      </w:rPr>
    </w:lvl>
    <w:lvl w:ilvl="7" w:tplc="0C090003" w:tentative="1">
      <w:start w:val="1"/>
      <w:numFmt w:val="bullet"/>
      <w:lvlText w:val="o"/>
      <w:lvlJc w:val="left"/>
      <w:pPr>
        <w:tabs>
          <w:tab w:val="num" w:pos="5913"/>
        </w:tabs>
        <w:ind w:left="5913" w:hanging="360"/>
      </w:pPr>
      <w:rPr>
        <w:rFonts w:ascii="Courier New" w:hAnsi="Courier New" w:cs="Courier New" w:hint="default"/>
      </w:rPr>
    </w:lvl>
    <w:lvl w:ilvl="8" w:tplc="0C090005" w:tentative="1">
      <w:start w:val="1"/>
      <w:numFmt w:val="bullet"/>
      <w:lvlText w:val=""/>
      <w:lvlJc w:val="left"/>
      <w:pPr>
        <w:tabs>
          <w:tab w:val="num" w:pos="6633"/>
        </w:tabs>
        <w:ind w:left="6633" w:hanging="360"/>
      </w:pPr>
      <w:rPr>
        <w:rFonts w:ascii="Wingdings" w:hAnsi="Wingdings" w:hint="default"/>
      </w:rPr>
    </w:lvl>
  </w:abstractNum>
  <w:abstractNum w:abstractNumId="46" w15:restartNumberingAfterBreak="0">
    <w:nsid w:val="33410B06"/>
    <w:multiLevelType w:val="hybridMultilevel"/>
    <w:tmpl w:val="26CA590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47" w15:restartNumberingAfterBreak="0">
    <w:nsid w:val="33CA7E4D"/>
    <w:multiLevelType w:val="hybridMultilevel"/>
    <w:tmpl w:val="24F656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33D24E5C"/>
    <w:multiLevelType w:val="hybridMultilevel"/>
    <w:tmpl w:val="B0E4BEFC"/>
    <w:lvl w:ilvl="0" w:tplc="14090003">
      <w:start w:val="1"/>
      <w:numFmt w:val="bullet"/>
      <w:lvlText w:val="o"/>
      <w:lvlJc w:val="left"/>
      <w:pPr>
        <w:ind w:left="862" w:hanging="360"/>
      </w:pPr>
      <w:rPr>
        <w:rFonts w:ascii="Courier New" w:hAnsi="Courier New" w:cs="Courier New"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49" w15:restartNumberingAfterBreak="0">
    <w:nsid w:val="35FA714C"/>
    <w:multiLevelType w:val="hybridMultilevel"/>
    <w:tmpl w:val="154078CC"/>
    <w:lvl w:ilvl="0" w:tplc="F6CC8FF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6AE79B4"/>
    <w:multiLevelType w:val="hybridMultilevel"/>
    <w:tmpl w:val="73DC62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383C1CEE"/>
    <w:multiLevelType w:val="hybridMultilevel"/>
    <w:tmpl w:val="36B6406E"/>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52" w15:restartNumberingAfterBreak="0">
    <w:nsid w:val="3B35163B"/>
    <w:multiLevelType w:val="hybridMultilevel"/>
    <w:tmpl w:val="1860871C"/>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53" w15:restartNumberingAfterBreak="0">
    <w:nsid w:val="3C7519AA"/>
    <w:multiLevelType w:val="hybridMultilevel"/>
    <w:tmpl w:val="6A4A1B92"/>
    <w:lvl w:ilvl="0" w:tplc="14090001">
      <w:start w:val="1"/>
      <w:numFmt w:val="bullet"/>
      <w:lvlText w:val=""/>
      <w:lvlJc w:val="left"/>
      <w:pPr>
        <w:ind w:left="2705" w:hanging="360"/>
      </w:pPr>
      <w:rPr>
        <w:rFonts w:ascii="Symbol" w:hAnsi="Symbol" w:hint="default"/>
      </w:rPr>
    </w:lvl>
    <w:lvl w:ilvl="1" w:tplc="14090003" w:tentative="1">
      <w:start w:val="1"/>
      <w:numFmt w:val="bullet"/>
      <w:lvlText w:val="o"/>
      <w:lvlJc w:val="left"/>
      <w:pPr>
        <w:ind w:left="3425" w:hanging="360"/>
      </w:pPr>
      <w:rPr>
        <w:rFonts w:ascii="Courier New" w:hAnsi="Courier New" w:cs="Courier New" w:hint="default"/>
      </w:rPr>
    </w:lvl>
    <w:lvl w:ilvl="2" w:tplc="14090005" w:tentative="1">
      <w:start w:val="1"/>
      <w:numFmt w:val="bullet"/>
      <w:lvlText w:val=""/>
      <w:lvlJc w:val="left"/>
      <w:pPr>
        <w:ind w:left="4145" w:hanging="360"/>
      </w:pPr>
      <w:rPr>
        <w:rFonts w:ascii="Wingdings" w:hAnsi="Wingdings" w:hint="default"/>
      </w:rPr>
    </w:lvl>
    <w:lvl w:ilvl="3" w:tplc="14090001" w:tentative="1">
      <w:start w:val="1"/>
      <w:numFmt w:val="bullet"/>
      <w:lvlText w:val=""/>
      <w:lvlJc w:val="left"/>
      <w:pPr>
        <w:ind w:left="4865" w:hanging="360"/>
      </w:pPr>
      <w:rPr>
        <w:rFonts w:ascii="Symbol" w:hAnsi="Symbol" w:hint="default"/>
      </w:rPr>
    </w:lvl>
    <w:lvl w:ilvl="4" w:tplc="14090003" w:tentative="1">
      <w:start w:val="1"/>
      <w:numFmt w:val="bullet"/>
      <w:lvlText w:val="o"/>
      <w:lvlJc w:val="left"/>
      <w:pPr>
        <w:ind w:left="5585" w:hanging="360"/>
      </w:pPr>
      <w:rPr>
        <w:rFonts w:ascii="Courier New" w:hAnsi="Courier New" w:cs="Courier New" w:hint="default"/>
      </w:rPr>
    </w:lvl>
    <w:lvl w:ilvl="5" w:tplc="14090005" w:tentative="1">
      <w:start w:val="1"/>
      <w:numFmt w:val="bullet"/>
      <w:lvlText w:val=""/>
      <w:lvlJc w:val="left"/>
      <w:pPr>
        <w:ind w:left="6305" w:hanging="360"/>
      </w:pPr>
      <w:rPr>
        <w:rFonts w:ascii="Wingdings" w:hAnsi="Wingdings" w:hint="default"/>
      </w:rPr>
    </w:lvl>
    <w:lvl w:ilvl="6" w:tplc="14090001" w:tentative="1">
      <w:start w:val="1"/>
      <w:numFmt w:val="bullet"/>
      <w:lvlText w:val=""/>
      <w:lvlJc w:val="left"/>
      <w:pPr>
        <w:ind w:left="7025" w:hanging="360"/>
      </w:pPr>
      <w:rPr>
        <w:rFonts w:ascii="Symbol" w:hAnsi="Symbol" w:hint="default"/>
      </w:rPr>
    </w:lvl>
    <w:lvl w:ilvl="7" w:tplc="14090003" w:tentative="1">
      <w:start w:val="1"/>
      <w:numFmt w:val="bullet"/>
      <w:lvlText w:val="o"/>
      <w:lvlJc w:val="left"/>
      <w:pPr>
        <w:ind w:left="7745" w:hanging="360"/>
      </w:pPr>
      <w:rPr>
        <w:rFonts w:ascii="Courier New" w:hAnsi="Courier New" w:cs="Courier New" w:hint="default"/>
      </w:rPr>
    </w:lvl>
    <w:lvl w:ilvl="8" w:tplc="14090005" w:tentative="1">
      <w:start w:val="1"/>
      <w:numFmt w:val="bullet"/>
      <w:lvlText w:val=""/>
      <w:lvlJc w:val="left"/>
      <w:pPr>
        <w:ind w:left="8465" w:hanging="360"/>
      </w:pPr>
      <w:rPr>
        <w:rFonts w:ascii="Wingdings" w:hAnsi="Wingdings" w:hint="default"/>
      </w:rPr>
    </w:lvl>
  </w:abstractNum>
  <w:abstractNum w:abstractNumId="54" w15:restartNumberingAfterBreak="0">
    <w:nsid w:val="3ED64D50"/>
    <w:multiLevelType w:val="hybridMultilevel"/>
    <w:tmpl w:val="8C4E014C"/>
    <w:lvl w:ilvl="0" w:tplc="14090001">
      <w:start w:val="1"/>
      <w:numFmt w:val="bullet"/>
      <w:lvlText w:val=""/>
      <w:lvlJc w:val="left"/>
      <w:pPr>
        <w:ind w:left="2138" w:hanging="360"/>
      </w:pPr>
      <w:rPr>
        <w:rFonts w:ascii="Symbol" w:hAnsi="Symbol" w:hint="default"/>
      </w:rPr>
    </w:lvl>
    <w:lvl w:ilvl="1" w:tplc="14090003" w:tentative="1">
      <w:start w:val="1"/>
      <w:numFmt w:val="bullet"/>
      <w:lvlText w:val="o"/>
      <w:lvlJc w:val="left"/>
      <w:pPr>
        <w:ind w:left="2858" w:hanging="360"/>
      </w:pPr>
      <w:rPr>
        <w:rFonts w:ascii="Courier New" w:hAnsi="Courier New" w:cs="Courier New" w:hint="default"/>
      </w:rPr>
    </w:lvl>
    <w:lvl w:ilvl="2" w:tplc="14090005" w:tentative="1">
      <w:start w:val="1"/>
      <w:numFmt w:val="bullet"/>
      <w:lvlText w:val=""/>
      <w:lvlJc w:val="left"/>
      <w:pPr>
        <w:ind w:left="3578" w:hanging="360"/>
      </w:pPr>
      <w:rPr>
        <w:rFonts w:ascii="Wingdings" w:hAnsi="Wingdings" w:hint="default"/>
      </w:rPr>
    </w:lvl>
    <w:lvl w:ilvl="3" w:tplc="14090001" w:tentative="1">
      <w:start w:val="1"/>
      <w:numFmt w:val="bullet"/>
      <w:lvlText w:val=""/>
      <w:lvlJc w:val="left"/>
      <w:pPr>
        <w:ind w:left="4298" w:hanging="360"/>
      </w:pPr>
      <w:rPr>
        <w:rFonts w:ascii="Symbol" w:hAnsi="Symbol" w:hint="default"/>
      </w:rPr>
    </w:lvl>
    <w:lvl w:ilvl="4" w:tplc="14090003" w:tentative="1">
      <w:start w:val="1"/>
      <w:numFmt w:val="bullet"/>
      <w:lvlText w:val="o"/>
      <w:lvlJc w:val="left"/>
      <w:pPr>
        <w:ind w:left="5018" w:hanging="360"/>
      </w:pPr>
      <w:rPr>
        <w:rFonts w:ascii="Courier New" w:hAnsi="Courier New" w:cs="Courier New" w:hint="default"/>
      </w:rPr>
    </w:lvl>
    <w:lvl w:ilvl="5" w:tplc="14090005" w:tentative="1">
      <w:start w:val="1"/>
      <w:numFmt w:val="bullet"/>
      <w:lvlText w:val=""/>
      <w:lvlJc w:val="left"/>
      <w:pPr>
        <w:ind w:left="5738" w:hanging="360"/>
      </w:pPr>
      <w:rPr>
        <w:rFonts w:ascii="Wingdings" w:hAnsi="Wingdings" w:hint="default"/>
      </w:rPr>
    </w:lvl>
    <w:lvl w:ilvl="6" w:tplc="14090001" w:tentative="1">
      <w:start w:val="1"/>
      <w:numFmt w:val="bullet"/>
      <w:lvlText w:val=""/>
      <w:lvlJc w:val="left"/>
      <w:pPr>
        <w:ind w:left="6458" w:hanging="360"/>
      </w:pPr>
      <w:rPr>
        <w:rFonts w:ascii="Symbol" w:hAnsi="Symbol" w:hint="default"/>
      </w:rPr>
    </w:lvl>
    <w:lvl w:ilvl="7" w:tplc="14090003" w:tentative="1">
      <w:start w:val="1"/>
      <w:numFmt w:val="bullet"/>
      <w:lvlText w:val="o"/>
      <w:lvlJc w:val="left"/>
      <w:pPr>
        <w:ind w:left="7178" w:hanging="360"/>
      </w:pPr>
      <w:rPr>
        <w:rFonts w:ascii="Courier New" w:hAnsi="Courier New" w:cs="Courier New" w:hint="default"/>
      </w:rPr>
    </w:lvl>
    <w:lvl w:ilvl="8" w:tplc="14090005" w:tentative="1">
      <w:start w:val="1"/>
      <w:numFmt w:val="bullet"/>
      <w:lvlText w:val=""/>
      <w:lvlJc w:val="left"/>
      <w:pPr>
        <w:ind w:left="7898" w:hanging="360"/>
      </w:pPr>
      <w:rPr>
        <w:rFonts w:ascii="Wingdings" w:hAnsi="Wingdings" w:hint="default"/>
      </w:rPr>
    </w:lvl>
  </w:abstractNum>
  <w:abstractNum w:abstractNumId="55" w15:restartNumberingAfterBreak="0">
    <w:nsid w:val="3EF15B6D"/>
    <w:multiLevelType w:val="hybridMultilevel"/>
    <w:tmpl w:val="63BC91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408A2DE4"/>
    <w:multiLevelType w:val="hybridMultilevel"/>
    <w:tmpl w:val="9E580688"/>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57" w15:restartNumberingAfterBreak="0">
    <w:nsid w:val="47E00E8B"/>
    <w:multiLevelType w:val="hybridMultilevel"/>
    <w:tmpl w:val="2D660A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48A35158"/>
    <w:multiLevelType w:val="hybridMultilevel"/>
    <w:tmpl w:val="D6CAA8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4AC932FE"/>
    <w:multiLevelType w:val="hybridMultilevel"/>
    <w:tmpl w:val="036A4A7E"/>
    <w:lvl w:ilvl="0" w:tplc="14090001">
      <w:start w:val="1"/>
      <w:numFmt w:val="bullet"/>
      <w:lvlText w:val=""/>
      <w:lvlJc w:val="left"/>
      <w:pPr>
        <w:ind w:left="1309" w:hanging="360"/>
      </w:pPr>
      <w:rPr>
        <w:rFonts w:ascii="Symbol" w:hAnsi="Symbol" w:hint="default"/>
      </w:rPr>
    </w:lvl>
    <w:lvl w:ilvl="1" w:tplc="14090003">
      <w:start w:val="1"/>
      <w:numFmt w:val="bullet"/>
      <w:lvlText w:val="o"/>
      <w:lvlJc w:val="left"/>
      <w:pPr>
        <w:ind w:left="2029" w:hanging="360"/>
      </w:pPr>
      <w:rPr>
        <w:rFonts w:ascii="Courier New" w:hAnsi="Courier New" w:cs="Courier New" w:hint="default"/>
      </w:rPr>
    </w:lvl>
    <w:lvl w:ilvl="2" w:tplc="14090005">
      <w:start w:val="1"/>
      <w:numFmt w:val="bullet"/>
      <w:lvlText w:val=""/>
      <w:lvlJc w:val="left"/>
      <w:pPr>
        <w:ind w:left="2749" w:hanging="360"/>
      </w:pPr>
      <w:rPr>
        <w:rFonts w:ascii="Wingdings" w:hAnsi="Wingdings" w:hint="default"/>
      </w:rPr>
    </w:lvl>
    <w:lvl w:ilvl="3" w:tplc="14090001">
      <w:start w:val="1"/>
      <w:numFmt w:val="bullet"/>
      <w:lvlText w:val=""/>
      <w:lvlJc w:val="left"/>
      <w:pPr>
        <w:ind w:left="3469" w:hanging="360"/>
      </w:pPr>
      <w:rPr>
        <w:rFonts w:ascii="Symbol" w:hAnsi="Symbol" w:hint="default"/>
      </w:rPr>
    </w:lvl>
    <w:lvl w:ilvl="4" w:tplc="14090003">
      <w:start w:val="1"/>
      <w:numFmt w:val="bullet"/>
      <w:lvlText w:val="o"/>
      <w:lvlJc w:val="left"/>
      <w:pPr>
        <w:ind w:left="4189" w:hanging="360"/>
      </w:pPr>
      <w:rPr>
        <w:rFonts w:ascii="Courier New" w:hAnsi="Courier New" w:cs="Courier New" w:hint="default"/>
      </w:rPr>
    </w:lvl>
    <w:lvl w:ilvl="5" w:tplc="14090005">
      <w:start w:val="1"/>
      <w:numFmt w:val="bullet"/>
      <w:lvlText w:val=""/>
      <w:lvlJc w:val="left"/>
      <w:pPr>
        <w:ind w:left="4909" w:hanging="360"/>
      </w:pPr>
      <w:rPr>
        <w:rFonts w:ascii="Wingdings" w:hAnsi="Wingdings" w:hint="default"/>
      </w:rPr>
    </w:lvl>
    <w:lvl w:ilvl="6" w:tplc="14090001">
      <w:start w:val="1"/>
      <w:numFmt w:val="bullet"/>
      <w:lvlText w:val=""/>
      <w:lvlJc w:val="left"/>
      <w:pPr>
        <w:ind w:left="5629" w:hanging="360"/>
      </w:pPr>
      <w:rPr>
        <w:rFonts w:ascii="Symbol" w:hAnsi="Symbol" w:hint="default"/>
      </w:rPr>
    </w:lvl>
    <w:lvl w:ilvl="7" w:tplc="14090003">
      <w:start w:val="1"/>
      <w:numFmt w:val="bullet"/>
      <w:lvlText w:val="o"/>
      <w:lvlJc w:val="left"/>
      <w:pPr>
        <w:ind w:left="6349" w:hanging="360"/>
      </w:pPr>
      <w:rPr>
        <w:rFonts w:ascii="Courier New" w:hAnsi="Courier New" w:cs="Courier New" w:hint="default"/>
      </w:rPr>
    </w:lvl>
    <w:lvl w:ilvl="8" w:tplc="14090005">
      <w:start w:val="1"/>
      <w:numFmt w:val="bullet"/>
      <w:lvlText w:val=""/>
      <w:lvlJc w:val="left"/>
      <w:pPr>
        <w:ind w:left="7069" w:hanging="360"/>
      </w:pPr>
      <w:rPr>
        <w:rFonts w:ascii="Wingdings" w:hAnsi="Wingdings" w:hint="default"/>
      </w:rPr>
    </w:lvl>
  </w:abstractNum>
  <w:abstractNum w:abstractNumId="60" w15:restartNumberingAfterBreak="0">
    <w:nsid w:val="4AF55A69"/>
    <w:multiLevelType w:val="hybridMultilevel"/>
    <w:tmpl w:val="5AF030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4B3B64B8"/>
    <w:multiLevelType w:val="hybridMultilevel"/>
    <w:tmpl w:val="49301E2E"/>
    <w:lvl w:ilvl="0" w:tplc="14090003">
      <w:start w:val="1"/>
      <w:numFmt w:val="bullet"/>
      <w:lvlText w:val="o"/>
      <w:lvlJc w:val="left"/>
      <w:pPr>
        <w:ind w:left="862" w:hanging="360"/>
      </w:pPr>
      <w:rPr>
        <w:rFonts w:ascii="Courier New" w:hAnsi="Courier New" w:cs="Courier New"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62" w15:restartNumberingAfterBreak="0">
    <w:nsid w:val="4BD90C81"/>
    <w:multiLevelType w:val="hybridMultilevel"/>
    <w:tmpl w:val="BD54C1F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4BDC0034"/>
    <w:multiLevelType w:val="hybridMultilevel"/>
    <w:tmpl w:val="15863C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4C8B3A8B"/>
    <w:multiLevelType w:val="hybridMultilevel"/>
    <w:tmpl w:val="6D0A77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4F0A6D4E"/>
    <w:multiLevelType w:val="multilevel"/>
    <w:tmpl w:val="3022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0424118"/>
    <w:multiLevelType w:val="hybridMultilevel"/>
    <w:tmpl w:val="C89A70C8"/>
    <w:lvl w:ilvl="0" w:tplc="14090001">
      <w:start w:val="1"/>
      <w:numFmt w:val="bullet"/>
      <w:lvlText w:val=""/>
      <w:lvlJc w:val="left"/>
      <w:pPr>
        <w:ind w:left="720" w:hanging="360"/>
      </w:pPr>
      <w:rPr>
        <w:rFonts w:ascii="Symbol" w:hAnsi="Symbol" w:hint="default"/>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51574D45"/>
    <w:multiLevelType w:val="hybridMultilevel"/>
    <w:tmpl w:val="50F4F8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52612702"/>
    <w:multiLevelType w:val="multilevel"/>
    <w:tmpl w:val="7F1AA632"/>
    <w:styleLink w:val="ReportNumber"/>
    <w:lvl w:ilvl="0">
      <w:start w:val="1"/>
      <w:numFmt w:val="decimal"/>
      <w:pStyle w:val="ReportBody"/>
      <w:lvlText w:val="%1"/>
      <w:lvlJc w:val="left"/>
      <w:pPr>
        <w:tabs>
          <w:tab w:val="num" w:pos="673"/>
        </w:tabs>
        <w:ind w:left="67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70" w15:restartNumberingAfterBreak="0">
    <w:nsid w:val="547A0221"/>
    <w:multiLevelType w:val="hybridMultilevel"/>
    <w:tmpl w:val="14090001"/>
    <w:styleLink w:val="ReportNumber11"/>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54CC7034"/>
    <w:multiLevelType w:val="hybridMultilevel"/>
    <w:tmpl w:val="868661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56083748"/>
    <w:multiLevelType w:val="hybridMultilevel"/>
    <w:tmpl w:val="F238E2AC"/>
    <w:lvl w:ilvl="0" w:tplc="A6AEFAF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7621EE7"/>
    <w:multiLevelType w:val="hybridMultilevel"/>
    <w:tmpl w:val="645A61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57BC7CBC"/>
    <w:multiLevelType w:val="hybridMultilevel"/>
    <w:tmpl w:val="0F0818CC"/>
    <w:lvl w:ilvl="0" w:tplc="14090001">
      <w:start w:val="1"/>
      <w:numFmt w:val="bullet"/>
      <w:lvlText w:val=""/>
      <w:lvlJc w:val="left"/>
      <w:pPr>
        <w:ind w:left="1854" w:hanging="360"/>
      </w:pPr>
      <w:rPr>
        <w:rFonts w:ascii="Symbol" w:hAnsi="Symbol"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75" w15:restartNumberingAfterBreak="0">
    <w:nsid w:val="59F54BCE"/>
    <w:multiLevelType w:val="multilevel"/>
    <w:tmpl w:val="0582B460"/>
    <w:styleLink w:val="BodyList"/>
    <w:lvl w:ilvl="0">
      <w:start w:val="1"/>
      <w:numFmt w:val="decimal"/>
      <w:lvlText w:val="%1"/>
      <w:lvlJc w:val="left"/>
      <w:pPr>
        <w:tabs>
          <w:tab w:val="num" w:pos="494"/>
        </w:tabs>
        <w:ind w:left="494" w:hanging="494"/>
      </w:pPr>
      <w:rPr>
        <w:rFonts w:hint="default"/>
      </w:rPr>
    </w:lvl>
    <w:lvl w:ilvl="1">
      <w:start w:val="1"/>
      <w:numFmt w:val="decimal"/>
      <w:lvlText w:val="%1.%2"/>
      <w:lvlJc w:val="left"/>
      <w:pPr>
        <w:tabs>
          <w:tab w:val="num" w:pos="493"/>
        </w:tabs>
        <w:ind w:left="987" w:hanging="493"/>
      </w:pPr>
      <w:rPr>
        <w:rFonts w:hint="default"/>
      </w:rPr>
    </w:lvl>
    <w:lvl w:ilvl="2">
      <w:start w:val="1"/>
      <w:numFmt w:val="decimal"/>
      <w:lvlText w:val="%1.%2.%3"/>
      <w:lvlJc w:val="left"/>
      <w:pPr>
        <w:tabs>
          <w:tab w:val="num" w:pos="680"/>
        </w:tabs>
        <w:ind w:left="1667" w:hanging="680"/>
      </w:pPr>
      <w:rPr>
        <w:rFonts w:hint="default"/>
      </w:rPr>
    </w:lvl>
    <w:lvl w:ilvl="3">
      <w:start w:val="1"/>
      <w:numFmt w:val="decimal"/>
      <w:lvlText w:val="%1.%2.%3.%4."/>
      <w:lvlJc w:val="left"/>
      <w:pPr>
        <w:tabs>
          <w:tab w:val="num" w:pos="1640"/>
        </w:tabs>
        <w:ind w:left="1208" w:hanging="648"/>
      </w:pPr>
      <w:rPr>
        <w:rFonts w:hint="default"/>
      </w:rPr>
    </w:lvl>
    <w:lvl w:ilvl="4">
      <w:start w:val="1"/>
      <w:numFmt w:val="decimal"/>
      <w:lvlText w:val="%1.%2.%3.%4.%5."/>
      <w:lvlJc w:val="left"/>
      <w:pPr>
        <w:tabs>
          <w:tab w:val="num" w:pos="2000"/>
        </w:tabs>
        <w:ind w:left="1712" w:hanging="792"/>
      </w:pPr>
      <w:rPr>
        <w:rFonts w:hint="default"/>
      </w:rPr>
    </w:lvl>
    <w:lvl w:ilvl="5">
      <w:start w:val="1"/>
      <w:numFmt w:val="decimal"/>
      <w:lvlText w:val="%1.%2.%3.%4.%5.%6."/>
      <w:lvlJc w:val="left"/>
      <w:pPr>
        <w:tabs>
          <w:tab w:val="num" w:pos="2720"/>
        </w:tabs>
        <w:ind w:left="2216" w:hanging="936"/>
      </w:pPr>
      <w:rPr>
        <w:rFonts w:hint="default"/>
      </w:rPr>
    </w:lvl>
    <w:lvl w:ilvl="6">
      <w:start w:val="1"/>
      <w:numFmt w:val="decimal"/>
      <w:lvlText w:val="%1.%2.%3.%4.%5.%6.%7."/>
      <w:lvlJc w:val="left"/>
      <w:pPr>
        <w:tabs>
          <w:tab w:val="num" w:pos="3080"/>
        </w:tabs>
        <w:ind w:left="2720" w:hanging="1080"/>
      </w:pPr>
      <w:rPr>
        <w:rFonts w:hint="default"/>
      </w:rPr>
    </w:lvl>
    <w:lvl w:ilvl="7">
      <w:start w:val="1"/>
      <w:numFmt w:val="decimal"/>
      <w:lvlText w:val="%1.%2.%3.%4.%5.%6.%7.%8."/>
      <w:lvlJc w:val="left"/>
      <w:pPr>
        <w:tabs>
          <w:tab w:val="num" w:pos="3800"/>
        </w:tabs>
        <w:ind w:left="3224" w:hanging="1224"/>
      </w:pPr>
      <w:rPr>
        <w:rFonts w:hint="default"/>
      </w:rPr>
    </w:lvl>
    <w:lvl w:ilvl="8">
      <w:start w:val="1"/>
      <w:numFmt w:val="decimal"/>
      <w:lvlText w:val="%1.%2.%3.%4.%5.%6.%7.%8.%9."/>
      <w:lvlJc w:val="left"/>
      <w:pPr>
        <w:tabs>
          <w:tab w:val="num" w:pos="4160"/>
        </w:tabs>
        <w:ind w:left="3800" w:hanging="1440"/>
      </w:pPr>
      <w:rPr>
        <w:rFonts w:hint="default"/>
      </w:rPr>
    </w:lvl>
  </w:abstractNum>
  <w:abstractNum w:abstractNumId="76" w15:restartNumberingAfterBreak="0">
    <w:nsid w:val="5A15149E"/>
    <w:multiLevelType w:val="hybridMultilevel"/>
    <w:tmpl w:val="1FFC5B18"/>
    <w:lvl w:ilvl="0" w:tplc="14090001">
      <w:start w:val="1"/>
      <w:numFmt w:val="bullet"/>
      <w:lvlText w:val=""/>
      <w:lvlJc w:val="left"/>
      <w:pPr>
        <w:ind w:left="2008" w:hanging="360"/>
      </w:pPr>
      <w:rPr>
        <w:rFonts w:ascii="Symbol" w:hAnsi="Symbol" w:hint="default"/>
      </w:rPr>
    </w:lvl>
    <w:lvl w:ilvl="1" w:tplc="14090003">
      <w:start w:val="1"/>
      <w:numFmt w:val="bullet"/>
      <w:lvlText w:val="o"/>
      <w:lvlJc w:val="left"/>
      <w:pPr>
        <w:ind w:left="2728" w:hanging="360"/>
      </w:pPr>
      <w:rPr>
        <w:rFonts w:ascii="Courier New" w:hAnsi="Courier New" w:cs="Courier New" w:hint="default"/>
      </w:rPr>
    </w:lvl>
    <w:lvl w:ilvl="2" w:tplc="14090005" w:tentative="1">
      <w:start w:val="1"/>
      <w:numFmt w:val="bullet"/>
      <w:lvlText w:val=""/>
      <w:lvlJc w:val="left"/>
      <w:pPr>
        <w:ind w:left="3448" w:hanging="360"/>
      </w:pPr>
      <w:rPr>
        <w:rFonts w:ascii="Wingdings" w:hAnsi="Wingdings" w:hint="default"/>
      </w:rPr>
    </w:lvl>
    <w:lvl w:ilvl="3" w:tplc="14090001" w:tentative="1">
      <w:start w:val="1"/>
      <w:numFmt w:val="bullet"/>
      <w:lvlText w:val=""/>
      <w:lvlJc w:val="left"/>
      <w:pPr>
        <w:ind w:left="4168" w:hanging="360"/>
      </w:pPr>
      <w:rPr>
        <w:rFonts w:ascii="Symbol" w:hAnsi="Symbol" w:hint="default"/>
      </w:rPr>
    </w:lvl>
    <w:lvl w:ilvl="4" w:tplc="14090003" w:tentative="1">
      <w:start w:val="1"/>
      <w:numFmt w:val="bullet"/>
      <w:lvlText w:val="o"/>
      <w:lvlJc w:val="left"/>
      <w:pPr>
        <w:ind w:left="4888" w:hanging="360"/>
      </w:pPr>
      <w:rPr>
        <w:rFonts w:ascii="Courier New" w:hAnsi="Courier New" w:cs="Courier New" w:hint="default"/>
      </w:rPr>
    </w:lvl>
    <w:lvl w:ilvl="5" w:tplc="14090005" w:tentative="1">
      <w:start w:val="1"/>
      <w:numFmt w:val="bullet"/>
      <w:lvlText w:val=""/>
      <w:lvlJc w:val="left"/>
      <w:pPr>
        <w:ind w:left="5608" w:hanging="360"/>
      </w:pPr>
      <w:rPr>
        <w:rFonts w:ascii="Wingdings" w:hAnsi="Wingdings" w:hint="default"/>
      </w:rPr>
    </w:lvl>
    <w:lvl w:ilvl="6" w:tplc="14090001" w:tentative="1">
      <w:start w:val="1"/>
      <w:numFmt w:val="bullet"/>
      <w:lvlText w:val=""/>
      <w:lvlJc w:val="left"/>
      <w:pPr>
        <w:ind w:left="6328" w:hanging="360"/>
      </w:pPr>
      <w:rPr>
        <w:rFonts w:ascii="Symbol" w:hAnsi="Symbol" w:hint="default"/>
      </w:rPr>
    </w:lvl>
    <w:lvl w:ilvl="7" w:tplc="14090003" w:tentative="1">
      <w:start w:val="1"/>
      <w:numFmt w:val="bullet"/>
      <w:lvlText w:val="o"/>
      <w:lvlJc w:val="left"/>
      <w:pPr>
        <w:ind w:left="7048" w:hanging="360"/>
      </w:pPr>
      <w:rPr>
        <w:rFonts w:ascii="Courier New" w:hAnsi="Courier New" w:cs="Courier New" w:hint="default"/>
      </w:rPr>
    </w:lvl>
    <w:lvl w:ilvl="8" w:tplc="14090005" w:tentative="1">
      <w:start w:val="1"/>
      <w:numFmt w:val="bullet"/>
      <w:lvlText w:val=""/>
      <w:lvlJc w:val="left"/>
      <w:pPr>
        <w:ind w:left="7768" w:hanging="360"/>
      </w:pPr>
      <w:rPr>
        <w:rFonts w:ascii="Wingdings" w:hAnsi="Wingdings" w:hint="default"/>
      </w:rPr>
    </w:lvl>
  </w:abstractNum>
  <w:abstractNum w:abstractNumId="77" w15:restartNumberingAfterBreak="0">
    <w:nsid w:val="5A9423C6"/>
    <w:multiLevelType w:val="hybridMultilevel"/>
    <w:tmpl w:val="58C4F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B050A25"/>
    <w:multiLevelType w:val="hybridMultilevel"/>
    <w:tmpl w:val="B3844CE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9" w15:restartNumberingAfterBreak="0">
    <w:nsid w:val="5B121AA9"/>
    <w:multiLevelType w:val="hybridMultilevel"/>
    <w:tmpl w:val="FB50F0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0" w15:restartNumberingAfterBreak="0">
    <w:nsid w:val="5BD71680"/>
    <w:multiLevelType w:val="hybridMultilevel"/>
    <w:tmpl w:val="DBEA566C"/>
    <w:styleLink w:val="ReportNumber23"/>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5BEC488C"/>
    <w:multiLevelType w:val="hybridMultilevel"/>
    <w:tmpl w:val="CAC20F2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5CD17929"/>
    <w:multiLevelType w:val="hybridMultilevel"/>
    <w:tmpl w:val="DBF86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5D1E2440"/>
    <w:multiLevelType w:val="hybridMultilevel"/>
    <w:tmpl w:val="C7D48E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5E773313"/>
    <w:multiLevelType w:val="hybridMultilevel"/>
    <w:tmpl w:val="B9B8397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5" w15:restartNumberingAfterBreak="0">
    <w:nsid w:val="5F1A3275"/>
    <w:multiLevelType w:val="hybridMultilevel"/>
    <w:tmpl w:val="BCE2B1B2"/>
    <w:lvl w:ilvl="0" w:tplc="14090001">
      <w:start w:val="1"/>
      <w:numFmt w:val="bullet"/>
      <w:lvlText w:val=""/>
      <w:lvlJc w:val="left"/>
      <w:pPr>
        <w:ind w:left="1003" w:hanging="360"/>
      </w:pPr>
      <w:rPr>
        <w:rFonts w:ascii="Symbol" w:hAnsi="Symbol"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86" w15:restartNumberingAfterBreak="0">
    <w:nsid w:val="64D03B07"/>
    <w:multiLevelType w:val="hybridMultilevel"/>
    <w:tmpl w:val="549A205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7" w15:restartNumberingAfterBreak="0">
    <w:nsid w:val="65EB4729"/>
    <w:multiLevelType w:val="hybridMultilevel"/>
    <w:tmpl w:val="FD28B170"/>
    <w:lvl w:ilvl="0" w:tplc="2572FF34">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8" w15:restartNumberingAfterBreak="0">
    <w:nsid w:val="65FC312A"/>
    <w:multiLevelType w:val="hybridMultilevel"/>
    <w:tmpl w:val="F33259CA"/>
    <w:lvl w:ilvl="0" w:tplc="14090001">
      <w:start w:val="1"/>
      <w:numFmt w:val="bullet"/>
      <w:lvlText w:val=""/>
      <w:lvlJc w:val="left"/>
      <w:pPr>
        <w:ind w:left="1455" w:hanging="360"/>
      </w:pPr>
      <w:rPr>
        <w:rFonts w:ascii="Symbol" w:hAnsi="Symbol" w:hint="default"/>
      </w:rPr>
    </w:lvl>
    <w:lvl w:ilvl="1" w:tplc="14090003">
      <w:start w:val="1"/>
      <w:numFmt w:val="bullet"/>
      <w:lvlText w:val="o"/>
      <w:lvlJc w:val="left"/>
      <w:pPr>
        <w:ind w:left="2175" w:hanging="360"/>
      </w:pPr>
      <w:rPr>
        <w:rFonts w:ascii="Courier New" w:hAnsi="Courier New" w:cs="Courier New" w:hint="default"/>
      </w:rPr>
    </w:lvl>
    <w:lvl w:ilvl="2" w:tplc="14090005" w:tentative="1">
      <w:start w:val="1"/>
      <w:numFmt w:val="bullet"/>
      <w:lvlText w:val=""/>
      <w:lvlJc w:val="left"/>
      <w:pPr>
        <w:ind w:left="2895" w:hanging="360"/>
      </w:pPr>
      <w:rPr>
        <w:rFonts w:ascii="Wingdings" w:hAnsi="Wingdings" w:hint="default"/>
      </w:rPr>
    </w:lvl>
    <w:lvl w:ilvl="3" w:tplc="14090001" w:tentative="1">
      <w:start w:val="1"/>
      <w:numFmt w:val="bullet"/>
      <w:lvlText w:val=""/>
      <w:lvlJc w:val="left"/>
      <w:pPr>
        <w:ind w:left="3615" w:hanging="360"/>
      </w:pPr>
      <w:rPr>
        <w:rFonts w:ascii="Symbol" w:hAnsi="Symbol" w:hint="default"/>
      </w:rPr>
    </w:lvl>
    <w:lvl w:ilvl="4" w:tplc="14090003" w:tentative="1">
      <w:start w:val="1"/>
      <w:numFmt w:val="bullet"/>
      <w:lvlText w:val="o"/>
      <w:lvlJc w:val="left"/>
      <w:pPr>
        <w:ind w:left="4335" w:hanging="360"/>
      </w:pPr>
      <w:rPr>
        <w:rFonts w:ascii="Courier New" w:hAnsi="Courier New" w:cs="Courier New" w:hint="default"/>
      </w:rPr>
    </w:lvl>
    <w:lvl w:ilvl="5" w:tplc="14090005" w:tentative="1">
      <w:start w:val="1"/>
      <w:numFmt w:val="bullet"/>
      <w:lvlText w:val=""/>
      <w:lvlJc w:val="left"/>
      <w:pPr>
        <w:ind w:left="5055" w:hanging="360"/>
      </w:pPr>
      <w:rPr>
        <w:rFonts w:ascii="Wingdings" w:hAnsi="Wingdings" w:hint="default"/>
      </w:rPr>
    </w:lvl>
    <w:lvl w:ilvl="6" w:tplc="14090001" w:tentative="1">
      <w:start w:val="1"/>
      <w:numFmt w:val="bullet"/>
      <w:lvlText w:val=""/>
      <w:lvlJc w:val="left"/>
      <w:pPr>
        <w:ind w:left="5775" w:hanging="360"/>
      </w:pPr>
      <w:rPr>
        <w:rFonts w:ascii="Symbol" w:hAnsi="Symbol" w:hint="default"/>
      </w:rPr>
    </w:lvl>
    <w:lvl w:ilvl="7" w:tplc="14090003" w:tentative="1">
      <w:start w:val="1"/>
      <w:numFmt w:val="bullet"/>
      <w:lvlText w:val="o"/>
      <w:lvlJc w:val="left"/>
      <w:pPr>
        <w:ind w:left="6495" w:hanging="360"/>
      </w:pPr>
      <w:rPr>
        <w:rFonts w:ascii="Courier New" w:hAnsi="Courier New" w:cs="Courier New" w:hint="default"/>
      </w:rPr>
    </w:lvl>
    <w:lvl w:ilvl="8" w:tplc="14090005" w:tentative="1">
      <w:start w:val="1"/>
      <w:numFmt w:val="bullet"/>
      <w:lvlText w:val=""/>
      <w:lvlJc w:val="left"/>
      <w:pPr>
        <w:ind w:left="7215" w:hanging="360"/>
      </w:pPr>
      <w:rPr>
        <w:rFonts w:ascii="Wingdings" w:hAnsi="Wingdings" w:hint="default"/>
      </w:rPr>
    </w:lvl>
  </w:abstractNum>
  <w:abstractNum w:abstractNumId="89" w15:restartNumberingAfterBreak="0">
    <w:nsid w:val="674D3857"/>
    <w:multiLevelType w:val="hybridMultilevel"/>
    <w:tmpl w:val="580AF9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0" w15:restartNumberingAfterBreak="0">
    <w:nsid w:val="67F86216"/>
    <w:multiLevelType w:val="hybridMultilevel"/>
    <w:tmpl w:val="6F1266AE"/>
    <w:styleLink w:val="BodyNumber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1" w15:restartNumberingAfterBreak="0">
    <w:nsid w:val="68E32C1C"/>
    <w:multiLevelType w:val="hybridMultilevel"/>
    <w:tmpl w:val="CE9CD8A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92" w15:restartNumberingAfterBreak="0">
    <w:nsid w:val="694135F7"/>
    <w:multiLevelType w:val="hybridMultilevel"/>
    <w:tmpl w:val="DA4C40C8"/>
    <w:styleLink w:val="ReportNumber1"/>
    <w:lvl w:ilvl="0" w:tplc="0C090001">
      <w:start w:val="1"/>
      <w:numFmt w:val="bullet"/>
      <w:lvlText w:val=""/>
      <w:lvlJc w:val="left"/>
      <w:pPr>
        <w:tabs>
          <w:tab w:val="num" w:pos="873"/>
        </w:tabs>
        <w:ind w:left="873" w:hanging="360"/>
      </w:pPr>
      <w:rPr>
        <w:rFonts w:ascii="Symbol" w:hAnsi="Symbol" w:hint="default"/>
      </w:rPr>
    </w:lvl>
    <w:lvl w:ilvl="1" w:tplc="0C090003">
      <w:start w:val="1"/>
      <w:numFmt w:val="bullet"/>
      <w:lvlText w:val="o"/>
      <w:lvlJc w:val="left"/>
      <w:pPr>
        <w:tabs>
          <w:tab w:val="num" w:pos="1593"/>
        </w:tabs>
        <w:ind w:left="1593" w:hanging="360"/>
      </w:pPr>
      <w:rPr>
        <w:rFonts w:ascii="Courier New" w:hAnsi="Courier New" w:cs="Courier New" w:hint="default"/>
      </w:rPr>
    </w:lvl>
    <w:lvl w:ilvl="2" w:tplc="0C090005" w:tentative="1">
      <w:start w:val="1"/>
      <w:numFmt w:val="bullet"/>
      <w:lvlText w:val=""/>
      <w:lvlJc w:val="left"/>
      <w:pPr>
        <w:tabs>
          <w:tab w:val="num" w:pos="2313"/>
        </w:tabs>
        <w:ind w:left="2313" w:hanging="360"/>
      </w:pPr>
      <w:rPr>
        <w:rFonts w:ascii="Wingdings" w:hAnsi="Wingdings" w:hint="default"/>
      </w:rPr>
    </w:lvl>
    <w:lvl w:ilvl="3" w:tplc="0C090001" w:tentative="1">
      <w:start w:val="1"/>
      <w:numFmt w:val="bullet"/>
      <w:lvlText w:val=""/>
      <w:lvlJc w:val="left"/>
      <w:pPr>
        <w:tabs>
          <w:tab w:val="num" w:pos="3033"/>
        </w:tabs>
        <w:ind w:left="3033" w:hanging="360"/>
      </w:pPr>
      <w:rPr>
        <w:rFonts w:ascii="Symbol" w:hAnsi="Symbol" w:hint="default"/>
      </w:rPr>
    </w:lvl>
    <w:lvl w:ilvl="4" w:tplc="0C090003" w:tentative="1">
      <w:start w:val="1"/>
      <w:numFmt w:val="bullet"/>
      <w:lvlText w:val="o"/>
      <w:lvlJc w:val="left"/>
      <w:pPr>
        <w:tabs>
          <w:tab w:val="num" w:pos="3753"/>
        </w:tabs>
        <w:ind w:left="3753" w:hanging="360"/>
      </w:pPr>
      <w:rPr>
        <w:rFonts w:ascii="Courier New" w:hAnsi="Courier New" w:cs="Courier New" w:hint="default"/>
      </w:rPr>
    </w:lvl>
    <w:lvl w:ilvl="5" w:tplc="0C090005" w:tentative="1">
      <w:start w:val="1"/>
      <w:numFmt w:val="bullet"/>
      <w:lvlText w:val=""/>
      <w:lvlJc w:val="left"/>
      <w:pPr>
        <w:tabs>
          <w:tab w:val="num" w:pos="4473"/>
        </w:tabs>
        <w:ind w:left="4473" w:hanging="360"/>
      </w:pPr>
      <w:rPr>
        <w:rFonts w:ascii="Wingdings" w:hAnsi="Wingdings" w:hint="default"/>
      </w:rPr>
    </w:lvl>
    <w:lvl w:ilvl="6" w:tplc="0C090001" w:tentative="1">
      <w:start w:val="1"/>
      <w:numFmt w:val="bullet"/>
      <w:lvlText w:val=""/>
      <w:lvlJc w:val="left"/>
      <w:pPr>
        <w:tabs>
          <w:tab w:val="num" w:pos="5193"/>
        </w:tabs>
        <w:ind w:left="5193" w:hanging="360"/>
      </w:pPr>
      <w:rPr>
        <w:rFonts w:ascii="Symbol" w:hAnsi="Symbol" w:hint="default"/>
      </w:rPr>
    </w:lvl>
    <w:lvl w:ilvl="7" w:tplc="0C090003" w:tentative="1">
      <w:start w:val="1"/>
      <w:numFmt w:val="bullet"/>
      <w:lvlText w:val="o"/>
      <w:lvlJc w:val="left"/>
      <w:pPr>
        <w:tabs>
          <w:tab w:val="num" w:pos="5913"/>
        </w:tabs>
        <w:ind w:left="5913" w:hanging="360"/>
      </w:pPr>
      <w:rPr>
        <w:rFonts w:ascii="Courier New" w:hAnsi="Courier New" w:cs="Courier New" w:hint="default"/>
      </w:rPr>
    </w:lvl>
    <w:lvl w:ilvl="8" w:tplc="0C090005" w:tentative="1">
      <w:start w:val="1"/>
      <w:numFmt w:val="bullet"/>
      <w:lvlText w:val=""/>
      <w:lvlJc w:val="left"/>
      <w:pPr>
        <w:tabs>
          <w:tab w:val="num" w:pos="6633"/>
        </w:tabs>
        <w:ind w:left="6633" w:hanging="360"/>
      </w:pPr>
      <w:rPr>
        <w:rFonts w:ascii="Wingdings" w:hAnsi="Wingdings" w:hint="default"/>
      </w:rPr>
    </w:lvl>
  </w:abstractNum>
  <w:abstractNum w:abstractNumId="93" w15:restartNumberingAfterBreak="0">
    <w:nsid w:val="697E5801"/>
    <w:multiLevelType w:val="hybridMultilevel"/>
    <w:tmpl w:val="BC4C2B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4" w15:restartNumberingAfterBreak="0">
    <w:nsid w:val="6B172B65"/>
    <w:multiLevelType w:val="hybridMultilevel"/>
    <w:tmpl w:val="0E925E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5" w15:restartNumberingAfterBreak="0">
    <w:nsid w:val="6BCF3F0F"/>
    <w:multiLevelType w:val="hybridMultilevel"/>
    <w:tmpl w:val="A142ECEA"/>
    <w:lvl w:ilvl="0" w:tplc="94005340">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6" w15:restartNumberingAfterBreak="0">
    <w:nsid w:val="6C426BC6"/>
    <w:multiLevelType w:val="hybridMultilevel"/>
    <w:tmpl w:val="B614D260"/>
    <w:lvl w:ilvl="0" w:tplc="14090001">
      <w:start w:val="1"/>
      <w:numFmt w:val="bulle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97" w15:restartNumberingAfterBreak="0">
    <w:nsid w:val="6D8C5F4C"/>
    <w:multiLevelType w:val="hybridMultilevel"/>
    <w:tmpl w:val="52920B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8" w15:restartNumberingAfterBreak="0">
    <w:nsid w:val="6DC2753B"/>
    <w:multiLevelType w:val="hybridMultilevel"/>
    <w:tmpl w:val="360E23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9" w15:restartNumberingAfterBreak="0">
    <w:nsid w:val="6EE0668C"/>
    <w:multiLevelType w:val="hybridMultilevel"/>
    <w:tmpl w:val="8A2E756E"/>
    <w:lvl w:ilvl="0" w:tplc="14090001">
      <w:start w:val="1"/>
      <w:numFmt w:val="bullet"/>
      <w:lvlText w:val=""/>
      <w:lvlJc w:val="left"/>
      <w:pPr>
        <w:ind w:left="1140" w:hanging="360"/>
      </w:pPr>
      <w:rPr>
        <w:rFonts w:ascii="Symbol" w:hAnsi="Symbol" w:hint="default"/>
      </w:rPr>
    </w:lvl>
    <w:lvl w:ilvl="1" w:tplc="14090003" w:tentative="1">
      <w:start w:val="1"/>
      <w:numFmt w:val="bullet"/>
      <w:lvlText w:val="o"/>
      <w:lvlJc w:val="left"/>
      <w:pPr>
        <w:ind w:left="1860" w:hanging="360"/>
      </w:pPr>
      <w:rPr>
        <w:rFonts w:ascii="Courier New" w:hAnsi="Courier New" w:cs="Courier New" w:hint="default"/>
      </w:rPr>
    </w:lvl>
    <w:lvl w:ilvl="2" w:tplc="14090005" w:tentative="1">
      <w:start w:val="1"/>
      <w:numFmt w:val="bullet"/>
      <w:lvlText w:val=""/>
      <w:lvlJc w:val="left"/>
      <w:pPr>
        <w:ind w:left="2580" w:hanging="360"/>
      </w:pPr>
      <w:rPr>
        <w:rFonts w:ascii="Wingdings" w:hAnsi="Wingdings" w:hint="default"/>
      </w:rPr>
    </w:lvl>
    <w:lvl w:ilvl="3" w:tplc="14090001" w:tentative="1">
      <w:start w:val="1"/>
      <w:numFmt w:val="bullet"/>
      <w:lvlText w:val=""/>
      <w:lvlJc w:val="left"/>
      <w:pPr>
        <w:ind w:left="3300" w:hanging="360"/>
      </w:pPr>
      <w:rPr>
        <w:rFonts w:ascii="Symbol" w:hAnsi="Symbol" w:hint="default"/>
      </w:rPr>
    </w:lvl>
    <w:lvl w:ilvl="4" w:tplc="14090003" w:tentative="1">
      <w:start w:val="1"/>
      <w:numFmt w:val="bullet"/>
      <w:lvlText w:val="o"/>
      <w:lvlJc w:val="left"/>
      <w:pPr>
        <w:ind w:left="4020" w:hanging="360"/>
      </w:pPr>
      <w:rPr>
        <w:rFonts w:ascii="Courier New" w:hAnsi="Courier New" w:cs="Courier New" w:hint="default"/>
      </w:rPr>
    </w:lvl>
    <w:lvl w:ilvl="5" w:tplc="14090005" w:tentative="1">
      <w:start w:val="1"/>
      <w:numFmt w:val="bullet"/>
      <w:lvlText w:val=""/>
      <w:lvlJc w:val="left"/>
      <w:pPr>
        <w:ind w:left="4740" w:hanging="360"/>
      </w:pPr>
      <w:rPr>
        <w:rFonts w:ascii="Wingdings" w:hAnsi="Wingdings" w:hint="default"/>
      </w:rPr>
    </w:lvl>
    <w:lvl w:ilvl="6" w:tplc="14090001" w:tentative="1">
      <w:start w:val="1"/>
      <w:numFmt w:val="bullet"/>
      <w:lvlText w:val=""/>
      <w:lvlJc w:val="left"/>
      <w:pPr>
        <w:ind w:left="5460" w:hanging="360"/>
      </w:pPr>
      <w:rPr>
        <w:rFonts w:ascii="Symbol" w:hAnsi="Symbol" w:hint="default"/>
      </w:rPr>
    </w:lvl>
    <w:lvl w:ilvl="7" w:tplc="14090003" w:tentative="1">
      <w:start w:val="1"/>
      <w:numFmt w:val="bullet"/>
      <w:lvlText w:val="o"/>
      <w:lvlJc w:val="left"/>
      <w:pPr>
        <w:ind w:left="6180" w:hanging="360"/>
      </w:pPr>
      <w:rPr>
        <w:rFonts w:ascii="Courier New" w:hAnsi="Courier New" w:cs="Courier New" w:hint="default"/>
      </w:rPr>
    </w:lvl>
    <w:lvl w:ilvl="8" w:tplc="14090005" w:tentative="1">
      <w:start w:val="1"/>
      <w:numFmt w:val="bullet"/>
      <w:lvlText w:val=""/>
      <w:lvlJc w:val="left"/>
      <w:pPr>
        <w:ind w:left="6900" w:hanging="360"/>
      </w:pPr>
      <w:rPr>
        <w:rFonts w:ascii="Wingdings" w:hAnsi="Wingdings" w:hint="default"/>
      </w:rPr>
    </w:lvl>
  </w:abstractNum>
  <w:abstractNum w:abstractNumId="100" w15:restartNumberingAfterBreak="0">
    <w:nsid w:val="6F2F1BB9"/>
    <w:multiLevelType w:val="hybridMultilevel"/>
    <w:tmpl w:val="9DB80546"/>
    <w:lvl w:ilvl="0" w:tplc="14090001">
      <w:start w:val="1"/>
      <w:numFmt w:val="bullet"/>
      <w:lvlText w:val=""/>
      <w:lvlJc w:val="left"/>
      <w:pPr>
        <w:ind w:left="150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01" w15:restartNumberingAfterBreak="0">
    <w:nsid w:val="6FD169A5"/>
    <w:multiLevelType w:val="hybridMultilevel"/>
    <w:tmpl w:val="74BE04FC"/>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02" w15:restartNumberingAfterBreak="0">
    <w:nsid w:val="70955444"/>
    <w:multiLevelType w:val="hybridMultilevel"/>
    <w:tmpl w:val="0F7694CA"/>
    <w:lvl w:ilvl="0" w:tplc="997A492A">
      <w:numFmt w:val="bullet"/>
      <w:lvlText w:val=""/>
      <w:lvlJc w:val="left"/>
      <w:pPr>
        <w:ind w:left="720" w:hanging="360"/>
      </w:pPr>
      <w:rPr>
        <w:rFonts w:ascii="Symbol" w:eastAsia="@NSimSun" w:hAnsi="Symbo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0F6553A"/>
    <w:multiLevelType w:val="hybridMultilevel"/>
    <w:tmpl w:val="A7F6FF74"/>
    <w:lvl w:ilvl="0" w:tplc="14090003">
      <w:start w:val="1"/>
      <w:numFmt w:val="bullet"/>
      <w:lvlText w:val="o"/>
      <w:lvlJc w:val="left"/>
      <w:pPr>
        <w:ind w:left="1172" w:hanging="360"/>
      </w:pPr>
      <w:rPr>
        <w:rFonts w:ascii="Courier New" w:hAnsi="Courier New" w:cs="Courier New" w:hint="default"/>
        <w:szCs w:val="22"/>
      </w:rPr>
    </w:lvl>
    <w:lvl w:ilvl="1" w:tplc="14090003" w:tentative="1">
      <w:start w:val="1"/>
      <w:numFmt w:val="bullet"/>
      <w:lvlText w:val="o"/>
      <w:lvlJc w:val="left"/>
      <w:pPr>
        <w:ind w:left="1892" w:hanging="360"/>
      </w:pPr>
      <w:rPr>
        <w:rFonts w:ascii="Courier New" w:hAnsi="Courier New" w:cs="Courier New" w:hint="default"/>
      </w:rPr>
    </w:lvl>
    <w:lvl w:ilvl="2" w:tplc="14090005" w:tentative="1">
      <w:start w:val="1"/>
      <w:numFmt w:val="bullet"/>
      <w:lvlText w:val=""/>
      <w:lvlJc w:val="left"/>
      <w:pPr>
        <w:ind w:left="2612" w:hanging="360"/>
      </w:pPr>
      <w:rPr>
        <w:rFonts w:ascii="Wingdings" w:hAnsi="Wingdings" w:hint="default"/>
      </w:rPr>
    </w:lvl>
    <w:lvl w:ilvl="3" w:tplc="14090001" w:tentative="1">
      <w:start w:val="1"/>
      <w:numFmt w:val="bullet"/>
      <w:lvlText w:val=""/>
      <w:lvlJc w:val="left"/>
      <w:pPr>
        <w:ind w:left="3332" w:hanging="360"/>
      </w:pPr>
      <w:rPr>
        <w:rFonts w:ascii="Symbol" w:hAnsi="Symbol" w:hint="default"/>
      </w:rPr>
    </w:lvl>
    <w:lvl w:ilvl="4" w:tplc="14090003" w:tentative="1">
      <w:start w:val="1"/>
      <w:numFmt w:val="bullet"/>
      <w:lvlText w:val="o"/>
      <w:lvlJc w:val="left"/>
      <w:pPr>
        <w:ind w:left="4052" w:hanging="360"/>
      </w:pPr>
      <w:rPr>
        <w:rFonts w:ascii="Courier New" w:hAnsi="Courier New" w:cs="Courier New" w:hint="default"/>
      </w:rPr>
    </w:lvl>
    <w:lvl w:ilvl="5" w:tplc="14090005" w:tentative="1">
      <w:start w:val="1"/>
      <w:numFmt w:val="bullet"/>
      <w:lvlText w:val=""/>
      <w:lvlJc w:val="left"/>
      <w:pPr>
        <w:ind w:left="4772" w:hanging="360"/>
      </w:pPr>
      <w:rPr>
        <w:rFonts w:ascii="Wingdings" w:hAnsi="Wingdings" w:hint="default"/>
      </w:rPr>
    </w:lvl>
    <w:lvl w:ilvl="6" w:tplc="14090001" w:tentative="1">
      <w:start w:val="1"/>
      <w:numFmt w:val="bullet"/>
      <w:lvlText w:val=""/>
      <w:lvlJc w:val="left"/>
      <w:pPr>
        <w:ind w:left="5492" w:hanging="360"/>
      </w:pPr>
      <w:rPr>
        <w:rFonts w:ascii="Symbol" w:hAnsi="Symbol" w:hint="default"/>
      </w:rPr>
    </w:lvl>
    <w:lvl w:ilvl="7" w:tplc="14090003" w:tentative="1">
      <w:start w:val="1"/>
      <w:numFmt w:val="bullet"/>
      <w:lvlText w:val="o"/>
      <w:lvlJc w:val="left"/>
      <w:pPr>
        <w:ind w:left="6212" w:hanging="360"/>
      </w:pPr>
      <w:rPr>
        <w:rFonts w:ascii="Courier New" w:hAnsi="Courier New" w:cs="Courier New" w:hint="default"/>
      </w:rPr>
    </w:lvl>
    <w:lvl w:ilvl="8" w:tplc="14090005" w:tentative="1">
      <w:start w:val="1"/>
      <w:numFmt w:val="bullet"/>
      <w:lvlText w:val=""/>
      <w:lvlJc w:val="left"/>
      <w:pPr>
        <w:ind w:left="6932" w:hanging="360"/>
      </w:pPr>
      <w:rPr>
        <w:rFonts w:ascii="Wingdings" w:hAnsi="Wingdings" w:hint="default"/>
      </w:rPr>
    </w:lvl>
  </w:abstractNum>
  <w:abstractNum w:abstractNumId="104" w15:restartNumberingAfterBreak="0">
    <w:nsid w:val="71E11F8D"/>
    <w:multiLevelType w:val="hybridMultilevel"/>
    <w:tmpl w:val="02C0EE38"/>
    <w:styleLink w:val="BodyNumber1"/>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23F3CCA"/>
    <w:multiLevelType w:val="hybridMultilevel"/>
    <w:tmpl w:val="BBE84220"/>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06" w15:restartNumberingAfterBreak="0">
    <w:nsid w:val="736D7043"/>
    <w:multiLevelType w:val="hybridMultilevel"/>
    <w:tmpl w:val="24563926"/>
    <w:lvl w:ilvl="0" w:tplc="14090001">
      <w:start w:val="1"/>
      <w:numFmt w:val="bullet"/>
      <w:lvlText w:val=""/>
      <w:lvlJc w:val="left"/>
      <w:pPr>
        <w:ind w:left="1434" w:hanging="360"/>
      </w:pPr>
      <w:rPr>
        <w:rFonts w:ascii="Symbol" w:hAnsi="Symbol" w:hint="default"/>
      </w:rPr>
    </w:lvl>
    <w:lvl w:ilvl="1" w:tplc="14090003" w:tentative="1">
      <w:start w:val="1"/>
      <w:numFmt w:val="bullet"/>
      <w:lvlText w:val="o"/>
      <w:lvlJc w:val="left"/>
      <w:pPr>
        <w:ind w:left="2154" w:hanging="360"/>
      </w:pPr>
      <w:rPr>
        <w:rFonts w:ascii="Courier New" w:hAnsi="Courier New" w:cs="Courier New" w:hint="default"/>
      </w:rPr>
    </w:lvl>
    <w:lvl w:ilvl="2" w:tplc="14090005" w:tentative="1">
      <w:start w:val="1"/>
      <w:numFmt w:val="bullet"/>
      <w:lvlText w:val=""/>
      <w:lvlJc w:val="left"/>
      <w:pPr>
        <w:ind w:left="2874" w:hanging="360"/>
      </w:pPr>
      <w:rPr>
        <w:rFonts w:ascii="Wingdings" w:hAnsi="Wingdings" w:hint="default"/>
      </w:rPr>
    </w:lvl>
    <w:lvl w:ilvl="3" w:tplc="14090001" w:tentative="1">
      <w:start w:val="1"/>
      <w:numFmt w:val="bullet"/>
      <w:lvlText w:val=""/>
      <w:lvlJc w:val="left"/>
      <w:pPr>
        <w:ind w:left="3594" w:hanging="360"/>
      </w:pPr>
      <w:rPr>
        <w:rFonts w:ascii="Symbol" w:hAnsi="Symbol" w:hint="default"/>
      </w:rPr>
    </w:lvl>
    <w:lvl w:ilvl="4" w:tplc="14090003" w:tentative="1">
      <w:start w:val="1"/>
      <w:numFmt w:val="bullet"/>
      <w:lvlText w:val="o"/>
      <w:lvlJc w:val="left"/>
      <w:pPr>
        <w:ind w:left="4314" w:hanging="360"/>
      </w:pPr>
      <w:rPr>
        <w:rFonts w:ascii="Courier New" w:hAnsi="Courier New" w:cs="Courier New" w:hint="default"/>
      </w:rPr>
    </w:lvl>
    <w:lvl w:ilvl="5" w:tplc="14090005" w:tentative="1">
      <w:start w:val="1"/>
      <w:numFmt w:val="bullet"/>
      <w:lvlText w:val=""/>
      <w:lvlJc w:val="left"/>
      <w:pPr>
        <w:ind w:left="5034" w:hanging="360"/>
      </w:pPr>
      <w:rPr>
        <w:rFonts w:ascii="Wingdings" w:hAnsi="Wingdings" w:hint="default"/>
      </w:rPr>
    </w:lvl>
    <w:lvl w:ilvl="6" w:tplc="14090001" w:tentative="1">
      <w:start w:val="1"/>
      <w:numFmt w:val="bullet"/>
      <w:lvlText w:val=""/>
      <w:lvlJc w:val="left"/>
      <w:pPr>
        <w:ind w:left="5754" w:hanging="360"/>
      </w:pPr>
      <w:rPr>
        <w:rFonts w:ascii="Symbol" w:hAnsi="Symbol" w:hint="default"/>
      </w:rPr>
    </w:lvl>
    <w:lvl w:ilvl="7" w:tplc="14090003" w:tentative="1">
      <w:start w:val="1"/>
      <w:numFmt w:val="bullet"/>
      <w:lvlText w:val="o"/>
      <w:lvlJc w:val="left"/>
      <w:pPr>
        <w:ind w:left="6474" w:hanging="360"/>
      </w:pPr>
      <w:rPr>
        <w:rFonts w:ascii="Courier New" w:hAnsi="Courier New" w:cs="Courier New" w:hint="default"/>
      </w:rPr>
    </w:lvl>
    <w:lvl w:ilvl="8" w:tplc="14090005" w:tentative="1">
      <w:start w:val="1"/>
      <w:numFmt w:val="bullet"/>
      <w:lvlText w:val=""/>
      <w:lvlJc w:val="left"/>
      <w:pPr>
        <w:ind w:left="7194" w:hanging="360"/>
      </w:pPr>
      <w:rPr>
        <w:rFonts w:ascii="Wingdings" w:hAnsi="Wingdings" w:hint="default"/>
      </w:rPr>
    </w:lvl>
  </w:abstractNum>
  <w:abstractNum w:abstractNumId="107" w15:restartNumberingAfterBreak="0">
    <w:nsid w:val="73B94D66"/>
    <w:multiLevelType w:val="hybridMultilevel"/>
    <w:tmpl w:val="125227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8" w15:restartNumberingAfterBreak="0">
    <w:nsid w:val="740815C8"/>
    <w:multiLevelType w:val="hybridMultilevel"/>
    <w:tmpl w:val="7C9ABB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9" w15:restartNumberingAfterBreak="0">
    <w:nsid w:val="74C44BAF"/>
    <w:multiLevelType w:val="hybridMultilevel"/>
    <w:tmpl w:val="7158AC4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0" w15:restartNumberingAfterBreak="0">
    <w:nsid w:val="765C06E3"/>
    <w:multiLevelType w:val="hybridMultilevel"/>
    <w:tmpl w:val="0CC2AEDC"/>
    <w:lvl w:ilvl="0" w:tplc="D8A6049C">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111" w15:restartNumberingAfterBreak="0">
    <w:nsid w:val="7A20734F"/>
    <w:multiLevelType w:val="hybridMultilevel"/>
    <w:tmpl w:val="DE4231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2" w15:restartNumberingAfterBreak="0">
    <w:nsid w:val="7B2F133B"/>
    <w:multiLevelType w:val="multilevel"/>
    <w:tmpl w:val="F4667888"/>
    <w:styleLink w:val="BodyNumber"/>
    <w:lvl w:ilvl="0">
      <w:start w:val="1"/>
      <w:numFmt w:val="decimal"/>
      <w:pStyle w:val="BodyText"/>
      <w:lvlText w:val="%1"/>
      <w:lvlJc w:val="left"/>
      <w:pPr>
        <w:tabs>
          <w:tab w:val="num" w:pos="493"/>
        </w:tabs>
        <w:ind w:left="493" w:hanging="493"/>
      </w:pPr>
      <w:rPr>
        <w:rFonts w:hint="default"/>
      </w:rPr>
    </w:lvl>
    <w:lvl w:ilvl="1">
      <w:start w:val="1"/>
      <w:numFmt w:val="decimal"/>
      <w:lvlText w:val="%1.%2"/>
      <w:lvlJc w:val="left"/>
      <w:pPr>
        <w:tabs>
          <w:tab w:val="num" w:pos="493"/>
        </w:tabs>
        <w:ind w:left="987" w:hanging="494"/>
      </w:pPr>
      <w:rPr>
        <w:rFonts w:hint="default"/>
      </w:rPr>
    </w:lvl>
    <w:lvl w:ilvl="2">
      <w:start w:val="1"/>
      <w:numFmt w:val="decimal"/>
      <w:lvlText w:val="%1.%2.%3"/>
      <w:lvlJc w:val="left"/>
      <w:pPr>
        <w:tabs>
          <w:tab w:val="num" w:pos="1554"/>
        </w:tabs>
        <w:ind w:left="1554" w:hanging="567"/>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13" w15:restartNumberingAfterBreak="0">
    <w:nsid w:val="7B4B3FBF"/>
    <w:multiLevelType w:val="hybridMultilevel"/>
    <w:tmpl w:val="BC0A6468"/>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BDA6FDC8">
      <w:start w:val="1"/>
      <w:numFmt w:val="bullet"/>
      <w:lvlText w:val="-"/>
      <w:lvlJc w:val="left"/>
      <w:pPr>
        <w:ind w:left="2160" w:hanging="360"/>
      </w:pPr>
      <w:rPr>
        <w:rFonts w:ascii="Arial" w:hAnsi="Arial"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4" w15:restartNumberingAfterBreak="0">
    <w:nsid w:val="7E2647B7"/>
    <w:multiLevelType w:val="hybridMultilevel"/>
    <w:tmpl w:val="046860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5" w15:restartNumberingAfterBreak="0">
    <w:nsid w:val="7FB46E73"/>
    <w:multiLevelType w:val="hybridMultilevel"/>
    <w:tmpl w:val="089A64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28063693">
    <w:abstractNumId w:val="24"/>
  </w:num>
  <w:num w:numId="2" w16cid:durableId="322204142">
    <w:abstractNumId w:val="1"/>
  </w:num>
  <w:num w:numId="3" w16cid:durableId="40176248">
    <w:abstractNumId w:val="0"/>
  </w:num>
  <w:num w:numId="4" w16cid:durableId="63571852">
    <w:abstractNumId w:val="16"/>
  </w:num>
  <w:num w:numId="5" w16cid:durableId="36900468">
    <w:abstractNumId w:val="19"/>
  </w:num>
  <w:num w:numId="6" w16cid:durableId="214899270">
    <w:abstractNumId w:val="67"/>
  </w:num>
  <w:num w:numId="7" w16cid:durableId="192421494">
    <w:abstractNumId w:val="31"/>
  </w:num>
  <w:num w:numId="8" w16cid:durableId="1257834425">
    <w:abstractNumId w:val="69"/>
    <w:lvlOverride w:ilvl="0">
      <w:lvl w:ilvl="0">
        <w:start w:val="1"/>
        <w:numFmt w:val="decimal"/>
        <w:pStyle w:val="ReportBody"/>
        <w:lvlText w:val="%1"/>
        <w:lvlJc w:val="left"/>
        <w:pPr>
          <w:tabs>
            <w:tab w:val="num" w:pos="493"/>
          </w:tabs>
          <w:ind w:left="493" w:hanging="493"/>
        </w:pPr>
        <w:rPr>
          <w:rFonts w:hint="default"/>
          <w:b w:val="0"/>
        </w:rPr>
      </w:lvl>
    </w:lvlOverride>
  </w:num>
  <w:num w:numId="9" w16cid:durableId="815146292">
    <w:abstractNumId w:val="112"/>
  </w:num>
  <w:num w:numId="10" w16cid:durableId="1956675386">
    <w:abstractNumId w:val="75"/>
  </w:num>
  <w:num w:numId="11" w16cid:durableId="992290930">
    <w:abstractNumId w:val="104"/>
  </w:num>
  <w:num w:numId="12" w16cid:durableId="2068917453">
    <w:abstractNumId w:val="92"/>
  </w:num>
  <w:num w:numId="13" w16cid:durableId="1747876991">
    <w:abstractNumId w:val="45"/>
  </w:num>
  <w:num w:numId="14" w16cid:durableId="999043213">
    <w:abstractNumId w:val="69"/>
  </w:num>
  <w:num w:numId="15" w16cid:durableId="2092240968">
    <w:abstractNumId w:val="80"/>
  </w:num>
  <w:num w:numId="16" w16cid:durableId="146289945">
    <w:abstractNumId w:val="90"/>
  </w:num>
  <w:num w:numId="17" w16cid:durableId="1746025066">
    <w:abstractNumId w:val="12"/>
  </w:num>
  <w:num w:numId="18" w16cid:durableId="796873500">
    <w:abstractNumId w:val="42"/>
  </w:num>
  <w:num w:numId="19" w16cid:durableId="783034872">
    <w:abstractNumId w:val="70"/>
  </w:num>
  <w:num w:numId="20" w16cid:durableId="1984193967">
    <w:abstractNumId w:val="43"/>
  </w:num>
  <w:num w:numId="21" w16cid:durableId="406538291">
    <w:abstractNumId w:val="8"/>
  </w:num>
  <w:num w:numId="22" w16cid:durableId="1597593569">
    <w:abstractNumId w:val="109"/>
  </w:num>
  <w:num w:numId="23" w16cid:durableId="96341181">
    <w:abstractNumId w:val="81"/>
  </w:num>
  <w:num w:numId="24" w16cid:durableId="1694109466">
    <w:abstractNumId w:val="10"/>
  </w:num>
  <w:num w:numId="25" w16cid:durableId="1721244089">
    <w:abstractNumId w:val="115"/>
  </w:num>
  <w:num w:numId="26" w16cid:durableId="1194995408">
    <w:abstractNumId w:val="3"/>
  </w:num>
  <w:num w:numId="27" w16cid:durableId="180169207">
    <w:abstractNumId w:val="50"/>
  </w:num>
  <w:num w:numId="28" w16cid:durableId="557203175">
    <w:abstractNumId w:val="26"/>
  </w:num>
  <w:num w:numId="29" w16cid:durableId="644554904">
    <w:abstractNumId w:val="47"/>
  </w:num>
  <w:num w:numId="30" w16cid:durableId="2095659386">
    <w:abstractNumId w:val="5"/>
  </w:num>
  <w:num w:numId="31" w16cid:durableId="1302272204">
    <w:abstractNumId w:val="18"/>
  </w:num>
  <w:num w:numId="32" w16cid:durableId="2109422198">
    <w:abstractNumId w:val="23"/>
  </w:num>
  <w:num w:numId="33" w16cid:durableId="586156908">
    <w:abstractNumId w:val="110"/>
  </w:num>
  <w:num w:numId="34" w16cid:durableId="1504393511">
    <w:abstractNumId w:val="58"/>
  </w:num>
  <w:num w:numId="35" w16cid:durableId="896360436">
    <w:abstractNumId w:val="82"/>
  </w:num>
  <w:num w:numId="36" w16cid:durableId="962922700">
    <w:abstractNumId w:val="84"/>
  </w:num>
  <w:num w:numId="37" w16cid:durableId="507984799">
    <w:abstractNumId w:val="6"/>
  </w:num>
  <w:num w:numId="38" w16cid:durableId="1982879333">
    <w:abstractNumId w:val="30"/>
  </w:num>
  <w:num w:numId="39" w16cid:durableId="1654984420">
    <w:abstractNumId w:val="113"/>
  </w:num>
  <w:num w:numId="40" w16cid:durableId="1743866027">
    <w:abstractNumId w:val="28"/>
  </w:num>
  <w:num w:numId="41" w16cid:durableId="425616276">
    <w:abstractNumId w:val="111"/>
  </w:num>
  <w:num w:numId="42" w16cid:durableId="2089500068">
    <w:abstractNumId w:val="65"/>
  </w:num>
  <w:num w:numId="43" w16cid:durableId="903223155">
    <w:abstractNumId w:val="79"/>
  </w:num>
  <w:num w:numId="44" w16cid:durableId="1769353691">
    <w:abstractNumId w:val="73"/>
  </w:num>
  <w:num w:numId="45" w16cid:durableId="1958176482">
    <w:abstractNumId w:val="21"/>
  </w:num>
  <w:num w:numId="46" w16cid:durableId="1967006494">
    <w:abstractNumId w:val="114"/>
  </w:num>
  <w:num w:numId="47" w16cid:durableId="1131703292">
    <w:abstractNumId w:val="41"/>
  </w:num>
  <w:num w:numId="48" w16cid:durableId="1289316517">
    <w:abstractNumId w:val="27"/>
  </w:num>
  <w:num w:numId="49" w16cid:durableId="1726441772">
    <w:abstractNumId w:val="37"/>
  </w:num>
  <w:num w:numId="50" w16cid:durableId="1700622256">
    <w:abstractNumId w:val="105"/>
  </w:num>
  <w:num w:numId="51" w16cid:durableId="701788783">
    <w:abstractNumId w:val="95"/>
  </w:num>
  <w:num w:numId="52" w16cid:durableId="1246181694">
    <w:abstractNumId w:val="100"/>
  </w:num>
  <w:num w:numId="53" w16cid:durableId="1092123930">
    <w:abstractNumId w:val="108"/>
  </w:num>
  <w:num w:numId="54" w16cid:durableId="677082345">
    <w:abstractNumId w:val="4"/>
  </w:num>
  <w:num w:numId="55" w16cid:durableId="1545823598">
    <w:abstractNumId w:val="52"/>
  </w:num>
  <w:num w:numId="56" w16cid:durableId="1114210180">
    <w:abstractNumId w:val="93"/>
  </w:num>
  <w:num w:numId="57" w16cid:durableId="1931814668">
    <w:abstractNumId w:val="56"/>
  </w:num>
  <w:num w:numId="58" w16cid:durableId="318264892">
    <w:abstractNumId w:val="94"/>
  </w:num>
  <w:num w:numId="59" w16cid:durableId="1116489396">
    <w:abstractNumId w:val="46"/>
  </w:num>
  <w:num w:numId="60" w16cid:durableId="27730249">
    <w:abstractNumId w:val="22"/>
  </w:num>
  <w:num w:numId="61" w16cid:durableId="715932752">
    <w:abstractNumId w:val="7"/>
  </w:num>
  <w:num w:numId="62" w16cid:durableId="703749660">
    <w:abstractNumId w:val="35"/>
  </w:num>
  <w:num w:numId="63" w16cid:durableId="1778796081">
    <w:abstractNumId w:val="15"/>
  </w:num>
  <w:num w:numId="64" w16cid:durableId="726345601">
    <w:abstractNumId w:val="40"/>
  </w:num>
  <w:num w:numId="65" w16cid:durableId="969091423">
    <w:abstractNumId w:val="78"/>
  </w:num>
  <w:num w:numId="66" w16cid:durableId="1518546767">
    <w:abstractNumId w:val="23"/>
  </w:num>
  <w:num w:numId="67" w16cid:durableId="123886248">
    <w:abstractNumId w:val="13"/>
  </w:num>
  <w:num w:numId="68" w16cid:durableId="1451045224">
    <w:abstractNumId w:val="103"/>
  </w:num>
  <w:num w:numId="69" w16cid:durableId="1950507755">
    <w:abstractNumId w:val="34"/>
  </w:num>
  <w:num w:numId="70" w16cid:durableId="2144078330">
    <w:abstractNumId w:val="97"/>
  </w:num>
  <w:num w:numId="71" w16cid:durableId="187450481">
    <w:abstractNumId w:val="83"/>
  </w:num>
  <w:num w:numId="72" w16cid:durableId="1418745676">
    <w:abstractNumId w:val="57"/>
  </w:num>
  <w:num w:numId="73" w16cid:durableId="1449470228">
    <w:abstractNumId w:val="25"/>
  </w:num>
  <w:num w:numId="74" w16cid:durableId="768113755">
    <w:abstractNumId w:val="20"/>
  </w:num>
  <w:num w:numId="75" w16cid:durableId="554896599">
    <w:abstractNumId w:val="44"/>
  </w:num>
  <w:num w:numId="76" w16cid:durableId="1571427387">
    <w:abstractNumId w:val="60"/>
  </w:num>
  <w:num w:numId="77" w16cid:durableId="1306081329">
    <w:abstractNumId w:val="85"/>
  </w:num>
  <w:num w:numId="78" w16cid:durableId="1491094560">
    <w:abstractNumId w:val="53"/>
  </w:num>
  <w:num w:numId="79" w16cid:durableId="1681545544">
    <w:abstractNumId w:val="101"/>
  </w:num>
  <w:num w:numId="80" w16cid:durableId="846796184">
    <w:abstractNumId w:val="39"/>
  </w:num>
  <w:num w:numId="81" w16cid:durableId="582757613">
    <w:abstractNumId w:val="36"/>
  </w:num>
  <w:num w:numId="82" w16cid:durableId="1891334640">
    <w:abstractNumId w:val="17"/>
  </w:num>
  <w:num w:numId="83" w16cid:durableId="1916083367">
    <w:abstractNumId w:val="107"/>
  </w:num>
  <w:num w:numId="84" w16cid:durableId="995064938">
    <w:abstractNumId w:val="64"/>
  </w:num>
  <w:num w:numId="85" w16cid:durableId="1619725914">
    <w:abstractNumId w:val="63"/>
  </w:num>
  <w:num w:numId="86" w16cid:durableId="1056776414">
    <w:abstractNumId w:val="51"/>
  </w:num>
  <w:num w:numId="87" w16cid:durableId="1079521126">
    <w:abstractNumId w:val="29"/>
  </w:num>
  <w:num w:numId="88" w16cid:durableId="1129014631">
    <w:abstractNumId w:val="2"/>
  </w:num>
  <w:num w:numId="89" w16cid:durableId="1479498243">
    <w:abstractNumId w:val="99"/>
  </w:num>
  <w:num w:numId="90" w16cid:durableId="465394693">
    <w:abstractNumId w:val="89"/>
  </w:num>
  <w:num w:numId="91" w16cid:durableId="964045735">
    <w:abstractNumId w:val="68"/>
  </w:num>
  <w:num w:numId="92" w16cid:durableId="1290628197">
    <w:abstractNumId w:val="55"/>
  </w:num>
  <w:num w:numId="93" w16cid:durableId="1929847432">
    <w:abstractNumId w:val="106"/>
  </w:num>
  <w:num w:numId="94" w16cid:durableId="1244993228">
    <w:abstractNumId w:val="59"/>
  </w:num>
  <w:num w:numId="95" w16cid:durableId="363478544">
    <w:abstractNumId w:val="54"/>
  </w:num>
  <w:num w:numId="96" w16cid:durableId="1900434862">
    <w:abstractNumId w:val="76"/>
  </w:num>
  <w:num w:numId="97" w16cid:durableId="102768375">
    <w:abstractNumId w:val="38"/>
  </w:num>
  <w:num w:numId="98" w16cid:durableId="296034698">
    <w:abstractNumId w:val="91"/>
  </w:num>
  <w:num w:numId="99" w16cid:durableId="685330115">
    <w:abstractNumId w:val="66"/>
  </w:num>
  <w:num w:numId="100" w16cid:durableId="1797529529">
    <w:abstractNumId w:val="86"/>
  </w:num>
  <w:num w:numId="101" w16cid:durableId="5720247">
    <w:abstractNumId w:val="88"/>
  </w:num>
  <w:num w:numId="102" w16cid:durableId="1325890608">
    <w:abstractNumId w:val="9"/>
  </w:num>
  <w:num w:numId="103" w16cid:durableId="1581332055">
    <w:abstractNumId w:val="32"/>
  </w:num>
  <w:num w:numId="104" w16cid:durableId="1938251100">
    <w:abstractNumId w:val="71"/>
  </w:num>
  <w:num w:numId="105" w16cid:durableId="1555701876">
    <w:abstractNumId w:val="72"/>
  </w:num>
  <w:num w:numId="106" w16cid:durableId="846553769">
    <w:abstractNumId w:val="33"/>
  </w:num>
  <w:num w:numId="107" w16cid:durableId="1917082986">
    <w:abstractNumId w:val="102"/>
  </w:num>
  <w:num w:numId="108" w16cid:durableId="2065327430">
    <w:abstractNumId w:val="96"/>
  </w:num>
  <w:num w:numId="109" w16cid:durableId="1572347580">
    <w:abstractNumId w:val="62"/>
  </w:num>
  <w:num w:numId="110" w16cid:durableId="940574443">
    <w:abstractNumId w:val="11"/>
  </w:num>
  <w:num w:numId="111" w16cid:durableId="1855070205">
    <w:abstractNumId w:val="98"/>
  </w:num>
  <w:num w:numId="112" w16cid:durableId="1049644817">
    <w:abstractNumId w:val="49"/>
  </w:num>
  <w:num w:numId="113" w16cid:durableId="193231677">
    <w:abstractNumId w:val="77"/>
  </w:num>
  <w:num w:numId="114" w16cid:durableId="2069186036">
    <w:abstractNumId w:val="74"/>
  </w:num>
  <w:num w:numId="115" w16cid:durableId="663975746">
    <w:abstractNumId w:val="87"/>
  </w:num>
  <w:num w:numId="116" w16cid:durableId="1619991738">
    <w:abstractNumId w:val="61"/>
  </w:num>
  <w:num w:numId="117" w16cid:durableId="815992109">
    <w:abstractNumId w:val="48"/>
  </w:num>
  <w:num w:numId="118" w16cid:durableId="691810387">
    <w:abstractNumId w:val="14"/>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revisionView w:formatting="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2C"/>
    <w:rsid w:val="00000654"/>
    <w:rsid w:val="00000A47"/>
    <w:rsid w:val="00000B4C"/>
    <w:rsid w:val="00000E10"/>
    <w:rsid w:val="00001408"/>
    <w:rsid w:val="000014E1"/>
    <w:rsid w:val="00001C8E"/>
    <w:rsid w:val="00001CE4"/>
    <w:rsid w:val="0000218E"/>
    <w:rsid w:val="000022A1"/>
    <w:rsid w:val="000022DB"/>
    <w:rsid w:val="00002361"/>
    <w:rsid w:val="00002472"/>
    <w:rsid w:val="000029A3"/>
    <w:rsid w:val="00002A67"/>
    <w:rsid w:val="00002CE0"/>
    <w:rsid w:val="00003034"/>
    <w:rsid w:val="00003C17"/>
    <w:rsid w:val="00003DB1"/>
    <w:rsid w:val="00003F5E"/>
    <w:rsid w:val="00004263"/>
    <w:rsid w:val="00004464"/>
    <w:rsid w:val="0000468B"/>
    <w:rsid w:val="000048E1"/>
    <w:rsid w:val="00004C71"/>
    <w:rsid w:val="00004DD4"/>
    <w:rsid w:val="00004DDD"/>
    <w:rsid w:val="00005466"/>
    <w:rsid w:val="00005964"/>
    <w:rsid w:val="000059D5"/>
    <w:rsid w:val="00005BBE"/>
    <w:rsid w:val="00005C96"/>
    <w:rsid w:val="00006A02"/>
    <w:rsid w:val="00006ADE"/>
    <w:rsid w:val="00006D83"/>
    <w:rsid w:val="00006FF6"/>
    <w:rsid w:val="00007039"/>
    <w:rsid w:val="000070C9"/>
    <w:rsid w:val="00007C68"/>
    <w:rsid w:val="00007E54"/>
    <w:rsid w:val="0001010D"/>
    <w:rsid w:val="000101FD"/>
    <w:rsid w:val="00010482"/>
    <w:rsid w:val="00010493"/>
    <w:rsid w:val="000106D0"/>
    <w:rsid w:val="00010D81"/>
    <w:rsid w:val="00010E14"/>
    <w:rsid w:val="000112FD"/>
    <w:rsid w:val="00011CA4"/>
    <w:rsid w:val="00011F2B"/>
    <w:rsid w:val="00012DE5"/>
    <w:rsid w:val="00013065"/>
    <w:rsid w:val="000130D4"/>
    <w:rsid w:val="00013133"/>
    <w:rsid w:val="0001320C"/>
    <w:rsid w:val="00013CA0"/>
    <w:rsid w:val="00013D59"/>
    <w:rsid w:val="00013F3F"/>
    <w:rsid w:val="00014D2E"/>
    <w:rsid w:val="00014E49"/>
    <w:rsid w:val="00014F1E"/>
    <w:rsid w:val="0001525E"/>
    <w:rsid w:val="00015276"/>
    <w:rsid w:val="000156BD"/>
    <w:rsid w:val="00015899"/>
    <w:rsid w:val="00015964"/>
    <w:rsid w:val="00015AE5"/>
    <w:rsid w:val="00016373"/>
    <w:rsid w:val="000164DF"/>
    <w:rsid w:val="000165DC"/>
    <w:rsid w:val="00016B73"/>
    <w:rsid w:val="00016E90"/>
    <w:rsid w:val="0001700C"/>
    <w:rsid w:val="00017627"/>
    <w:rsid w:val="0001789A"/>
    <w:rsid w:val="00017957"/>
    <w:rsid w:val="00017A19"/>
    <w:rsid w:val="0002099F"/>
    <w:rsid w:val="00021158"/>
    <w:rsid w:val="00021B0F"/>
    <w:rsid w:val="00021FD9"/>
    <w:rsid w:val="00022804"/>
    <w:rsid w:val="00023E5F"/>
    <w:rsid w:val="00023F97"/>
    <w:rsid w:val="00024164"/>
    <w:rsid w:val="0002419A"/>
    <w:rsid w:val="000242DC"/>
    <w:rsid w:val="000247C2"/>
    <w:rsid w:val="00024838"/>
    <w:rsid w:val="00024A32"/>
    <w:rsid w:val="00024A79"/>
    <w:rsid w:val="00025193"/>
    <w:rsid w:val="000257F4"/>
    <w:rsid w:val="000264D5"/>
    <w:rsid w:val="0002654C"/>
    <w:rsid w:val="00026B4A"/>
    <w:rsid w:val="00026F15"/>
    <w:rsid w:val="00027507"/>
    <w:rsid w:val="00027672"/>
    <w:rsid w:val="000277E9"/>
    <w:rsid w:val="00027A42"/>
    <w:rsid w:val="00027CB4"/>
    <w:rsid w:val="00027DBA"/>
    <w:rsid w:val="00027FD4"/>
    <w:rsid w:val="0003006C"/>
    <w:rsid w:val="000302F6"/>
    <w:rsid w:val="0003064D"/>
    <w:rsid w:val="00030ADC"/>
    <w:rsid w:val="00030DF2"/>
    <w:rsid w:val="000310D2"/>
    <w:rsid w:val="000310FD"/>
    <w:rsid w:val="00031312"/>
    <w:rsid w:val="00031695"/>
    <w:rsid w:val="00031B05"/>
    <w:rsid w:val="000326DB"/>
    <w:rsid w:val="00032A01"/>
    <w:rsid w:val="00033994"/>
    <w:rsid w:val="00033DB3"/>
    <w:rsid w:val="00033DF2"/>
    <w:rsid w:val="000340F8"/>
    <w:rsid w:val="00034278"/>
    <w:rsid w:val="00034336"/>
    <w:rsid w:val="000350CA"/>
    <w:rsid w:val="000352F3"/>
    <w:rsid w:val="00035521"/>
    <w:rsid w:val="00036296"/>
    <w:rsid w:val="00036818"/>
    <w:rsid w:val="000368CF"/>
    <w:rsid w:val="000368F7"/>
    <w:rsid w:val="00036A8F"/>
    <w:rsid w:val="00036B7D"/>
    <w:rsid w:val="00036B90"/>
    <w:rsid w:val="000375F4"/>
    <w:rsid w:val="000377F2"/>
    <w:rsid w:val="00037CB0"/>
    <w:rsid w:val="00037D86"/>
    <w:rsid w:val="00040572"/>
    <w:rsid w:val="000407EB"/>
    <w:rsid w:val="00040C2C"/>
    <w:rsid w:val="00040DAE"/>
    <w:rsid w:val="0004105D"/>
    <w:rsid w:val="00041654"/>
    <w:rsid w:val="000416B6"/>
    <w:rsid w:val="000418AB"/>
    <w:rsid w:val="000418D1"/>
    <w:rsid w:val="00041924"/>
    <w:rsid w:val="00041A8E"/>
    <w:rsid w:val="0004225F"/>
    <w:rsid w:val="00042312"/>
    <w:rsid w:val="0004239E"/>
    <w:rsid w:val="00042552"/>
    <w:rsid w:val="000425EA"/>
    <w:rsid w:val="00042E8C"/>
    <w:rsid w:val="00043022"/>
    <w:rsid w:val="00045010"/>
    <w:rsid w:val="00045AC6"/>
    <w:rsid w:val="000460CB"/>
    <w:rsid w:val="000467FC"/>
    <w:rsid w:val="00046830"/>
    <w:rsid w:val="00046A24"/>
    <w:rsid w:val="00046A9B"/>
    <w:rsid w:val="00046AE4"/>
    <w:rsid w:val="00046B76"/>
    <w:rsid w:val="0004729E"/>
    <w:rsid w:val="0004734B"/>
    <w:rsid w:val="0004752F"/>
    <w:rsid w:val="0004765B"/>
    <w:rsid w:val="000476E1"/>
    <w:rsid w:val="00047BCE"/>
    <w:rsid w:val="00047C0B"/>
    <w:rsid w:val="00047DB9"/>
    <w:rsid w:val="00047FDD"/>
    <w:rsid w:val="000508AF"/>
    <w:rsid w:val="00050901"/>
    <w:rsid w:val="00050B9C"/>
    <w:rsid w:val="00050C18"/>
    <w:rsid w:val="00050E60"/>
    <w:rsid w:val="000510EE"/>
    <w:rsid w:val="000513A0"/>
    <w:rsid w:val="00051421"/>
    <w:rsid w:val="00051882"/>
    <w:rsid w:val="000518B7"/>
    <w:rsid w:val="00051945"/>
    <w:rsid w:val="00051CDF"/>
    <w:rsid w:val="000520AA"/>
    <w:rsid w:val="0005261C"/>
    <w:rsid w:val="000526D3"/>
    <w:rsid w:val="000528EB"/>
    <w:rsid w:val="00052B14"/>
    <w:rsid w:val="0005349D"/>
    <w:rsid w:val="000536E1"/>
    <w:rsid w:val="00053910"/>
    <w:rsid w:val="00053A2F"/>
    <w:rsid w:val="000544D5"/>
    <w:rsid w:val="0005465E"/>
    <w:rsid w:val="000546DA"/>
    <w:rsid w:val="00054CFA"/>
    <w:rsid w:val="00054D7D"/>
    <w:rsid w:val="00055279"/>
    <w:rsid w:val="0005530F"/>
    <w:rsid w:val="000554E6"/>
    <w:rsid w:val="0005565F"/>
    <w:rsid w:val="000556BC"/>
    <w:rsid w:val="000559EA"/>
    <w:rsid w:val="00055BAE"/>
    <w:rsid w:val="00056610"/>
    <w:rsid w:val="0005662A"/>
    <w:rsid w:val="000568B4"/>
    <w:rsid w:val="000579AF"/>
    <w:rsid w:val="00057DA4"/>
    <w:rsid w:val="00060297"/>
    <w:rsid w:val="000603CD"/>
    <w:rsid w:val="0006123B"/>
    <w:rsid w:val="00061A91"/>
    <w:rsid w:val="00062509"/>
    <w:rsid w:val="000627B9"/>
    <w:rsid w:val="00062A0F"/>
    <w:rsid w:val="00062DED"/>
    <w:rsid w:val="000631CE"/>
    <w:rsid w:val="0006341C"/>
    <w:rsid w:val="00063455"/>
    <w:rsid w:val="000637AE"/>
    <w:rsid w:val="000637EE"/>
    <w:rsid w:val="00063954"/>
    <w:rsid w:val="00063F15"/>
    <w:rsid w:val="000640AF"/>
    <w:rsid w:val="000641B5"/>
    <w:rsid w:val="00064301"/>
    <w:rsid w:val="000643AB"/>
    <w:rsid w:val="0006466E"/>
    <w:rsid w:val="00064DAB"/>
    <w:rsid w:val="00064F1E"/>
    <w:rsid w:val="000652F2"/>
    <w:rsid w:val="0006538B"/>
    <w:rsid w:val="000654F4"/>
    <w:rsid w:val="0006556F"/>
    <w:rsid w:val="000658C4"/>
    <w:rsid w:val="00065F0D"/>
    <w:rsid w:val="0006631B"/>
    <w:rsid w:val="00066D2C"/>
    <w:rsid w:val="00066DC3"/>
    <w:rsid w:val="00066EA2"/>
    <w:rsid w:val="00066EA4"/>
    <w:rsid w:val="000672B0"/>
    <w:rsid w:val="000678DC"/>
    <w:rsid w:val="00067A03"/>
    <w:rsid w:val="000701F2"/>
    <w:rsid w:val="000702E3"/>
    <w:rsid w:val="0007036E"/>
    <w:rsid w:val="00070483"/>
    <w:rsid w:val="000706AF"/>
    <w:rsid w:val="0007085B"/>
    <w:rsid w:val="00070FD2"/>
    <w:rsid w:val="00071A3D"/>
    <w:rsid w:val="00071C21"/>
    <w:rsid w:val="00071E71"/>
    <w:rsid w:val="00071F9D"/>
    <w:rsid w:val="000720B0"/>
    <w:rsid w:val="00072236"/>
    <w:rsid w:val="00072590"/>
    <w:rsid w:val="00072593"/>
    <w:rsid w:val="0007294C"/>
    <w:rsid w:val="00072961"/>
    <w:rsid w:val="00072A26"/>
    <w:rsid w:val="00072AD4"/>
    <w:rsid w:val="00072C01"/>
    <w:rsid w:val="00072C76"/>
    <w:rsid w:val="00073040"/>
    <w:rsid w:val="00073261"/>
    <w:rsid w:val="000732C5"/>
    <w:rsid w:val="00073A2B"/>
    <w:rsid w:val="00073A93"/>
    <w:rsid w:val="00073D9A"/>
    <w:rsid w:val="00073DAB"/>
    <w:rsid w:val="00073FBC"/>
    <w:rsid w:val="00074201"/>
    <w:rsid w:val="0007429D"/>
    <w:rsid w:val="00074529"/>
    <w:rsid w:val="00074930"/>
    <w:rsid w:val="00074E9E"/>
    <w:rsid w:val="00074FC3"/>
    <w:rsid w:val="000750CB"/>
    <w:rsid w:val="00075457"/>
    <w:rsid w:val="0007575A"/>
    <w:rsid w:val="000757B1"/>
    <w:rsid w:val="00075A01"/>
    <w:rsid w:val="00075BBE"/>
    <w:rsid w:val="00075D69"/>
    <w:rsid w:val="00076051"/>
    <w:rsid w:val="000763F3"/>
    <w:rsid w:val="00076B2D"/>
    <w:rsid w:val="00077427"/>
    <w:rsid w:val="00077519"/>
    <w:rsid w:val="00077662"/>
    <w:rsid w:val="000776D4"/>
    <w:rsid w:val="00080021"/>
    <w:rsid w:val="0008008D"/>
    <w:rsid w:val="000803FC"/>
    <w:rsid w:val="000804E5"/>
    <w:rsid w:val="000809B6"/>
    <w:rsid w:val="00080A3E"/>
    <w:rsid w:val="00080ADE"/>
    <w:rsid w:val="00080FF3"/>
    <w:rsid w:val="000810FC"/>
    <w:rsid w:val="00081153"/>
    <w:rsid w:val="0008136B"/>
    <w:rsid w:val="00081903"/>
    <w:rsid w:val="00081A32"/>
    <w:rsid w:val="00081EC5"/>
    <w:rsid w:val="0008205A"/>
    <w:rsid w:val="00082160"/>
    <w:rsid w:val="000825D8"/>
    <w:rsid w:val="0008281C"/>
    <w:rsid w:val="00083172"/>
    <w:rsid w:val="00083184"/>
    <w:rsid w:val="00083287"/>
    <w:rsid w:val="00083CD8"/>
    <w:rsid w:val="00084160"/>
    <w:rsid w:val="000842E2"/>
    <w:rsid w:val="0008470D"/>
    <w:rsid w:val="000847AB"/>
    <w:rsid w:val="0008499D"/>
    <w:rsid w:val="00084AE2"/>
    <w:rsid w:val="00085069"/>
    <w:rsid w:val="00085235"/>
    <w:rsid w:val="0008524A"/>
    <w:rsid w:val="00085402"/>
    <w:rsid w:val="000855F4"/>
    <w:rsid w:val="000858F4"/>
    <w:rsid w:val="00085CBF"/>
    <w:rsid w:val="00085F6F"/>
    <w:rsid w:val="00086948"/>
    <w:rsid w:val="00086FFB"/>
    <w:rsid w:val="0008705B"/>
    <w:rsid w:val="0008718C"/>
    <w:rsid w:val="00087201"/>
    <w:rsid w:val="000877E1"/>
    <w:rsid w:val="00087A26"/>
    <w:rsid w:val="00087C64"/>
    <w:rsid w:val="00087E23"/>
    <w:rsid w:val="00090349"/>
    <w:rsid w:val="00090CA9"/>
    <w:rsid w:val="00091058"/>
    <w:rsid w:val="0009105B"/>
    <w:rsid w:val="0009137F"/>
    <w:rsid w:val="000913C6"/>
    <w:rsid w:val="00091514"/>
    <w:rsid w:val="00091594"/>
    <w:rsid w:val="00091AA9"/>
    <w:rsid w:val="00091B6B"/>
    <w:rsid w:val="00091FBA"/>
    <w:rsid w:val="0009207D"/>
    <w:rsid w:val="0009214F"/>
    <w:rsid w:val="00092615"/>
    <w:rsid w:val="000926FF"/>
    <w:rsid w:val="00092C74"/>
    <w:rsid w:val="00092FC6"/>
    <w:rsid w:val="00093080"/>
    <w:rsid w:val="000931F1"/>
    <w:rsid w:val="00093580"/>
    <w:rsid w:val="00093D93"/>
    <w:rsid w:val="00093E6C"/>
    <w:rsid w:val="00093F14"/>
    <w:rsid w:val="00093F84"/>
    <w:rsid w:val="00094898"/>
    <w:rsid w:val="00094CD3"/>
    <w:rsid w:val="00094E60"/>
    <w:rsid w:val="00094E97"/>
    <w:rsid w:val="000950BB"/>
    <w:rsid w:val="000955AD"/>
    <w:rsid w:val="000955E4"/>
    <w:rsid w:val="000956C4"/>
    <w:rsid w:val="00095724"/>
    <w:rsid w:val="000957D6"/>
    <w:rsid w:val="00095A68"/>
    <w:rsid w:val="000966FB"/>
    <w:rsid w:val="0009673D"/>
    <w:rsid w:val="00096F95"/>
    <w:rsid w:val="00097020"/>
    <w:rsid w:val="0009729F"/>
    <w:rsid w:val="000976AA"/>
    <w:rsid w:val="00097909"/>
    <w:rsid w:val="00097BCA"/>
    <w:rsid w:val="000A0013"/>
    <w:rsid w:val="000A01C8"/>
    <w:rsid w:val="000A01F7"/>
    <w:rsid w:val="000A0216"/>
    <w:rsid w:val="000A082B"/>
    <w:rsid w:val="000A0BE8"/>
    <w:rsid w:val="000A1522"/>
    <w:rsid w:val="000A1C5A"/>
    <w:rsid w:val="000A1C5E"/>
    <w:rsid w:val="000A2244"/>
    <w:rsid w:val="000A25E7"/>
    <w:rsid w:val="000A265E"/>
    <w:rsid w:val="000A3043"/>
    <w:rsid w:val="000A31B9"/>
    <w:rsid w:val="000A34DD"/>
    <w:rsid w:val="000A38D4"/>
    <w:rsid w:val="000A39F1"/>
    <w:rsid w:val="000A39FB"/>
    <w:rsid w:val="000A39FC"/>
    <w:rsid w:val="000A3A61"/>
    <w:rsid w:val="000A3BB8"/>
    <w:rsid w:val="000A3D50"/>
    <w:rsid w:val="000A3D58"/>
    <w:rsid w:val="000A3E20"/>
    <w:rsid w:val="000A44E3"/>
    <w:rsid w:val="000A44F8"/>
    <w:rsid w:val="000A4949"/>
    <w:rsid w:val="000A4C65"/>
    <w:rsid w:val="000A4D17"/>
    <w:rsid w:val="000A5214"/>
    <w:rsid w:val="000A576B"/>
    <w:rsid w:val="000A5B43"/>
    <w:rsid w:val="000A5C26"/>
    <w:rsid w:val="000A5C84"/>
    <w:rsid w:val="000A5D30"/>
    <w:rsid w:val="000A5D8D"/>
    <w:rsid w:val="000A645B"/>
    <w:rsid w:val="000A66EA"/>
    <w:rsid w:val="000A69B3"/>
    <w:rsid w:val="000A6C8F"/>
    <w:rsid w:val="000A6CEA"/>
    <w:rsid w:val="000A6D1F"/>
    <w:rsid w:val="000A7521"/>
    <w:rsid w:val="000A75BE"/>
    <w:rsid w:val="000A75ED"/>
    <w:rsid w:val="000A7689"/>
    <w:rsid w:val="000A7923"/>
    <w:rsid w:val="000A7B90"/>
    <w:rsid w:val="000A7D14"/>
    <w:rsid w:val="000B000E"/>
    <w:rsid w:val="000B04E8"/>
    <w:rsid w:val="000B078E"/>
    <w:rsid w:val="000B0A4D"/>
    <w:rsid w:val="000B10FF"/>
    <w:rsid w:val="000B1406"/>
    <w:rsid w:val="000B1DDE"/>
    <w:rsid w:val="000B2261"/>
    <w:rsid w:val="000B2366"/>
    <w:rsid w:val="000B2430"/>
    <w:rsid w:val="000B2BD0"/>
    <w:rsid w:val="000B2E05"/>
    <w:rsid w:val="000B30F6"/>
    <w:rsid w:val="000B3156"/>
    <w:rsid w:val="000B31A5"/>
    <w:rsid w:val="000B31C0"/>
    <w:rsid w:val="000B34D6"/>
    <w:rsid w:val="000B377D"/>
    <w:rsid w:val="000B390D"/>
    <w:rsid w:val="000B394B"/>
    <w:rsid w:val="000B39E6"/>
    <w:rsid w:val="000B3F73"/>
    <w:rsid w:val="000B3FB6"/>
    <w:rsid w:val="000B3FD5"/>
    <w:rsid w:val="000B3FFB"/>
    <w:rsid w:val="000B4742"/>
    <w:rsid w:val="000B4884"/>
    <w:rsid w:val="000B49DD"/>
    <w:rsid w:val="000B4F85"/>
    <w:rsid w:val="000B5773"/>
    <w:rsid w:val="000B5CFD"/>
    <w:rsid w:val="000B6270"/>
    <w:rsid w:val="000B66BF"/>
    <w:rsid w:val="000B674C"/>
    <w:rsid w:val="000B68AF"/>
    <w:rsid w:val="000B6A5C"/>
    <w:rsid w:val="000B6BAA"/>
    <w:rsid w:val="000B6BEC"/>
    <w:rsid w:val="000B6CC0"/>
    <w:rsid w:val="000B6D8F"/>
    <w:rsid w:val="000B6DA9"/>
    <w:rsid w:val="000B70F9"/>
    <w:rsid w:val="000B72B8"/>
    <w:rsid w:val="000B76BF"/>
    <w:rsid w:val="000B77B4"/>
    <w:rsid w:val="000C0070"/>
    <w:rsid w:val="000C0570"/>
    <w:rsid w:val="000C0C5B"/>
    <w:rsid w:val="000C0EE7"/>
    <w:rsid w:val="000C113C"/>
    <w:rsid w:val="000C1C95"/>
    <w:rsid w:val="000C1CEC"/>
    <w:rsid w:val="000C2497"/>
    <w:rsid w:val="000C2694"/>
    <w:rsid w:val="000C2981"/>
    <w:rsid w:val="000C2DC6"/>
    <w:rsid w:val="000C3131"/>
    <w:rsid w:val="000C3153"/>
    <w:rsid w:val="000C3347"/>
    <w:rsid w:val="000C3ABA"/>
    <w:rsid w:val="000C4363"/>
    <w:rsid w:val="000C43D9"/>
    <w:rsid w:val="000C4466"/>
    <w:rsid w:val="000C475F"/>
    <w:rsid w:val="000C4E8B"/>
    <w:rsid w:val="000C50A1"/>
    <w:rsid w:val="000C5313"/>
    <w:rsid w:val="000C5C86"/>
    <w:rsid w:val="000C5E32"/>
    <w:rsid w:val="000C66AD"/>
    <w:rsid w:val="000C66B1"/>
    <w:rsid w:val="000C66C7"/>
    <w:rsid w:val="000C6920"/>
    <w:rsid w:val="000C6BE6"/>
    <w:rsid w:val="000C6CDD"/>
    <w:rsid w:val="000C6D3F"/>
    <w:rsid w:val="000C70A7"/>
    <w:rsid w:val="000C713A"/>
    <w:rsid w:val="000C71F1"/>
    <w:rsid w:val="000C738F"/>
    <w:rsid w:val="000C76A2"/>
    <w:rsid w:val="000C7710"/>
    <w:rsid w:val="000C774A"/>
    <w:rsid w:val="000C79EC"/>
    <w:rsid w:val="000C7B9A"/>
    <w:rsid w:val="000D00F8"/>
    <w:rsid w:val="000D0271"/>
    <w:rsid w:val="000D054A"/>
    <w:rsid w:val="000D0A3E"/>
    <w:rsid w:val="000D0FF8"/>
    <w:rsid w:val="000D1055"/>
    <w:rsid w:val="000D11EC"/>
    <w:rsid w:val="000D13CD"/>
    <w:rsid w:val="000D1443"/>
    <w:rsid w:val="000D1936"/>
    <w:rsid w:val="000D1E73"/>
    <w:rsid w:val="000D22AA"/>
    <w:rsid w:val="000D2734"/>
    <w:rsid w:val="000D27C1"/>
    <w:rsid w:val="000D288C"/>
    <w:rsid w:val="000D3A59"/>
    <w:rsid w:val="000D3F96"/>
    <w:rsid w:val="000D4148"/>
    <w:rsid w:val="000D4CFA"/>
    <w:rsid w:val="000D4D55"/>
    <w:rsid w:val="000D4E2A"/>
    <w:rsid w:val="000D4F23"/>
    <w:rsid w:val="000D4F79"/>
    <w:rsid w:val="000D506E"/>
    <w:rsid w:val="000D51A7"/>
    <w:rsid w:val="000D52BF"/>
    <w:rsid w:val="000D54F0"/>
    <w:rsid w:val="000D661D"/>
    <w:rsid w:val="000D67A5"/>
    <w:rsid w:val="000D67C3"/>
    <w:rsid w:val="000D69D0"/>
    <w:rsid w:val="000D6CC3"/>
    <w:rsid w:val="000D7085"/>
    <w:rsid w:val="000D7A23"/>
    <w:rsid w:val="000D7D2B"/>
    <w:rsid w:val="000D7DAA"/>
    <w:rsid w:val="000D7EA7"/>
    <w:rsid w:val="000D7EFA"/>
    <w:rsid w:val="000D7EFC"/>
    <w:rsid w:val="000E0137"/>
    <w:rsid w:val="000E0311"/>
    <w:rsid w:val="000E0376"/>
    <w:rsid w:val="000E04A7"/>
    <w:rsid w:val="000E0763"/>
    <w:rsid w:val="000E0871"/>
    <w:rsid w:val="000E08BE"/>
    <w:rsid w:val="000E0D83"/>
    <w:rsid w:val="000E102F"/>
    <w:rsid w:val="000E11CC"/>
    <w:rsid w:val="000E1C26"/>
    <w:rsid w:val="000E1D7D"/>
    <w:rsid w:val="000E1E20"/>
    <w:rsid w:val="000E2B31"/>
    <w:rsid w:val="000E2CD5"/>
    <w:rsid w:val="000E2D7D"/>
    <w:rsid w:val="000E30CE"/>
    <w:rsid w:val="000E30F5"/>
    <w:rsid w:val="000E34EB"/>
    <w:rsid w:val="000E37B5"/>
    <w:rsid w:val="000E3BB9"/>
    <w:rsid w:val="000E4031"/>
    <w:rsid w:val="000E4299"/>
    <w:rsid w:val="000E4465"/>
    <w:rsid w:val="000E4983"/>
    <w:rsid w:val="000E4A71"/>
    <w:rsid w:val="000E53BD"/>
    <w:rsid w:val="000E6283"/>
    <w:rsid w:val="000E6393"/>
    <w:rsid w:val="000E7072"/>
    <w:rsid w:val="000E723D"/>
    <w:rsid w:val="000E7407"/>
    <w:rsid w:val="000E7439"/>
    <w:rsid w:val="000E77C7"/>
    <w:rsid w:val="000E78BA"/>
    <w:rsid w:val="000E7971"/>
    <w:rsid w:val="000E7A14"/>
    <w:rsid w:val="000E7A2D"/>
    <w:rsid w:val="000E7BA6"/>
    <w:rsid w:val="000F000D"/>
    <w:rsid w:val="000F0778"/>
    <w:rsid w:val="000F0983"/>
    <w:rsid w:val="000F0F52"/>
    <w:rsid w:val="000F1114"/>
    <w:rsid w:val="000F124E"/>
    <w:rsid w:val="000F1508"/>
    <w:rsid w:val="000F1527"/>
    <w:rsid w:val="000F1635"/>
    <w:rsid w:val="000F18BF"/>
    <w:rsid w:val="000F1D83"/>
    <w:rsid w:val="000F1DBC"/>
    <w:rsid w:val="000F1E89"/>
    <w:rsid w:val="000F1FFD"/>
    <w:rsid w:val="000F2255"/>
    <w:rsid w:val="000F2E10"/>
    <w:rsid w:val="000F320E"/>
    <w:rsid w:val="000F322E"/>
    <w:rsid w:val="000F3AE5"/>
    <w:rsid w:val="000F3BB9"/>
    <w:rsid w:val="000F3C71"/>
    <w:rsid w:val="000F3CC6"/>
    <w:rsid w:val="000F4232"/>
    <w:rsid w:val="000F4240"/>
    <w:rsid w:val="000F46AA"/>
    <w:rsid w:val="000F489E"/>
    <w:rsid w:val="000F4A03"/>
    <w:rsid w:val="000F4D9E"/>
    <w:rsid w:val="000F4F77"/>
    <w:rsid w:val="000F50BC"/>
    <w:rsid w:val="000F538C"/>
    <w:rsid w:val="000F53AF"/>
    <w:rsid w:val="000F53F6"/>
    <w:rsid w:val="000F5759"/>
    <w:rsid w:val="000F59DD"/>
    <w:rsid w:val="000F5D7D"/>
    <w:rsid w:val="000F5DC2"/>
    <w:rsid w:val="000F5FEE"/>
    <w:rsid w:val="000F6098"/>
    <w:rsid w:val="000F6202"/>
    <w:rsid w:val="000F6247"/>
    <w:rsid w:val="000F6AE4"/>
    <w:rsid w:val="000F6B9C"/>
    <w:rsid w:val="000F6DD6"/>
    <w:rsid w:val="000F6DDC"/>
    <w:rsid w:val="000F6E99"/>
    <w:rsid w:val="000F7364"/>
    <w:rsid w:val="000F738D"/>
    <w:rsid w:val="000F73FB"/>
    <w:rsid w:val="000F74FF"/>
    <w:rsid w:val="000F75D3"/>
    <w:rsid w:val="000F797D"/>
    <w:rsid w:val="000F7A32"/>
    <w:rsid w:val="000F7B39"/>
    <w:rsid w:val="000F7E90"/>
    <w:rsid w:val="000F7F9F"/>
    <w:rsid w:val="00100A00"/>
    <w:rsid w:val="00100C28"/>
    <w:rsid w:val="00100C40"/>
    <w:rsid w:val="00100D18"/>
    <w:rsid w:val="00100D67"/>
    <w:rsid w:val="0010122A"/>
    <w:rsid w:val="00101377"/>
    <w:rsid w:val="0010172B"/>
    <w:rsid w:val="00101A4F"/>
    <w:rsid w:val="00101A9C"/>
    <w:rsid w:val="00102024"/>
    <w:rsid w:val="0010215E"/>
    <w:rsid w:val="00102402"/>
    <w:rsid w:val="001024AC"/>
    <w:rsid w:val="00103A20"/>
    <w:rsid w:val="00103DD8"/>
    <w:rsid w:val="001042DD"/>
    <w:rsid w:val="001053F8"/>
    <w:rsid w:val="001054DD"/>
    <w:rsid w:val="001054ED"/>
    <w:rsid w:val="00105D04"/>
    <w:rsid w:val="00105D6D"/>
    <w:rsid w:val="00106231"/>
    <w:rsid w:val="001065A0"/>
    <w:rsid w:val="001068A8"/>
    <w:rsid w:val="00106AED"/>
    <w:rsid w:val="00106D82"/>
    <w:rsid w:val="0010781A"/>
    <w:rsid w:val="001079AD"/>
    <w:rsid w:val="00107BFB"/>
    <w:rsid w:val="00107D4D"/>
    <w:rsid w:val="00107FAE"/>
    <w:rsid w:val="0011005D"/>
    <w:rsid w:val="0011026E"/>
    <w:rsid w:val="00110551"/>
    <w:rsid w:val="0011072F"/>
    <w:rsid w:val="001112C6"/>
    <w:rsid w:val="00111D61"/>
    <w:rsid w:val="00111E86"/>
    <w:rsid w:val="00112264"/>
    <w:rsid w:val="00112407"/>
    <w:rsid w:val="001124F9"/>
    <w:rsid w:val="001129B6"/>
    <w:rsid w:val="00112AB6"/>
    <w:rsid w:val="00112C23"/>
    <w:rsid w:val="00112D9C"/>
    <w:rsid w:val="001130AE"/>
    <w:rsid w:val="00113815"/>
    <w:rsid w:val="00113989"/>
    <w:rsid w:val="00113A41"/>
    <w:rsid w:val="00113B36"/>
    <w:rsid w:val="0011453D"/>
    <w:rsid w:val="00114D6E"/>
    <w:rsid w:val="00114DBB"/>
    <w:rsid w:val="00115731"/>
    <w:rsid w:val="00115750"/>
    <w:rsid w:val="0011582A"/>
    <w:rsid w:val="00115FAC"/>
    <w:rsid w:val="001162CD"/>
    <w:rsid w:val="00116568"/>
    <w:rsid w:val="001166B5"/>
    <w:rsid w:val="00116A87"/>
    <w:rsid w:val="00116F54"/>
    <w:rsid w:val="00117174"/>
    <w:rsid w:val="001171D7"/>
    <w:rsid w:val="001172F7"/>
    <w:rsid w:val="0011774B"/>
    <w:rsid w:val="001179CF"/>
    <w:rsid w:val="00117D28"/>
    <w:rsid w:val="00120184"/>
    <w:rsid w:val="0012116D"/>
    <w:rsid w:val="001214FF"/>
    <w:rsid w:val="001216B3"/>
    <w:rsid w:val="00121EC8"/>
    <w:rsid w:val="0012211B"/>
    <w:rsid w:val="00122794"/>
    <w:rsid w:val="00122834"/>
    <w:rsid w:val="001230EA"/>
    <w:rsid w:val="00123162"/>
    <w:rsid w:val="0012319D"/>
    <w:rsid w:val="00123728"/>
    <w:rsid w:val="0012376B"/>
    <w:rsid w:val="00123DF6"/>
    <w:rsid w:val="0012447C"/>
    <w:rsid w:val="00124929"/>
    <w:rsid w:val="001249DE"/>
    <w:rsid w:val="001249F3"/>
    <w:rsid w:val="00124BFC"/>
    <w:rsid w:val="00124EEE"/>
    <w:rsid w:val="001256F1"/>
    <w:rsid w:val="00125824"/>
    <w:rsid w:val="00125A6F"/>
    <w:rsid w:val="00125B21"/>
    <w:rsid w:val="00125D08"/>
    <w:rsid w:val="00125EF7"/>
    <w:rsid w:val="00125F03"/>
    <w:rsid w:val="00126745"/>
    <w:rsid w:val="0012685F"/>
    <w:rsid w:val="001270A1"/>
    <w:rsid w:val="0012729A"/>
    <w:rsid w:val="00127311"/>
    <w:rsid w:val="00127CD4"/>
    <w:rsid w:val="00127F77"/>
    <w:rsid w:val="001300C2"/>
    <w:rsid w:val="00130230"/>
    <w:rsid w:val="00130258"/>
    <w:rsid w:val="00130368"/>
    <w:rsid w:val="00131099"/>
    <w:rsid w:val="0013159B"/>
    <w:rsid w:val="00131637"/>
    <w:rsid w:val="00131B92"/>
    <w:rsid w:val="00131D37"/>
    <w:rsid w:val="00132A02"/>
    <w:rsid w:val="0013326D"/>
    <w:rsid w:val="0013331F"/>
    <w:rsid w:val="00133A82"/>
    <w:rsid w:val="00133B67"/>
    <w:rsid w:val="00133C74"/>
    <w:rsid w:val="00133EAA"/>
    <w:rsid w:val="00133F98"/>
    <w:rsid w:val="00134643"/>
    <w:rsid w:val="001346E9"/>
    <w:rsid w:val="001347B9"/>
    <w:rsid w:val="001349B9"/>
    <w:rsid w:val="00134B80"/>
    <w:rsid w:val="00134BB3"/>
    <w:rsid w:val="00134FCB"/>
    <w:rsid w:val="0013519F"/>
    <w:rsid w:val="0013558A"/>
    <w:rsid w:val="0013577F"/>
    <w:rsid w:val="00135E6C"/>
    <w:rsid w:val="00135FE3"/>
    <w:rsid w:val="0013626C"/>
    <w:rsid w:val="001362B3"/>
    <w:rsid w:val="001364AB"/>
    <w:rsid w:val="00136A6F"/>
    <w:rsid w:val="00136AC5"/>
    <w:rsid w:val="00136C75"/>
    <w:rsid w:val="00137310"/>
    <w:rsid w:val="001373C9"/>
    <w:rsid w:val="00137ADA"/>
    <w:rsid w:val="0014009B"/>
    <w:rsid w:val="00140925"/>
    <w:rsid w:val="00140CDB"/>
    <w:rsid w:val="00140CF1"/>
    <w:rsid w:val="00140E91"/>
    <w:rsid w:val="00140EDF"/>
    <w:rsid w:val="00141007"/>
    <w:rsid w:val="00141134"/>
    <w:rsid w:val="00141661"/>
    <w:rsid w:val="00141766"/>
    <w:rsid w:val="001418BF"/>
    <w:rsid w:val="001418D1"/>
    <w:rsid w:val="00141940"/>
    <w:rsid w:val="00141F94"/>
    <w:rsid w:val="001421F7"/>
    <w:rsid w:val="001422C1"/>
    <w:rsid w:val="00142832"/>
    <w:rsid w:val="0014322B"/>
    <w:rsid w:val="001437A3"/>
    <w:rsid w:val="001437F1"/>
    <w:rsid w:val="00143BCA"/>
    <w:rsid w:val="00143C05"/>
    <w:rsid w:val="00143F9C"/>
    <w:rsid w:val="0014414F"/>
    <w:rsid w:val="0014483F"/>
    <w:rsid w:val="00144879"/>
    <w:rsid w:val="001448D9"/>
    <w:rsid w:val="001449B4"/>
    <w:rsid w:val="00145050"/>
    <w:rsid w:val="001455D1"/>
    <w:rsid w:val="001456B8"/>
    <w:rsid w:val="0014585A"/>
    <w:rsid w:val="00145CC5"/>
    <w:rsid w:val="00145F15"/>
    <w:rsid w:val="00145FD0"/>
    <w:rsid w:val="00146D09"/>
    <w:rsid w:val="00147006"/>
    <w:rsid w:val="00147081"/>
    <w:rsid w:val="00147789"/>
    <w:rsid w:val="001478EC"/>
    <w:rsid w:val="001479A7"/>
    <w:rsid w:val="00147B3B"/>
    <w:rsid w:val="00147F7D"/>
    <w:rsid w:val="00150004"/>
    <w:rsid w:val="0015002E"/>
    <w:rsid w:val="001500A3"/>
    <w:rsid w:val="001501F7"/>
    <w:rsid w:val="0015025C"/>
    <w:rsid w:val="00150737"/>
    <w:rsid w:val="0015094B"/>
    <w:rsid w:val="001509AC"/>
    <w:rsid w:val="001509BF"/>
    <w:rsid w:val="00150A19"/>
    <w:rsid w:val="00150F5F"/>
    <w:rsid w:val="001512E9"/>
    <w:rsid w:val="00151772"/>
    <w:rsid w:val="00151F64"/>
    <w:rsid w:val="001520C8"/>
    <w:rsid w:val="0015241F"/>
    <w:rsid w:val="00152465"/>
    <w:rsid w:val="001526FD"/>
    <w:rsid w:val="001528B4"/>
    <w:rsid w:val="00152934"/>
    <w:rsid w:val="00152E0D"/>
    <w:rsid w:val="00152FBA"/>
    <w:rsid w:val="00153071"/>
    <w:rsid w:val="001530F6"/>
    <w:rsid w:val="001531C3"/>
    <w:rsid w:val="001533E9"/>
    <w:rsid w:val="0015348B"/>
    <w:rsid w:val="0015391B"/>
    <w:rsid w:val="00153B21"/>
    <w:rsid w:val="00153CA1"/>
    <w:rsid w:val="001540EE"/>
    <w:rsid w:val="001543D8"/>
    <w:rsid w:val="00154808"/>
    <w:rsid w:val="00154BEC"/>
    <w:rsid w:val="00154C5F"/>
    <w:rsid w:val="001550EA"/>
    <w:rsid w:val="001551F0"/>
    <w:rsid w:val="001558D1"/>
    <w:rsid w:val="001559EE"/>
    <w:rsid w:val="00155F3C"/>
    <w:rsid w:val="00155F68"/>
    <w:rsid w:val="00156058"/>
    <w:rsid w:val="001560F8"/>
    <w:rsid w:val="0015658F"/>
    <w:rsid w:val="00156889"/>
    <w:rsid w:val="00156A1A"/>
    <w:rsid w:val="00156FDC"/>
    <w:rsid w:val="00157012"/>
    <w:rsid w:val="00157039"/>
    <w:rsid w:val="0015725A"/>
    <w:rsid w:val="0015753E"/>
    <w:rsid w:val="00157770"/>
    <w:rsid w:val="00157A59"/>
    <w:rsid w:val="00157DE0"/>
    <w:rsid w:val="001603C8"/>
    <w:rsid w:val="001603F3"/>
    <w:rsid w:val="001609A9"/>
    <w:rsid w:val="00160BF5"/>
    <w:rsid w:val="001610AD"/>
    <w:rsid w:val="00161252"/>
    <w:rsid w:val="001616C1"/>
    <w:rsid w:val="00161B3E"/>
    <w:rsid w:val="00161BDC"/>
    <w:rsid w:val="00161E2E"/>
    <w:rsid w:val="00161EBF"/>
    <w:rsid w:val="001621B4"/>
    <w:rsid w:val="001629FF"/>
    <w:rsid w:val="00162F11"/>
    <w:rsid w:val="00163036"/>
    <w:rsid w:val="00163199"/>
    <w:rsid w:val="00163222"/>
    <w:rsid w:val="0016358F"/>
    <w:rsid w:val="001636CC"/>
    <w:rsid w:val="00163FA1"/>
    <w:rsid w:val="00164517"/>
    <w:rsid w:val="00164C75"/>
    <w:rsid w:val="00164DA6"/>
    <w:rsid w:val="00165046"/>
    <w:rsid w:val="0016511A"/>
    <w:rsid w:val="00165298"/>
    <w:rsid w:val="00165AAF"/>
    <w:rsid w:val="00166567"/>
    <w:rsid w:val="00166710"/>
    <w:rsid w:val="0016688A"/>
    <w:rsid w:val="00166B0C"/>
    <w:rsid w:val="00167399"/>
    <w:rsid w:val="001673E0"/>
    <w:rsid w:val="00167435"/>
    <w:rsid w:val="00167480"/>
    <w:rsid w:val="00167761"/>
    <w:rsid w:val="00167923"/>
    <w:rsid w:val="0016794A"/>
    <w:rsid w:val="00170011"/>
    <w:rsid w:val="001700E7"/>
    <w:rsid w:val="001705CB"/>
    <w:rsid w:val="00170977"/>
    <w:rsid w:val="00170D5C"/>
    <w:rsid w:val="00170F2F"/>
    <w:rsid w:val="0017102C"/>
    <w:rsid w:val="001716FD"/>
    <w:rsid w:val="0017189F"/>
    <w:rsid w:val="00171C8B"/>
    <w:rsid w:val="00172984"/>
    <w:rsid w:val="00172C4C"/>
    <w:rsid w:val="00172D0C"/>
    <w:rsid w:val="00173027"/>
    <w:rsid w:val="0017303B"/>
    <w:rsid w:val="00173069"/>
    <w:rsid w:val="00173873"/>
    <w:rsid w:val="00173961"/>
    <w:rsid w:val="00174076"/>
    <w:rsid w:val="0017418B"/>
    <w:rsid w:val="001743EA"/>
    <w:rsid w:val="001746C6"/>
    <w:rsid w:val="001747D1"/>
    <w:rsid w:val="001749F4"/>
    <w:rsid w:val="00174DF9"/>
    <w:rsid w:val="00174FE5"/>
    <w:rsid w:val="001751A2"/>
    <w:rsid w:val="0017548C"/>
    <w:rsid w:val="0017550C"/>
    <w:rsid w:val="0017551A"/>
    <w:rsid w:val="001755B5"/>
    <w:rsid w:val="001756CE"/>
    <w:rsid w:val="0017582A"/>
    <w:rsid w:val="00175931"/>
    <w:rsid w:val="00175A56"/>
    <w:rsid w:val="00175B18"/>
    <w:rsid w:val="00176780"/>
    <w:rsid w:val="00176B5D"/>
    <w:rsid w:val="00176E73"/>
    <w:rsid w:val="00177231"/>
    <w:rsid w:val="0017765A"/>
    <w:rsid w:val="00177B75"/>
    <w:rsid w:val="0018019D"/>
    <w:rsid w:val="00180218"/>
    <w:rsid w:val="0018021B"/>
    <w:rsid w:val="0018054D"/>
    <w:rsid w:val="0018070D"/>
    <w:rsid w:val="001808FF"/>
    <w:rsid w:val="00180D57"/>
    <w:rsid w:val="001811D8"/>
    <w:rsid w:val="0018139E"/>
    <w:rsid w:val="001817F2"/>
    <w:rsid w:val="001821BE"/>
    <w:rsid w:val="00182351"/>
    <w:rsid w:val="00182364"/>
    <w:rsid w:val="001825D3"/>
    <w:rsid w:val="00182AE8"/>
    <w:rsid w:val="00183142"/>
    <w:rsid w:val="00183288"/>
    <w:rsid w:val="00183783"/>
    <w:rsid w:val="00183883"/>
    <w:rsid w:val="00183D53"/>
    <w:rsid w:val="0018440C"/>
    <w:rsid w:val="00184C44"/>
    <w:rsid w:val="00184E9C"/>
    <w:rsid w:val="001857B6"/>
    <w:rsid w:val="001859FE"/>
    <w:rsid w:val="00185AA8"/>
    <w:rsid w:val="00185C5B"/>
    <w:rsid w:val="00185D6A"/>
    <w:rsid w:val="00185E28"/>
    <w:rsid w:val="00185EE9"/>
    <w:rsid w:val="0018607B"/>
    <w:rsid w:val="001863D9"/>
    <w:rsid w:val="00186500"/>
    <w:rsid w:val="001867AE"/>
    <w:rsid w:val="00186847"/>
    <w:rsid w:val="001870A3"/>
    <w:rsid w:val="00187357"/>
    <w:rsid w:val="0018737A"/>
    <w:rsid w:val="001874A7"/>
    <w:rsid w:val="00187601"/>
    <w:rsid w:val="001879EC"/>
    <w:rsid w:val="00187D06"/>
    <w:rsid w:val="00190076"/>
    <w:rsid w:val="001900F8"/>
    <w:rsid w:val="0019088A"/>
    <w:rsid w:val="001909BE"/>
    <w:rsid w:val="00190B39"/>
    <w:rsid w:val="00190CF1"/>
    <w:rsid w:val="00190F57"/>
    <w:rsid w:val="001912B1"/>
    <w:rsid w:val="00191688"/>
    <w:rsid w:val="00191E21"/>
    <w:rsid w:val="001923A1"/>
    <w:rsid w:val="0019254E"/>
    <w:rsid w:val="001925C4"/>
    <w:rsid w:val="0019273F"/>
    <w:rsid w:val="00192C1D"/>
    <w:rsid w:val="00192D5F"/>
    <w:rsid w:val="00194075"/>
    <w:rsid w:val="0019453F"/>
    <w:rsid w:val="0019460A"/>
    <w:rsid w:val="00194804"/>
    <w:rsid w:val="0019487E"/>
    <w:rsid w:val="001948C2"/>
    <w:rsid w:val="00194A64"/>
    <w:rsid w:val="00194CC8"/>
    <w:rsid w:val="00195209"/>
    <w:rsid w:val="00195615"/>
    <w:rsid w:val="00195B40"/>
    <w:rsid w:val="00195C98"/>
    <w:rsid w:val="0019636E"/>
    <w:rsid w:val="00196879"/>
    <w:rsid w:val="00196AE6"/>
    <w:rsid w:val="00196D0B"/>
    <w:rsid w:val="001973ED"/>
    <w:rsid w:val="001976BF"/>
    <w:rsid w:val="001976FC"/>
    <w:rsid w:val="0019783C"/>
    <w:rsid w:val="00197E96"/>
    <w:rsid w:val="001A06F1"/>
    <w:rsid w:val="001A07C4"/>
    <w:rsid w:val="001A09ED"/>
    <w:rsid w:val="001A0CDC"/>
    <w:rsid w:val="001A0E16"/>
    <w:rsid w:val="001A14F7"/>
    <w:rsid w:val="001A1542"/>
    <w:rsid w:val="001A1668"/>
    <w:rsid w:val="001A197C"/>
    <w:rsid w:val="001A2512"/>
    <w:rsid w:val="001A25F9"/>
    <w:rsid w:val="001A289D"/>
    <w:rsid w:val="001A2986"/>
    <w:rsid w:val="001A307A"/>
    <w:rsid w:val="001A326C"/>
    <w:rsid w:val="001A33B8"/>
    <w:rsid w:val="001A37CA"/>
    <w:rsid w:val="001A3B24"/>
    <w:rsid w:val="001A4410"/>
    <w:rsid w:val="001A4548"/>
    <w:rsid w:val="001A47D4"/>
    <w:rsid w:val="001A4C25"/>
    <w:rsid w:val="001A515F"/>
    <w:rsid w:val="001A54FE"/>
    <w:rsid w:val="001A571C"/>
    <w:rsid w:val="001A5A79"/>
    <w:rsid w:val="001A5D95"/>
    <w:rsid w:val="001A6272"/>
    <w:rsid w:val="001A665E"/>
    <w:rsid w:val="001A66B3"/>
    <w:rsid w:val="001A6C3C"/>
    <w:rsid w:val="001A70C9"/>
    <w:rsid w:val="001A730B"/>
    <w:rsid w:val="001A76A9"/>
    <w:rsid w:val="001A7B46"/>
    <w:rsid w:val="001A7E6F"/>
    <w:rsid w:val="001B000A"/>
    <w:rsid w:val="001B00B7"/>
    <w:rsid w:val="001B024B"/>
    <w:rsid w:val="001B069B"/>
    <w:rsid w:val="001B08E8"/>
    <w:rsid w:val="001B0AA9"/>
    <w:rsid w:val="001B1DA2"/>
    <w:rsid w:val="001B1F27"/>
    <w:rsid w:val="001B2710"/>
    <w:rsid w:val="001B2718"/>
    <w:rsid w:val="001B2762"/>
    <w:rsid w:val="001B286A"/>
    <w:rsid w:val="001B2ADA"/>
    <w:rsid w:val="001B2EFC"/>
    <w:rsid w:val="001B3976"/>
    <w:rsid w:val="001B3BAD"/>
    <w:rsid w:val="001B3E73"/>
    <w:rsid w:val="001B4245"/>
    <w:rsid w:val="001B4C4E"/>
    <w:rsid w:val="001B4F0C"/>
    <w:rsid w:val="001B4F35"/>
    <w:rsid w:val="001B51D1"/>
    <w:rsid w:val="001B567B"/>
    <w:rsid w:val="001B57B8"/>
    <w:rsid w:val="001B584F"/>
    <w:rsid w:val="001B5C1C"/>
    <w:rsid w:val="001B5DF7"/>
    <w:rsid w:val="001B61AE"/>
    <w:rsid w:val="001B642A"/>
    <w:rsid w:val="001B673E"/>
    <w:rsid w:val="001B6A3E"/>
    <w:rsid w:val="001B6B2B"/>
    <w:rsid w:val="001B6B87"/>
    <w:rsid w:val="001B7053"/>
    <w:rsid w:val="001B7248"/>
    <w:rsid w:val="001B791E"/>
    <w:rsid w:val="001B7AFF"/>
    <w:rsid w:val="001B7D14"/>
    <w:rsid w:val="001B7FF4"/>
    <w:rsid w:val="001C0204"/>
    <w:rsid w:val="001C025D"/>
    <w:rsid w:val="001C06CF"/>
    <w:rsid w:val="001C12E9"/>
    <w:rsid w:val="001C170F"/>
    <w:rsid w:val="001C1A54"/>
    <w:rsid w:val="001C1C46"/>
    <w:rsid w:val="001C223A"/>
    <w:rsid w:val="001C23C8"/>
    <w:rsid w:val="001C25B3"/>
    <w:rsid w:val="001C3198"/>
    <w:rsid w:val="001C3318"/>
    <w:rsid w:val="001C3360"/>
    <w:rsid w:val="001C33E3"/>
    <w:rsid w:val="001C33F0"/>
    <w:rsid w:val="001C3832"/>
    <w:rsid w:val="001C39B2"/>
    <w:rsid w:val="001C3A90"/>
    <w:rsid w:val="001C3CA9"/>
    <w:rsid w:val="001C3E12"/>
    <w:rsid w:val="001C496B"/>
    <w:rsid w:val="001C5011"/>
    <w:rsid w:val="001C5172"/>
    <w:rsid w:val="001C5A16"/>
    <w:rsid w:val="001C5AD9"/>
    <w:rsid w:val="001C5BB7"/>
    <w:rsid w:val="001C5E91"/>
    <w:rsid w:val="001C616F"/>
    <w:rsid w:val="001C63B7"/>
    <w:rsid w:val="001C65EC"/>
    <w:rsid w:val="001C69CD"/>
    <w:rsid w:val="001C6A5C"/>
    <w:rsid w:val="001C6A8C"/>
    <w:rsid w:val="001C6C46"/>
    <w:rsid w:val="001C6CBC"/>
    <w:rsid w:val="001C725C"/>
    <w:rsid w:val="001C72D9"/>
    <w:rsid w:val="001C7C91"/>
    <w:rsid w:val="001C7E42"/>
    <w:rsid w:val="001D0215"/>
    <w:rsid w:val="001D0361"/>
    <w:rsid w:val="001D0830"/>
    <w:rsid w:val="001D1340"/>
    <w:rsid w:val="001D1653"/>
    <w:rsid w:val="001D2528"/>
    <w:rsid w:val="001D2C6A"/>
    <w:rsid w:val="001D2CD0"/>
    <w:rsid w:val="001D2D15"/>
    <w:rsid w:val="001D3251"/>
    <w:rsid w:val="001D34EF"/>
    <w:rsid w:val="001D35C3"/>
    <w:rsid w:val="001D36D0"/>
    <w:rsid w:val="001D3744"/>
    <w:rsid w:val="001D39C4"/>
    <w:rsid w:val="001D3D1F"/>
    <w:rsid w:val="001D42A7"/>
    <w:rsid w:val="001D46C0"/>
    <w:rsid w:val="001D48C5"/>
    <w:rsid w:val="001D4B17"/>
    <w:rsid w:val="001D4B94"/>
    <w:rsid w:val="001D5161"/>
    <w:rsid w:val="001D549E"/>
    <w:rsid w:val="001D559D"/>
    <w:rsid w:val="001D582D"/>
    <w:rsid w:val="001D5A70"/>
    <w:rsid w:val="001D5BCA"/>
    <w:rsid w:val="001D5BFC"/>
    <w:rsid w:val="001D5FA9"/>
    <w:rsid w:val="001D5FEF"/>
    <w:rsid w:val="001D6011"/>
    <w:rsid w:val="001D612E"/>
    <w:rsid w:val="001D621C"/>
    <w:rsid w:val="001D63C3"/>
    <w:rsid w:val="001D63F2"/>
    <w:rsid w:val="001D67F9"/>
    <w:rsid w:val="001D6A91"/>
    <w:rsid w:val="001D6AD6"/>
    <w:rsid w:val="001D6EFF"/>
    <w:rsid w:val="001D7056"/>
    <w:rsid w:val="001D7081"/>
    <w:rsid w:val="001D7571"/>
    <w:rsid w:val="001D783B"/>
    <w:rsid w:val="001E09D2"/>
    <w:rsid w:val="001E0AFF"/>
    <w:rsid w:val="001E0C1F"/>
    <w:rsid w:val="001E1144"/>
    <w:rsid w:val="001E1422"/>
    <w:rsid w:val="001E1ABE"/>
    <w:rsid w:val="001E1C3A"/>
    <w:rsid w:val="001E32BF"/>
    <w:rsid w:val="001E34F7"/>
    <w:rsid w:val="001E363F"/>
    <w:rsid w:val="001E3EBC"/>
    <w:rsid w:val="001E406D"/>
    <w:rsid w:val="001E4278"/>
    <w:rsid w:val="001E48B8"/>
    <w:rsid w:val="001E4DB0"/>
    <w:rsid w:val="001E4DB4"/>
    <w:rsid w:val="001E514A"/>
    <w:rsid w:val="001E59B8"/>
    <w:rsid w:val="001E5A64"/>
    <w:rsid w:val="001E5AA1"/>
    <w:rsid w:val="001E5B93"/>
    <w:rsid w:val="001E5DA2"/>
    <w:rsid w:val="001E5E5A"/>
    <w:rsid w:val="001E6298"/>
    <w:rsid w:val="001E637A"/>
    <w:rsid w:val="001E6386"/>
    <w:rsid w:val="001E63B2"/>
    <w:rsid w:val="001E697E"/>
    <w:rsid w:val="001E6AA0"/>
    <w:rsid w:val="001E6C25"/>
    <w:rsid w:val="001E75B8"/>
    <w:rsid w:val="001E7B3E"/>
    <w:rsid w:val="001E7E64"/>
    <w:rsid w:val="001F013D"/>
    <w:rsid w:val="001F041A"/>
    <w:rsid w:val="001F0498"/>
    <w:rsid w:val="001F10EE"/>
    <w:rsid w:val="001F11A5"/>
    <w:rsid w:val="001F1235"/>
    <w:rsid w:val="001F127A"/>
    <w:rsid w:val="001F130A"/>
    <w:rsid w:val="001F132B"/>
    <w:rsid w:val="001F1798"/>
    <w:rsid w:val="001F1842"/>
    <w:rsid w:val="001F1BC2"/>
    <w:rsid w:val="001F1E11"/>
    <w:rsid w:val="001F20D4"/>
    <w:rsid w:val="001F2626"/>
    <w:rsid w:val="001F2772"/>
    <w:rsid w:val="001F2808"/>
    <w:rsid w:val="001F2EFF"/>
    <w:rsid w:val="001F34A9"/>
    <w:rsid w:val="001F3A97"/>
    <w:rsid w:val="001F3AFD"/>
    <w:rsid w:val="001F3E17"/>
    <w:rsid w:val="001F401F"/>
    <w:rsid w:val="001F47C7"/>
    <w:rsid w:val="001F4BA6"/>
    <w:rsid w:val="001F4C13"/>
    <w:rsid w:val="001F4C93"/>
    <w:rsid w:val="001F51BA"/>
    <w:rsid w:val="001F51DB"/>
    <w:rsid w:val="001F5C74"/>
    <w:rsid w:val="001F5D15"/>
    <w:rsid w:val="001F5E63"/>
    <w:rsid w:val="001F6039"/>
    <w:rsid w:val="001F60C3"/>
    <w:rsid w:val="001F61A9"/>
    <w:rsid w:val="001F6BB2"/>
    <w:rsid w:val="001F7049"/>
    <w:rsid w:val="001F7284"/>
    <w:rsid w:val="001F7887"/>
    <w:rsid w:val="001F7EBD"/>
    <w:rsid w:val="00200239"/>
    <w:rsid w:val="0020079D"/>
    <w:rsid w:val="002009B1"/>
    <w:rsid w:val="00201094"/>
    <w:rsid w:val="00201616"/>
    <w:rsid w:val="00201655"/>
    <w:rsid w:val="00201977"/>
    <w:rsid w:val="0020213B"/>
    <w:rsid w:val="00202210"/>
    <w:rsid w:val="002029E3"/>
    <w:rsid w:val="00202A78"/>
    <w:rsid w:val="00202FA0"/>
    <w:rsid w:val="00203872"/>
    <w:rsid w:val="00203949"/>
    <w:rsid w:val="00203B69"/>
    <w:rsid w:val="00203E53"/>
    <w:rsid w:val="00203EEF"/>
    <w:rsid w:val="00203FFE"/>
    <w:rsid w:val="0020437D"/>
    <w:rsid w:val="002045E9"/>
    <w:rsid w:val="00204627"/>
    <w:rsid w:val="0020468F"/>
    <w:rsid w:val="002048DD"/>
    <w:rsid w:val="00204AAD"/>
    <w:rsid w:val="00204BB3"/>
    <w:rsid w:val="0020530A"/>
    <w:rsid w:val="002053A7"/>
    <w:rsid w:val="002058B9"/>
    <w:rsid w:val="00205929"/>
    <w:rsid w:val="00205C7C"/>
    <w:rsid w:val="00206359"/>
    <w:rsid w:val="002065C7"/>
    <w:rsid w:val="002066DA"/>
    <w:rsid w:val="00206855"/>
    <w:rsid w:val="0020704B"/>
    <w:rsid w:val="0020725A"/>
    <w:rsid w:val="00207633"/>
    <w:rsid w:val="00207AE7"/>
    <w:rsid w:val="00207C6F"/>
    <w:rsid w:val="00210233"/>
    <w:rsid w:val="002107BE"/>
    <w:rsid w:val="00210D93"/>
    <w:rsid w:val="00210F09"/>
    <w:rsid w:val="0021110B"/>
    <w:rsid w:val="002114FE"/>
    <w:rsid w:val="00211832"/>
    <w:rsid w:val="0021185C"/>
    <w:rsid w:val="002121B7"/>
    <w:rsid w:val="0021237C"/>
    <w:rsid w:val="00212832"/>
    <w:rsid w:val="002129EB"/>
    <w:rsid w:val="00213939"/>
    <w:rsid w:val="00213DA6"/>
    <w:rsid w:val="002148B8"/>
    <w:rsid w:val="002149A4"/>
    <w:rsid w:val="00214C89"/>
    <w:rsid w:val="00214D45"/>
    <w:rsid w:val="00214FAF"/>
    <w:rsid w:val="00215A81"/>
    <w:rsid w:val="00215B09"/>
    <w:rsid w:val="00215B4D"/>
    <w:rsid w:val="00215C50"/>
    <w:rsid w:val="00215D03"/>
    <w:rsid w:val="00215F8B"/>
    <w:rsid w:val="002160EC"/>
    <w:rsid w:val="002162CD"/>
    <w:rsid w:val="00216302"/>
    <w:rsid w:val="0021681E"/>
    <w:rsid w:val="00216987"/>
    <w:rsid w:val="00216C74"/>
    <w:rsid w:val="00216E23"/>
    <w:rsid w:val="0021750E"/>
    <w:rsid w:val="002177D0"/>
    <w:rsid w:val="00217825"/>
    <w:rsid w:val="00217F56"/>
    <w:rsid w:val="00220129"/>
    <w:rsid w:val="0022043F"/>
    <w:rsid w:val="0022046F"/>
    <w:rsid w:val="00220669"/>
    <w:rsid w:val="002207DC"/>
    <w:rsid w:val="002209A8"/>
    <w:rsid w:val="00220A64"/>
    <w:rsid w:val="00220D3A"/>
    <w:rsid w:val="00220E9E"/>
    <w:rsid w:val="002211FC"/>
    <w:rsid w:val="002214F3"/>
    <w:rsid w:val="00222121"/>
    <w:rsid w:val="002221CF"/>
    <w:rsid w:val="0022296C"/>
    <w:rsid w:val="00222C37"/>
    <w:rsid w:val="00222D72"/>
    <w:rsid w:val="00223357"/>
    <w:rsid w:val="00223930"/>
    <w:rsid w:val="00223D38"/>
    <w:rsid w:val="00224011"/>
    <w:rsid w:val="002241C3"/>
    <w:rsid w:val="00224635"/>
    <w:rsid w:val="00224643"/>
    <w:rsid w:val="00224C53"/>
    <w:rsid w:val="00224CE5"/>
    <w:rsid w:val="00225377"/>
    <w:rsid w:val="0022571A"/>
    <w:rsid w:val="002259C3"/>
    <w:rsid w:val="00225E33"/>
    <w:rsid w:val="00226216"/>
    <w:rsid w:val="0022644C"/>
    <w:rsid w:val="002264E1"/>
    <w:rsid w:val="002267C8"/>
    <w:rsid w:val="00226B7E"/>
    <w:rsid w:val="00226BFC"/>
    <w:rsid w:val="00226D46"/>
    <w:rsid w:val="00226EF2"/>
    <w:rsid w:val="002273E6"/>
    <w:rsid w:val="0022773C"/>
    <w:rsid w:val="002279B2"/>
    <w:rsid w:val="00227DB8"/>
    <w:rsid w:val="00227FDA"/>
    <w:rsid w:val="00230516"/>
    <w:rsid w:val="00230C2E"/>
    <w:rsid w:val="00230DDE"/>
    <w:rsid w:val="0023148E"/>
    <w:rsid w:val="002315B2"/>
    <w:rsid w:val="00231A8F"/>
    <w:rsid w:val="00231C1C"/>
    <w:rsid w:val="00231C49"/>
    <w:rsid w:val="002320FB"/>
    <w:rsid w:val="002321CB"/>
    <w:rsid w:val="0023220B"/>
    <w:rsid w:val="0023228D"/>
    <w:rsid w:val="00232445"/>
    <w:rsid w:val="00232677"/>
    <w:rsid w:val="00232986"/>
    <w:rsid w:val="00232B45"/>
    <w:rsid w:val="00232D20"/>
    <w:rsid w:val="00232D78"/>
    <w:rsid w:val="00233000"/>
    <w:rsid w:val="00233631"/>
    <w:rsid w:val="00233857"/>
    <w:rsid w:val="002338BB"/>
    <w:rsid w:val="00233AE2"/>
    <w:rsid w:val="00233B0F"/>
    <w:rsid w:val="00233F07"/>
    <w:rsid w:val="00234770"/>
    <w:rsid w:val="002347CC"/>
    <w:rsid w:val="002347EB"/>
    <w:rsid w:val="002350B5"/>
    <w:rsid w:val="0023517E"/>
    <w:rsid w:val="0023544D"/>
    <w:rsid w:val="00235A67"/>
    <w:rsid w:val="00235E71"/>
    <w:rsid w:val="00235F12"/>
    <w:rsid w:val="00235F7E"/>
    <w:rsid w:val="00236410"/>
    <w:rsid w:val="00236D2D"/>
    <w:rsid w:val="00236EC4"/>
    <w:rsid w:val="00237108"/>
    <w:rsid w:val="002373D5"/>
    <w:rsid w:val="00237593"/>
    <w:rsid w:val="00237BB7"/>
    <w:rsid w:val="00237D15"/>
    <w:rsid w:val="00237EDF"/>
    <w:rsid w:val="0024087E"/>
    <w:rsid w:val="002408FF"/>
    <w:rsid w:val="00240B67"/>
    <w:rsid w:val="00240EC4"/>
    <w:rsid w:val="002410A7"/>
    <w:rsid w:val="00241B4E"/>
    <w:rsid w:val="0024361D"/>
    <w:rsid w:val="002437C9"/>
    <w:rsid w:val="0024390F"/>
    <w:rsid w:val="00243DB0"/>
    <w:rsid w:val="00243E79"/>
    <w:rsid w:val="00243F59"/>
    <w:rsid w:val="00243FE7"/>
    <w:rsid w:val="002440A7"/>
    <w:rsid w:val="00244257"/>
    <w:rsid w:val="002442CD"/>
    <w:rsid w:val="0024467A"/>
    <w:rsid w:val="002446FB"/>
    <w:rsid w:val="002448C9"/>
    <w:rsid w:val="00244951"/>
    <w:rsid w:val="00244C25"/>
    <w:rsid w:val="00244CED"/>
    <w:rsid w:val="00245178"/>
    <w:rsid w:val="00245256"/>
    <w:rsid w:val="00245A2B"/>
    <w:rsid w:val="00245BBF"/>
    <w:rsid w:val="00245CBC"/>
    <w:rsid w:val="00245D9C"/>
    <w:rsid w:val="00245F65"/>
    <w:rsid w:val="00245F72"/>
    <w:rsid w:val="002462C9"/>
    <w:rsid w:val="00246437"/>
    <w:rsid w:val="0024649A"/>
    <w:rsid w:val="002464B3"/>
    <w:rsid w:val="0024651A"/>
    <w:rsid w:val="00246705"/>
    <w:rsid w:val="002469C4"/>
    <w:rsid w:val="00246C89"/>
    <w:rsid w:val="00246D5E"/>
    <w:rsid w:val="0024739C"/>
    <w:rsid w:val="00247946"/>
    <w:rsid w:val="002509A5"/>
    <w:rsid w:val="00250B35"/>
    <w:rsid w:val="00251128"/>
    <w:rsid w:val="0025123D"/>
    <w:rsid w:val="0025140E"/>
    <w:rsid w:val="00252411"/>
    <w:rsid w:val="00252817"/>
    <w:rsid w:val="00252915"/>
    <w:rsid w:val="002529DB"/>
    <w:rsid w:val="00252A6D"/>
    <w:rsid w:val="00252C14"/>
    <w:rsid w:val="00252DA0"/>
    <w:rsid w:val="00252FE8"/>
    <w:rsid w:val="0025316E"/>
    <w:rsid w:val="00253546"/>
    <w:rsid w:val="00253A37"/>
    <w:rsid w:val="00253D95"/>
    <w:rsid w:val="00254307"/>
    <w:rsid w:val="0025493F"/>
    <w:rsid w:val="00254F6A"/>
    <w:rsid w:val="002552AB"/>
    <w:rsid w:val="0025572C"/>
    <w:rsid w:val="002557C6"/>
    <w:rsid w:val="00255E97"/>
    <w:rsid w:val="002563B0"/>
    <w:rsid w:val="002564AA"/>
    <w:rsid w:val="002564FC"/>
    <w:rsid w:val="002565F8"/>
    <w:rsid w:val="00256B67"/>
    <w:rsid w:val="00256DBC"/>
    <w:rsid w:val="00257AE8"/>
    <w:rsid w:val="00257C0A"/>
    <w:rsid w:val="00260103"/>
    <w:rsid w:val="00260157"/>
    <w:rsid w:val="002602A8"/>
    <w:rsid w:val="00260749"/>
    <w:rsid w:val="00261134"/>
    <w:rsid w:val="00261138"/>
    <w:rsid w:val="00261140"/>
    <w:rsid w:val="00261230"/>
    <w:rsid w:val="00261E49"/>
    <w:rsid w:val="00261FBB"/>
    <w:rsid w:val="002621F5"/>
    <w:rsid w:val="0026269B"/>
    <w:rsid w:val="00262948"/>
    <w:rsid w:val="00262A1E"/>
    <w:rsid w:val="00262B6F"/>
    <w:rsid w:val="00262BBB"/>
    <w:rsid w:val="00262F72"/>
    <w:rsid w:val="00262F7E"/>
    <w:rsid w:val="0026307F"/>
    <w:rsid w:val="00263105"/>
    <w:rsid w:val="00263436"/>
    <w:rsid w:val="002634EC"/>
    <w:rsid w:val="0026354A"/>
    <w:rsid w:val="00263A41"/>
    <w:rsid w:val="00263ACF"/>
    <w:rsid w:val="00263E61"/>
    <w:rsid w:val="00263EDE"/>
    <w:rsid w:val="002640B1"/>
    <w:rsid w:val="002640F1"/>
    <w:rsid w:val="00264641"/>
    <w:rsid w:val="00264A72"/>
    <w:rsid w:val="00264B02"/>
    <w:rsid w:val="00264C5E"/>
    <w:rsid w:val="0026599B"/>
    <w:rsid w:val="00265ABE"/>
    <w:rsid w:val="00265CA2"/>
    <w:rsid w:val="00265DEB"/>
    <w:rsid w:val="00265F8A"/>
    <w:rsid w:val="0026612F"/>
    <w:rsid w:val="00266220"/>
    <w:rsid w:val="002662E6"/>
    <w:rsid w:val="002662F3"/>
    <w:rsid w:val="00266416"/>
    <w:rsid w:val="00266599"/>
    <w:rsid w:val="0026660E"/>
    <w:rsid w:val="002666C4"/>
    <w:rsid w:val="00267C1F"/>
    <w:rsid w:val="00267D7B"/>
    <w:rsid w:val="00267DE8"/>
    <w:rsid w:val="0027010F"/>
    <w:rsid w:val="002708F6"/>
    <w:rsid w:val="00270ACE"/>
    <w:rsid w:val="002710B0"/>
    <w:rsid w:val="002712AF"/>
    <w:rsid w:val="0027147C"/>
    <w:rsid w:val="00271652"/>
    <w:rsid w:val="0027245E"/>
    <w:rsid w:val="002726F4"/>
    <w:rsid w:val="0027278A"/>
    <w:rsid w:val="00272BE3"/>
    <w:rsid w:val="00272DBA"/>
    <w:rsid w:val="00272F02"/>
    <w:rsid w:val="00273011"/>
    <w:rsid w:val="0027384E"/>
    <w:rsid w:val="00273882"/>
    <w:rsid w:val="00273A1C"/>
    <w:rsid w:val="0027437F"/>
    <w:rsid w:val="002746C5"/>
    <w:rsid w:val="00274738"/>
    <w:rsid w:val="00274ADB"/>
    <w:rsid w:val="0027503F"/>
    <w:rsid w:val="002758AF"/>
    <w:rsid w:val="00275CC3"/>
    <w:rsid w:val="00275D77"/>
    <w:rsid w:val="00275EE2"/>
    <w:rsid w:val="00276500"/>
    <w:rsid w:val="00276C35"/>
    <w:rsid w:val="00276C8A"/>
    <w:rsid w:val="00276EB1"/>
    <w:rsid w:val="0027706D"/>
    <w:rsid w:val="00277372"/>
    <w:rsid w:val="002774BF"/>
    <w:rsid w:val="002778D8"/>
    <w:rsid w:val="00277B30"/>
    <w:rsid w:val="00277CFB"/>
    <w:rsid w:val="00277DA9"/>
    <w:rsid w:val="00277EBA"/>
    <w:rsid w:val="002801DF"/>
    <w:rsid w:val="00280BF4"/>
    <w:rsid w:val="00280E94"/>
    <w:rsid w:val="0028104E"/>
    <w:rsid w:val="0028134D"/>
    <w:rsid w:val="0028136C"/>
    <w:rsid w:val="00281990"/>
    <w:rsid w:val="00281A4D"/>
    <w:rsid w:val="00281EFC"/>
    <w:rsid w:val="002823E1"/>
    <w:rsid w:val="002828D3"/>
    <w:rsid w:val="00282CAF"/>
    <w:rsid w:val="002830A6"/>
    <w:rsid w:val="002832CF"/>
    <w:rsid w:val="0028330F"/>
    <w:rsid w:val="00283514"/>
    <w:rsid w:val="0028360B"/>
    <w:rsid w:val="00283942"/>
    <w:rsid w:val="00283CAE"/>
    <w:rsid w:val="00283CCE"/>
    <w:rsid w:val="00283CDA"/>
    <w:rsid w:val="002842B7"/>
    <w:rsid w:val="00284495"/>
    <w:rsid w:val="00284544"/>
    <w:rsid w:val="00284879"/>
    <w:rsid w:val="00284B44"/>
    <w:rsid w:val="002850AE"/>
    <w:rsid w:val="002850BC"/>
    <w:rsid w:val="00285433"/>
    <w:rsid w:val="00285560"/>
    <w:rsid w:val="00285D00"/>
    <w:rsid w:val="00285EB7"/>
    <w:rsid w:val="00285F50"/>
    <w:rsid w:val="0028635D"/>
    <w:rsid w:val="002864AF"/>
    <w:rsid w:val="00286944"/>
    <w:rsid w:val="00286A14"/>
    <w:rsid w:val="00286B89"/>
    <w:rsid w:val="00286C21"/>
    <w:rsid w:val="00286C6A"/>
    <w:rsid w:val="00286F10"/>
    <w:rsid w:val="00287118"/>
    <w:rsid w:val="002900D3"/>
    <w:rsid w:val="002901AB"/>
    <w:rsid w:val="002903AE"/>
    <w:rsid w:val="00290820"/>
    <w:rsid w:val="00290947"/>
    <w:rsid w:val="00290AEA"/>
    <w:rsid w:val="00291033"/>
    <w:rsid w:val="0029109B"/>
    <w:rsid w:val="00291234"/>
    <w:rsid w:val="00291575"/>
    <w:rsid w:val="002919B2"/>
    <w:rsid w:val="00291BFD"/>
    <w:rsid w:val="00291D10"/>
    <w:rsid w:val="00291DEF"/>
    <w:rsid w:val="00292080"/>
    <w:rsid w:val="0029273E"/>
    <w:rsid w:val="002929BF"/>
    <w:rsid w:val="00292AC3"/>
    <w:rsid w:val="00293509"/>
    <w:rsid w:val="00293795"/>
    <w:rsid w:val="002937F4"/>
    <w:rsid w:val="00293883"/>
    <w:rsid w:val="00293980"/>
    <w:rsid w:val="0029399E"/>
    <w:rsid w:val="00293C47"/>
    <w:rsid w:val="0029408A"/>
    <w:rsid w:val="002945DA"/>
    <w:rsid w:val="00294CF3"/>
    <w:rsid w:val="00294D19"/>
    <w:rsid w:val="00294D2F"/>
    <w:rsid w:val="00295196"/>
    <w:rsid w:val="00295431"/>
    <w:rsid w:val="002954E4"/>
    <w:rsid w:val="0029578F"/>
    <w:rsid w:val="002958AF"/>
    <w:rsid w:val="0029595D"/>
    <w:rsid w:val="002959C4"/>
    <w:rsid w:val="00296839"/>
    <w:rsid w:val="0029689D"/>
    <w:rsid w:val="002968C0"/>
    <w:rsid w:val="00296E17"/>
    <w:rsid w:val="00296E54"/>
    <w:rsid w:val="002972AE"/>
    <w:rsid w:val="002974A5"/>
    <w:rsid w:val="002979DC"/>
    <w:rsid w:val="002A0462"/>
    <w:rsid w:val="002A07FD"/>
    <w:rsid w:val="002A0D99"/>
    <w:rsid w:val="002A0EAB"/>
    <w:rsid w:val="002A105E"/>
    <w:rsid w:val="002A14FA"/>
    <w:rsid w:val="002A1E4C"/>
    <w:rsid w:val="002A2194"/>
    <w:rsid w:val="002A2B5C"/>
    <w:rsid w:val="002A2BA9"/>
    <w:rsid w:val="002A2CAA"/>
    <w:rsid w:val="002A326E"/>
    <w:rsid w:val="002A35FD"/>
    <w:rsid w:val="002A3850"/>
    <w:rsid w:val="002A396D"/>
    <w:rsid w:val="002A3AAD"/>
    <w:rsid w:val="002A3B4C"/>
    <w:rsid w:val="002A3BAC"/>
    <w:rsid w:val="002A3F4B"/>
    <w:rsid w:val="002A46EB"/>
    <w:rsid w:val="002A4B34"/>
    <w:rsid w:val="002A5332"/>
    <w:rsid w:val="002A5448"/>
    <w:rsid w:val="002A5706"/>
    <w:rsid w:val="002A58E8"/>
    <w:rsid w:val="002A5937"/>
    <w:rsid w:val="002A5B1E"/>
    <w:rsid w:val="002A5E0C"/>
    <w:rsid w:val="002A5E26"/>
    <w:rsid w:val="002A5E9D"/>
    <w:rsid w:val="002A6459"/>
    <w:rsid w:val="002A65AD"/>
    <w:rsid w:val="002A65D6"/>
    <w:rsid w:val="002A6745"/>
    <w:rsid w:val="002A67D1"/>
    <w:rsid w:val="002A6829"/>
    <w:rsid w:val="002A69A2"/>
    <w:rsid w:val="002A69EB"/>
    <w:rsid w:val="002A6A37"/>
    <w:rsid w:val="002A6BD7"/>
    <w:rsid w:val="002A6C3C"/>
    <w:rsid w:val="002A6CFA"/>
    <w:rsid w:val="002A6D88"/>
    <w:rsid w:val="002A73EF"/>
    <w:rsid w:val="002A761B"/>
    <w:rsid w:val="002B0390"/>
    <w:rsid w:val="002B04DB"/>
    <w:rsid w:val="002B0967"/>
    <w:rsid w:val="002B0A6A"/>
    <w:rsid w:val="002B0D92"/>
    <w:rsid w:val="002B0DB6"/>
    <w:rsid w:val="002B0DCE"/>
    <w:rsid w:val="002B1299"/>
    <w:rsid w:val="002B17B9"/>
    <w:rsid w:val="002B17CE"/>
    <w:rsid w:val="002B186A"/>
    <w:rsid w:val="002B1BFF"/>
    <w:rsid w:val="002B1C55"/>
    <w:rsid w:val="002B1F0F"/>
    <w:rsid w:val="002B2055"/>
    <w:rsid w:val="002B25AB"/>
    <w:rsid w:val="002B2A65"/>
    <w:rsid w:val="002B2A99"/>
    <w:rsid w:val="002B2B8F"/>
    <w:rsid w:val="002B2FA3"/>
    <w:rsid w:val="002B3207"/>
    <w:rsid w:val="002B32F4"/>
    <w:rsid w:val="002B35E0"/>
    <w:rsid w:val="002B3C33"/>
    <w:rsid w:val="002B3F03"/>
    <w:rsid w:val="002B4BA0"/>
    <w:rsid w:val="002B4BE9"/>
    <w:rsid w:val="002B50B8"/>
    <w:rsid w:val="002B52A2"/>
    <w:rsid w:val="002B54D5"/>
    <w:rsid w:val="002B55B5"/>
    <w:rsid w:val="002B5632"/>
    <w:rsid w:val="002B563A"/>
    <w:rsid w:val="002B5CC7"/>
    <w:rsid w:val="002B5FF3"/>
    <w:rsid w:val="002B6313"/>
    <w:rsid w:val="002B67B3"/>
    <w:rsid w:val="002B718E"/>
    <w:rsid w:val="002B7426"/>
    <w:rsid w:val="002B7466"/>
    <w:rsid w:val="002B79CD"/>
    <w:rsid w:val="002B7AF9"/>
    <w:rsid w:val="002B7F9A"/>
    <w:rsid w:val="002B7FC0"/>
    <w:rsid w:val="002C028B"/>
    <w:rsid w:val="002C0294"/>
    <w:rsid w:val="002C04CE"/>
    <w:rsid w:val="002C071F"/>
    <w:rsid w:val="002C0765"/>
    <w:rsid w:val="002C09CF"/>
    <w:rsid w:val="002C0BDD"/>
    <w:rsid w:val="002C1117"/>
    <w:rsid w:val="002C1298"/>
    <w:rsid w:val="002C13B3"/>
    <w:rsid w:val="002C1686"/>
    <w:rsid w:val="002C1947"/>
    <w:rsid w:val="002C1B6F"/>
    <w:rsid w:val="002C1CED"/>
    <w:rsid w:val="002C1CEE"/>
    <w:rsid w:val="002C1DF7"/>
    <w:rsid w:val="002C239E"/>
    <w:rsid w:val="002C2407"/>
    <w:rsid w:val="002C2A0E"/>
    <w:rsid w:val="002C2B28"/>
    <w:rsid w:val="002C3082"/>
    <w:rsid w:val="002C31FF"/>
    <w:rsid w:val="002C338B"/>
    <w:rsid w:val="002C3B9B"/>
    <w:rsid w:val="002C3EA2"/>
    <w:rsid w:val="002C3F07"/>
    <w:rsid w:val="002C3F13"/>
    <w:rsid w:val="002C3FB1"/>
    <w:rsid w:val="002C45A4"/>
    <w:rsid w:val="002C4746"/>
    <w:rsid w:val="002C4A9F"/>
    <w:rsid w:val="002C4E4E"/>
    <w:rsid w:val="002C4E95"/>
    <w:rsid w:val="002C5443"/>
    <w:rsid w:val="002C598C"/>
    <w:rsid w:val="002C5BB4"/>
    <w:rsid w:val="002C63A7"/>
    <w:rsid w:val="002C66ED"/>
    <w:rsid w:val="002C6B26"/>
    <w:rsid w:val="002C6DC7"/>
    <w:rsid w:val="002C7254"/>
    <w:rsid w:val="002C763F"/>
    <w:rsid w:val="002C766C"/>
    <w:rsid w:val="002C7C05"/>
    <w:rsid w:val="002D0682"/>
    <w:rsid w:val="002D0F4B"/>
    <w:rsid w:val="002D12EA"/>
    <w:rsid w:val="002D12FA"/>
    <w:rsid w:val="002D1BCC"/>
    <w:rsid w:val="002D1C62"/>
    <w:rsid w:val="002D1CD4"/>
    <w:rsid w:val="002D2230"/>
    <w:rsid w:val="002D22FE"/>
    <w:rsid w:val="002D236D"/>
    <w:rsid w:val="002D2566"/>
    <w:rsid w:val="002D30D5"/>
    <w:rsid w:val="002D33AE"/>
    <w:rsid w:val="002D3668"/>
    <w:rsid w:val="002D367B"/>
    <w:rsid w:val="002D3F86"/>
    <w:rsid w:val="002D40E8"/>
    <w:rsid w:val="002D41EC"/>
    <w:rsid w:val="002D4B09"/>
    <w:rsid w:val="002D4B71"/>
    <w:rsid w:val="002D4ED9"/>
    <w:rsid w:val="002D5197"/>
    <w:rsid w:val="002D5286"/>
    <w:rsid w:val="002D54C6"/>
    <w:rsid w:val="002D57D6"/>
    <w:rsid w:val="002D64C3"/>
    <w:rsid w:val="002D6E49"/>
    <w:rsid w:val="002D71AA"/>
    <w:rsid w:val="002D724E"/>
    <w:rsid w:val="002D7335"/>
    <w:rsid w:val="002E0685"/>
    <w:rsid w:val="002E082B"/>
    <w:rsid w:val="002E0AB6"/>
    <w:rsid w:val="002E0B94"/>
    <w:rsid w:val="002E0F4C"/>
    <w:rsid w:val="002E13D2"/>
    <w:rsid w:val="002E165B"/>
    <w:rsid w:val="002E17DA"/>
    <w:rsid w:val="002E1941"/>
    <w:rsid w:val="002E1BE0"/>
    <w:rsid w:val="002E2453"/>
    <w:rsid w:val="002E35C6"/>
    <w:rsid w:val="002E366B"/>
    <w:rsid w:val="002E36B0"/>
    <w:rsid w:val="002E3F98"/>
    <w:rsid w:val="002E4439"/>
    <w:rsid w:val="002E4DD6"/>
    <w:rsid w:val="002E4E0A"/>
    <w:rsid w:val="002E50F5"/>
    <w:rsid w:val="002E540F"/>
    <w:rsid w:val="002E570A"/>
    <w:rsid w:val="002E5773"/>
    <w:rsid w:val="002E5987"/>
    <w:rsid w:val="002E59A5"/>
    <w:rsid w:val="002E5F4F"/>
    <w:rsid w:val="002E6143"/>
    <w:rsid w:val="002E614C"/>
    <w:rsid w:val="002E6401"/>
    <w:rsid w:val="002E64C7"/>
    <w:rsid w:val="002E6660"/>
    <w:rsid w:val="002E696B"/>
    <w:rsid w:val="002E6AAE"/>
    <w:rsid w:val="002E6B85"/>
    <w:rsid w:val="002E6CF0"/>
    <w:rsid w:val="002E78A7"/>
    <w:rsid w:val="002F004C"/>
    <w:rsid w:val="002F00AF"/>
    <w:rsid w:val="002F0135"/>
    <w:rsid w:val="002F07A7"/>
    <w:rsid w:val="002F09CC"/>
    <w:rsid w:val="002F0ACE"/>
    <w:rsid w:val="002F0B52"/>
    <w:rsid w:val="002F0C71"/>
    <w:rsid w:val="002F0D82"/>
    <w:rsid w:val="002F0FED"/>
    <w:rsid w:val="002F1059"/>
    <w:rsid w:val="002F105A"/>
    <w:rsid w:val="002F1A58"/>
    <w:rsid w:val="002F2058"/>
    <w:rsid w:val="002F22BE"/>
    <w:rsid w:val="002F266C"/>
    <w:rsid w:val="002F2F88"/>
    <w:rsid w:val="002F3106"/>
    <w:rsid w:val="002F379F"/>
    <w:rsid w:val="002F3963"/>
    <w:rsid w:val="002F3B25"/>
    <w:rsid w:val="002F3CB7"/>
    <w:rsid w:val="002F4CD0"/>
    <w:rsid w:val="002F5BFB"/>
    <w:rsid w:val="002F5D57"/>
    <w:rsid w:val="002F657F"/>
    <w:rsid w:val="002F6BC4"/>
    <w:rsid w:val="002F6EDB"/>
    <w:rsid w:val="002F6EFB"/>
    <w:rsid w:val="002F713C"/>
    <w:rsid w:val="002F7347"/>
    <w:rsid w:val="002F73BC"/>
    <w:rsid w:val="002F7BDA"/>
    <w:rsid w:val="00300232"/>
    <w:rsid w:val="0030025D"/>
    <w:rsid w:val="00300470"/>
    <w:rsid w:val="00300CEE"/>
    <w:rsid w:val="00300CF1"/>
    <w:rsid w:val="003012A1"/>
    <w:rsid w:val="0030190A"/>
    <w:rsid w:val="00301AB8"/>
    <w:rsid w:val="00302224"/>
    <w:rsid w:val="003024A4"/>
    <w:rsid w:val="00302D06"/>
    <w:rsid w:val="00303C0C"/>
    <w:rsid w:val="00303D2E"/>
    <w:rsid w:val="003041F3"/>
    <w:rsid w:val="00304370"/>
    <w:rsid w:val="003049DF"/>
    <w:rsid w:val="00305098"/>
    <w:rsid w:val="003050DE"/>
    <w:rsid w:val="0030533B"/>
    <w:rsid w:val="003059EF"/>
    <w:rsid w:val="00305A22"/>
    <w:rsid w:val="00305DB6"/>
    <w:rsid w:val="003065DA"/>
    <w:rsid w:val="003066E3"/>
    <w:rsid w:val="00306A55"/>
    <w:rsid w:val="00306A90"/>
    <w:rsid w:val="00306C08"/>
    <w:rsid w:val="00306E03"/>
    <w:rsid w:val="003072A8"/>
    <w:rsid w:val="003077E3"/>
    <w:rsid w:val="00307C71"/>
    <w:rsid w:val="00307E05"/>
    <w:rsid w:val="003102BE"/>
    <w:rsid w:val="00310473"/>
    <w:rsid w:val="003108C9"/>
    <w:rsid w:val="00310F18"/>
    <w:rsid w:val="00311620"/>
    <w:rsid w:val="003116FA"/>
    <w:rsid w:val="0031174F"/>
    <w:rsid w:val="00311E66"/>
    <w:rsid w:val="003121A3"/>
    <w:rsid w:val="003122B5"/>
    <w:rsid w:val="00312A74"/>
    <w:rsid w:val="00312A84"/>
    <w:rsid w:val="00313463"/>
    <w:rsid w:val="00313564"/>
    <w:rsid w:val="00313770"/>
    <w:rsid w:val="00314195"/>
    <w:rsid w:val="003142A1"/>
    <w:rsid w:val="003144DB"/>
    <w:rsid w:val="00314997"/>
    <w:rsid w:val="00314E47"/>
    <w:rsid w:val="003153D6"/>
    <w:rsid w:val="00315961"/>
    <w:rsid w:val="00315B57"/>
    <w:rsid w:val="00315C95"/>
    <w:rsid w:val="00315F3E"/>
    <w:rsid w:val="00316004"/>
    <w:rsid w:val="00316752"/>
    <w:rsid w:val="003168C9"/>
    <w:rsid w:val="003175EB"/>
    <w:rsid w:val="003179BC"/>
    <w:rsid w:val="00317C05"/>
    <w:rsid w:val="00320037"/>
    <w:rsid w:val="00320390"/>
    <w:rsid w:val="003206EB"/>
    <w:rsid w:val="00320938"/>
    <w:rsid w:val="00320EE2"/>
    <w:rsid w:val="00320F20"/>
    <w:rsid w:val="00321093"/>
    <w:rsid w:val="003211C4"/>
    <w:rsid w:val="00321305"/>
    <w:rsid w:val="003213BD"/>
    <w:rsid w:val="003216B5"/>
    <w:rsid w:val="003219FF"/>
    <w:rsid w:val="00321BD3"/>
    <w:rsid w:val="00321BD8"/>
    <w:rsid w:val="00322129"/>
    <w:rsid w:val="00322802"/>
    <w:rsid w:val="00322826"/>
    <w:rsid w:val="00322997"/>
    <w:rsid w:val="003229D3"/>
    <w:rsid w:val="00322C29"/>
    <w:rsid w:val="003233C7"/>
    <w:rsid w:val="003233F8"/>
    <w:rsid w:val="003234C7"/>
    <w:rsid w:val="003236F4"/>
    <w:rsid w:val="00323CC4"/>
    <w:rsid w:val="00323EB1"/>
    <w:rsid w:val="00323EEC"/>
    <w:rsid w:val="00323FC7"/>
    <w:rsid w:val="003241C6"/>
    <w:rsid w:val="003243D2"/>
    <w:rsid w:val="003256AE"/>
    <w:rsid w:val="003256DE"/>
    <w:rsid w:val="0032587D"/>
    <w:rsid w:val="0032590B"/>
    <w:rsid w:val="00325A78"/>
    <w:rsid w:val="00325BC5"/>
    <w:rsid w:val="00325CE7"/>
    <w:rsid w:val="0032664B"/>
    <w:rsid w:val="00326784"/>
    <w:rsid w:val="003269D9"/>
    <w:rsid w:val="0032751A"/>
    <w:rsid w:val="00327DB0"/>
    <w:rsid w:val="00327E77"/>
    <w:rsid w:val="00327EAF"/>
    <w:rsid w:val="00327F22"/>
    <w:rsid w:val="0033010F"/>
    <w:rsid w:val="00330783"/>
    <w:rsid w:val="00330C86"/>
    <w:rsid w:val="00330C95"/>
    <w:rsid w:val="00330CE3"/>
    <w:rsid w:val="00330D3F"/>
    <w:rsid w:val="00330F40"/>
    <w:rsid w:val="003312AF"/>
    <w:rsid w:val="00331321"/>
    <w:rsid w:val="003316F6"/>
    <w:rsid w:val="00331810"/>
    <w:rsid w:val="00331AB3"/>
    <w:rsid w:val="00332645"/>
    <w:rsid w:val="003327FB"/>
    <w:rsid w:val="003329FC"/>
    <w:rsid w:val="0033305C"/>
    <w:rsid w:val="003331AE"/>
    <w:rsid w:val="0033365E"/>
    <w:rsid w:val="003339A7"/>
    <w:rsid w:val="003339F8"/>
    <w:rsid w:val="0033423E"/>
    <w:rsid w:val="00334DD2"/>
    <w:rsid w:val="00334E4D"/>
    <w:rsid w:val="00334ECB"/>
    <w:rsid w:val="003351A6"/>
    <w:rsid w:val="003351BC"/>
    <w:rsid w:val="0033533F"/>
    <w:rsid w:val="003355A8"/>
    <w:rsid w:val="00335759"/>
    <w:rsid w:val="00335986"/>
    <w:rsid w:val="003359D1"/>
    <w:rsid w:val="0033604D"/>
    <w:rsid w:val="003361C7"/>
    <w:rsid w:val="003363FB"/>
    <w:rsid w:val="003364AD"/>
    <w:rsid w:val="00336603"/>
    <w:rsid w:val="0033671D"/>
    <w:rsid w:val="00336773"/>
    <w:rsid w:val="00336920"/>
    <w:rsid w:val="00336A0C"/>
    <w:rsid w:val="00336D90"/>
    <w:rsid w:val="00337097"/>
    <w:rsid w:val="00337441"/>
    <w:rsid w:val="00337580"/>
    <w:rsid w:val="00337D9C"/>
    <w:rsid w:val="00340254"/>
    <w:rsid w:val="00340399"/>
    <w:rsid w:val="00340405"/>
    <w:rsid w:val="00340CB7"/>
    <w:rsid w:val="00340FB5"/>
    <w:rsid w:val="00340FFD"/>
    <w:rsid w:val="003411C1"/>
    <w:rsid w:val="003413C5"/>
    <w:rsid w:val="00341818"/>
    <w:rsid w:val="00341A23"/>
    <w:rsid w:val="00341ADC"/>
    <w:rsid w:val="00342505"/>
    <w:rsid w:val="00342B4E"/>
    <w:rsid w:val="0034376D"/>
    <w:rsid w:val="00343A22"/>
    <w:rsid w:val="00343AE8"/>
    <w:rsid w:val="00343C1B"/>
    <w:rsid w:val="00343FE7"/>
    <w:rsid w:val="00344341"/>
    <w:rsid w:val="00344415"/>
    <w:rsid w:val="0034477F"/>
    <w:rsid w:val="00345501"/>
    <w:rsid w:val="00345738"/>
    <w:rsid w:val="0034599E"/>
    <w:rsid w:val="00345D31"/>
    <w:rsid w:val="00345E81"/>
    <w:rsid w:val="003464D4"/>
    <w:rsid w:val="0034686C"/>
    <w:rsid w:val="00346C2E"/>
    <w:rsid w:val="00346E1A"/>
    <w:rsid w:val="00347075"/>
    <w:rsid w:val="00347274"/>
    <w:rsid w:val="0034729C"/>
    <w:rsid w:val="00347439"/>
    <w:rsid w:val="00347451"/>
    <w:rsid w:val="0034753D"/>
    <w:rsid w:val="00347742"/>
    <w:rsid w:val="00347BD6"/>
    <w:rsid w:val="00347FA1"/>
    <w:rsid w:val="0035015C"/>
    <w:rsid w:val="0035028E"/>
    <w:rsid w:val="00350845"/>
    <w:rsid w:val="00350A9F"/>
    <w:rsid w:val="00350C5F"/>
    <w:rsid w:val="00350DBE"/>
    <w:rsid w:val="00350EF5"/>
    <w:rsid w:val="00350F7F"/>
    <w:rsid w:val="0035122A"/>
    <w:rsid w:val="00351878"/>
    <w:rsid w:val="003518D8"/>
    <w:rsid w:val="00351B56"/>
    <w:rsid w:val="00352418"/>
    <w:rsid w:val="00352645"/>
    <w:rsid w:val="00352899"/>
    <w:rsid w:val="00353444"/>
    <w:rsid w:val="003537C0"/>
    <w:rsid w:val="003537EF"/>
    <w:rsid w:val="00353D37"/>
    <w:rsid w:val="00353EE7"/>
    <w:rsid w:val="003543DC"/>
    <w:rsid w:val="00354951"/>
    <w:rsid w:val="00354C84"/>
    <w:rsid w:val="00354EC2"/>
    <w:rsid w:val="003552D3"/>
    <w:rsid w:val="00355358"/>
    <w:rsid w:val="003557C8"/>
    <w:rsid w:val="0035606C"/>
    <w:rsid w:val="003562BA"/>
    <w:rsid w:val="003564BE"/>
    <w:rsid w:val="0035668A"/>
    <w:rsid w:val="00356779"/>
    <w:rsid w:val="003569DA"/>
    <w:rsid w:val="003571A4"/>
    <w:rsid w:val="003571DE"/>
    <w:rsid w:val="00357431"/>
    <w:rsid w:val="003577BF"/>
    <w:rsid w:val="00357833"/>
    <w:rsid w:val="00357CE3"/>
    <w:rsid w:val="00357F14"/>
    <w:rsid w:val="003602BD"/>
    <w:rsid w:val="003603B6"/>
    <w:rsid w:val="00360511"/>
    <w:rsid w:val="003605AC"/>
    <w:rsid w:val="00360C1C"/>
    <w:rsid w:val="00360CE6"/>
    <w:rsid w:val="003613DC"/>
    <w:rsid w:val="003614E2"/>
    <w:rsid w:val="0036169E"/>
    <w:rsid w:val="00361A83"/>
    <w:rsid w:val="00361B72"/>
    <w:rsid w:val="00362000"/>
    <w:rsid w:val="003628EB"/>
    <w:rsid w:val="00362DCE"/>
    <w:rsid w:val="00362E65"/>
    <w:rsid w:val="00362E7A"/>
    <w:rsid w:val="00362F78"/>
    <w:rsid w:val="00363501"/>
    <w:rsid w:val="003635FD"/>
    <w:rsid w:val="00363937"/>
    <w:rsid w:val="00363DE3"/>
    <w:rsid w:val="003642A6"/>
    <w:rsid w:val="00364319"/>
    <w:rsid w:val="003645D0"/>
    <w:rsid w:val="00364B16"/>
    <w:rsid w:val="00364C69"/>
    <w:rsid w:val="00364EED"/>
    <w:rsid w:val="00364FE3"/>
    <w:rsid w:val="00365016"/>
    <w:rsid w:val="00365152"/>
    <w:rsid w:val="00365474"/>
    <w:rsid w:val="0036581C"/>
    <w:rsid w:val="00365B1E"/>
    <w:rsid w:val="00365DC1"/>
    <w:rsid w:val="003661D8"/>
    <w:rsid w:val="003661E7"/>
    <w:rsid w:val="0036669F"/>
    <w:rsid w:val="00366B1F"/>
    <w:rsid w:val="00366C3E"/>
    <w:rsid w:val="00367256"/>
    <w:rsid w:val="003672EE"/>
    <w:rsid w:val="00367594"/>
    <w:rsid w:val="003675A4"/>
    <w:rsid w:val="00367C40"/>
    <w:rsid w:val="00367EFF"/>
    <w:rsid w:val="00367FB0"/>
    <w:rsid w:val="003700F0"/>
    <w:rsid w:val="003706BC"/>
    <w:rsid w:val="0037097E"/>
    <w:rsid w:val="00370BD8"/>
    <w:rsid w:val="00371221"/>
    <w:rsid w:val="00371654"/>
    <w:rsid w:val="003716B9"/>
    <w:rsid w:val="00371782"/>
    <w:rsid w:val="00372029"/>
    <w:rsid w:val="00372314"/>
    <w:rsid w:val="00372596"/>
    <w:rsid w:val="0037263C"/>
    <w:rsid w:val="00372677"/>
    <w:rsid w:val="00372AA6"/>
    <w:rsid w:val="003730D7"/>
    <w:rsid w:val="0037335A"/>
    <w:rsid w:val="00373484"/>
    <w:rsid w:val="003737AE"/>
    <w:rsid w:val="00373F60"/>
    <w:rsid w:val="003741A4"/>
    <w:rsid w:val="00374371"/>
    <w:rsid w:val="0037449E"/>
    <w:rsid w:val="00374A4F"/>
    <w:rsid w:val="00374D9E"/>
    <w:rsid w:val="003750E0"/>
    <w:rsid w:val="00375330"/>
    <w:rsid w:val="00375C1C"/>
    <w:rsid w:val="00375CE9"/>
    <w:rsid w:val="00375DBB"/>
    <w:rsid w:val="00375F10"/>
    <w:rsid w:val="00376088"/>
    <w:rsid w:val="0037618F"/>
    <w:rsid w:val="00376255"/>
    <w:rsid w:val="00376847"/>
    <w:rsid w:val="00376990"/>
    <w:rsid w:val="00376D4C"/>
    <w:rsid w:val="00376DA2"/>
    <w:rsid w:val="00377008"/>
    <w:rsid w:val="003770C2"/>
    <w:rsid w:val="00377816"/>
    <w:rsid w:val="00377B4D"/>
    <w:rsid w:val="00377F84"/>
    <w:rsid w:val="00380179"/>
    <w:rsid w:val="003801B1"/>
    <w:rsid w:val="00380202"/>
    <w:rsid w:val="00381004"/>
    <w:rsid w:val="003813A8"/>
    <w:rsid w:val="0038159D"/>
    <w:rsid w:val="003818B6"/>
    <w:rsid w:val="00381A77"/>
    <w:rsid w:val="00381C86"/>
    <w:rsid w:val="00381D9B"/>
    <w:rsid w:val="00381E4C"/>
    <w:rsid w:val="00382192"/>
    <w:rsid w:val="003825A2"/>
    <w:rsid w:val="003828F4"/>
    <w:rsid w:val="00382BC0"/>
    <w:rsid w:val="00382C34"/>
    <w:rsid w:val="00382DD3"/>
    <w:rsid w:val="00382F59"/>
    <w:rsid w:val="003836E2"/>
    <w:rsid w:val="00383E75"/>
    <w:rsid w:val="003840DC"/>
    <w:rsid w:val="003842A7"/>
    <w:rsid w:val="003844CF"/>
    <w:rsid w:val="00384C16"/>
    <w:rsid w:val="00384C43"/>
    <w:rsid w:val="00384D22"/>
    <w:rsid w:val="00384E03"/>
    <w:rsid w:val="0038535F"/>
    <w:rsid w:val="00385619"/>
    <w:rsid w:val="00385857"/>
    <w:rsid w:val="003858D4"/>
    <w:rsid w:val="00385AC6"/>
    <w:rsid w:val="00385AE9"/>
    <w:rsid w:val="00385BB5"/>
    <w:rsid w:val="00385EFE"/>
    <w:rsid w:val="00385F62"/>
    <w:rsid w:val="0038610A"/>
    <w:rsid w:val="00386597"/>
    <w:rsid w:val="00386C35"/>
    <w:rsid w:val="0038718E"/>
    <w:rsid w:val="003873C6"/>
    <w:rsid w:val="003874D4"/>
    <w:rsid w:val="003876F2"/>
    <w:rsid w:val="00387BB2"/>
    <w:rsid w:val="00387E90"/>
    <w:rsid w:val="00390379"/>
    <w:rsid w:val="00390534"/>
    <w:rsid w:val="00390580"/>
    <w:rsid w:val="00390EAA"/>
    <w:rsid w:val="003912B1"/>
    <w:rsid w:val="00391653"/>
    <w:rsid w:val="00391657"/>
    <w:rsid w:val="0039169D"/>
    <w:rsid w:val="003917D5"/>
    <w:rsid w:val="00391811"/>
    <w:rsid w:val="003918CA"/>
    <w:rsid w:val="00391997"/>
    <w:rsid w:val="00391B81"/>
    <w:rsid w:val="00391B82"/>
    <w:rsid w:val="00391F2E"/>
    <w:rsid w:val="0039201F"/>
    <w:rsid w:val="0039242A"/>
    <w:rsid w:val="00393036"/>
    <w:rsid w:val="0039309A"/>
    <w:rsid w:val="003935FD"/>
    <w:rsid w:val="0039388C"/>
    <w:rsid w:val="00393F12"/>
    <w:rsid w:val="00394068"/>
    <w:rsid w:val="003940B9"/>
    <w:rsid w:val="00394107"/>
    <w:rsid w:val="003945A9"/>
    <w:rsid w:val="00394828"/>
    <w:rsid w:val="00394E07"/>
    <w:rsid w:val="003950B8"/>
    <w:rsid w:val="00395645"/>
    <w:rsid w:val="0039569E"/>
    <w:rsid w:val="00395775"/>
    <w:rsid w:val="00395BF7"/>
    <w:rsid w:val="003962C9"/>
    <w:rsid w:val="00396957"/>
    <w:rsid w:val="00397220"/>
    <w:rsid w:val="003975F2"/>
    <w:rsid w:val="0039798D"/>
    <w:rsid w:val="00397ABB"/>
    <w:rsid w:val="00397EBD"/>
    <w:rsid w:val="00397F2A"/>
    <w:rsid w:val="003A0378"/>
    <w:rsid w:val="003A038F"/>
    <w:rsid w:val="003A06A0"/>
    <w:rsid w:val="003A0766"/>
    <w:rsid w:val="003A0793"/>
    <w:rsid w:val="003A07F5"/>
    <w:rsid w:val="003A0BA1"/>
    <w:rsid w:val="003A0C09"/>
    <w:rsid w:val="003A0E34"/>
    <w:rsid w:val="003A1095"/>
    <w:rsid w:val="003A18B6"/>
    <w:rsid w:val="003A1C73"/>
    <w:rsid w:val="003A1CAC"/>
    <w:rsid w:val="003A214D"/>
    <w:rsid w:val="003A224E"/>
    <w:rsid w:val="003A227D"/>
    <w:rsid w:val="003A229F"/>
    <w:rsid w:val="003A2A95"/>
    <w:rsid w:val="003A2B53"/>
    <w:rsid w:val="003A32F0"/>
    <w:rsid w:val="003A381C"/>
    <w:rsid w:val="003A3A09"/>
    <w:rsid w:val="003A3D0D"/>
    <w:rsid w:val="003A415B"/>
    <w:rsid w:val="003A4884"/>
    <w:rsid w:val="003A4945"/>
    <w:rsid w:val="003A4A5D"/>
    <w:rsid w:val="003A4A8B"/>
    <w:rsid w:val="003A4EA5"/>
    <w:rsid w:val="003A52A6"/>
    <w:rsid w:val="003A52F7"/>
    <w:rsid w:val="003A554D"/>
    <w:rsid w:val="003A5947"/>
    <w:rsid w:val="003A5ABD"/>
    <w:rsid w:val="003A5D30"/>
    <w:rsid w:val="003A5D57"/>
    <w:rsid w:val="003A6C3D"/>
    <w:rsid w:val="003A6DB3"/>
    <w:rsid w:val="003A724B"/>
    <w:rsid w:val="003A7296"/>
    <w:rsid w:val="003A734C"/>
    <w:rsid w:val="003A763C"/>
    <w:rsid w:val="003A7A2D"/>
    <w:rsid w:val="003B0584"/>
    <w:rsid w:val="003B09AA"/>
    <w:rsid w:val="003B0A38"/>
    <w:rsid w:val="003B0CA5"/>
    <w:rsid w:val="003B18B3"/>
    <w:rsid w:val="003B2058"/>
    <w:rsid w:val="003B20F4"/>
    <w:rsid w:val="003B262B"/>
    <w:rsid w:val="003B2DF4"/>
    <w:rsid w:val="003B2EAA"/>
    <w:rsid w:val="003B30EB"/>
    <w:rsid w:val="003B33AE"/>
    <w:rsid w:val="003B33DC"/>
    <w:rsid w:val="003B359D"/>
    <w:rsid w:val="003B40FE"/>
    <w:rsid w:val="003B4710"/>
    <w:rsid w:val="003B471A"/>
    <w:rsid w:val="003B47C1"/>
    <w:rsid w:val="003B49A7"/>
    <w:rsid w:val="003B4A39"/>
    <w:rsid w:val="003B5C6D"/>
    <w:rsid w:val="003B5E88"/>
    <w:rsid w:val="003B673E"/>
    <w:rsid w:val="003B6A91"/>
    <w:rsid w:val="003B6FA6"/>
    <w:rsid w:val="003B70A5"/>
    <w:rsid w:val="003B74B6"/>
    <w:rsid w:val="003B7870"/>
    <w:rsid w:val="003B7962"/>
    <w:rsid w:val="003B7C9A"/>
    <w:rsid w:val="003B7E9C"/>
    <w:rsid w:val="003C05EB"/>
    <w:rsid w:val="003C06DF"/>
    <w:rsid w:val="003C09F2"/>
    <w:rsid w:val="003C0C0C"/>
    <w:rsid w:val="003C0C57"/>
    <w:rsid w:val="003C0EE5"/>
    <w:rsid w:val="003C10CA"/>
    <w:rsid w:val="003C1191"/>
    <w:rsid w:val="003C12FD"/>
    <w:rsid w:val="003C1663"/>
    <w:rsid w:val="003C1921"/>
    <w:rsid w:val="003C1976"/>
    <w:rsid w:val="003C1A1E"/>
    <w:rsid w:val="003C1FD2"/>
    <w:rsid w:val="003C21FC"/>
    <w:rsid w:val="003C2787"/>
    <w:rsid w:val="003C2872"/>
    <w:rsid w:val="003C2AD5"/>
    <w:rsid w:val="003C2BC2"/>
    <w:rsid w:val="003C2C3E"/>
    <w:rsid w:val="003C2F3A"/>
    <w:rsid w:val="003C41EC"/>
    <w:rsid w:val="003C4206"/>
    <w:rsid w:val="003C458F"/>
    <w:rsid w:val="003C4726"/>
    <w:rsid w:val="003C47F8"/>
    <w:rsid w:val="003C4A2B"/>
    <w:rsid w:val="003C4A5D"/>
    <w:rsid w:val="003C4C42"/>
    <w:rsid w:val="003C510C"/>
    <w:rsid w:val="003C53C1"/>
    <w:rsid w:val="003C5795"/>
    <w:rsid w:val="003C58A0"/>
    <w:rsid w:val="003C5942"/>
    <w:rsid w:val="003C5AF8"/>
    <w:rsid w:val="003C5B99"/>
    <w:rsid w:val="003C6889"/>
    <w:rsid w:val="003C6C0D"/>
    <w:rsid w:val="003C6C5C"/>
    <w:rsid w:val="003C6CE9"/>
    <w:rsid w:val="003C6E90"/>
    <w:rsid w:val="003C71FF"/>
    <w:rsid w:val="003C748E"/>
    <w:rsid w:val="003C74F8"/>
    <w:rsid w:val="003C7779"/>
    <w:rsid w:val="003C778A"/>
    <w:rsid w:val="003C79E9"/>
    <w:rsid w:val="003D017B"/>
    <w:rsid w:val="003D0222"/>
    <w:rsid w:val="003D0490"/>
    <w:rsid w:val="003D077D"/>
    <w:rsid w:val="003D0A5D"/>
    <w:rsid w:val="003D0C08"/>
    <w:rsid w:val="003D0C55"/>
    <w:rsid w:val="003D0F89"/>
    <w:rsid w:val="003D1550"/>
    <w:rsid w:val="003D1A9A"/>
    <w:rsid w:val="003D1D17"/>
    <w:rsid w:val="003D21E0"/>
    <w:rsid w:val="003D2443"/>
    <w:rsid w:val="003D2493"/>
    <w:rsid w:val="003D272A"/>
    <w:rsid w:val="003D2877"/>
    <w:rsid w:val="003D2B3E"/>
    <w:rsid w:val="003D2B6E"/>
    <w:rsid w:val="003D341D"/>
    <w:rsid w:val="003D3B54"/>
    <w:rsid w:val="003D4137"/>
    <w:rsid w:val="003D4EB8"/>
    <w:rsid w:val="003D5062"/>
    <w:rsid w:val="003D506F"/>
    <w:rsid w:val="003D5245"/>
    <w:rsid w:val="003D5916"/>
    <w:rsid w:val="003D5A5C"/>
    <w:rsid w:val="003D5A74"/>
    <w:rsid w:val="003D5DE5"/>
    <w:rsid w:val="003D62C2"/>
    <w:rsid w:val="003D62EC"/>
    <w:rsid w:val="003D6364"/>
    <w:rsid w:val="003D672F"/>
    <w:rsid w:val="003D6F49"/>
    <w:rsid w:val="003D7657"/>
    <w:rsid w:val="003D7C8E"/>
    <w:rsid w:val="003D7D36"/>
    <w:rsid w:val="003E009C"/>
    <w:rsid w:val="003E02DE"/>
    <w:rsid w:val="003E07A3"/>
    <w:rsid w:val="003E0852"/>
    <w:rsid w:val="003E0CD9"/>
    <w:rsid w:val="003E0EC4"/>
    <w:rsid w:val="003E162B"/>
    <w:rsid w:val="003E1D70"/>
    <w:rsid w:val="003E1DF8"/>
    <w:rsid w:val="003E2116"/>
    <w:rsid w:val="003E24A5"/>
    <w:rsid w:val="003E2520"/>
    <w:rsid w:val="003E289C"/>
    <w:rsid w:val="003E28AA"/>
    <w:rsid w:val="003E28C4"/>
    <w:rsid w:val="003E298B"/>
    <w:rsid w:val="003E2F04"/>
    <w:rsid w:val="003E301C"/>
    <w:rsid w:val="003E3059"/>
    <w:rsid w:val="003E3108"/>
    <w:rsid w:val="003E347E"/>
    <w:rsid w:val="003E3607"/>
    <w:rsid w:val="003E371B"/>
    <w:rsid w:val="003E3722"/>
    <w:rsid w:val="003E3B4F"/>
    <w:rsid w:val="003E3DD5"/>
    <w:rsid w:val="003E40D9"/>
    <w:rsid w:val="003E42EE"/>
    <w:rsid w:val="003E4328"/>
    <w:rsid w:val="003E5DC7"/>
    <w:rsid w:val="003E65AC"/>
    <w:rsid w:val="003E6763"/>
    <w:rsid w:val="003E685F"/>
    <w:rsid w:val="003E7907"/>
    <w:rsid w:val="003E7A88"/>
    <w:rsid w:val="003E7A8D"/>
    <w:rsid w:val="003E7AB1"/>
    <w:rsid w:val="003E7F93"/>
    <w:rsid w:val="003F00C0"/>
    <w:rsid w:val="003F08E3"/>
    <w:rsid w:val="003F0A8F"/>
    <w:rsid w:val="003F1422"/>
    <w:rsid w:val="003F18BA"/>
    <w:rsid w:val="003F18C3"/>
    <w:rsid w:val="003F1AD3"/>
    <w:rsid w:val="003F2060"/>
    <w:rsid w:val="003F209E"/>
    <w:rsid w:val="003F28F2"/>
    <w:rsid w:val="003F2A1D"/>
    <w:rsid w:val="003F2C6A"/>
    <w:rsid w:val="003F2CA2"/>
    <w:rsid w:val="003F3249"/>
    <w:rsid w:val="003F36A8"/>
    <w:rsid w:val="003F37DE"/>
    <w:rsid w:val="003F39E2"/>
    <w:rsid w:val="003F39F2"/>
    <w:rsid w:val="003F3C7B"/>
    <w:rsid w:val="003F459D"/>
    <w:rsid w:val="003F45C4"/>
    <w:rsid w:val="003F4669"/>
    <w:rsid w:val="003F4783"/>
    <w:rsid w:val="003F49DC"/>
    <w:rsid w:val="003F5067"/>
    <w:rsid w:val="003F5607"/>
    <w:rsid w:val="003F56D3"/>
    <w:rsid w:val="003F56F7"/>
    <w:rsid w:val="003F57E4"/>
    <w:rsid w:val="003F587C"/>
    <w:rsid w:val="003F63AF"/>
    <w:rsid w:val="003F64B1"/>
    <w:rsid w:val="003F64D3"/>
    <w:rsid w:val="003F69D1"/>
    <w:rsid w:val="003F6AA8"/>
    <w:rsid w:val="003F6CA7"/>
    <w:rsid w:val="003F6CA9"/>
    <w:rsid w:val="003F7234"/>
    <w:rsid w:val="003F7564"/>
    <w:rsid w:val="003F7791"/>
    <w:rsid w:val="003F7E3B"/>
    <w:rsid w:val="003F7F45"/>
    <w:rsid w:val="004000B4"/>
    <w:rsid w:val="00400DDC"/>
    <w:rsid w:val="00400F17"/>
    <w:rsid w:val="0040176B"/>
    <w:rsid w:val="004018F0"/>
    <w:rsid w:val="00402096"/>
    <w:rsid w:val="00402926"/>
    <w:rsid w:val="00402B13"/>
    <w:rsid w:val="00403196"/>
    <w:rsid w:val="004032A0"/>
    <w:rsid w:val="00403562"/>
    <w:rsid w:val="004039A4"/>
    <w:rsid w:val="00403A31"/>
    <w:rsid w:val="00403BBF"/>
    <w:rsid w:val="00403D57"/>
    <w:rsid w:val="00403F1B"/>
    <w:rsid w:val="00403FDD"/>
    <w:rsid w:val="004042C7"/>
    <w:rsid w:val="00404496"/>
    <w:rsid w:val="004047D2"/>
    <w:rsid w:val="004048DF"/>
    <w:rsid w:val="00404D98"/>
    <w:rsid w:val="00404EDE"/>
    <w:rsid w:val="0040500A"/>
    <w:rsid w:val="0040529F"/>
    <w:rsid w:val="0040537E"/>
    <w:rsid w:val="00405575"/>
    <w:rsid w:val="0040574A"/>
    <w:rsid w:val="004057D3"/>
    <w:rsid w:val="00406145"/>
    <w:rsid w:val="00406290"/>
    <w:rsid w:val="00406395"/>
    <w:rsid w:val="00406906"/>
    <w:rsid w:val="00406EA7"/>
    <w:rsid w:val="0040776E"/>
    <w:rsid w:val="00407817"/>
    <w:rsid w:val="00407EAF"/>
    <w:rsid w:val="00407F2A"/>
    <w:rsid w:val="00407F3D"/>
    <w:rsid w:val="00407FA7"/>
    <w:rsid w:val="00410345"/>
    <w:rsid w:val="00410709"/>
    <w:rsid w:val="00410DA0"/>
    <w:rsid w:val="0041119E"/>
    <w:rsid w:val="004111FB"/>
    <w:rsid w:val="00411326"/>
    <w:rsid w:val="004116BB"/>
    <w:rsid w:val="0041193A"/>
    <w:rsid w:val="00411BBB"/>
    <w:rsid w:val="00411CAB"/>
    <w:rsid w:val="00411D25"/>
    <w:rsid w:val="00411EB4"/>
    <w:rsid w:val="00412620"/>
    <w:rsid w:val="00412FA3"/>
    <w:rsid w:val="00413053"/>
    <w:rsid w:val="00413442"/>
    <w:rsid w:val="00413B96"/>
    <w:rsid w:val="00413EC0"/>
    <w:rsid w:val="0041429E"/>
    <w:rsid w:val="0041497A"/>
    <w:rsid w:val="00414A20"/>
    <w:rsid w:val="00414C2F"/>
    <w:rsid w:val="0041500C"/>
    <w:rsid w:val="004150E1"/>
    <w:rsid w:val="004152C4"/>
    <w:rsid w:val="0041547B"/>
    <w:rsid w:val="00415984"/>
    <w:rsid w:val="00416120"/>
    <w:rsid w:val="0041622D"/>
    <w:rsid w:val="00416359"/>
    <w:rsid w:val="00416B99"/>
    <w:rsid w:val="00416E75"/>
    <w:rsid w:val="0041732D"/>
    <w:rsid w:val="00417705"/>
    <w:rsid w:val="00417CD4"/>
    <w:rsid w:val="00417E85"/>
    <w:rsid w:val="0042044A"/>
    <w:rsid w:val="00420975"/>
    <w:rsid w:val="00420D31"/>
    <w:rsid w:val="00420E05"/>
    <w:rsid w:val="004211BC"/>
    <w:rsid w:val="004214B8"/>
    <w:rsid w:val="0042193C"/>
    <w:rsid w:val="00421F58"/>
    <w:rsid w:val="00422201"/>
    <w:rsid w:val="00422736"/>
    <w:rsid w:val="004227ED"/>
    <w:rsid w:val="00422A3D"/>
    <w:rsid w:val="004232B2"/>
    <w:rsid w:val="0042391D"/>
    <w:rsid w:val="00423AC9"/>
    <w:rsid w:val="00423BFB"/>
    <w:rsid w:val="00423E0F"/>
    <w:rsid w:val="00424254"/>
    <w:rsid w:val="0042438D"/>
    <w:rsid w:val="00424404"/>
    <w:rsid w:val="0042450F"/>
    <w:rsid w:val="00424532"/>
    <w:rsid w:val="00424703"/>
    <w:rsid w:val="00425CBD"/>
    <w:rsid w:val="004267F4"/>
    <w:rsid w:val="00426847"/>
    <w:rsid w:val="00426952"/>
    <w:rsid w:val="00426A65"/>
    <w:rsid w:val="00426E2C"/>
    <w:rsid w:val="004272DB"/>
    <w:rsid w:val="00427A0D"/>
    <w:rsid w:val="00427AE5"/>
    <w:rsid w:val="0043008F"/>
    <w:rsid w:val="004302A3"/>
    <w:rsid w:val="004304DC"/>
    <w:rsid w:val="004304DE"/>
    <w:rsid w:val="0043112A"/>
    <w:rsid w:val="00431158"/>
    <w:rsid w:val="0043133F"/>
    <w:rsid w:val="0043172C"/>
    <w:rsid w:val="00431B47"/>
    <w:rsid w:val="00431B77"/>
    <w:rsid w:val="00431DF1"/>
    <w:rsid w:val="00431E52"/>
    <w:rsid w:val="004324B0"/>
    <w:rsid w:val="00432560"/>
    <w:rsid w:val="0043272D"/>
    <w:rsid w:val="0043276F"/>
    <w:rsid w:val="00432789"/>
    <w:rsid w:val="0043329D"/>
    <w:rsid w:val="00433CFF"/>
    <w:rsid w:val="00434976"/>
    <w:rsid w:val="00434D94"/>
    <w:rsid w:val="00434DD9"/>
    <w:rsid w:val="00434ED2"/>
    <w:rsid w:val="00435160"/>
    <w:rsid w:val="0043557E"/>
    <w:rsid w:val="00435676"/>
    <w:rsid w:val="004356F6"/>
    <w:rsid w:val="004357A9"/>
    <w:rsid w:val="00435CC8"/>
    <w:rsid w:val="00435D64"/>
    <w:rsid w:val="004365E6"/>
    <w:rsid w:val="004365EB"/>
    <w:rsid w:val="0043663F"/>
    <w:rsid w:val="00436716"/>
    <w:rsid w:val="00436887"/>
    <w:rsid w:val="004368F7"/>
    <w:rsid w:val="00436A91"/>
    <w:rsid w:val="00436D68"/>
    <w:rsid w:val="004371D2"/>
    <w:rsid w:val="00437765"/>
    <w:rsid w:val="00437997"/>
    <w:rsid w:val="00437C15"/>
    <w:rsid w:val="00437C8E"/>
    <w:rsid w:val="004405AE"/>
    <w:rsid w:val="004410BB"/>
    <w:rsid w:val="004410FD"/>
    <w:rsid w:val="0044117F"/>
    <w:rsid w:val="004411CB"/>
    <w:rsid w:val="00441287"/>
    <w:rsid w:val="00441400"/>
    <w:rsid w:val="004414FB"/>
    <w:rsid w:val="00441BA9"/>
    <w:rsid w:val="00441F8A"/>
    <w:rsid w:val="004420BF"/>
    <w:rsid w:val="00442191"/>
    <w:rsid w:val="0044243F"/>
    <w:rsid w:val="0044244D"/>
    <w:rsid w:val="0044269B"/>
    <w:rsid w:val="00442806"/>
    <w:rsid w:val="004428C9"/>
    <w:rsid w:val="00442A38"/>
    <w:rsid w:val="00443409"/>
    <w:rsid w:val="0044370C"/>
    <w:rsid w:val="0044373A"/>
    <w:rsid w:val="004439CF"/>
    <w:rsid w:val="00443B52"/>
    <w:rsid w:val="00443D9D"/>
    <w:rsid w:val="00444408"/>
    <w:rsid w:val="00444690"/>
    <w:rsid w:val="00444C84"/>
    <w:rsid w:val="004450F6"/>
    <w:rsid w:val="00445183"/>
    <w:rsid w:val="00445188"/>
    <w:rsid w:val="004455E1"/>
    <w:rsid w:val="00445751"/>
    <w:rsid w:val="00445BCE"/>
    <w:rsid w:val="00445CF9"/>
    <w:rsid w:val="00445D7B"/>
    <w:rsid w:val="0044623F"/>
    <w:rsid w:val="004467FA"/>
    <w:rsid w:val="0044728F"/>
    <w:rsid w:val="004474A1"/>
    <w:rsid w:val="004478E9"/>
    <w:rsid w:val="00447945"/>
    <w:rsid w:val="00447CCA"/>
    <w:rsid w:val="00447CEF"/>
    <w:rsid w:val="00450380"/>
    <w:rsid w:val="00450390"/>
    <w:rsid w:val="00450599"/>
    <w:rsid w:val="0045095B"/>
    <w:rsid w:val="004509BF"/>
    <w:rsid w:val="0045182D"/>
    <w:rsid w:val="00451EC4"/>
    <w:rsid w:val="00451EEA"/>
    <w:rsid w:val="004522AF"/>
    <w:rsid w:val="004523D1"/>
    <w:rsid w:val="004526D0"/>
    <w:rsid w:val="004526DB"/>
    <w:rsid w:val="004526F3"/>
    <w:rsid w:val="00452792"/>
    <w:rsid w:val="004532EC"/>
    <w:rsid w:val="0045353A"/>
    <w:rsid w:val="00453770"/>
    <w:rsid w:val="004538D7"/>
    <w:rsid w:val="00453957"/>
    <w:rsid w:val="00453DD4"/>
    <w:rsid w:val="0045467D"/>
    <w:rsid w:val="00454909"/>
    <w:rsid w:val="00454E6D"/>
    <w:rsid w:val="00454E7A"/>
    <w:rsid w:val="00454F25"/>
    <w:rsid w:val="00455193"/>
    <w:rsid w:val="004557B3"/>
    <w:rsid w:val="00455D9B"/>
    <w:rsid w:val="00455E50"/>
    <w:rsid w:val="0045608F"/>
    <w:rsid w:val="00456360"/>
    <w:rsid w:val="00457A00"/>
    <w:rsid w:val="00457EEB"/>
    <w:rsid w:val="00457FC6"/>
    <w:rsid w:val="004602DE"/>
    <w:rsid w:val="0046031C"/>
    <w:rsid w:val="00460492"/>
    <w:rsid w:val="00460C05"/>
    <w:rsid w:val="00460F84"/>
    <w:rsid w:val="004613D5"/>
    <w:rsid w:val="00461BA4"/>
    <w:rsid w:val="00462032"/>
    <w:rsid w:val="00462082"/>
    <w:rsid w:val="0046219F"/>
    <w:rsid w:val="00462370"/>
    <w:rsid w:val="004627DD"/>
    <w:rsid w:val="00462D29"/>
    <w:rsid w:val="004632B1"/>
    <w:rsid w:val="004633A2"/>
    <w:rsid w:val="004638FC"/>
    <w:rsid w:val="00463CD9"/>
    <w:rsid w:val="00463D58"/>
    <w:rsid w:val="00464478"/>
    <w:rsid w:val="004650C8"/>
    <w:rsid w:val="004651C6"/>
    <w:rsid w:val="00465281"/>
    <w:rsid w:val="0046533A"/>
    <w:rsid w:val="00465D7B"/>
    <w:rsid w:val="00465E42"/>
    <w:rsid w:val="00466295"/>
    <w:rsid w:val="004663CF"/>
    <w:rsid w:val="004664BD"/>
    <w:rsid w:val="00466976"/>
    <w:rsid w:val="00466C7B"/>
    <w:rsid w:val="00467628"/>
    <w:rsid w:val="00467956"/>
    <w:rsid w:val="00467B44"/>
    <w:rsid w:val="00467BD1"/>
    <w:rsid w:val="00467FE6"/>
    <w:rsid w:val="00470161"/>
    <w:rsid w:val="004704AD"/>
    <w:rsid w:val="004704AF"/>
    <w:rsid w:val="0047069A"/>
    <w:rsid w:val="0047070B"/>
    <w:rsid w:val="00470E7C"/>
    <w:rsid w:val="00470EEC"/>
    <w:rsid w:val="004710B8"/>
    <w:rsid w:val="0047164C"/>
    <w:rsid w:val="00472273"/>
    <w:rsid w:val="004724FD"/>
    <w:rsid w:val="00472A19"/>
    <w:rsid w:val="00472E53"/>
    <w:rsid w:val="00472F5B"/>
    <w:rsid w:val="00473082"/>
    <w:rsid w:val="00473276"/>
    <w:rsid w:val="00473ACC"/>
    <w:rsid w:val="00473AF8"/>
    <w:rsid w:val="00473BB0"/>
    <w:rsid w:val="00473BC2"/>
    <w:rsid w:val="00473D80"/>
    <w:rsid w:val="00473EB0"/>
    <w:rsid w:val="0047401E"/>
    <w:rsid w:val="004741E9"/>
    <w:rsid w:val="00474511"/>
    <w:rsid w:val="004746B4"/>
    <w:rsid w:val="0047498B"/>
    <w:rsid w:val="004750C2"/>
    <w:rsid w:val="004755AD"/>
    <w:rsid w:val="00475B59"/>
    <w:rsid w:val="0047603A"/>
    <w:rsid w:val="00476153"/>
    <w:rsid w:val="004767A6"/>
    <w:rsid w:val="00476A61"/>
    <w:rsid w:val="00476B9B"/>
    <w:rsid w:val="00476C58"/>
    <w:rsid w:val="00477140"/>
    <w:rsid w:val="00477223"/>
    <w:rsid w:val="004775B6"/>
    <w:rsid w:val="00477E7B"/>
    <w:rsid w:val="00480215"/>
    <w:rsid w:val="004808BC"/>
    <w:rsid w:val="00480DB6"/>
    <w:rsid w:val="0048140E"/>
    <w:rsid w:val="00481CDE"/>
    <w:rsid w:val="00482047"/>
    <w:rsid w:val="00482065"/>
    <w:rsid w:val="004820EC"/>
    <w:rsid w:val="004820F6"/>
    <w:rsid w:val="004826A4"/>
    <w:rsid w:val="0048273F"/>
    <w:rsid w:val="00482C53"/>
    <w:rsid w:val="00482E27"/>
    <w:rsid w:val="004830DE"/>
    <w:rsid w:val="00483180"/>
    <w:rsid w:val="00483283"/>
    <w:rsid w:val="00483830"/>
    <w:rsid w:val="004838A8"/>
    <w:rsid w:val="00483977"/>
    <w:rsid w:val="00483B4B"/>
    <w:rsid w:val="00483C02"/>
    <w:rsid w:val="00483E6B"/>
    <w:rsid w:val="00484235"/>
    <w:rsid w:val="00484388"/>
    <w:rsid w:val="004844BC"/>
    <w:rsid w:val="00484AB0"/>
    <w:rsid w:val="00484BA8"/>
    <w:rsid w:val="00484BCD"/>
    <w:rsid w:val="00484F0D"/>
    <w:rsid w:val="00484FF7"/>
    <w:rsid w:val="004855E4"/>
    <w:rsid w:val="00485838"/>
    <w:rsid w:val="00485A42"/>
    <w:rsid w:val="00485D1D"/>
    <w:rsid w:val="00485F20"/>
    <w:rsid w:val="0048642D"/>
    <w:rsid w:val="00486435"/>
    <w:rsid w:val="004864F3"/>
    <w:rsid w:val="0048669E"/>
    <w:rsid w:val="00486923"/>
    <w:rsid w:val="00486A08"/>
    <w:rsid w:val="00486B83"/>
    <w:rsid w:val="00486EDB"/>
    <w:rsid w:val="00487258"/>
    <w:rsid w:val="004875EC"/>
    <w:rsid w:val="004877B7"/>
    <w:rsid w:val="0048788F"/>
    <w:rsid w:val="00487E1F"/>
    <w:rsid w:val="00490250"/>
    <w:rsid w:val="00490265"/>
    <w:rsid w:val="0049028D"/>
    <w:rsid w:val="00490A33"/>
    <w:rsid w:val="00490BFB"/>
    <w:rsid w:val="00490C61"/>
    <w:rsid w:val="00490D2A"/>
    <w:rsid w:val="00491807"/>
    <w:rsid w:val="00491B8D"/>
    <w:rsid w:val="004920E8"/>
    <w:rsid w:val="00492782"/>
    <w:rsid w:val="004928EF"/>
    <w:rsid w:val="00492E94"/>
    <w:rsid w:val="0049314E"/>
    <w:rsid w:val="0049332A"/>
    <w:rsid w:val="00493546"/>
    <w:rsid w:val="004936EC"/>
    <w:rsid w:val="00493700"/>
    <w:rsid w:val="00493A71"/>
    <w:rsid w:val="004942F2"/>
    <w:rsid w:val="00494671"/>
    <w:rsid w:val="004947FC"/>
    <w:rsid w:val="00494835"/>
    <w:rsid w:val="00494E8F"/>
    <w:rsid w:val="00495226"/>
    <w:rsid w:val="00495230"/>
    <w:rsid w:val="0049570F"/>
    <w:rsid w:val="00495734"/>
    <w:rsid w:val="0049576F"/>
    <w:rsid w:val="00495967"/>
    <w:rsid w:val="00496143"/>
    <w:rsid w:val="00496414"/>
    <w:rsid w:val="00497A05"/>
    <w:rsid w:val="00497E3F"/>
    <w:rsid w:val="00497F52"/>
    <w:rsid w:val="004A022F"/>
    <w:rsid w:val="004A03EC"/>
    <w:rsid w:val="004A08F8"/>
    <w:rsid w:val="004A0B30"/>
    <w:rsid w:val="004A0DD6"/>
    <w:rsid w:val="004A1157"/>
    <w:rsid w:val="004A1278"/>
    <w:rsid w:val="004A16BF"/>
    <w:rsid w:val="004A194A"/>
    <w:rsid w:val="004A1B66"/>
    <w:rsid w:val="004A1BA7"/>
    <w:rsid w:val="004A1C12"/>
    <w:rsid w:val="004A1FD6"/>
    <w:rsid w:val="004A21C0"/>
    <w:rsid w:val="004A224B"/>
    <w:rsid w:val="004A23A8"/>
    <w:rsid w:val="004A25AA"/>
    <w:rsid w:val="004A26CF"/>
    <w:rsid w:val="004A2A9F"/>
    <w:rsid w:val="004A2BAF"/>
    <w:rsid w:val="004A2C21"/>
    <w:rsid w:val="004A2D3C"/>
    <w:rsid w:val="004A2D79"/>
    <w:rsid w:val="004A3238"/>
    <w:rsid w:val="004A37EF"/>
    <w:rsid w:val="004A397F"/>
    <w:rsid w:val="004A40D8"/>
    <w:rsid w:val="004A41CC"/>
    <w:rsid w:val="004A4254"/>
    <w:rsid w:val="004A42FC"/>
    <w:rsid w:val="004A45DD"/>
    <w:rsid w:val="004A48E4"/>
    <w:rsid w:val="004A4CF4"/>
    <w:rsid w:val="004A4E9C"/>
    <w:rsid w:val="004A4FE9"/>
    <w:rsid w:val="004A5038"/>
    <w:rsid w:val="004A5225"/>
    <w:rsid w:val="004A52EB"/>
    <w:rsid w:val="004A54C1"/>
    <w:rsid w:val="004A55A4"/>
    <w:rsid w:val="004A5DC1"/>
    <w:rsid w:val="004A5FBB"/>
    <w:rsid w:val="004A63E5"/>
    <w:rsid w:val="004A66B4"/>
    <w:rsid w:val="004A6A57"/>
    <w:rsid w:val="004A6CBA"/>
    <w:rsid w:val="004A6E24"/>
    <w:rsid w:val="004A7490"/>
    <w:rsid w:val="004A75B3"/>
    <w:rsid w:val="004A796C"/>
    <w:rsid w:val="004A7A97"/>
    <w:rsid w:val="004A7C26"/>
    <w:rsid w:val="004B0529"/>
    <w:rsid w:val="004B0857"/>
    <w:rsid w:val="004B098C"/>
    <w:rsid w:val="004B11E8"/>
    <w:rsid w:val="004B136C"/>
    <w:rsid w:val="004B1509"/>
    <w:rsid w:val="004B1621"/>
    <w:rsid w:val="004B17AB"/>
    <w:rsid w:val="004B18C5"/>
    <w:rsid w:val="004B1B8C"/>
    <w:rsid w:val="004B1E7C"/>
    <w:rsid w:val="004B1F8C"/>
    <w:rsid w:val="004B207A"/>
    <w:rsid w:val="004B211D"/>
    <w:rsid w:val="004B2376"/>
    <w:rsid w:val="004B25DD"/>
    <w:rsid w:val="004B2E12"/>
    <w:rsid w:val="004B2E29"/>
    <w:rsid w:val="004B3782"/>
    <w:rsid w:val="004B3860"/>
    <w:rsid w:val="004B3EE8"/>
    <w:rsid w:val="004B447C"/>
    <w:rsid w:val="004B4663"/>
    <w:rsid w:val="004B4AFF"/>
    <w:rsid w:val="004B4C29"/>
    <w:rsid w:val="004B4D83"/>
    <w:rsid w:val="004B4F8C"/>
    <w:rsid w:val="004B51BA"/>
    <w:rsid w:val="004B5320"/>
    <w:rsid w:val="004B56F8"/>
    <w:rsid w:val="004B5BF1"/>
    <w:rsid w:val="004B5C89"/>
    <w:rsid w:val="004B6119"/>
    <w:rsid w:val="004B62F1"/>
    <w:rsid w:val="004B6739"/>
    <w:rsid w:val="004B6F99"/>
    <w:rsid w:val="004B77C3"/>
    <w:rsid w:val="004C0184"/>
    <w:rsid w:val="004C021A"/>
    <w:rsid w:val="004C0794"/>
    <w:rsid w:val="004C096C"/>
    <w:rsid w:val="004C0B04"/>
    <w:rsid w:val="004C0B5E"/>
    <w:rsid w:val="004C0B87"/>
    <w:rsid w:val="004C0D3A"/>
    <w:rsid w:val="004C0D44"/>
    <w:rsid w:val="004C0FB8"/>
    <w:rsid w:val="004C1388"/>
    <w:rsid w:val="004C1686"/>
    <w:rsid w:val="004C17C8"/>
    <w:rsid w:val="004C1C10"/>
    <w:rsid w:val="004C23AC"/>
    <w:rsid w:val="004C23C5"/>
    <w:rsid w:val="004C23D0"/>
    <w:rsid w:val="004C2834"/>
    <w:rsid w:val="004C2A5B"/>
    <w:rsid w:val="004C2A81"/>
    <w:rsid w:val="004C2BAE"/>
    <w:rsid w:val="004C37EC"/>
    <w:rsid w:val="004C3EE5"/>
    <w:rsid w:val="004C3F7E"/>
    <w:rsid w:val="004C41FE"/>
    <w:rsid w:val="004C4240"/>
    <w:rsid w:val="004C4471"/>
    <w:rsid w:val="004C46F1"/>
    <w:rsid w:val="004C52DB"/>
    <w:rsid w:val="004C542E"/>
    <w:rsid w:val="004C5598"/>
    <w:rsid w:val="004C5B85"/>
    <w:rsid w:val="004C5D1E"/>
    <w:rsid w:val="004C5F63"/>
    <w:rsid w:val="004C61C3"/>
    <w:rsid w:val="004C638B"/>
    <w:rsid w:val="004C64C0"/>
    <w:rsid w:val="004C65B2"/>
    <w:rsid w:val="004C6B39"/>
    <w:rsid w:val="004C6D3E"/>
    <w:rsid w:val="004C6EAE"/>
    <w:rsid w:val="004C7033"/>
    <w:rsid w:val="004C7B0E"/>
    <w:rsid w:val="004C7E56"/>
    <w:rsid w:val="004C7F53"/>
    <w:rsid w:val="004D011F"/>
    <w:rsid w:val="004D0A01"/>
    <w:rsid w:val="004D0CA2"/>
    <w:rsid w:val="004D12D8"/>
    <w:rsid w:val="004D1410"/>
    <w:rsid w:val="004D145A"/>
    <w:rsid w:val="004D1A5C"/>
    <w:rsid w:val="004D1BAE"/>
    <w:rsid w:val="004D2469"/>
    <w:rsid w:val="004D24D9"/>
    <w:rsid w:val="004D2501"/>
    <w:rsid w:val="004D2507"/>
    <w:rsid w:val="004D2E34"/>
    <w:rsid w:val="004D3A9D"/>
    <w:rsid w:val="004D40D1"/>
    <w:rsid w:val="004D49C5"/>
    <w:rsid w:val="004D4B63"/>
    <w:rsid w:val="004D4CF3"/>
    <w:rsid w:val="004D5037"/>
    <w:rsid w:val="004D50B4"/>
    <w:rsid w:val="004D51F6"/>
    <w:rsid w:val="004D5286"/>
    <w:rsid w:val="004D5981"/>
    <w:rsid w:val="004D5C75"/>
    <w:rsid w:val="004D5F67"/>
    <w:rsid w:val="004D649A"/>
    <w:rsid w:val="004D653D"/>
    <w:rsid w:val="004D68B1"/>
    <w:rsid w:val="004D6B81"/>
    <w:rsid w:val="004D6CC8"/>
    <w:rsid w:val="004D6D4C"/>
    <w:rsid w:val="004D6D5B"/>
    <w:rsid w:val="004D6E03"/>
    <w:rsid w:val="004D6E98"/>
    <w:rsid w:val="004D72A3"/>
    <w:rsid w:val="004D7767"/>
    <w:rsid w:val="004D79B4"/>
    <w:rsid w:val="004D7A72"/>
    <w:rsid w:val="004D7CCC"/>
    <w:rsid w:val="004D7DFC"/>
    <w:rsid w:val="004E0CDF"/>
    <w:rsid w:val="004E0E8E"/>
    <w:rsid w:val="004E0F2E"/>
    <w:rsid w:val="004E0F5D"/>
    <w:rsid w:val="004E0F60"/>
    <w:rsid w:val="004E1065"/>
    <w:rsid w:val="004E135F"/>
    <w:rsid w:val="004E14C2"/>
    <w:rsid w:val="004E1602"/>
    <w:rsid w:val="004E1837"/>
    <w:rsid w:val="004E1B93"/>
    <w:rsid w:val="004E1C24"/>
    <w:rsid w:val="004E1D53"/>
    <w:rsid w:val="004E1E72"/>
    <w:rsid w:val="004E1F47"/>
    <w:rsid w:val="004E275F"/>
    <w:rsid w:val="004E296D"/>
    <w:rsid w:val="004E29F8"/>
    <w:rsid w:val="004E2D49"/>
    <w:rsid w:val="004E2DDD"/>
    <w:rsid w:val="004E328E"/>
    <w:rsid w:val="004E33B1"/>
    <w:rsid w:val="004E357D"/>
    <w:rsid w:val="004E3877"/>
    <w:rsid w:val="004E3921"/>
    <w:rsid w:val="004E39F3"/>
    <w:rsid w:val="004E44C0"/>
    <w:rsid w:val="004E49E6"/>
    <w:rsid w:val="004E58E2"/>
    <w:rsid w:val="004E5BF1"/>
    <w:rsid w:val="004E5C03"/>
    <w:rsid w:val="004E5CA6"/>
    <w:rsid w:val="004E5CA7"/>
    <w:rsid w:val="004E62C9"/>
    <w:rsid w:val="004E644C"/>
    <w:rsid w:val="004E659A"/>
    <w:rsid w:val="004E6D59"/>
    <w:rsid w:val="004E72BA"/>
    <w:rsid w:val="004E7C6C"/>
    <w:rsid w:val="004F06C0"/>
    <w:rsid w:val="004F0768"/>
    <w:rsid w:val="004F09D3"/>
    <w:rsid w:val="004F0CB4"/>
    <w:rsid w:val="004F0E93"/>
    <w:rsid w:val="004F0F5F"/>
    <w:rsid w:val="004F1332"/>
    <w:rsid w:val="004F1998"/>
    <w:rsid w:val="004F1B94"/>
    <w:rsid w:val="004F1BC1"/>
    <w:rsid w:val="004F1CA2"/>
    <w:rsid w:val="004F1D86"/>
    <w:rsid w:val="004F1E3A"/>
    <w:rsid w:val="004F1EA4"/>
    <w:rsid w:val="004F1F0F"/>
    <w:rsid w:val="004F1F79"/>
    <w:rsid w:val="004F1FED"/>
    <w:rsid w:val="004F2377"/>
    <w:rsid w:val="004F2791"/>
    <w:rsid w:val="004F2B24"/>
    <w:rsid w:val="004F2FBC"/>
    <w:rsid w:val="004F34DF"/>
    <w:rsid w:val="004F37B3"/>
    <w:rsid w:val="004F3BB3"/>
    <w:rsid w:val="004F42C0"/>
    <w:rsid w:val="004F45BA"/>
    <w:rsid w:val="004F48EA"/>
    <w:rsid w:val="004F4944"/>
    <w:rsid w:val="004F4AD0"/>
    <w:rsid w:val="004F51F8"/>
    <w:rsid w:val="004F5AB0"/>
    <w:rsid w:val="004F6AD5"/>
    <w:rsid w:val="004F742F"/>
    <w:rsid w:val="004F7EF6"/>
    <w:rsid w:val="00500736"/>
    <w:rsid w:val="005008AD"/>
    <w:rsid w:val="005010E1"/>
    <w:rsid w:val="0050178F"/>
    <w:rsid w:val="0050180D"/>
    <w:rsid w:val="0050198A"/>
    <w:rsid w:val="00501A89"/>
    <w:rsid w:val="00501B7E"/>
    <w:rsid w:val="00501D48"/>
    <w:rsid w:val="00501F4B"/>
    <w:rsid w:val="00502855"/>
    <w:rsid w:val="0050293D"/>
    <w:rsid w:val="00502968"/>
    <w:rsid w:val="0050298F"/>
    <w:rsid w:val="005029A1"/>
    <w:rsid w:val="00502C77"/>
    <w:rsid w:val="00502ED4"/>
    <w:rsid w:val="005031A1"/>
    <w:rsid w:val="005031AB"/>
    <w:rsid w:val="005032CD"/>
    <w:rsid w:val="00503F72"/>
    <w:rsid w:val="00503F93"/>
    <w:rsid w:val="0050408A"/>
    <w:rsid w:val="00504254"/>
    <w:rsid w:val="005042A8"/>
    <w:rsid w:val="005042BB"/>
    <w:rsid w:val="0050430E"/>
    <w:rsid w:val="005043CF"/>
    <w:rsid w:val="005049A3"/>
    <w:rsid w:val="005049E5"/>
    <w:rsid w:val="00504A7C"/>
    <w:rsid w:val="005054E7"/>
    <w:rsid w:val="00505A41"/>
    <w:rsid w:val="00505AB1"/>
    <w:rsid w:val="00505B4F"/>
    <w:rsid w:val="00505EA3"/>
    <w:rsid w:val="005061A9"/>
    <w:rsid w:val="00506368"/>
    <w:rsid w:val="005063CE"/>
    <w:rsid w:val="00506605"/>
    <w:rsid w:val="00507250"/>
    <w:rsid w:val="00507594"/>
    <w:rsid w:val="00507861"/>
    <w:rsid w:val="005078C4"/>
    <w:rsid w:val="00507B91"/>
    <w:rsid w:val="00507DE5"/>
    <w:rsid w:val="00507E37"/>
    <w:rsid w:val="00507EB7"/>
    <w:rsid w:val="00507F5F"/>
    <w:rsid w:val="0051007A"/>
    <w:rsid w:val="00510349"/>
    <w:rsid w:val="00510508"/>
    <w:rsid w:val="005105F6"/>
    <w:rsid w:val="00510A01"/>
    <w:rsid w:val="00510A32"/>
    <w:rsid w:val="00510A86"/>
    <w:rsid w:val="00510A94"/>
    <w:rsid w:val="00510F5A"/>
    <w:rsid w:val="00511736"/>
    <w:rsid w:val="00511AC1"/>
    <w:rsid w:val="00511DFE"/>
    <w:rsid w:val="00511E30"/>
    <w:rsid w:val="00511F26"/>
    <w:rsid w:val="00512219"/>
    <w:rsid w:val="00512845"/>
    <w:rsid w:val="00512AA7"/>
    <w:rsid w:val="00512E9A"/>
    <w:rsid w:val="00513203"/>
    <w:rsid w:val="00513247"/>
    <w:rsid w:val="0051369C"/>
    <w:rsid w:val="00513B1B"/>
    <w:rsid w:val="00513E56"/>
    <w:rsid w:val="00513F18"/>
    <w:rsid w:val="005143F7"/>
    <w:rsid w:val="005144AE"/>
    <w:rsid w:val="005145A3"/>
    <w:rsid w:val="00514954"/>
    <w:rsid w:val="00514A3F"/>
    <w:rsid w:val="00514C8E"/>
    <w:rsid w:val="00514ED0"/>
    <w:rsid w:val="00514F8D"/>
    <w:rsid w:val="005152D0"/>
    <w:rsid w:val="0051553C"/>
    <w:rsid w:val="0051583D"/>
    <w:rsid w:val="00515DCC"/>
    <w:rsid w:val="005163B1"/>
    <w:rsid w:val="0051648D"/>
    <w:rsid w:val="00516778"/>
    <w:rsid w:val="005169FA"/>
    <w:rsid w:val="00516A94"/>
    <w:rsid w:val="005170CE"/>
    <w:rsid w:val="0051733E"/>
    <w:rsid w:val="00517343"/>
    <w:rsid w:val="00517546"/>
    <w:rsid w:val="00517713"/>
    <w:rsid w:val="00517F9E"/>
    <w:rsid w:val="0052011F"/>
    <w:rsid w:val="005202B6"/>
    <w:rsid w:val="005202FE"/>
    <w:rsid w:val="00520AD0"/>
    <w:rsid w:val="00520F4A"/>
    <w:rsid w:val="00521554"/>
    <w:rsid w:val="005217D2"/>
    <w:rsid w:val="005219AD"/>
    <w:rsid w:val="00521C3B"/>
    <w:rsid w:val="00521F9C"/>
    <w:rsid w:val="005220C4"/>
    <w:rsid w:val="00522901"/>
    <w:rsid w:val="00522A11"/>
    <w:rsid w:val="00522CDA"/>
    <w:rsid w:val="00522F75"/>
    <w:rsid w:val="0052318A"/>
    <w:rsid w:val="00523A72"/>
    <w:rsid w:val="00523DF0"/>
    <w:rsid w:val="00523FB3"/>
    <w:rsid w:val="00524321"/>
    <w:rsid w:val="0052449E"/>
    <w:rsid w:val="005245E8"/>
    <w:rsid w:val="00524AC9"/>
    <w:rsid w:val="00524B21"/>
    <w:rsid w:val="00524C2E"/>
    <w:rsid w:val="00524EB6"/>
    <w:rsid w:val="00524F99"/>
    <w:rsid w:val="0052539A"/>
    <w:rsid w:val="005253B6"/>
    <w:rsid w:val="00525BB1"/>
    <w:rsid w:val="00525CFC"/>
    <w:rsid w:val="00525EC2"/>
    <w:rsid w:val="005260C4"/>
    <w:rsid w:val="0052667E"/>
    <w:rsid w:val="00526FEB"/>
    <w:rsid w:val="00527836"/>
    <w:rsid w:val="00527885"/>
    <w:rsid w:val="00527CA2"/>
    <w:rsid w:val="00527F73"/>
    <w:rsid w:val="00530252"/>
    <w:rsid w:val="005303CD"/>
    <w:rsid w:val="00530442"/>
    <w:rsid w:val="005314B5"/>
    <w:rsid w:val="00531D14"/>
    <w:rsid w:val="00532540"/>
    <w:rsid w:val="0053290A"/>
    <w:rsid w:val="00532A95"/>
    <w:rsid w:val="00532B0F"/>
    <w:rsid w:val="00532B10"/>
    <w:rsid w:val="00532B43"/>
    <w:rsid w:val="00532B44"/>
    <w:rsid w:val="00532D78"/>
    <w:rsid w:val="00533533"/>
    <w:rsid w:val="00533CBE"/>
    <w:rsid w:val="00533E65"/>
    <w:rsid w:val="00533F7D"/>
    <w:rsid w:val="00534A79"/>
    <w:rsid w:val="00534A81"/>
    <w:rsid w:val="00534DD3"/>
    <w:rsid w:val="005351CB"/>
    <w:rsid w:val="005352A1"/>
    <w:rsid w:val="00535B79"/>
    <w:rsid w:val="005361A1"/>
    <w:rsid w:val="00536353"/>
    <w:rsid w:val="0053698E"/>
    <w:rsid w:val="0053699D"/>
    <w:rsid w:val="00536C7B"/>
    <w:rsid w:val="00537040"/>
    <w:rsid w:val="005373DD"/>
    <w:rsid w:val="00537A2E"/>
    <w:rsid w:val="00537F39"/>
    <w:rsid w:val="00537FA5"/>
    <w:rsid w:val="00537FD4"/>
    <w:rsid w:val="0054028D"/>
    <w:rsid w:val="00540387"/>
    <w:rsid w:val="005405FD"/>
    <w:rsid w:val="00540A5C"/>
    <w:rsid w:val="00540A6D"/>
    <w:rsid w:val="00540A91"/>
    <w:rsid w:val="00540DD0"/>
    <w:rsid w:val="00540DF9"/>
    <w:rsid w:val="005413C0"/>
    <w:rsid w:val="00541416"/>
    <w:rsid w:val="00541474"/>
    <w:rsid w:val="00541731"/>
    <w:rsid w:val="00541F5E"/>
    <w:rsid w:val="005422A8"/>
    <w:rsid w:val="005429AB"/>
    <w:rsid w:val="005429DB"/>
    <w:rsid w:val="00542CAC"/>
    <w:rsid w:val="00542D7B"/>
    <w:rsid w:val="00543138"/>
    <w:rsid w:val="005433E1"/>
    <w:rsid w:val="00543DC5"/>
    <w:rsid w:val="00544306"/>
    <w:rsid w:val="005443FF"/>
    <w:rsid w:val="00544743"/>
    <w:rsid w:val="0054490C"/>
    <w:rsid w:val="005449AA"/>
    <w:rsid w:val="00544AFB"/>
    <w:rsid w:val="00544C8A"/>
    <w:rsid w:val="00544D1F"/>
    <w:rsid w:val="00544F36"/>
    <w:rsid w:val="00545F01"/>
    <w:rsid w:val="00546033"/>
    <w:rsid w:val="00546042"/>
    <w:rsid w:val="00546685"/>
    <w:rsid w:val="00547175"/>
    <w:rsid w:val="0054734D"/>
    <w:rsid w:val="00547767"/>
    <w:rsid w:val="00547822"/>
    <w:rsid w:val="00547828"/>
    <w:rsid w:val="005500D3"/>
    <w:rsid w:val="005501AC"/>
    <w:rsid w:val="00550801"/>
    <w:rsid w:val="005508CA"/>
    <w:rsid w:val="00550A1A"/>
    <w:rsid w:val="00550A66"/>
    <w:rsid w:val="005512F9"/>
    <w:rsid w:val="005513E0"/>
    <w:rsid w:val="00551879"/>
    <w:rsid w:val="00551EC1"/>
    <w:rsid w:val="00551ECA"/>
    <w:rsid w:val="00552677"/>
    <w:rsid w:val="00552797"/>
    <w:rsid w:val="005528FA"/>
    <w:rsid w:val="00553809"/>
    <w:rsid w:val="00553D10"/>
    <w:rsid w:val="005540D9"/>
    <w:rsid w:val="00554174"/>
    <w:rsid w:val="00554594"/>
    <w:rsid w:val="00555067"/>
    <w:rsid w:val="0055596F"/>
    <w:rsid w:val="00555DBF"/>
    <w:rsid w:val="00555E0A"/>
    <w:rsid w:val="005561C9"/>
    <w:rsid w:val="00556D04"/>
    <w:rsid w:val="0055722A"/>
    <w:rsid w:val="0055726C"/>
    <w:rsid w:val="005576FF"/>
    <w:rsid w:val="005600A3"/>
    <w:rsid w:val="005604E0"/>
    <w:rsid w:val="00560752"/>
    <w:rsid w:val="005609CC"/>
    <w:rsid w:val="00560B4A"/>
    <w:rsid w:val="00560D69"/>
    <w:rsid w:val="00560E77"/>
    <w:rsid w:val="0056143C"/>
    <w:rsid w:val="00561644"/>
    <w:rsid w:val="0056164E"/>
    <w:rsid w:val="005618AC"/>
    <w:rsid w:val="005622A9"/>
    <w:rsid w:val="00562E87"/>
    <w:rsid w:val="00563A4C"/>
    <w:rsid w:val="00563DA4"/>
    <w:rsid w:val="00563DC1"/>
    <w:rsid w:val="00564F18"/>
    <w:rsid w:val="005652A0"/>
    <w:rsid w:val="00565489"/>
    <w:rsid w:val="00565738"/>
    <w:rsid w:val="00565969"/>
    <w:rsid w:val="0056599C"/>
    <w:rsid w:val="00565BEE"/>
    <w:rsid w:val="00565C56"/>
    <w:rsid w:val="00565F3E"/>
    <w:rsid w:val="00566231"/>
    <w:rsid w:val="0056631A"/>
    <w:rsid w:val="00566409"/>
    <w:rsid w:val="00566431"/>
    <w:rsid w:val="00566549"/>
    <w:rsid w:val="0056681E"/>
    <w:rsid w:val="00566904"/>
    <w:rsid w:val="00566CA6"/>
    <w:rsid w:val="00566D65"/>
    <w:rsid w:val="00566E84"/>
    <w:rsid w:val="00566EC4"/>
    <w:rsid w:val="00566FFA"/>
    <w:rsid w:val="00567275"/>
    <w:rsid w:val="005672C9"/>
    <w:rsid w:val="00567D50"/>
    <w:rsid w:val="00567DEB"/>
    <w:rsid w:val="0057035F"/>
    <w:rsid w:val="005703D9"/>
    <w:rsid w:val="00570758"/>
    <w:rsid w:val="005709D6"/>
    <w:rsid w:val="00570F7D"/>
    <w:rsid w:val="00571242"/>
    <w:rsid w:val="005714B2"/>
    <w:rsid w:val="00571506"/>
    <w:rsid w:val="0057198F"/>
    <w:rsid w:val="00571C3D"/>
    <w:rsid w:val="00572087"/>
    <w:rsid w:val="005721DB"/>
    <w:rsid w:val="0057263A"/>
    <w:rsid w:val="005726E2"/>
    <w:rsid w:val="0057283D"/>
    <w:rsid w:val="00572AA9"/>
    <w:rsid w:val="00572D6D"/>
    <w:rsid w:val="00572D8B"/>
    <w:rsid w:val="00573A81"/>
    <w:rsid w:val="00573D3E"/>
    <w:rsid w:val="00573E42"/>
    <w:rsid w:val="00573E89"/>
    <w:rsid w:val="00574149"/>
    <w:rsid w:val="00574353"/>
    <w:rsid w:val="0057497D"/>
    <w:rsid w:val="00574D95"/>
    <w:rsid w:val="00574EBB"/>
    <w:rsid w:val="0057508D"/>
    <w:rsid w:val="0057530A"/>
    <w:rsid w:val="0057577D"/>
    <w:rsid w:val="0057595E"/>
    <w:rsid w:val="00575A02"/>
    <w:rsid w:val="00575A60"/>
    <w:rsid w:val="00575BD9"/>
    <w:rsid w:val="00575DD5"/>
    <w:rsid w:val="005760FF"/>
    <w:rsid w:val="005761A2"/>
    <w:rsid w:val="00576315"/>
    <w:rsid w:val="00577C76"/>
    <w:rsid w:val="00577E51"/>
    <w:rsid w:val="0058044F"/>
    <w:rsid w:val="00580656"/>
    <w:rsid w:val="00580757"/>
    <w:rsid w:val="00580921"/>
    <w:rsid w:val="00580A74"/>
    <w:rsid w:val="00580AAA"/>
    <w:rsid w:val="00580D9E"/>
    <w:rsid w:val="005811CB"/>
    <w:rsid w:val="0058154C"/>
    <w:rsid w:val="0058168F"/>
    <w:rsid w:val="00581860"/>
    <w:rsid w:val="0058189F"/>
    <w:rsid w:val="00581B46"/>
    <w:rsid w:val="00581D9D"/>
    <w:rsid w:val="00581DC0"/>
    <w:rsid w:val="00581E6E"/>
    <w:rsid w:val="00581F6B"/>
    <w:rsid w:val="00582667"/>
    <w:rsid w:val="0058267F"/>
    <w:rsid w:val="0058296D"/>
    <w:rsid w:val="00582B77"/>
    <w:rsid w:val="00582D16"/>
    <w:rsid w:val="00582E7F"/>
    <w:rsid w:val="005830AE"/>
    <w:rsid w:val="0058313A"/>
    <w:rsid w:val="005831E0"/>
    <w:rsid w:val="00583B3B"/>
    <w:rsid w:val="00583C96"/>
    <w:rsid w:val="00584483"/>
    <w:rsid w:val="0058458C"/>
    <w:rsid w:val="0058460F"/>
    <w:rsid w:val="00584C97"/>
    <w:rsid w:val="00585131"/>
    <w:rsid w:val="005854D5"/>
    <w:rsid w:val="00585B79"/>
    <w:rsid w:val="00586E0A"/>
    <w:rsid w:val="00587158"/>
    <w:rsid w:val="0058774F"/>
    <w:rsid w:val="005879A5"/>
    <w:rsid w:val="00587A0E"/>
    <w:rsid w:val="00587A71"/>
    <w:rsid w:val="00587D80"/>
    <w:rsid w:val="00587EB0"/>
    <w:rsid w:val="00590006"/>
    <w:rsid w:val="005901C3"/>
    <w:rsid w:val="005901E2"/>
    <w:rsid w:val="00590A43"/>
    <w:rsid w:val="00590A49"/>
    <w:rsid w:val="00590A89"/>
    <w:rsid w:val="00590DEA"/>
    <w:rsid w:val="005912E7"/>
    <w:rsid w:val="00591C00"/>
    <w:rsid w:val="00591E84"/>
    <w:rsid w:val="00591EFB"/>
    <w:rsid w:val="005922C0"/>
    <w:rsid w:val="00592454"/>
    <w:rsid w:val="00592883"/>
    <w:rsid w:val="00592DD9"/>
    <w:rsid w:val="00592E0D"/>
    <w:rsid w:val="00593911"/>
    <w:rsid w:val="00593A7C"/>
    <w:rsid w:val="00593F8F"/>
    <w:rsid w:val="0059437D"/>
    <w:rsid w:val="00594BFE"/>
    <w:rsid w:val="00594C03"/>
    <w:rsid w:val="00594F83"/>
    <w:rsid w:val="005954B1"/>
    <w:rsid w:val="0059565F"/>
    <w:rsid w:val="00595906"/>
    <w:rsid w:val="00595F18"/>
    <w:rsid w:val="00596470"/>
    <w:rsid w:val="0059660F"/>
    <w:rsid w:val="00596842"/>
    <w:rsid w:val="00596B93"/>
    <w:rsid w:val="005976C2"/>
    <w:rsid w:val="00597F3C"/>
    <w:rsid w:val="005A0351"/>
    <w:rsid w:val="005A09E4"/>
    <w:rsid w:val="005A0CC0"/>
    <w:rsid w:val="005A0F86"/>
    <w:rsid w:val="005A1049"/>
    <w:rsid w:val="005A11F7"/>
    <w:rsid w:val="005A1421"/>
    <w:rsid w:val="005A170B"/>
    <w:rsid w:val="005A24B2"/>
    <w:rsid w:val="005A24DF"/>
    <w:rsid w:val="005A2AB0"/>
    <w:rsid w:val="005A2BB6"/>
    <w:rsid w:val="005A2DD1"/>
    <w:rsid w:val="005A309D"/>
    <w:rsid w:val="005A3145"/>
    <w:rsid w:val="005A3864"/>
    <w:rsid w:val="005A388A"/>
    <w:rsid w:val="005A3A05"/>
    <w:rsid w:val="005A3E39"/>
    <w:rsid w:val="005A4CD9"/>
    <w:rsid w:val="005A5941"/>
    <w:rsid w:val="005A5BB0"/>
    <w:rsid w:val="005A5CB3"/>
    <w:rsid w:val="005A5CF4"/>
    <w:rsid w:val="005A5D35"/>
    <w:rsid w:val="005A676E"/>
    <w:rsid w:val="005A6965"/>
    <w:rsid w:val="005A69FB"/>
    <w:rsid w:val="005A6A6F"/>
    <w:rsid w:val="005A76E6"/>
    <w:rsid w:val="005A7910"/>
    <w:rsid w:val="005A7976"/>
    <w:rsid w:val="005A79D7"/>
    <w:rsid w:val="005A7AB5"/>
    <w:rsid w:val="005B0752"/>
    <w:rsid w:val="005B0A9E"/>
    <w:rsid w:val="005B0D03"/>
    <w:rsid w:val="005B1068"/>
    <w:rsid w:val="005B10A4"/>
    <w:rsid w:val="005B1160"/>
    <w:rsid w:val="005B11F9"/>
    <w:rsid w:val="005B142E"/>
    <w:rsid w:val="005B168B"/>
    <w:rsid w:val="005B2381"/>
    <w:rsid w:val="005B248A"/>
    <w:rsid w:val="005B2907"/>
    <w:rsid w:val="005B2A0A"/>
    <w:rsid w:val="005B2BB4"/>
    <w:rsid w:val="005B2DE9"/>
    <w:rsid w:val="005B337A"/>
    <w:rsid w:val="005B3448"/>
    <w:rsid w:val="005B356A"/>
    <w:rsid w:val="005B3689"/>
    <w:rsid w:val="005B378E"/>
    <w:rsid w:val="005B38A1"/>
    <w:rsid w:val="005B3957"/>
    <w:rsid w:val="005B3E9B"/>
    <w:rsid w:val="005B4043"/>
    <w:rsid w:val="005B4109"/>
    <w:rsid w:val="005B49F5"/>
    <w:rsid w:val="005B5261"/>
    <w:rsid w:val="005B5F5D"/>
    <w:rsid w:val="005B6346"/>
    <w:rsid w:val="005B691C"/>
    <w:rsid w:val="005B7175"/>
    <w:rsid w:val="005B7573"/>
    <w:rsid w:val="005B793E"/>
    <w:rsid w:val="005B7B98"/>
    <w:rsid w:val="005B7E78"/>
    <w:rsid w:val="005C0118"/>
    <w:rsid w:val="005C0216"/>
    <w:rsid w:val="005C0260"/>
    <w:rsid w:val="005C02E5"/>
    <w:rsid w:val="005C02F2"/>
    <w:rsid w:val="005C030B"/>
    <w:rsid w:val="005C0A04"/>
    <w:rsid w:val="005C0B33"/>
    <w:rsid w:val="005C0BAC"/>
    <w:rsid w:val="005C0E3D"/>
    <w:rsid w:val="005C1172"/>
    <w:rsid w:val="005C1C17"/>
    <w:rsid w:val="005C25F8"/>
    <w:rsid w:val="005C27F2"/>
    <w:rsid w:val="005C2B5B"/>
    <w:rsid w:val="005C2C58"/>
    <w:rsid w:val="005C3002"/>
    <w:rsid w:val="005C3349"/>
    <w:rsid w:val="005C34AD"/>
    <w:rsid w:val="005C3611"/>
    <w:rsid w:val="005C37F0"/>
    <w:rsid w:val="005C389D"/>
    <w:rsid w:val="005C4277"/>
    <w:rsid w:val="005C4BB6"/>
    <w:rsid w:val="005C4CF3"/>
    <w:rsid w:val="005C4D02"/>
    <w:rsid w:val="005C5059"/>
    <w:rsid w:val="005C51D4"/>
    <w:rsid w:val="005C62AC"/>
    <w:rsid w:val="005C6709"/>
    <w:rsid w:val="005C673F"/>
    <w:rsid w:val="005C6922"/>
    <w:rsid w:val="005C6946"/>
    <w:rsid w:val="005C6B72"/>
    <w:rsid w:val="005C6E04"/>
    <w:rsid w:val="005C70C3"/>
    <w:rsid w:val="005C7D32"/>
    <w:rsid w:val="005C7EC0"/>
    <w:rsid w:val="005D00E4"/>
    <w:rsid w:val="005D0195"/>
    <w:rsid w:val="005D0293"/>
    <w:rsid w:val="005D08C6"/>
    <w:rsid w:val="005D09FE"/>
    <w:rsid w:val="005D0B9F"/>
    <w:rsid w:val="005D0CA2"/>
    <w:rsid w:val="005D0E00"/>
    <w:rsid w:val="005D0E57"/>
    <w:rsid w:val="005D150F"/>
    <w:rsid w:val="005D15F5"/>
    <w:rsid w:val="005D190E"/>
    <w:rsid w:val="005D1D0D"/>
    <w:rsid w:val="005D2A86"/>
    <w:rsid w:val="005D2E6E"/>
    <w:rsid w:val="005D3173"/>
    <w:rsid w:val="005D32B6"/>
    <w:rsid w:val="005D35E5"/>
    <w:rsid w:val="005D374E"/>
    <w:rsid w:val="005D3946"/>
    <w:rsid w:val="005D3B91"/>
    <w:rsid w:val="005D3D4C"/>
    <w:rsid w:val="005D3ECE"/>
    <w:rsid w:val="005D405B"/>
    <w:rsid w:val="005D40CC"/>
    <w:rsid w:val="005D40DA"/>
    <w:rsid w:val="005D428B"/>
    <w:rsid w:val="005D4422"/>
    <w:rsid w:val="005D466D"/>
    <w:rsid w:val="005D4728"/>
    <w:rsid w:val="005D480F"/>
    <w:rsid w:val="005D4951"/>
    <w:rsid w:val="005D4B6C"/>
    <w:rsid w:val="005D4E48"/>
    <w:rsid w:val="005D5165"/>
    <w:rsid w:val="005D563C"/>
    <w:rsid w:val="005D5AE8"/>
    <w:rsid w:val="005D5F2C"/>
    <w:rsid w:val="005D5F71"/>
    <w:rsid w:val="005D6003"/>
    <w:rsid w:val="005D6399"/>
    <w:rsid w:val="005D6AC0"/>
    <w:rsid w:val="005D6D44"/>
    <w:rsid w:val="005D6D4A"/>
    <w:rsid w:val="005D7024"/>
    <w:rsid w:val="005D7265"/>
    <w:rsid w:val="005D75D4"/>
    <w:rsid w:val="005D767C"/>
    <w:rsid w:val="005D772C"/>
    <w:rsid w:val="005D7907"/>
    <w:rsid w:val="005D7B7C"/>
    <w:rsid w:val="005D7D33"/>
    <w:rsid w:val="005D7DB4"/>
    <w:rsid w:val="005D7DBB"/>
    <w:rsid w:val="005E00A1"/>
    <w:rsid w:val="005E059F"/>
    <w:rsid w:val="005E05C7"/>
    <w:rsid w:val="005E089C"/>
    <w:rsid w:val="005E0961"/>
    <w:rsid w:val="005E19E6"/>
    <w:rsid w:val="005E1D60"/>
    <w:rsid w:val="005E1E52"/>
    <w:rsid w:val="005E1E56"/>
    <w:rsid w:val="005E2366"/>
    <w:rsid w:val="005E2375"/>
    <w:rsid w:val="005E23E2"/>
    <w:rsid w:val="005E2D96"/>
    <w:rsid w:val="005E33E5"/>
    <w:rsid w:val="005E3733"/>
    <w:rsid w:val="005E3961"/>
    <w:rsid w:val="005E3E07"/>
    <w:rsid w:val="005E3FD5"/>
    <w:rsid w:val="005E4281"/>
    <w:rsid w:val="005E44BA"/>
    <w:rsid w:val="005E4571"/>
    <w:rsid w:val="005E4AEE"/>
    <w:rsid w:val="005E4AF2"/>
    <w:rsid w:val="005E4C16"/>
    <w:rsid w:val="005E4C57"/>
    <w:rsid w:val="005E50A5"/>
    <w:rsid w:val="005E5111"/>
    <w:rsid w:val="005E55B5"/>
    <w:rsid w:val="005E57FB"/>
    <w:rsid w:val="005E6286"/>
    <w:rsid w:val="005E6314"/>
    <w:rsid w:val="005E64BD"/>
    <w:rsid w:val="005E67C3"/>
    <w:rsid w:val="005E6DE2"/>
    <w:rsid w:val="005E6EFC"/>
    <w:rsid w:val="005E732A"/>
    <w:rsid w:val="005E7540"/>
    <w:rsid w:val="005E75BF"/>
    <w:rsid w:val="005E7AB9"/>
    <w:rsid w:val="005F01A0"/>
    <w:rsid w:val="005F0C3A"/>
    <w:rsid w:val="005F0CA6"/>
    <w:rsid w:val="005F1741"/>
    <w:rsid w:val="005F1844"/>
    <w:rsid w:val="005F1BCC"/>
    <w:rsid w:val="005F1CBB"/>
    <w:rsid w:val="005F1F53"/>
    <w:rsid w:val="005F20C5"/>
    <w:rsid w:val="005F20D3"/>
    <w:rsid w:val="005F2255"/>
    <w:rsid w:val="005F2A2D"/>
    <w:rsid w:val="005F2DBB"/>
    <w:rsid w:val="005F320D"/>
    <w:rsid w:val="005F3692"/>
    <w:rsid w:val="005F36B6"/>
    <w:rsid w:val="005F370B"/>
    <w:rsid w:val="005F387A"/>
    <w:rsid w:val="005F3A37"/>
    <w:rsid w:val="005F4265"/>
    <w:rsid w:val="005F4393"/>
    <w:rsid w:val="005F45B3"/>
    <w:rsid w:val="005F56D1"/>
    <w:rsid w:val="005F579C"/>
    <w:rsid w:val="005F5888"/>
    <w:rsid w:val="005F5ADF"/>
    <w:rsid w:val="005F5D02"/>
    <w:rsid w:val="005F60A7"/>
    <w:rsid w:val="005F60F1"/>
    <w:rsid w:val="005F66E2"/>
    <w:rsid w:val="005F6D18"/>
    <w:rsid w:val="005F7767"/>
    <w:rsid w:val="005F7876"/>
    <w:rsid w:val="006002B0"/>
    <w:rsid w:val="0060035E"/>
    <w:rsid w:val="00600DBD"/>
    <w:rsid w:val="00600EF6"/>
    <w:rsid w:val="00601D57"/>
    <w:rsid w:val="00601FD7"/>
    <w:rsid w:val="00602271"/>
    <w:rsid w:val="006024D9"/>
    <w:rsid w:val="00602576"/>
    <w:rsid w:val="00602B34"/>
    <w:rsid w:val="00602CFC"/>
    <w:rsid w:val="00602E7E"/>
    <w:rsid w:val="00602EB9"/>
    <w:rsid w:val="006032F0"/>
    <w:rsid w:val="0060367B"/>
    <w:rsid w:val="0060373D"/>
    <w:rsid w:val="00603A88"/>
    <w:rsid w:val="00604093"/>
    <w:rsid w:val="006042BF"/>
    <w:rsid w:val="00604AD6"/>
    <w:rsid w:val="00604B79"/>
    <w:rsid w:val="006053C3"/>
    <w:rsid w:val="00605DCA"/>
    <w:rsid w:val="0060612D"/>
    <w:rsid w:val="00606623"/>
    <w:rsid w:val="006069EB"/>
    <w:rsid w:val="00606ABB"/>
    <w:rsid w:val="00606C16"/>
    <w:rsid w:val="00606CD9"/>
    <w:rsid w:val="00607057"/>
    <w:rsid w:val="006071EE"/>
    <w:rsid w:val="006076C4"/>
    <w:rsid w:val="006101D6"/>
    <w:rsid w:val="00610324"/>
    <w:rsid w:val="00610345"/>
    <w:rsid w:val="00610527"/>
    <w:rsid w:val="00610560"/>
    <w:rsid w:val="00610917"/>
    <w:rsid w:val="00610D0B"/>
    <w:rsid w:val="00610E71"/>
    <w:rsid w:val="006110B1"/>
    <w:rsid w:val="006115EE"/>
    <w:rsid w:val="00611A25"/>
    <w:rsid w:val="00611CA2"/>
    <w:rsid w:val="00611ECE"/>
    <w:rsid w:val="0061206E"/>
    <w:rsid w:val="006121C2"/>
    <w:rsid w:val="00612214"/>
    <w:rsid w:val="0061271F"/>
    <w:rsid w:val="00612AAA"/>
    <w:rsid w:val="00612EC2"/>
    <w:rsid w:val="00612F2C"/>
    <w:rsid w:val="00613256"/>
    <w:rsid w:val="0061343F"/>
    <w:rsid w:val="0061360C"/>
    <w:rsid w:val="00613DC4"/>
    <w:rsid w:val="00614116"/>
    <w:rsid w:val="0061471B"/>
    <w:rsid w:val="00614975"/>
    <w:rsid w:val="00614EC4"/>
    <w:rsid w:val="00614F64"/>
    <w:rsid w:val="00615259"/>
    <w:rsid w:val="00615359"/>
    <w:rsid w:val="00615912"/>
    <w:rsid w:val="00616130"/>
    <w:rsid w:val="00616310"/>
    <w:rsid w:val="006167E9"/>
    <w:rsid w:val="00616CBE"/>
    <w:rsid w:val="00616D2C"/>
    <w:rsid w:val="00616FD6"/>
    <w:rsid w:val="00617078"/>
    <w:rsid w:val="006172CF"/>
    <w:rsid w:val="00617AC9"/>
    <w:rsid w:val="00617CFB"/>
    <w:rsid w:val="00617D42"/>
    <w:rsid w:val="00617D79"/>
    <w:rsid w:val="00617EF4"/>
    <w:rsid w:val="0062015D"/>
    <w:rsid w:val="006201D7"/>
    <w:rsid w:val="006208B7"/>
    <w:rsid w:val="00620A4B"/>
    <w:rsid w:val="00620B41"/>
    <w:rsid w:val="00620C44"/>
    <w:rsid w:val="00620CF4"/>
    <w:rsid w:val="00620D80"/>
    <w:rsid w:val="0062130E"/>
    <w:rsid w:val="006216C0"/>
    <w:rsid w:val="00621758"/>
    <w:rsid w:val="00621AC7"/>
    <w:rsid w:val="00621EB3"/>
    <w:rsid w:val="00622580"/>
    <w:rsid w:val="006227AB"/>
    <w:rsid w:val="00622887"/>
    <w:rsid w:val="0062291E"/>
    <w:rsid w:val="00622A3B"/>
    <w:rsid w:val="00622B6B"/>
    <w:rsid w:val="00622C41"/>
    <w:rsid w:val="00622DAA"/>
    <w:rsid w:val="00622E26"/>
    <w:rsid w:val="00622E84"/>
    <w:rsid w:val="00623098"/>
    <w:rsid w:val="006234A1"/>
    <w:rsid w:val="00623607"/>
    <w:rsid w:val="00623F90"/>
    <w:rsid w:val="00624279"/>
    <w:rsid w:val="006244A6"/>
    <w:rsid w:val="00624AE2"/>
    <w:rsid w:val="006257C5"/>
    <w:rsid w:val="00625B63"/>
    <w:rsid w:val="00625E0F"/>
    <w:rsid w:val="00627082"/>
    <w:rsid w:val="006270B3"/>
    <w:rsid w:val="006270E2"/>
    <w:rsid w:val="006270F8"/>
    <w:rsid w:val="00627207"/>
    <w:rsid w:val="006275CE"/>
    <w:rsid w:val="006279EC"/>
    <w:rsid w:val="00627E59"/>
    <w:rsid w:val="00627EED"/>
    <w:rsid w:val="00630293"/>
    <w:rsid w:val="006302AB"/>
    <w:rsid w:val="0063035F"/>
    <w:rsid w:val="00630612"/>
    <w:rsid w:val="006306D9"/>
    <w:rsid w:val="00630830"/>
    <w:rsid w:val="00630B29"/>
    <w:rsid w:val="006310B1"/>
    <w:rsid w:val="0063119A"/>
    <w:rsid w:val="0063124C"/>
    <w:rsid w:val="00631C02"/>
    <w:rsid w:val="00631D41"/>
    <w:rsid w:val="00631D73"/>
    <w:rsid w:val="00632186"/>
    <w:rsid w:val="00632444"/>
    <w:rsid w:val="00632672"/>
    <w:rsid w:val="00633228"/>
    <w:rsid w:val="006337A7"/>
    <w:rsid w:val="0063391C"/>
    <w:rsid w:val="00633C55"/>
    <w:rsid w:val="00634569"/>
    <w:rsid w:val="00634A4E"/>
    <w:rsid w:val="00634FE7"/>
    <w:rsid w:val="00635292"/>
    <w:rsid w:val="006353EC"/>
    <w:rsid w:val="006354E7"/>
    <w:rsid w:val="006355CA"/>
    <w:rsid w:val="00635991"/>
    <w:rsid w:val="00635ED0"/>
    <w:rsid w:val="00636077"/>
    <w:rsid w:val="006364E7"/>
    <w:rsid w:val="006367C0"/>
    <w:rsid w:val="00636C99"/>
    <w:rsid w:val="0063733C"/>
    <w:rsid w:val="00637FA8"/>
    <w:rsid w:val="00640141"/>
    <w:rsid w:val="006401DA"/>
    <w:rsid w:val="00640794"/>
    <w:rsid w:val="00640E23"/>
    <w:rsid w:val="00641017"/>
    <w:rsid w:val="0064129C"/>
    <w:rsid w:val="006418E2"/>
    <w:rsid w:val="006419A9"/>
    <w:rsid w:val="00641B8F"/>
    <w:rsid w:val="00641FAD"/>
    <w:rsid w:val="00641FD1"/>
    <w:rsid w:val="006428A4"/>
    <w:rsid w:val="00642A78"/>
    <w:rsid w:val="00642B73"/>
    <w:rsid w:val="00642CD1"/>
    <w:rsid w:val="00643142"/>
    <w:rsid w:val="006432D3"/>
    <w:rsid w:val="0064357B"/>
    <w:rsid w:val="00643588"/>
    <w:rsid w:val="006448FF"/>
    <w:rsid w:val="00644E3D"/>
    <w:rsid w:val="00645080"/>
    <w:rsid w:val="00645643"/>
    <w:rsid w:val="00645906"/>
    <w:rsid w:val="00645D20"/>
    <w:rsid w:val="00646377"/>
    <w:rsid w:val="006468C2"/>
    <w:rsid w:val="00646E19"/>
    <w:rsid w:val="00647511"/>
    <w:rsid w:val="00647CB3"/>
    <w:rsid w:val="00647EB5"/>
    <w:rsid w:val="006502E2"/>
    <w:rsid w:val="00650464"/>
    <w:rsid w:val="00650AA2"/>
    <w:rsid w:val="00650C02"/>
    <w:rsid w:val="006516D5"/>
    <w:rsid w:val="00651A18"/>
    <w:rsid w:val="00651BAD"/>
    <w:rsid w:val="006526C1"/>
    <w:rsid w:val="00652797"/>
    <w:rsid w:val="006529BB"/>
    <w:rsid w:val="00652D80"/>
    <w:rsid w:val="00652DA9"/>
    <w:rsid w:val="00652EB5"/>
    <w:rsid w:val="00652FC2"/>
    <w:rsid w:val="0065304D"/>
    <w:rsid w:val="00653294"/>
    <w:rsid w:val="00653B4B"/>
    <w:rsid w:val="00653D6F"/>
    <w:rsid w:val="00654B8D"/>
    <w:rsid w:val="00654D20"/>
    <w:rsid w:val="00655069"/>
    <w:rsid w:val="006552D0"/>
    <w:rsid w:val="0065532F"/>
    <w:rsid w:val="00655332"/>
    <w:rsid w:val="006554CF"/>
    <w:rsid w:val="006554F8"/>
    <w:rsid w:val="006556BE"/>
    <w:rsid w:val="006559AC"/>
    <w:rsid w:val="00655ABD"/>
    <w:rsid w:val="00655D3D"/>
    <w:rsid w:val="00656B84"/>
    <w:rsid w:val="0065708B"/>
    <w:rsid w:val="0065719F"/>
    <w:rsid w:val="006579F4"/>
    <w:rsid w:val="00657BE4"/>
    <w:rsid w:val="006600F4"/>
    <w:rsid w:val="00660374"/>
    <w:rsid w:val="0066076F"/>
    <w:rsid w:val="00660854"/>
    <w:rsid w:val="00661003"/>
    <w:rsid w:val="00661127"/>
    <w:rsid w:val="0066115C"/>
    <w:rsid w:val="0066152A"/>
    <w:rsid w:val="00661AF6"/>
    <w:rsid w:val="00661F59"/>
    <w:rsid w:val="00661FD4"/>
    <w:rsid w:val="0066282C"/>
    <w:rsid w:val="006628DB"/>
    <w:rsid w:val="006633D4"/>
    <w:rsid w:val="006635D0"/>
    <w:rsid w:val="0066370E"/>
    <w:rsid w:val="00663864"/>
    <w:rsid w:val="006639AB"/>
    <w:rsid w:val="00663A6B"/>
    <w:rsid w:val="006647CE"/>
    <w:rsid w:val="00664CAA"/>
    <w:rsid w:val="00664E3A"/>
    <w:rsid w:val="00665748"/>
    <w:rsid w:val="00665851"/>
    <w:rsid w:val="00665A69"/>
    <w:rsid w:val="00665D6D"/>
    <w:rsid w:val="006661B5"/>
    <w:rsid w:val="006662CD"/>
    <w:rsid w:val="006663C6"/>
    <w:rsid w:val="00666CCB"/>
    <w:rsid w:val="00667133"/>
    <w:rsid w:val="006671E9"/>
    <w:rsid w:val="006672DD"/>
    <w:rsid w:val="00667E7D"/>
    <w:rsid w:val="00670281"/>
    <w:rsid w:val="0067084F"/>
    <w:rsid w:val="006708FD"/>
    <w:rsid w:val="0067104E"/>
    <w:rsid w:val="006713F1"/>
    <w:rsid w:val="006714BF"/>
    <w:rsid w:val="00671615"/>
    <w:rsid w:val="006718AC"/>
    <w:rsid w:val="00671994"/>
    <w:rsid w:val="00671A20"/>
    <w:rsid w:val="00671EF1"/>
    <w:rsid w:val="00671F2B"/>
    <w:rsid w:val="00671F6D"/>
    <w:rsid w:val="00671F7D"/>
    <w:rsid w:val="00672268"/>
    <w:rsid w:val="0067246E"/>
    <w:rsid w:val="00672A30"/>
    <w:rsid w:val="00672B3D"/>
    <w:rsid w:val="00672C1E"/>
    <w:rsid w:val="00672D05"/>
    <w:rsid w:val="00672E2D"/>
    <w:rsid w:val="00672E3F"/>
    <w:rsid w:val="006734CF"/>
    <w:rsid w:val="00673583"/>
    <w:rsid w:val="006736C5"/>
    <w:rsid w:val="006738A1"/>
    <w:rsid w:val="00673E28"/>
    <w:rsid w:val="00673F63"/>
    <w:rsid w:val="00673F79"/>
    <w:rsid w:val="006740F5"/>
    <w:rsid w:val="00674111"/>
    <w:rsid w:val="006742A7"/>
    <w:rsid w:val="006744B9"/>
    <w:rsid w:val="00674509"/>
    <w:rsid w:val="00674811"/>
    <w:rsid w:val="006748F5"/>
    <w:rsid w:val="00674A3D"/>
    <w:rsid w:val="00674C29"/>
    <w:rsid w:val="00674F37"/>
    <w:rsid w:val="00674F6D"/>
    <w:rsid w:val="0067515E"/>
    <w:rsid w:val="00675456"/>
    <w:rsid w:val="006756AB"/>
    <w:rsid w:val="00675760"/>
    <w:rsid w:val="0067578C"/>
    <w:rsid w:val="006759F2"/>
    <w:rsid w:val="00675E28"/>
    <w:rsid w:val="00675FFF"/>
    <w:rsid w:val="00676022"/>
    <w:rsid w:val="006760C9"/>
    <w:rsid w:val="006764EF"/>
    <w:rsid w:val="006767CA"/>
    <w:rsid w:val="0067699C"/>
    <w:rsid w:val="00676F49"/>
    <w:rsid w:val="00677244"/>
    <w:rsid w:val="006774EB"/>
    <w:rsid w:val="00677928"/>
    <w:rsid w:val="00677A61"/>
    <w:rsid w:val="00677BE9"/>
    <w:rsid w:val="00677CDE"/>
    <w:rsid w:val="006800E2"/>
    <w:rsid w:val="0068014C"/>
    <w:rsid w:val="00680F48"/>
    <w:rsid w:val="00681098"/>
    <w:rsid w:val="006813F2"/>
    <w:rsid w:val="00681592"/>
    <w:rsid w:val="00681792"/>
    <w:rsid w:val="00681D1C"/>
    <w:rsid w:val="00681DB0"/>
    <w:rsid w:val="00681E6C"/>
    <w:rsid w:val="00682049"/>
    <w:rsid w:val="00682314"/>
    <w:rsid w:val="006825A2"/>
    <w:rsid w:val="006829C2"/>
    <w:rsid w:val="00682AB6"/>
    <w:rsid w:val="00683017"/>
    <w:rsid w:val="006830E6"/>
    <w:rsid w:val="0068315E"/>
    <w:rsid w:val="006834B2"/>
    <w:rsid w:val="00683B06"/>
    <w:rsid w:val="00683E4E"/>
    <w:rsid w:val="006841D8"/>
    <w:rsid w:val="00684467"/>
    <w:rsid w:val="006844D4"/>
    <w:rsid w:val="00684742"/>
    <w:rsid w:val="0068492B"/>
    <w:rsid w:val="00684B1E"/>
    <w:rsid w:val="00685657"/>
    <w:rsid w:val="0068581E"/>
    <w:rsid w:val="00685918"/>
    <w:rsid w:val="00685BCD"/>
    <w:rsid w:val="00685EF9"/>
    <w:rsid w:val="00686426"/>
    <w:rsid w:val="00686B09"/>
    <w:rsid w:val="00686BDF"/>
    <w:rsid w:val="006875CA"/>
    <w:rsid w:val="00687919"/>
    <w:rsid w:val="00687CB3"/>
    <w:rsid w:val="00687E6F"/>
    <w:rsid w:val="006900C4"/>
    <w:rsid w:val="00690168"/>
    <w:rsid w:val="00690271"/>
    <w:rsid w:val="0069031E"/>
    <w:rsid w:val="00690508"/>
    <w:rsid w:val="0069079D"/>
    <w:rsid w:val="0069084A"/>
    <w:rsid w:val="00691637"/>
    <w:rsid w:val="00691C28"/>
    <w:rsid w:val="00691E0F"/>
    <w:rsid w:val="006927E1"/>
    <w:rsid w:val="006928D1"/>
    <w:rsid w:val="00692DBA"/>
    <w:rsid w:val="00692E6A"/>
    <w:rsid w:val="006930A7"/>
    <w:rsid w:val="00693174"/>
    <w:rsid w:val="00693346"/>
    <w:rsid w:val="006935DC"/>
    <w:rsid w:val="006936CB"/>
    <w:rsid w:val="006939EA"/>
    <w:rsid w:val="00693A06"/>
    <w:rsid w:val="00693BA6"/>
    <w:rsid w:val="00693BD9"/>
    <w:rsid w:val="006945A2"/>
    <w:rsid w:val="00694EA8"/>
    <w:rsid w:val="00694EF6"/>
    <w:rsid w:val="0069529E"/>
    <w:rsid w:val="006954FE"/>
    <w:rsid w:val="00695A4B"/>
    <w:rsid w:val="00695FE8"/>
    <w:rsid w:val="006960BA"/>
    <w:rsid w:val="006960DA"/>
    <w:rsid w:val="0069618D"/>
    <w:rsid w:val="006968E8"/>
    <w:rsid w:val="00696AE3"/>
    <w:rsid w:val="00696CE1"/>
    <w:rsid w:val="00696D85"/>
    <w:rsid w:val="00696ED2"/>
    <w:rsid w:val="006970F7"/>
    <w:rsid w:val="00697403"/>
    <w:rsid w:val="00697BB6"/>
    <w:rsid w:val="006A0295"/>
    <w:rsid w:val="006A0494"/>
    <w:rsid w:val="006A0620"/>
    <w:rsid w:val="006A0BF1"/>
    <w:rsid w:val="006A0C24"/>
    <w:rsid w:val="006A11E5"/>
    <w:rsid w:val="006A1304"/>
    <w:rsid w:val="006A1317"/>
    <w:rsid w:val="006A1680"/>
    <w:rsid w:val="006A198B"/>
    <w:rsid w:val="006A1CC7"/>
    <w:rsid w:val="006A1FD1"/>
    <w:rsid w:val="006A24CA"/>
    <w:rsid w:val="006A2F1B"/>
    <w:rsid w:val="006A3937"/>
    <w:rsid w:val="006A3ACB"/>
    <w:rsid w:val="006A427C"/>
    <w:rsid w:val="006A480E"/>
    <w:rsid w:val="006A4877"/>
    <w:rsid w:val="006A4C37"/>
    <w:rsid w:val="006A4D2D"/>
    <w:rsid w:val="006A545A"/>
    <w:rsid w:val="006A5607"/>
    <w:rsid w:val="006A59DA"/>
    <w:rsid w:val="006A5C43"/>
    <w:rsid w:val="006A5D67"/>
    <w:rsid w:val="006A5E99"/>
    <w:rsid w:val="006A5FBD"/>
    <w:rsid w:val="006A7249"/>
    <w:rsid w:val="006A7A9B"/>
    <w:rsid w:val="006A7BA0"/>
    <w:rsid w:val="006A7D47"/>
    <w:rsid w:val="006A7E3D"/>
    <w:rsid w:val="006A7ED7"/>
    <w:rsid w:val="006A7F83"/>
    <w:rsid w:val="006B0227"/>
    <w:rsid w:val="006B0443"/>
    <w:rsid w:val="006B0680"/>
    <w:rsid w:val="006B08A7"/>
    <w:rsid w:val="006B08C0"/>
    <w:rsid w:val="006B0B79"/>
    <w:rsid w:val="006B0F59"/>
    <w:rsid w:val="006B182A"/>
    <w:rsid w:val="006B19BD"/>
    <w:rsid w:val="006B1AA7"/>
    <w:rsid w:val="006B1B17"/>
    <w:rsid w:val="006B1BA4"/>
    <w:rsid w:val="006B1D85"/>
    <w:rsid w:val="006B1F8E"/>
    <w:rsid w:val="006B250E"/>
    <w:rsid w:val="006B251F"/>
    <w:rsid w:val="006B26BA"/>
    <w:rsid w:val="006B30AB"/>
    <w:rsid w:val="006B340F"/>
    <w:rsid w:val="006B352E"/>
    <w:rsid w:val="006B372E"/>
    <w:rsid w:val="006B3BE2"/>
    <w:rsid w:val="006B3EA1"/>
    <w:rsid w:val="006B3F17"/>
    <w:rsid w:val="006B430C"/>
    <w:rsid w:val="006B4367"/>
    <w:rsid w:val="006B4457"/>
    <w:rsid w:val="006B4792"/>
    <w:rsid w:val="006B495F"/>
    <w:rsid w:val="006B4A0E"/>
    <w:rsid w:val="006B4C52"/>
    <w:rsid w:val="006B510F"/>
    <w:rsid w:val="006B514A"/>
    <w:rsid w:val="006B51FF"/>
    <w:rsid w:val="006B5DE2"/>
    <w:rsid w:val="006B5F17"/>
    <w:rsid w:val="006B6068"/>
    <w:rsid w:val="006B66FB"/>
    <w:rsid w:val="006B6714"/>
    <w:rsid w:val="006B6CAA"/>
    <w:rsid w:val="006B6E0B"/>
    <w:rsid w:val="006B703A"/>
    <w:rsid w:val="006B71CB"/>
    <w:rsid w:val="006B7380"/>
    <w:rsid w:val="006B746D"/>
    <w:rsid w:val="006B761A"/>
    <w:rsid w:val="006B771F"/>
    <w:rsid w:val="006B7916"/>
    <w:rsid w:val="006C0400"/>
    <w:rsid w:val="006C05AD"/>
    <w:rsid w:val="006C0806"/>
    <w:rsid w:val="006C0F04"/>
    <w:rsid w:val="006C0F9F"/>
    <w:rsid w:val="006C10D5"/>
    <w:rsid w:val="006C1793"/>
    <w:rsid w:val="006C1886"/>
    <w:rsid w:val="006C1D2F"/>
    <w:rsid w:val="006C1E7B"/>
    <w:rsid w:val="006C2464"/>
    <w:rsid w:val="006C2A17"/>
    <w:rsid w:val="006C2D34"/>
    <w:rsid w:val="006C3147"/>
    <w:rsid w:val="006C35F7"/>
    <w:rsid w:val="006C3657"/>
    <w:rsid w:val="006C3AD1"/>
    <w:rsid w:val="006C3B46"/>
    <w:rsid w:val="006C3EBD"/>
    <w:rsid w:val="006C410A"/>
    <w:rsid w:val="006C44E9"/>
    <w:rsid w:val="006C4523"/>
    <w:rsid w:val="006C46B9"/>
    <w:rsid w:val="006C48FE"/>
    <w:rsid w:val="006C5007"/>
    <w:rsid w:val="006C502D"/>
    <w:rsid w:val="006C580D"/>
    <w:rsid w:val="006C5BF0"/>
    <w:rsid w:val="006C5F1D"/>
    <w:rsid w:val="006C5F9B"/>
    <w:rsid w:val="006C60CC"/>
    <w:rsid w:val="006C65F2"/>
    <w:rsid w:val="006C6B22"/>
    <w:rsid w:val="006C7228"/>
    <w:rsid w:val="006C75A9"/>
    <w:rsid w:val="006C76C6"/>
    <w:rsid w:val="006C79ED"/>
    <w:rsid w:val="006C7AE6"/>
    <w:rsid w:val="006C7CB4"/>
    <w:rsid w:val="006D02EC"/>
    <w:rsid w:val="006D0F2D"/>
    <w:rsid w:val="006D11CD"/>
    <w:rsid w:val="006D145E"/>
    <w:rsid w:val="006D182F"/>
    <w:rsid w:val="006D19E1"/>
    <w:rsid w:val="006D19F4"/>
    <w:rsid w:val="006D1DBA"/>
    <w:rsid w:val="006D1F2B"/>
    <w:rsid w:val="006D2367"/>
    <w:rsid w:val="006D23CC"/>
    <w:rsid w:val="006D24BD"/>
    <w:rsid w:val="006D263D"/>
    <w:rsid w:val="006D2846"/>
    <w:rsid w:val="006D298F"/>
    <w:rsid w:val="006D31DE"/>
    <w:rsid w:val="006D3377"/>
    <w:rsid w:val="006D3548"/>
    <w:rsid w:val="006D360E"/>
    <w:rsid w:val="006D37BB"/>
    <w:rsid w:val="006D45AF"/>
    <w:rsid w:val="006D48A8"/>
    <w:rsid w:val="006D4A0F"/>
    <w:rsid w:val="006D4E80"/>
    <w:rsid w:val="006D4F94"/>
    <w:rsid w:val="006D4FC0"/>
    <w:rsid w:val="006D5274"/>
    <w:rsid w:val="006D528C"/>
    <w:rsid w:val="006D528E"/>
    <w:rsid w:val="006D584A"/>
    <w:rsid w:val="006D59D4"/>
    <w:rsid w:val="006D65C0"/>
    <w:rsid w:val="006D6949"/>
    <w:rsid w:val="006D6B57"/>
    <w:rsid w:val="006D6E73"/>
    <w:rsid w:val="006D791E"/>
    <w:rsid w:val="006D7AA1"/>
    <w:rsid w:val="006E0859"/>
    <w:rsid w:val="006E0BD2"/>
    <w:rsid w:val="006E0F1D"/>
    <w:rsid w:val="006E10A7"/>
    <w:rsid w:val="006E119E"/>
    <w:rsid w:val="006E1391"/>
    <w:rsid w:val="006E1419"/>
    <w:rsid w:val="006E1565"/>
    <w:rsid w:val="006E1581"/>
    <w:rsid w:val="006E160F"/>
    <w:rsid w:val="006E168D"/>
    <w:rsid w:val="006E16F7"/>
    <w:rsid w:val="006E186C"/>
    <w:rsid w:val="006E195C"/>
    <w:rsid w:val="006E1A37"/>
    <w:rsid w:val="006E1E80"/>
    <w:rsid w:val="006E2022"/>
    <w:rsid w:val="006E22BF"/>
    <w:rsid w:val="006E2319"/>
    <w:rsid w:val="006E267C"/>
    <w:rsid w:val="006E285B"/>
    <w:rsid w:val="006E2907"/>
    <w:rsid w:val="006E297D"/>
    <w:rsid w:val="006E2C37"/>
    <w:rsid w:val="006E2E32"/>
    <w:rsid w:val="006E301B"/>
    <w:rsid w:val="006E307C"/>
    <w:rsid w:val="006E30D3"/>
    <w:rsid w:val="006E3253"/>
    <w:rsid w:val="006E3582"/>
    <w:rsid w:val="006E3659"/>
    <w:rsid w:val="006E390D"/>
    <w:rsid w:val="006E3AB5"/>
    <w:rsid w:val="006E3C0A"/>
    <w:rsid w:val="006E3DF6"/>
    <w:rsid w:val="006E3E8A"/>
    <w:rsid w:val="006E40DF"/>
    <w:rsid w:val="006E4419"/>
    <w:rsid w:val="006E4499"/>
    <w:rsid w:val="006E449E"/>
    <w:rsid w:val="006E4B77"/>
    <w:rsid w:val="006E4BB9"/>
    <w:rsid w:val="006E4D9C"/>
    <w:rsid w:val="006E53DB"/>
    <w:rsid w:val="006E5459"/>
    <w:rsid w:val="006E54C9"/>
    <w:rsid w:val="006E5857"/>
    <w:rsid w:val="006E5D7E"/>
    <w:rsid w:val="006E609D"/>
    <w:rsid w:val="006E6137"/>
    <w:rsid w:val="006E6A81"/>
    <w:rsid w:val="006E6D4B"/>
    <w:rsid w:val="006E71B9"/>
    <w:rsid w:val="006E7688"/>
    <w:rsid w:val="006E7735"/>
    <w:rsid w:val="006E7946"/>
    <w:rsid w:val="006E7C6F"/>
    <w:rsid w:val="006F039D"/>
    <w:rsid w:val="006F0A88"/>
    <w:rsid w:val="006F0C11"/>
    <w:rsid w:val="006F0DC7"/>
    <w:rsid w:val="006F0F70"/>
    <w:rsid w:val="006F0F73"/>
    <w:rsid w:val="006F1296"/>
    <w:rsid w:val="006F13C6"/>
    <w:rsid w:val="006F1614"/>
    <w:rsid w:val="006F19C1"/>
    <w:rsid w:val="006F1A19"/>
    <w:rsid w:val="006F209F"/>
    <w:rsid w:val="006F2417"/>
    <w:rsid w:val="006F25A1"/>
    <w:rsid w:val="006F2A1C"/>
    <w:rsid w:val="006F2C4D"/>
    <w:rsid w:val="006F2D56"/>
    <w:rsid w:val="006F2F5B"/>
    <w:rsid w:val="006F4095"/>
    <w:rsid w:val="006F4129"/>
    <w:rsid w:val="006F4776"/>
    <w:rsid w:val="006F4B24"/>
    <w:rsid w:val="006F4B6A"/>
    <w:rsid w:val="006F4BAF"/>
    <w:rsid w:val="006F4DCD"/>
    <w:rsid w:val="006F5353"/>
    <w:rsid w:val="006F58B5"/>
    <w:rsid w:val="006F593D"/>
    <w:rsid w:val="006F5D94"/>
    <w:rsid w:val="006F5FEC"/>
    <w:rsid w:val="006F665C"/>
    <w:rsid w:val="006F68FC"/>
    <w:rsid w:val="006F69A7"/>
    <w:rsid w:val="006F6A18"/>
    <w:rsid w:val="006F71EF"/>
    <w:rsid w:val="006F7382"/>
    <w:rsid w:val="006F73F0"/>
    <w:rsid w:val="006F7529"/>
    <w:rsid w:val="006F79BC"/>
    <w:rsid w:val="006F7C68"/>
    <w:rsid w:val="0070022B"/>
    <w:rsid w:val="007004BE"/>
    <w:rsid w:val="007006F7"/>
    <w:rsid w:val="00700765"/>
    <w:rsid w:val="0070076E"/>
    <w:rsid w:val="00700C38"/>
    <w:rsid w:val="00700ED0"/>
    <w:rsid w:val="00700FBF"/>
    <w:rsid w:val="0070105C"/>
    <w:rsid w:val="0070111D"/>
    <w:rsid w:val="00701898"/>
    <w:rsid w:val="00701B7D"/>
    <w:rsid w:val="00701DB4"/>
    <w:rsid w:val="00702241"/>
    <w:rsid w:val="0070263D"/>
    <w:rsid w:val="00702A62"/>
    <w:rsid w:val="00702D51"/>
    <w:rsid w:val="00702DFB"/>
    <w:rsid w:val="00702E5D"/>
    <w:rsid w:val="00702F3F"/>
    <w:rsid w:val="00703682"/>
    <w:rsid w:val="0070371C"/>
    <w:rsid w:val="00703A22"/>
    <w:rsid w:val="00703B32"/>
    <w:rsid w:val="007042F7"/>
    <w:rsid w:val="00704446"/>
    <w:rsid w:val="00704564"/>
    <w:rsid w:val="00705262"/>
    <w:rsid w:val="00705441"/>
    <w:rsid w:val="0070595E"/>
    <w:rsid w:val="00705BAE"/>
    <w:rsid w:val="00706029"/>
    <w:rsid w:val="00706347"/>
    <w:rsid w:val="007063C4"/>
    <w:rsid w:val="007067E6"/>
    <w:rsid w:val="00706D1B"/>
    <w:rsid w:val="007070C5"/>
    <w:rsid w:val="0070759D"/>
    <w:rsid w:val="00707AB4"/>
    <w:rsid w:val="007101F7"/>
    <w:rsid w:val="007103B3"/>
    <w:rsid w:val="0071052A"/>
    <w:rsid w:val="00710974"/>
    <w:rsid w:val="00710D30"/>
    <w:rsid w:val="00710FEB"/>
    <w:rsid w:val="007110B7"/>
    <w:rsid w:val="007111BE"/>
    <w:rsid w:val="007113B1"/>
    <w:rsid w:val="00711943"/>
    <w:rsid w:val="00711FE4"/>
    <w:rsid w:val="00712195"/>
    <w:rsid w:val="00712383"/>
    <w:rsid w:val="007124B3"/>
    <w:rsid w:val="00712CF3"/>
    <w:rsid w:val="00712D15"/>
    <w:rsid w:val="007131EA"/>
    <w:rsid w:val="007136A3"/>
    <w:rsid w:val="0071396D"/>
    <w:rsid w:val="0071445C"/>
    <w:rsid w:val="00714FC2"/>
    <w:rsid w:val="00714FC9"/>
    <w:rsid w:val="007153EC"/>
    <w:rsid w:val="00715AD5"/>
    <w:rsid w:val="007161F6"/>
    <w:rsid w:val="0071625A"/>
    <w:rsid w:val="00716918"/>
    <w:rsid w:val="00716D34"/>
    <w:rsid w:val="00716F02"/>
    <w:rsid w:val="00717068"/>
    <w:rsid w:val="007174DF"/>
    <w:rsid w:val="00717A0C"/>
    <w:rsid w:val="00717AA3"/>
    <w:rsid w:val="00717BD8"/>
    <w:rsid w:val="00720178"/>
    <w:rsid w:val="007203EC"/>
    <w:rsid w:val="007206E2"/>
    <w:rsid w:val="007210FE"/>
    <w:rsid w:val="00721155"/>
    <w:rsid w:val="00721209"/>
    <w:rsid w:val="0072173B"/>
    <w:rsid w:val="007219DE"/>
    <w:rsid w:val="00722027"/>
    <w:rsid w:val="00722700"/>
    <w:rsid w:val="00722D21"/>
    <w:rsid w:val="0072322A"/>
    <w:rsid w:val="0072376E"/>
    <w:rsid w:val="00723884"/>
    <w:rsid w:val="007238A9"/>
    <w:rsid w:val="00723B04"/>
    <w:rsid w:val="00723F10"/>
    <w:rsid w:val="00723F69"/>
    <w:rsid w:val="0072488B"/>
    <w:rsid w:val="00724C3D"/>
    <w:rsid w:val="00724CD5"/>
    <w:rsid w:val="0072516C"/>
    <w:rsid w:val="007251FA"/>
    <w:rsid w:val="0072533E"/>
    <w:rsid w:val="007253FC"/>
    <w:rsid w:val="00725444"/>
    <w:rsid w:val="007256E9"/>
    <w:rsid w:val="007258F5"/>
    <w:rsid w:val="00725A4E"/>
    <w:rsid w:val="00725A58"/>
    <w:rsid w:val="00725D80"/>
    <w:rsid w:val="00725D91"/>
    <w:rsid w:val="00725DB7"/>
    <w:rsid w:val="007260E7"/>
    <w:rsid w:val="00726590"/>
    <w:rsid w:val="00726C41"/>
    <w:rsid w:val="00727997"/>
    <w:rsid w:val="007279FD"/>
    <w:rsid w:val="00727AE6"/>
    <w:rsid w:val="00727B39"/>
    <w:rsid w:val="00730241"/>
    <w:rsid w:val="00730320"/>
    <w:rsid w:val="00730398"/>
    <w:rsid w:val="00730884"/>
    <w:rsid w:val="00730E03"/>
    <w:rsid w:val="00731AD1"/>
    <w:rsid w:val="00732030"/>
    <w:rsid w:val="00732038"/>
    <w:rsid w:val="007325C9"/>
    <w:rsid w:val="00732681"/>
    <w:rsid w:val="00733964"/>
    <w:rsid w:val="00733D94"/>
    <w:rsid w:val="00734238"/>
    <w:rsid w:val="007343B9"/>
    <w:rsid w:val="007345A3"/>
    <w:rsid w:val="007346E2"/>
    <w:rsid w:val="00734BEB"/>
    <w:rsid w:val="00734C7F"/>
    <w:rsid w:val="00734FB9"/>
    <w:rsid w:val="00735052"/>
    <w:rsid w:val="00735717"/>
    <w:rsid w:val="00735A50"/>
    <w:rsid w:val="00735D8B"/>
    <w:rsid w:val="0073640E"/>
    <w:rsid w:val="007366E5"/>
    <w:rsid w:val="00736953"/>
    <w:rsid w:val="00736E4F"/>
    <w:rsid w:val="00736F99"/>
    <w:rsid w:val="007376F8"/>
    <w:rsid w:val="0073789A"/>
    <w:rsid w:val="007379C5"/>
    <w:rsid w:val="00737F14"/>
    <w:rsid w:val="00737F83"/>
    <w:rsid w:val="00740250"/>
    <w:rsid w:val="00740718"/>
    <w:rsid w:val="0074081D"/>
    <w:rsid w:val="00740C17"/>
    <w:rsid w:val="00740D46"/>
    <w:rsid w:val="00740DE5"/>
    <w:rsid w:val="00740E86"/>
    <w:rsid w:val="00740EF0"/>
    <w:rsid w:val="00741920"/>
    <w:rsid w:val="007419C6"/>
    <w:rsid w:val="00741F4A"/>
    <w:rsid w:val="00742277"/>
    <w:rsid w:val="0074244B"/>
    <w:rsid w:val="007424B5"/>
    <w:rsid w:val="00742790"/>
    <w:rsid w:val="00742ADA"/>
    <w:rsid w:val="00742D83"/>
    <w:rsid w:val="00742E13"/>
    <w:rsid w:val="007435B5"/>
    <w:rsid w:val="00743745"/>
    <w:rsid w:val="00743845"/>
    <w:rsid w:val="00743C2C"/>
    <w:rsid w:val="00743DBC"/>
    <w:rsid w:val="007440B1"/>
    <w:rsid w:val="007441F9"/>
    <w:rsid w:val="00744B4E"/>
    <w:rsid w:val="00745043"/>
    <w:rsid w:val="007452D9"/>
    <w:rsid w:val="007452EA"/>
    <w:rsid w:val="0074595C"/>
    <w:rsid w:val="00745B07"/>
    <w:rsid w:val="00745D40"/>
    <w:rsid w:val="00745DD6"/>
    <w:rsid w:val="00745F8A"/>
    <w:rsid w:val="007461C7"/>
    <w:rsid w:val="00746761"/>
    <w:rsid w:val="00746A1A"/>
    <w:rsid w:val="00746A90"/>
    <w:rsid w:val="00746C00"/>
    <w:rsid w:val="00746F0E"/>
    <w:rsid w:val="00746F5F"/>
    <w:rsid w:val="0074733B"/>
    <w:rsid w:val="007473A9"/>
    <w:rsid w:val="00747451"/>
    <w:rsid w:val="00747843"/>
    <w:rsid w:val="00747865"/>
    <w:rsid w:val="0074789C"/>
    <w:rsid w:val="00747B8A"/>
    <w:rsid w:val="007502BF"/>
    <w:rsid w:val="00750A72"/>
    <w:rsid w:val="00750B55"/>
    <w:rsid w:val="00750BCC"/>
    <w:rsid w:val="0075119A"/>
    <w:rsid w:val="0075135E"/>
    <w:rsid w:val="007518D8"/>
    <w:rsid w:val="00751961"/>
    <w:rsid w:val="00751C06"/>
    <w:rsid w:val="0075235C"/>
    <w:rsid w:val="0075237E"/>
    <w:rsid w:val="00752442"/>
    <w:rsid w:val="00752443"/>
    <w:rsid w:val="00752517"/>
    <w:rsid w:val="00752C0B"/>
    <w:rsid w:val="0075352D"/>
    <w:rsid w:val="007535E8"/>
    <w:rsid w:val="007537F0"/>
    <w:rsid w:val="0075389C"/>
    <w:rsid w:val="00753AA3"/>
    <w:rsid w:val="00753FB3"/>
    <w:rsid w:val="00754158"/>
    <w:rsid w:val="0075449A"/>
    <w:rsid w:val="007547D2"/>
    <w:rsid w:val="00754D86"/>
    <w:rsid w:val="00754F0B"/>
    <w:rsid w:val="0075506B"/>
    <w:rsid w:val="007556E2"/>
    <w:rsid w:val="00755AA0"/>
    <w:rsid w:val="00755BA6"/>
    <w:rsid w:val="00756E6E"/>
    <w:rsid w:val="00756E9E"/>
    <w:rsid w:val="00756EA3"/>
    <w:rsid w:val="00757036"/>
    <w:rsid w:val="0075735A"/>
    <w:rsid w:val="007576B3"/>
    <w:rsid w:val="00760007"/>
    <w:rsid w:val="0076007C"/>
    <w:rsid w:val="0076155A"/>
    <w:rsid w:val="00761BAE"/>
    <w:rsid w:val="00761F42"/>
    <w:rsid w:val="0076257C"/>
    <w:rsid w:val="00762947"/>
    <w:rsid w:val="0076295F"/>
    <w:rsid w:val="00762CBF"/>
    <w:rsid w:val="00762D43"/>
    <w:rsid w:val="0076315D"/>
    <w:rsid w:val="007635F7"/>
    <w:rsid w:val="007636F3"/>
    <w:rsid w:val="007637C9"/>
    <w:rsid w:val="007637E8"/>
    <w:rsid w:val="0076419B"/>
    <w:rsid w:val="007646CD"/>
    <w:rsid w:val="0076485D"/>
    <w:rsid w:val="00764AC0"/>
    <w:rsid w:val="00764F4D"/>
    <w:rsid w:val="00765083"/>
    <w:rsid w:val="00765961"/>
    <w:rsid w:val="00765AEE"/>
    <w:rsid w:val="00765E41"/>
    <w:rsid w:val="00765EE3"/>
    <w:rsid w:val="00765EFB"/>
    <w:rsid w:val="0076634F"/>
    <w:rsid w:val="00766827"/>
    <w:rsid w:val="00766C09"/>
    <w:rsid w:val="00766ECC"/>
    <w:rsid w:val="0076701A"/>
    <w:rsid w:val="007670EA"/>
    <w:rsid w:val="007673BD"/>
    <w:rsid w:val="007676C2"/>
    <w:rsid w:val="00767955"/>
    <w:rsid w:val="007703BC"/>
    <w:rsid w:val="007704D6"/>
    <w:rsid w:val="00770536"/>
    <w:rsid w:val="00770551"/>
    <w:rsid w:val="00770BD1"/>
    <w:rsid w:val="00770FB3"/>
    <w:rsid w:val="00771931"/>
    <w:rsid w:val="00771C7D"/>
    <w:rsid w:val="007725FE"/>
    <w:rsid w:val="0077293B"/>
    <w:rsid w:val="00772A1D"/>
    <w:rsid w:val="00772CDD"/>
    <w:rsid w:val="00773007"/>
    <w:rsid w:val="00773157"/>
    <w:rsid w:val="007731EB"/>
    <w:rsid w:val="00773268"/>
    <w:rsid w:val="00773287"/>
    <w:rsid w:val="00773381"/>
    <w:rsid w:val="00773A81"/>
    <w:rsid w:val="00773B8D"/>
    <w:rsid w:val="00773C88"/>
    <w:rsid w:val="007741DF"/>
    <w:rsid w:val="00774A61"/>
    <w:rsid w:val="00774AB5"/>
    <w:rsid w:val="00775045"/>
    <w:rsid w:val="007752AD"/>
    <w:rsid w:val="007757A7"/>
    <w:rsid w:val="00775BE9"/>
    <w:rsid w:val="007761EE"/>
    <w:rsid w:val="007766AE"/>
    <w:rsid w:val="00776B08"/>
    <w:rsid w:val="00776C03"/>
    <w:rsid w:val="00776F1F"/>
    <w:rsid w:val="0077720A"/>
    <w:rsid w:val="007777C2"/>
    <w:rsid w:val="00777AB6"/>
    <w:rsid w:val="00777C3A"/>
    <w:rsid w:val="00777C70"/>
    <w:rsid w:val="0078046D"/>
    <w:rsid w:val="00780698"/>
    <w:rsid w:val="00780C3F"/>
    <w:rsid w:val="007817CD"/>
    <w:rsid w:val="00781E26"/>
    <w:rsid w:val="00782359"/>
    <w:rsid w:val="007824F1"/>
    <w:rsid w:val="00782866"/>
    <w:rsid w:val="0078287B"/>
    <w:rsid w:val="00782E62"/>
    <w:rsid w:val="007836AD"/>
    <w:rsid w:val="00783BE8"/>
    <w:rsid w:val="00783FD6"/>
    <w:rsid w:val="007843BC"/>
    <w:rsid w:val="00784603"/>
    <w:rsid w:val="0078476E"/>
    <w:rsid w:val="0078488D"/>
    <w:rsid w:val="007849A9"/>
    <w:rsid w:val="00784FA5"/>
    <w:rsid w:val="007856E1"/>
    <w:rsid w:val="0078570C"/>
    <w:rsid w:val="00785BFE"/>
    <w:rsid w:val="00785D07"/>
    <w:rsid w:val="0078621F"/>
    <w:rsid w:val="00786890"/>
    <w:rsid w:val="00786A88"/>
    <w:rsid w:val="00787116"/>
    <w:rsid w:val="007872AC"/>
    <w:rsid w:val="0078758C"/>
    <w:rsid w:val="00787819"/>
    <w:rsid w:val="00787ADB"/>
    <w:rsid w:val="00787CD6"/>
    <w:rsid w:val="007900AC"/>
    <w:rsid w:val="007904C0"/>
    <w:rsid w:val="00790861"/>
    <w:rsid w:val="007909A0"/>
    <w:rsid w:val="007909AB"/>
    <w:rsid w:val="007909CC"/>
    <w:rsid w:val="00790A8A"/>
    <w:rsid w:val="0079105F"/>
    <w:rsid w:val="007915CD"/>
    <w:rsid w:val="007917C9"/>
    <w:rsid w:val="0079188A"/>
    <w:rsid w:val="00791A05"/>
    <w:rsid w:val="00791ED9"/>
    <w:rsid w:val="00792009"/>
    <w:rsid w:val="00792562"/>
    <w:rsid w:val="00792CFB"/>
    <w:rsid w:val="00793120"/>
    <w:rsid w:val="007934CB"/>
    <w:rsid w:val="007935B0"/>
    <w:rsid w:val="00793929"/>
    <w:rsid w:val="00794232"/>
    <w:rsid w:val="00794289"/>
    <w:rsid w:val="0079489D"/>
    <w:rsid w:val="007954E1"/>
    <w:rsid w:val="00795774"/>
    <w:rsid w:val="00795AA5"/>
    <w:rsid w:val="00795D2C"/>
    <w:rsid w:val="007964DD"/>
    <w:rsid w:val="00796CC2"/>
    <w:rsid w:val="00796D48"/>
    <w:rsid w:val="00796D64"/>
    <w:rsid w:val="00796E93"/>
    <w:rsid w:val="00797047"/>
    <w:rsid w:val="007970C5"/>
    <w:rsid w:val="00797410"/>
    <w:rsid w:val="0079772B"/>
    <w:rsid w:val="00797A23"/>
    <w:rsid w:val="007A00BB"/>
    <w:rsid w:val="007A00D6"/>
    <w:rsid w:val="007A01F5"/>
    <w:rsid w:val="007A0584"/>
    <w:rsid w:val="007A09B0"/>
    <w:rsid w:val="007A09E5"/>
    <w:rsid w:val="007A0F62"/>
    <w:rsid w:val="007A17DE"/>
    <w:rsid w:val="007A1891"/>
    <w:rsid w:val="007A189A"/>
    <w:rsid w:val="007A1B5E"/>
    <w:rsid w:val="007A1BF9"/>
    <w:rsid w:val="007A1BFA"/>
    <w:rsid w:val="007A2AF6"/>
    <w:rsid w:val="007A33E3"/>
    <w:rsid w:val="007A3672"/>
    <w:rsid w:val="007A4368"/>
    <w:rsid w:val="007A44AE"/>
    <w:rsid w:val="007A4F7F"/>
    <w:rsid w:val="007A500E"/>
    <w:rsid w:val="007A524A"/>
    <w:rsid w:val="007A566F"/>
    <w:rsid w:val="007A5936"/>
    <w:rsid w:val="007A6444"/>
    <w:rsid w:val="007A648A"/>
    <w:rsid w:val="007A6598"/>
    <w:rsid w:val="007A6626"/>
    <w:rsid w:val="007A667D"/>
    <w:rsid w:val="007A6A33"/>
    <w:rsid w:val="007A6BEB"/>
    <w:rsid w:val="007A7029"/>
    <w:rsid w:val="007A7393"/>
    <w:rsid w:val="007A7645"/>
    <w:rsid w:val="007A76E8"/>
    <w:rsid w:val="007A7752"/>
    <w:rsid w:val="007A7A9D"/>
    <w:rsid w:val="007A7B1D"/>
    <w:rsid w:val="007A7D16"/>
    <w:rsid w:val="007B022D"/>
    <w:rsid w:val="007B03E8"/>
    <w:rsid w:val="007B082E"/>
    <w:rsid w:val="007B0A6F"/>
    <w:rsid w:val="007B143B"/>
    <w:rsid w:val="007B1979"/>
    <w:rsid w:val="007B1AD5"/>
    <w:rsid w:val="007B1F21"/>
    <w:rsid w:val="007B201A"/>
    <w:rsid w:val="007B23EC"/>
    <w:rsid w:val="007B2551"/>
    <w:rsid w:val="007B261D"/>
    <w:rsid w:val="007B26BF"/>
    <w:rsid w:val="007B280C"/>
    <w:rsid w:val="007B2CCC"/>
    <w:rsid w:val="007B2E7B"/>
    <w:rsid w:val="007B2F1C"/>
    <w:rsid w:val="007B30D8"/>
    <w:rsid w:val="007B3182"/>
    <w:rsid w:val="007B36CE"/>
    <w:rsid w:val="007B376D"/>
    <w:rsid w:val="007B3ABA"/>
    <w:rsid w:val="007B3D68"/>
    <w:rsid w:val="007B3F1C"/>
    <w:rsid w:val="007B3F93"/>
    <w:rsid w:val="007B4742"/>
    <w:rsid w:val="007B49A1"/>
    <w:rsid w:val="007B49A6"/>
    <w:rsid w:val="007B49BB"/>
    <w:rsid w:val="007B4CDA"/>
    <w:rsid w:val="007B4FF1"/>
    <w:rsid w:val="007B550A"/>
    <w:rsid w:val="007B5B9D"/>
    <w:rsid w:val="007B5E51"/>
    <w:rsid w:val="007B6397"/>
    <w:rsid w:val="007B6CBD"/>
    <w:rsid w:val="007B6EB9"/>
    <w:rsid w:val="007B7268"/>
    <w:rsid w:val="007B72A4"/>
    <w:rsid w:val="007B77DA"/>
    <w:rsid w:val="007B7BCE"/>
    <w:rsid w:val="007B7CA6"/>
    <w:rsid w:val="007B7E81"/>
    <w:rsid w:val="007B7ED1"/>
    <w:rsid w:val="007C00C4"/>
    <w:rsid w:val="007C02A9"/>
    <w:rsid w:val="007C02C1"/>
    <w:rsid w:val="007C097B"/>
    <w:rsid w:val="007C0D0B"/>
    <w:rsid w:val="007C0E22"/>
    <w:rsid w:val="007C11D3"/>
    <w:rsid w:val="007C11D5"/>
    <w:rsid w:val="007C148A"/>
    <w:rsid w:val="007C181F"/>
    <w:rsid w:val="007C1D7B"/>
    <w:rsid w:val="007C2060"/>
    <w:rsid w:val="007C20CB"/>
    <w:rsid w:val="007C2143"/>
    <w:rsid w:val="007C26D2"/>
    <w:rsid w:val="007C2A89"/>
    <w:rsid w:val="007C325A"/>
    <w:rsid w:val="007C35BE"/>
    <w:rsid w:val="007C3792"/>
    <w:rsid w:val="007C3968"/>
    <w:rsid w:val="007C3D2F"/>
    <w:rsid w:val="007C3E2D"/>
    <w:rsid w:val="007C3E68"/>
    <w:rsid w:val="007C3EA2"/>
    <w:rsid w:val="007C432A"/>
    <w:rsid w:val="007C4497"/>
    <w:rsid w:val="007C44A0"/>
    <w:rsid w:val="007C4762"/>
    <w:rsid w:val="007C48BA"/>
    <w:rsid w:val="007C4F42"/>
    <w:rsid w:val="007C567C"/>
    <w:rsid w:val="007C59EE"/>
    <w:rsid w:val="007C5A84"/>
    <w:rsid w:val="007C5C42"/>
    <w:rsid w:val="007C6202"/>
    <w:rsid w:val="007C6914"/>
    <w:rsid w:val="007C6AE6"/>
    <w:rsid w:val="007C730A"/>
    <w:rsid w:val="007C786F"/>
    <w:rsid w:val="007C7E96"/>
    <w:rsid w:val="007D0742"/>
    <w:rsid w:val="007D0813"/>
    <w:rsid w:val="007D0E38"/>
    <w:rsid w:val="007D1B5D"/>
    <w:rsid w:val="007D1C1B"/>
    <w:rsid w:val="007D2103"/>
    <w:rsid w:val="007D25E2"/>
    <w:rsid w:val="007D2816"/>
    <w:rsid w:val="007D2856"/>
    <w:rsid w:val="007D2A70"/>
    <w:rsid w:val="007D2B38"/>
    <w:rsid w:val="007D2D35"/>
    <w:rsid w:val="007D2E9D"/>
    <w:rsid w:val="007D2EFD"/>
    <w:rsid w:val="007D3724"/>
    <w:rsid w:val="007D3733"/>
    <w:rsid w:val="007D3E3A"/>
    <w:rsid w:val="007D3EA1"/>
    <w:rsid w:val="007D3ED8"/>
    <w:rsid w:val="007D3FD9"/>
    <w:rsid w:val="007D460D"/>
    <w:rsid w:val="007D4FA7"/>
    <w:rsid w:val="007D5996"/>
    <w:rsid w:val="007D5AC5"/>
    <w:rsid w:val="007D5EC7"/>
    <w:rsid w:val="007D609F"/>
    <w:rsid w:val="007D6529"/>
    <w:rsid w:val="007D7949"/>
    <w:rsid w:val="007D7F19"/>
    <w:rsid w:val="007E03AE"/>
    <w:rsid w:val="007E0468"/>
    <w:rsid w:val="007E0756"/>
    <w:rsid w:val="007E0A49"/>
    <w:rsid w:val="007E0C81"/>
    <w:rsid w:val="007E0CE0"/>
    <w:rsid w:val="007E0D79"/>
    <w:rsid w:val="007E0E0D"/>
    <w:rsid w:val="007E0FA8"/>
    <w:rsid w:val="007E12EC"/>
    <w:rsid w:val="007E1441"/>
    <w:rsid w:val="007E19C5"/>
    <w:rsid w:val="007E1A5A"/>
    <w:rsid w:val="007E1A60"/>
    <w:rsid w:val="007E1B0F"/>
    <w:rsid w:val="007E1EB7"/>
    <w:rsid w:val="007E24F1"/>
    <w:rsid w:val="007E2603"/>
    <w:rsid w:val="007E2AE0"/>
    <w:rsid w:val="007E2E47"/>
    <w:rsid w:val="007E2F1D"/>
    <w:rsid w:val="007E3207"/>
    <w:rsid w:val="007E32DC"/>
    <w:rsid w:val="007E34E0"/>
    <w:rsid w:val="007E374C"/>
    <w:rsid w:val="007E37F8"/>
    <w:rsid w:val="007E3953"/>
    <w:rsid w:val="007E39DD"/>
    <w:rsid w:val="007E3E8A"/>
    <w:rsid w:val="007E4876"/>
    <w:rsid w:val="007E4C53"/>
    <w:rsid w:val="007E4F50"/>
    <w:rsid w:val="007E52D1"/>
    <w:rsid w:val="007E5528"/>
    <w:rsid w:val="007E59C3"/>
    <w:rsid w:val="007E5AEF"/>
    <w:rsid w:val="007E5BC6"/>
    <w:rsid w:val="007E5F28"/>
    <w:rsid w:val="007E629A"/>
    <w:rsid w:val="007E6359"/>
    <w:rsid w:val="007E65E0"/>
    <w:rsid w:val="007E6BEC"/>
    <w:rsid w:val="007E6F52"/>
    <w:rsid w:val="007E6FA5"/>
    <w:rsid w:val="007E7260"/>
    <w:rsid w:val="007E731A"/>
    <w:rsid w:val="007E7754"/>
    <w:rsid w:val="007E77F0"/>
    <w:rsid w:val="007E786D"/>
    <w:rsid w:val="007E7BEC"/>
    <w:rsid w:val="007E7DA1"/>
    <w:rsid w:val="007F0168"/>
    <w:rsid w:val="007F038D"/>
    <w:rsid w:val="007F0E1F"/>
    <w:rsid w:val="007F122A"/>
    <w:rsid w:val="007F1431"/>
    <w:rsid w:val="007F1497"/>
    <w:rsid w:val="007F1754"/>
    <w:rsid w:val="007F17E5"/>
    <w:rsid w:val="007F1CAC"/>
    <w:rsid w:val="007F1CBD"/>
    <w:rsid w:val="007F223C"/>
    <w:rsid w:val="007F23A9"/>
    <w:rsid w:val="007F242D"/>
    <w:rsid w:val="007F273D"/>
    <w:rsid w:val="007F2871"/>
    <w:rsid w:val="007F2AB4"/>
    <w:rsid w:val="007F2CDB"/>
    <w:rsid w:val="007F2D99"/>
    <w:rsid w:val="007F2FB3"/>
    <w:rsid w:val="007F3389"/>
    <w:rsid w:val="007F350B"/>
    <w:rsid w:val="007F35A8"/>
    <w:rsid w:val="007F383D"/>
    <w:rsid w:val="007F3AB9"/>
    <w:rsid w:val="007F3ACD"/>
    <w:rsid w:val="007F3E00"/>
    <w:rsid w:val="007F3E59"/>
    <w:rsid w:val="007F3F32"/>
    <w:rsid w:val="007F3F3C"/>
    <w:rsid w:val="007F4373"/>
    <w:rsid w:val="007F4433"/>
    <w:rsid w:val="007F4AAA"/>
    <w:rsid w:val="007F4C09"/>
    <w:rsid w:val="007F4C87"/>
    <w:rsid w:val="007F4F8A"/>
    <w:rsid w:val="007F50E1"/>
    <w:rsid w:val="007F553C"/>
    <w:rsid w:val="007F56F0"/>
    <w:rsid w:val="007F5CC8"/>
    <w:rsid w:val="007F5FB5"/>
    <w:rsid w:val="007F65F5"/>
    <w:rsid w:val="007F69EA"/>
    <w:rsid w:val="007F6F31"/>
    <w:rsid w:val="007F717A"/>
    <w:rsid w:val="007F75ED"/>
    <w:rsid w:val="007F7607"/>
    <w:rsid w:val="007F7D83"/>
    <w:rsid w:val="00800057"/>
    <w:rsid w:val="008002A6"/>
    <w:rsid w:val="00800B2D"/>
    <w:rsid w:val="00800F92"/>
    <w:rsid w:val="00801052"/>
    <w:rsid w:val="00801174"/>
    <w:rsid w:val="008011E6"/>
    <w:rsid w:val="0080133F"/>
    <w:rsid w:val="00801628"/>
    <w:rsid w:val="00801FEB"/>
    <w:rsid w:val="00802979"/>
    <w:rsid w:val="0080344E"/>
    <w:rsid w:val="00803AD1"/>
    <w:rsid w:val="00803F43"/>
    <w:rsid w:val="00803F9E"/>
    <w:rsid w:val="008048E0"/>
    <w:rsid w:val="008048FD"/>
    <w:rsid w:val="0080494E"/>
    <w:rsid w:val="0080498F"/>
    <w:rsid w:val="008049D2"/>
    <w:rsid w:val="008051EB"/>
    <w:rsid w:val="00806825"/>
    <w:rsid w:val="00806F25"/>
    <w:rsid w:val="00810990"/>
    <w:rsid w:val="00810B8A"/>
    <w:rsid w:val="00810DAA"/>
    <w:rsid w:val="008116B4"/>
    <w:rsid w:val="00811A2C"/>
    <w:rsid w:val="00811AD8"/>
    <w:rsid w:val="00811C88"/>
    <w:rsid w:val="00811E7F"/>
    <w:rsid w:val="0081226F"/>
    <w:rsid w:val="008122D1"/>
    <w:rsid w:val="00812B5D"/>
    <w:rsid w:val="00812BE7"/>
    <w:rsid w:val="0081314C"/>
    <w:rsid w:val="00813707"/>
    <w:rsid w:val="00813EF8"/>
    <w:rsid w:val="00813FD4"/>
    <w:rsid w:val="0081429B"/>
    <w:rsid w:val="008146B3"/>
    <w:rsid w:val="0081485F"/>
    <w:rsid w:val="00814ACA"/>
    <w:rsid w:val="00814BEE"/>
    <w:rsid w:val="00814C87"/>
    <w:rsid w:val="00814D5E"/>
    <w:rsid w:val="00815086"/>
    <w:rsid w:val="00815092"/>
    <w:rsid w:val="008151B5"/>
    <w:rsid w:val="0081557F"/>
    <w:rsid w:val="00815DC2"/>
    <w:rsid w:val="00815E68"/>
    <w:rsid w:val="00815ED6"/>
    <w:rsid w:val="00816644"/>
    <w:rsid w:val="00816670"/>
    <w:rsid w:val="00816833"/>
    <w:rsid w:val="00816A79"/>
    <w:rsid w:val="00816B72"/>
    <w:rsid w:val="00816CEF"/>
    <w:rsid w:val="00817034"/>
    <w:rsid w:val="00817468"/>
    <w:rsid w:val="008176B0"/>
    <w:rsid w:val="0081785F"/>
    <w:rsid w:val="00817C97"/>
    <w:rsid w:val="00817DB9"/>
    <w:rsid w:val="00817EA9"/>
    <w:rsid w:val="008200DA"/>
    <w:rsid w:val="00820419"/>
    <w:rsid w:val="00820649"/>
    <w:rsid w:val="008206F9"/>
    <w:rsid w:val="0082077F"/>
    <w:rsid w:val="00820FCC"/>
    <w:rsid w:val="008214F2"/>
    <w:rsid w:val="0082180C"/>
    <w:rsid w:val="00821A83"/>
    <w:rsid w:val="00821B96"/>
    <w:rsid w:val="00821B99"/>
    <w:rsid w:val="00821DE5"/>
    <w:rsid w:val="008220D5"/>
    <w:rsid w:val="008221B2"/>
    <w:rsid w:val="00822684"/>
    <w:rsid w:val="008227CD"/>
    <w:rsid w:val="00822D16"/>
    <w:rsid w:val="00823069"/>
    <w:rsid w:val="008236F3"/>
    <w:rsid w:val="00823E44"/>
    <w:rsid w:val="008241D6"/>
    <w:rsid w:val="00824429"/>
    <w:rsid w:val="00824936"/>
    <w:rsid w:val="008249AE"/>
    <w:rsid w:val="00824AB5"/>
    <w:rsid w:val="00824DDC"/>
    <w:rsid w:val="00824EDE"/>
    <w:rsid w:val="00824F67"/>
    <w:rsid w:val="00824FD2"/>
    <w:rsid w:val="00825655"/>
    <w:rsid w:val="0082592A"/>
    <w:rsid w:val="00825ABE"/>
    <w:rsid w:val="00825B61"/>
    <w:rsid w:val="0082609B"/>
    <w:rsid w:val="008261E4"/>
    <w:rsid w:val="00826242"/>
    <w:rsid w:val="00826499"/>
    <w:rsid w:val="00826C05"/>
    <w:rsid w:val="00826DA1"/>
    <w:rsid w:val="00826FBB"/>
    <w:rsid w:val="0082715F"/>
    <w:rsid w:val="00827424"/>
    <w:rsid w:val="00827768"/>
    <w:rsid w:val="0082778F"/>
    <w:rsid w:val="00827991"/>
    <w:rsid w:val="00827C16"/>
    <w:rsid w:val="0083050B"/>
    <w:rsid w:val="00830697"/>
    <w:rsid w:val="008308E4"/>
    <w:rsid w:val="00830C75"/>
    <w:rsid w:val="00830F56"/>
    <w:rsid w:val="008310B7"/>
    <w:rsid w:val="008312BD"/>
    <w:rsid w:val="00831549"/>
    <w:rsid w:val="00831ADD"/>
    <w:rsid w:val="00832137"/>
    <w:rsid w:val="00832BE5"/>
    <w:rsid w:val="00832D91"/>
    <w:rsid w:val="00833B01"/>
    <w:rsid w:val="008340D9"/>
    <w:rsid w:val="008343F4"/>
    <w:rsid w:val="008344C4"/>
    <w:rsid w:val="008344EF"/>
    <w:rsid w:val="008346BD"/>
    <w:rsid w:val="00834BEE"/>
    <w:rsid w:val="00834DD4"/>
    <w:rsid w:val="00835077"/>
    <w:rsid w:val="008350DB"/>
    <w:rsid w:val="00835253"/>
    <w:rsid w:val="00835338"/>
    <w:rsid w:val="008354B9"/>
    <w:rsid w:val="00835710"/>
    <w:rsid w:val="00835955"/>
    <w:rsid w:val="00835F33"/>
    <w:rsid w:val="00836019"/>
    <w:rsid w:val="008367AB"/>
    <w:rsid w:val="00836D6B"/>
    <w:rsid w:val="00836DC3"/>
    <w:rsid w:val="00836ED0"/>
    <w:rsid w:val="008371A7"/>
    <w:rsid w:val="008371C7"/>
    <w:rsid w:val="00837262"/>
    <w:rsid w:val="008378B6"/>
    <w:rsid w:val="00837B75"/>
    <w:rsid w:val="00837E2D"/>
    <w:rsid w:val="0084020F"/>
    <w:rsid w:val="0084040E"/>
    <w:rsid w:val="00840870"/>
    <w:rsid w:val="00840980"/>
    <w:rsid w:val="00840A38"/>
    <w:rsid w:val="00840B4E"/>
    <w:rsid w:val="00840B9D"/>
    <w:rsid w:val="00840C3A"/>
    <w:rsid w:val="00840FE1"/>
    <w:rsid w:val="00841806"/>
    <w:rsid w:val="0084233B"/>
    <w:rsid w:val="00842380"/>
    <w:rsid w:val="00842755"/>
    <w:rsid w:val="0084279F"/>
    <w:rsid w:val="008428FD"/>
    <w:rsid w:val="00842BFA"/>
    <w:rsid w:val="00842DFA"/>
    <w:rsid w:val="008431B2"/>
    <w:rsid w:val="008433FA"/>
    <w:rsid w:val="00843517"/>
    <w:rsid w:val="00843797"/>
    <w:rsid w:val="00843FC0"/>
    <w:rsid w:val="008440A3"/>
    <w:rsid w:val="008441EA"/>
    <w:rsid w:val="008447B9"/>
    <w:rsid w:val="008447C9"/>
    <w:rsid w:val="00844A87"/>
    <w:rsid w:val="00844BCB"/>
    <w:rsid w:val="00844E78"/>
    <w:rsid w:val="00844E82"/>
    <w:rsid w:val="00845238"/>
    <w:rsid w:val="00845503"/>
    <w:rsid w:val="00845521"/>
    <w:rsid w:val="00845612"/>
    <w:rsid w:val="008458A0"/>
    <w:rsid w:val="00845DF2"/>
    <w:rsid w:val="00845EBC"/>
    <w:rsid w:val="00845FB8"/>
    <w:rsid w:val="00846273"/>
    <w:rsid w:val="008462DF"/>
    <w:rsid w:val="008464C8"/>
    <w:rsid w:val="00846537"/>
    <w:rsid w:val="00846573"/>
    <w:rsid w:val="008467ED"/>
    <w:rsid w:val="0084681B"/>
    <w:rsid w:val="0084687A"/>
    <w:rsid w:val="00846950"/>
    <w:rsid w:val="0084718F"/>
    <w:rsid w:val="0084722E"/>
    <w:rsid w:val="00847765"/>
    <w:rsid w:val="008478B0"/>
    <w:rsid w:val="0084795C"/>
    <w:rsid w:val="00847B11"/>
    <w:rsid w:val="00847D8A"/>
    <w:rsid w:val="00847E33"/>
    <w:rsid w:val="008500BB"/>
    <w:rsid w:val="008504F9"/>
    <w:rsid w:val="0085053D"/>
    <w:rsid w:val="00850E6F"/>
    <w:rsid w:val="00851CEF"/>
    <w:rsid w:val="00851E2E"/>
    <w:rsid w:val="0085297E"/>
    <w:rsid w:val="00853173"/>
    <w:rsid w:val="00853381"/>
    <w:rsid w:val="008536B9"/>
    <w:rsid w:val="008536E5"/>
    <w:rsid w:val="00853B93"/>
    <w:rsid w:val="00853DC5"/>
    <w:rsid w:val="00853EB5"/>
    <w:rsid w:val="00854486"/>
    <w:rsid w:val="00854516"/>
    <w:rsid w:val="00854605"/>
    <w:rsid w:val="0085480E"/>
    <w:rsid w:val="00854B57"/>
    <w:rsid w:val="00854DBF"/>
    <w:rsid w:val="00854F52"/>
    <w:rsid w:val="00855A4E"/>
    <w:rsid w:val="00855BAF"/>
    <w:rsid w:val="008564A2"/>
    <w:rsid w:val="008570C5"/>
    <w:rsid w:val="00857599"/>
    <w:rsid w:val="008578BE"/>
    <w:rsid w:val="008579C1"/>
    <w:rsid w:val="00857B7A"/>
    <w:rsid w:val="00860456"/>
    <w:rsid w:val="00860654"/>
    <w:rsid w:val="008608DE"/>
    <w:rsid w:val="00860D0E"/>
    <w:rsid w:val="00861A0C"/>
    <w:rsid w:val="00861B84"/>
    <w:rsid w:val="00862332"/>
    <w:rsid w:val="008625C1"/>
    <w:rsid w:val="00862695"/>
    <w:rsid w:val="00862CB9"/>
    <w:rsid w:val="0086368D"/>
    <w:rsid w:val="00863807"/>
    <w:rsid w:val="00863C21"/>
    <w:rsid w:val="00863EDC"/>
    <w:rsid w:val="00864B3D"/>
    <w:rsid w:val="00864BC7"/>
    <w:rsid w:val="00864BEB"/>
    <w:rsid w:val="00864C7C"/>
    <w:rsid w:val="00864CF5"/>
    <w:rsid w:val="00864DAB"/>
    <w:rsid w:val="00865274"/>
    <w:rsid w:val="008652D5"/>
    <w:rsid w:val="00865495"/>
    <w:rsid w:val="00865510"/>
    <w:rsid w:val="00865743"/>
    <w:rsid w:val="00865880"/>
    <w:rsid w:val="00865B99"/>
    <w:rsid w:val="00865C29"/>
    <w:rsid w:val="008661F5"/>
    <w:rsid w:val="00866487"/>
    <w:rsid w:val="00866608"/>
    <w:rsid w:val="0086700E"/>
    <w:rsid w:val="008670AE"/>
    <w:rsid w:val="00867725"/>
    <w:rsid w:val="00867F12"/>
    <w:rsid w:val="008703B6"/>
    <w:rsid w:val="0087068F"/>
    <w:rsid w:val="0087111F"/>
    <w:rsid w:val="00871A0B"/>
    <w:rsid w:val="00871C40"/>
    <w:rsid w:val="00871FE6"/>
    <w:rsid w:val="008722FF"/>
    <w:rsid w:val="0087237C"/>
    <w:rsid w:val="00872494"/>
    <w:rsid w:val="00872C42"/>
    <w:rsid w:val="00872D80"/>
    <w:rsid w:val="00872F34"/>
    <w:rsid w:val="0087317F"/>
    <w:rsid w:val="00873609"/>
    <w:rsid w:val="00873B47"/>
    <w:rsid w:val="00874728"/>
    <w:rsid w:val="00874A26"/>
    <w:rsid w:val="00874A5C"/>
    <w:rsid w:val="0087514F"/>
    <w:rsid w:val="008754AF"/>
    <w:rsid w:val="00875591"/>
    <w:rsid w:val="008756DA"/>
    <w:rsid w:val="00875DCF"/>
    <w:rsid w:val="0087622F"/>
    <w:rsid w:val="0087645B"/>
    <w:rsid w:val="00876892"/>
    <w:rsid w:val="0087691A"/>
    <w:rsid w:val="00876A4E"/>
    <w:rsid w:val="00876B47"/>
    <w:rsid w:val="00877007"/>
    <w:rsid w:val="00877467"/>
    <w:rsid w:val="00877703"/>
    <w:rsid w:val="008779D1"/>
    <w:rsid w:val="00877B25"/>
    <w:rsid w:val="00877BC2"/>
    <w:rsid w:val="008802A7"/>
    <w:rsid w:val="008805B3"/>
    <w:rsid w:val="0088102A"/>
    <w:rsid w:val="00881495"/>
    <w:rsid w:val="008815CB"/>
    <w:rsid w:val="008819E7"/>
    <w:rsid w:val="00881A5C"/>
    <w:rsid w:val="00881C20"/>
    <w:rsid w:val="00881F33"/>
    <w:rsid w:val="008826BE"/>
    <w:rsid w:val="008827D6"/>
    <w:rsid w:val="008828C1"/>
    <w:rsid w:val="00882B74"/>
    <w:rsid w:val="0088301E"/>
    <w:rsid w:val="0088326F"/>
    <w:rsid w:val="008833A7"/>
    <w:rsid w:val="0088360C"/>
    <w:rsid w:val="00883655"/>
    <w:rsid w:val="0088389E"/>
    <w:rsid w:val="00883954"/>
    <w:rsid w:val="00884617"/>
    <w:rsid w:val="00884916"/>
    <w:rsid w:val="00884EF5"/>
    <w:rsid w:val="00885044"/>
    <w:rsid w:val="00885677"/>
    <w:rsid w:val="008857FE"/>
    <w:rsid w:val="0088646B"/>
    <w:rsid w:val="008864B9"/>
    <w:rsid w:val="00886B98"/>
    <w:rsid w:val="00887003"/>
    <w:rsid w:val="008871E6"/>
    <w:rsid w:val="008873AC"/>
    <w:rsid w:val="008874C3"/>
    <w:rsid w:val="0088760B"/>
    <w:rsid w:val="00887ECF"/>
    <w:rsid w:val="00887F2C"/>
    <w:rsid w:val="00890609"/>
    <w:rsid w:val="00890A94"/>
    <w:rsid w:val="00890B23"/>
    <w:rsid w:val="00891C14"/>
    <w:rsid w:val="00891EEA"/>
    <w:rsid w:val="00891F52"/>
    <w:rsid w:val="00891F86"/>
    <w:rsid w:val="00891FBF"/>
    <w:rsid w:val="00892073"/>
    <w:rsid w:val="00892204"/>
    <w:rsid w:val="00892A92"/>
    <w:rsid w:val="00892C57"/>
    <w:rsid w:val="00892D7C"/>
    <w:rsid w:val="00892E28"/>
    <w:rsid w:val="008933AE"/>
    <w:rsid w:val="008934A3"/>
    <w:rsid w:val="0089352F"/>
    <w:rsid w:val="00893976"/>
    <w:rsid w:val="00893EA8"/>
    <w:rsid w:val="00893F8F"/>
    <w:rsid w:val="00894297"/>
    <w:rsid w:val="0089437E"/>
    <w:rsid w:val="0089442C"/>
    <w:rsid w:val="008949EA"/>
    <w:rsid w:val="00894C8C"/>
    <w:rsid w:val="00895E23"/>
    <w:rsid w:val="00896739"/>
    <w:rsid w:val="00896A95"/>
    <w:rsid w:val="00896C08"/>
    <w:rsid w:val="00896DAB"/>
    <w:rsid w:val="00896E4B"/>
    <w:rsid w:val="00897223"/>
    <w:rsid w:val="00897980"/>
    <w:rsid w:val="00897A9A"/>
    <w:rsid w:val="00897AC4"/>
    <w:rsid w:val="00897C20"/>
    <w:rsid w:val="008A0570"/>
    <w:rsid w:val="008A05EA"/>
    <w:rsid w:val="008A0E4E"/>
    <w:rsid w:val="008A1003"/>
    <w:rsid w:val="008A114A"/>
    <w:rsid w:val="008A13A2"/>
    <w:rsid w:val="008A154A"/>
    <w:rsid w:val="008A16BD"/>
    <w:rsid w:val="008A16FD"/>
    <w:rsid w:val="008A1B40"/>
    <w:rsid w:val="008A1B50"/>
    <w:rsid w:val="008A1C9E"/>
    <w:rsid w:val="008A1E00"/>
    <w:rsid w:val="008A1E39"/>
    <w:rsid w:val="008A21DF"/>
    <w:rsid w:val="008A2B56"/>
    <w:rsid w:val="008A2CF5"/>
    <w:rsid w:val="008A2E76"/>
    <w:rsid w:val="008A2F51"/>
    <w:rsid w:val="008A31FF"/>
    <w:rsid w:val="008A32DF"/>
    <w:rsid w:val="008A33CF"/>
    <w:rsid w:val="008A3413"/>
    <w:rsid w:val="008A362B"/>
    <w:rsid w:val="008A39F9"/>
    <w:rsid w:val="008A3DD8"/>
    <w:rsid w:val="008A42FE"/>
    <w:rsid w:val="008A431D"/>
    <w:rsid w:val="008A4550"/>
    <w:rsid w:val="008A4710"/>
    <w:rsid w:val="008A4C3D"/>
    <w:rsid w:val="008A4D29"/>
    <w:rsid w:val="008A5187"/>
    <w:rsid w:val="008A51B2"/>
    <w:rsid w:val="008A6055"/>
    <w:rsid w:val="008A6265"/>
    <w:rsid w:val="008A6758"/>
    <w:rsid w:val="008A68A9"/>
    <w:rsid w:val="008A6B10"/>
    <w:rsid w:val="008A6C4B"/>
    <w:rsid w:val="008A6D63"/>
    <w:rsid w:val="008A6DF1"/>
    <w:rsid w:val="008A7AAC"/>
    <w:rsid w:val="008A7BC4"/>
    <w:rsid w:val="008B010D"/>
    <w:rsid w:val="008B0D30"/>
    <w:rsid w:val="008B1006"/>
    <w:rsid w:val="008B1286"/>
    <w:rsid w:val="008B15CA"/>
    <w:rsid w:val="008B15EE"/>
    <w:rsid w:val="008B1AC0"/>
    <w:rsid w:val="008B280F"/>
    <w:rsid w:val="008B2972"/>
    <w:rsid w:val="008B2FA7"/>
    <w:rsid w:val="008B31BE"/>
    <w:rsid w:val="008B3219"/>
    <w:rsid w:val="008B3543"/>
    <w:rsid w:val="008B36D9"/>
    <w:rsid w:val="008B379E"/>
    <w:rsid w:val="008B3A1C"/>
    <w:rsid w:val="008B3C21"/>
    <w:rsid w:val="008B3FB0"/>
    <w:rsid w:val="008B40BA"/>
    <w:rsid w:val="008B48FB"/>
    <w:rsid w:val="008B4B0B"/>
    <w:rsid w:val="008B4FF7"/>
    <w:rsid w:val="008B5092"/>
    <w:rsid w:val="008B50BF"/>
    <w:rsid w:val="008B532C"/>
    <w:rsid w:val="008B5795"/>
    <w:rsid w:val="008B57E4"/>
    <w:rsid w:val="008B5A43"/>
    <w:rsid w:val="008B5CF8"/>
    <w:rsid w:val="008B5EDD"/>
    <w:rsid w:val="008B5F9F"/>
    <w:rsid w:val="008B6638"/>
    <w:rsid w:val="008B66DF"/>
    <w:rsid w:val="008B67EC"/>
    <w:rsid w:val="008B67F6"/>
    <w:rsid w:val="008B6936"/>
    <w:rsid w:val="008B69DB"/>
    <w:rsid w:val="008B6C70"/>
    <w:rsid w:val="008B7D1F"/>
    <w:rsid w:val="008B7DC4"/>
    <w:rsid w:val="008B7E3E"/>
    <w:rsid w:val="008C00B2"/>
    <w:rsid w:val="008C0484"/>
    <w:rsid w:val="008C0A24"/>
    <w:rsid w:val="008C0D20"/>
    <w:rsid w:val="008C0F3C"/>
    <w:rsid w:val="008C1233"/>
    <w:rsid w:val="008C129B"/>
    <w:rsid w:val="008C1AC8"/>
    <w:rsid w:val="008C1B5D"/>
    <w:rsid w:val="008C1CB3"/>
    <w:rsid w:val="008C1E12"/>
    <w:rsid w:val="008C20B8"/>
    <w:rsid w:val="008C2431"/>
    <w:rsid w:val="008C2617"/>
    <w:rsid w:val="008C2802"/>
    <w:rsid w:val="008C2D46"/>
    <w:rsid w:val="008C351C"/>
    <w:rsid w:val="008C3B4B"/>
    <w:rsid w:val="008C3BF3"/>
    <w:rsid w:val="008C4187"/>
    <w:rsid w:val="008C4BF2"/>
    <w:rsid w:val="008C4C06"/>
    <w:rsid w:val="008C4CEE"/>
    <w:rsid w:val="008C4DA0"/>
    <w:rsid w:val="008C4E3F"/>
    <w:rsid w:val="008C4FA0"/>
    <w:rsid w:val="008C51FD"/>
    <w:rsid w:val="008C5302"/>
    <w:rsid w:val="008C553F"/>
    <w:rsid w:val="008C5D71"/>
    <w:rsid w:val="008C5E5A"/>
    <w:rsid w:val="008C63FE"/>
    <w:rsid w:val="008C645D"/>
    <w:rsid w:val="008C66E4"/>
    <w:rsid w:val="008C698A"/>
    <w:rsid w:val="008C6C28"/>
    <w:rsid w:val="008C709A"/>
    <w:rsid w:val="008C70D4"/>
    <w:rsid w:val="008C72F4"/>
    <w:rsid w:val="008C73DD"/>
    <w:rsid w:val="008C758E"/>
    <w:rsid w:val="008C789E"/>
    <w:rsid w:val="008C7AC5"/>
    <w:rsid w:val="008C7CBE"/>
    <w:rsid w:val="008D002C"/>
    <w:rsid w:val="008D0387"/>
    <w:rsid w:val="008D04EB"/>
    <w:rsid w:val="008D09F7"/>
    <w:rsid w:val="008D0E27"/>
    <w:rsid w:val="008D0FC7"/>
    <w:rsid w:val="008D11A4"/>
    <w:rsid w:val="008D12E6"/>
    <w:rsid w:val="008D13C2"/>
    <w:rsid w:val="008D149E"/>
    <w:rsid w:val="008D19BE"/>
    <w:rsid w:val="008D1AF7"/>
    <w:rsid w:val="008D1CE1"/>
    <w:rsid w:val="008D1F98"/>
    <w:rsid w:val="008D1FAB"/>
    <w:rsid w:val="008D24D7"/>
    <w:rsid w:val="008D25F4"/>
    <w:rsid w:val="008D28B8"/>
    <w:rsid w:val="008D2AF8"/>
    <w:rsid w:val="008D2D31"/>
    <w:rsid w:val="008D31B8"/>
    <w:rsid w:val="008D3287"/>
    <w:rsid w:val="008D336E"/>
    <w:rsid w:val="008D3766"/>
    <w:rsid w:val="008D4220"/>
    <w:rsid w:val="008D4252"/>
    <w:rsid w:val="008D49CF"/>
    <w:rsid w:val="008D4BC7"/>
    <w:rsid w:val="008D4DB4"/>
    <w:rsid w:val="008D4E87"/>
    <w:rsid w:val="008D51AA"/>
    <w:rsid w:val="008D5487"/>
    <w:rsid w:val="008D55DC"/>
    <w:rsid w:val="008D59C3"/>
    <w:rsid w:val="008D5BD0"/>
    <w:rsid w:val="008D63D9"/>
    <w:rsid w:val="008D6478"/>
    <w:rsid w:val="008D6A4A"/>
    <w:rsid w:val="008D6A71"/>
    <w:rsid w:val="008D6DCC"/>
    <w:rsid w:val="008D7175"/>
    <w:rsid w:val="008D748C"/>
    <w:rsid w:val="008D749A"/>
    <w:rsid w:val="008D751C"/>
    <w:rsid w:val="008D75B6"/>
    <w:rsid w:val="008E014E"/>
    <w:rsid w:val="008E06FF"/>
    <w:rsid w:val="008E10D7"/>
    <w:rsid w:val="008E124A"/>
    <w:rsid w:val="008E1585"/>
    <w:rsid w:val="008E17E6"/>
    <w:rsid w:val="008E17F9"/>
    <w:rsid w:val="008E1C7E"/>
    <w:rsid w:val="008E1F2B"/>
    <w:rsid w:val="008E21A1"/>
    <w:rsid w:val="008E251B"/>
    <w:rsid w:val="008E25F3"/>
    <w:rsid w:val="008E2C30"/>
    <w:rsid w:val="008E2FBF"/>
    <w:rsid w:val="008E312D"/>
    <w:rsid w:val="008E33AE"/>
    <w:rsid w:val="008E379E"/>
    <w:rsid w:val="008E3825"/>
    <w:rsid w:val="008E382B"/>
    <w:rsid w:val="008E38E2"/>
    <w:rsid w:val="008E3B30"/>
    <w:rsid w:val="008E4FEE"/>
    <w:rsid w:val="008E501D"/>
    <w:rsid w:val="008E5443"/>
    <w:rsid w:val="008E5673"/>
    <w:rsid w:val="008E5F60"/>
    <w:rsid w:val="008E69D6"/>
    <w:rsid w:val="008E6ADE"/>
    <w:rsid w:val="008E6B03"/>
    <w:rsid w:val="008E6B19"/>
    <w:rsid w:val="008E6E23"/>
    <w:rsid w:val="008E6E80"/>
    <w:rsid w:val="008E7141"/>
    <w:rsid w:val="008E71B5"/>
    <w:rsid w:val="008E74F2"/>
    <w:rsid w:val="008E78AE"/>
    <w:rsid w:val="008E7D24"/>
    <w:rsid w:val="008E7E03"/>
    <w:rsid w:val="008F0D4A"/>
    <w:rsid w:val="008F0D75"/>
    <w:rsid w:val="008F0FA4"/>
    <w:rsid w:val="008F0FF4"/>
    <w:rsid w:val="008F1561"/>
    <w:rsid w:val="008F1C46"/>
    <w:rsid w:val="008F1E26"/>
    <w:rsid w:val="008F1EB0"/>
    <w:rsid w:val="008F1F84"/>
    <w:rsid w:val="008F1FF3"/>
    <w:rsid w:val="008F229A"/>
    <w:rsid w:val="008F2334"/>
    <w:rsid w:val="008F234F"/>
    <w:rsid w:val="008F28D0"/>
    <w:rsid w:val="008F2A08"/>
    <w:rsid w:val="008F2DFE"/>
    <w:rsid w:val="008F32EE"/>
    <w:rsid w:val="008F3476"/>
    <w:rsid w:val="008F38F4"/>
    <w:rsid w:val="008F391D"/>
    <w:rsid w:val="008F3942"/>
    <w:rsid w:val="008F3FD6"/>
    <w:rsid w:val="008F40BF"/>
    <w:rsid w:val="008F4C8E"/>
    <w:rsid w:val="008F4DD9"/>
    <w:rsid w:val="008F4ED4"/>
    <w:rsid w:val="008F55DC"/>
    <w:rsid w:val="008F58B5"/>
    <w:rsid w:val="008F5938"/>
    <w:rsid w:val="008F5A14"/>
    <w:rsid w:val="008F5B6B"/>
    <w:rsid w:val="008F5C1D"/>
    <w:rsid w:val="008F6073"/>
    <w:rsid w:val="008F6258"/>
    <w:rsid w:val="008F6574"/>
    <w:rsid w:val="008F65C1"/>
    <w:rsid w:val="008F6866"/>
    <w:rsid w:val="008F690A"/>
    <w:rsid w:val="008F6A41"/>
    <w:rsid w:val="008F6ABF"/>
    <w:rsid w:val="008F6D4F"/>
    <w:rsid w:val="008F6DE8"/>
    <w:rsid w:val="008F703E"/>
    <w:rsid w:val="008F7758"/>
    <w:rsid w:val="008F7B39"/>
    <w:rsid w:val="008F7DC1"/>
    <w:rsid w:val="009000C6"/>
    <w:rsid w:val="0090048C"/>
    <w:rsid w:val="00900910"/>
    <w:rsid w:val="00901A6E"/>
    <w:rsid w:val="00901B2E"/>
    <w:rsid w:val="00901DD0"/>
    <w:rsid w:val="00901ECF"/>
    <w:rsid w:val="00902015"/>
    <w:rsid w:val="0090210F"/>
    <w:rsid w:val="0090212A"/>
    <w:rsid w:val="00902723"/>
    <w:rsid w:val="0090295A"/>
    <w:rsid w:val="00902E83"/>
    <w:rsid w:val="009033CB"/>
    <w:rsid w:val="00903467"/>
    <w:rsid w:val="00903898"/>
    <w:rsid w:val="009038E5"/>
    <w:rsid w:val="00903C15"/>
    <w:rsid w:val="00903E31"/>
    <w:rsid w:val="00903F0F"/>
    <w:rsid w:val="00904000"/>
    <w:rsid w:val="00904070"/>
    <w:rsid w:val="00904270"/>
    <w:rsid w:val="009042BA"/>
    <w:rsid w:val="009047DA"/>
    <w:rsid w:val="00904E83"/>
    <w:rsid w:val="00905059"/>
    <w:rsid w:val="00905166"/>
    <w:rsid w:val="009054C0"/>
    <w:rsid w:val="009057FB"/>
    <w:rsid w:val="00905AE9"/>
    <w:rsid w:val="00905AF6"/>
    <w:rsid w:val="00905DEC"/>
    <w:rsid w:val="00905F5B"/>
    <w:rsid w:val="00906154"/>
    <w:rsid w:val="0090673E"/>
    <w:rsid w:val="00906D55"/>
    <w:rsid w:val="00906EAA"/>
    <w:rsid w:val="00906EBA"/>
    <w:rsid w:val="00907BC7"/>
    <w:rsid w:val="00907BFD"/>
    <w:rsid w:val="00910377"/>
    <w:rsid w:val="009103C5"/>
    <w:rsid w:val="009104EF"/>
    <w:rsid w:val="00910631"/>
    <w:rsid w:val="00910751"/>
    <w:rsid w:val="00910D75"/>
    <w:rsid w:val="00911AC4"/>
    <w:rsid w:val="00911AEA"/>
    <w:rsid w:val="00911DC3"/>
    <w:rsid w:val="0091266D"/>
    <w:rsid w:val="00912B14"/>
    <w:rsid w:val="00912BB6"/>
    <w:rsid w:val="00912F26"/>
    <w:rsid w:val="009130BD"/>
    <w:rsid w:val="00913C3A"/>
    <w:rsid w:val="00913E43"/>
    <w:rsid w:val="00914048"/>
    <w:rsid w:val="00914104"/>
    <w:rsid w:val="009141B3"/>
    <w:rsid w:val="00914318"/>
    <w:rsid w:val="009145AB"/>
    <w:rsid w:val="009145F0"/>
    <w:rsid w:val="00914774"/>
    <w:rsid w:val="00914E1E"/>
    <w:rsid w:val="0091508B"/>
    <w:rsid w:val="009164C9"/>
    <w:rsid w:val="009164E9"/>
    <w:rsid w:val="0091656F"/>
    <w:rsid w:val="00916A68"/>
    <w:rsid w:val="00917113"/>
    <w:rsid w:val="009171D9"/>
    <w:rsid w:val="009173C7"/>
    <w:rsid w:val="009177E9"/>
    <w:rsid w:val="009178F0"/>
    <w:rsid w:val="0092029F"/>
    <w:rsid w:val="0092067A"/>
    <w:rsid w:val="00920A4D"/>
    <w:rsid w:val="00920F87"/>
    <w:rsid w:val="0092110E"/>
    <w:rsid w:val="009218A4"/>
    <w:rsid w:val="0092215C"/>
    <w:rsid w:val="009221BF"/>
    <w:rsid w:val="00922AC0"/>
    <w:rsid w:val="00922D71"/>
    <w:rsid w:val="00922EE7"/>
    <w:rsid w:val="00923414"/>
    <w:rsid w:val="009234D0"/>
    <w:rsid w:val="00923C9A"/>
    <w:rsid w:val="00923E02"/>
    <w:rsid w:val="00923EA2"/>
    <w:rsid w:val="0092445B"/>
    <w:rsid w:val="00924885"/>
    <w:rsid w:val="00924DB1"/>
    <w:rsid w:val="00924E72"/>
    <w:rsid w:val="00925033"/>
    <w:rsid w:val="0092513F"/>
    <w:rsid w:val="009252A6"/>
    <w:rsid w:val="00925672"/>
    <w:rsid w:val="00926270"/>
    <w:rsid w:val="009266E1"/>
    <w:rsid w:val="00926F51"/>
    <w:rsid w:val="00927182"/>
    <w:rsid w:val="009273E1"/>
    <w:rsid w:val="00927B43"/>
    <w:rsid w:val="00927C3E"/>
    <w:rsid w:val="00930A74"/>
    <w:rsid w:val="00930EB7"/>
    <w:rsid w:val="00931078"/>
    <w:rsid w:val="00931AA0"/>
    <w:rsid w:val="00931FCB"/>
    <w:rsid w:val="009325ED"/>
    <w:rsid w:val="00932892"/>
    <w:rsid w:val="00932E58"/>
    <w:rsid w:val="00933045"/>
    <w:rsid w:val="009331B5"/>
    <w:rsid w:val="009331EB"/>
    <w:rsid w:val="009333E4"/>
    <w:rsid w:val="00933631"/>
    <w:rsid w:val="00933B36"/>
    <w:rsid w:val="00933DF9"/>
    <w:rsid w:val="00934661"/>
    <w:rsid w:val="009346A4"/>
    <w:rsid w:val="00934B01"/>
    <w:rsid w:val="00934B25"/>
    <w:rsid w:val="00934C6A"/>
    <w:rsid w:val="00934F94"/>
    <w:rsid w:val="00935429"/>
    <w:rsid w:val="009356D3"/>
    <w:rsid w:val="0093653D"/>
    <w:rsid w:val="0093655C"/>
    <w:rsid w:val="00936606"/>
    <w:rsid w:val="00936B10"/>
    <w:rsid w:val="00936DCB"/>
    <w:rsid w:val="009375BA"/>
    <w:rsid w:val="0093761D"/>
    <w:rsid w:val="009377EC"/>
    <w:rsid w:val="009379E8"/>
    <w:rsid w:val="00937BCD"/>
    <w:rsid w:val="00937D5A"/>
    <w:rsid w:val="00937E8A"/>
    <w:rsid w:val="00940051"/>
    <w:rsid w:val="009402F2"/>
    <w:rsid w:val="00940349"/>
    <w:rsid w:val="00940497"/>
    <w:rsid w:val="0094055F"/>
    <w:rsid w:val="009407C0"/>
    <w:rsid w:val="00940C3E"/>
    <w:rsid w:val="00940C56"/>
    <w:rsid w:val="00940DF1"/>
    <w:rsid w:val="009412B7"/>
    <w:rsid w:val="0094152C"/>
    <w:rsid w:val="0094183D"/>
    <w:rsid w:val="009418DD"/>
    <w:rsid w:val="00941E69"/>
    <w:rsid w:val="009421DA"/>
    <w:rsid w:val="00942206"/>
    <w:rsid w:val="00942286"/>
    <w:rsid w:val="0094285D"/>
    <w:rsid w:val="00942DCF"/>
    <w:rsid w:val="00943012"/>
    <w:rsid w:val="009430BC"/>
    <w:rsid w:val="009435B0"/>
    <w:rsid w:val="0094394F"/>
    <w:rsid w:val="00943E77"/>
    <w:rsid w:val="00943E90"/>
    <w:rsid w:val="00943FA6"/>
    <w:rsid w:val="0094414B"/>
    <w:rsid w:val="009442AC"/>
    <w:rsid w:val="0094430E"/>
    <w:rsid w:val="00944470"/>
    <w:rsid w:val="00944921"/>
    <w:rsid w:val="00944BC8"/>
    <w:rsid w:val="00944D04"/>
    <w:rsid w:val="009450F6"/>
    <w:rsid w:val="0094514D"/>
    <w:rsid w:val="009453F6"/>
    <w:rsid w:val="0094556C"/>
    <w:rsid w:val="0094559E"/>
    <w:rsid w:val="009455B0"/>
    <w:rsid w:val="0094570A"/>
    <w:rsid w:val="00945976"/>
    <w:rsid w:val="00945A01"/>
    <w:rsid w:val="00945C21"/>
    <w:rsid w:val="009460BB"/>
    <w:rsid w:val="009466CB"/>
    <w:rsid w:val="00947349"/>
    <w:rsid w:val="0095026E"/>
    <w:rsid w:val="00950719"/>
    <w:rsid w:val="00950F88"/>
    <w:rsid w:val="00951079"/>
    <w:rsid w:val="00951235"/>
    <w:rsid w:val="00951355"/>
    <w:rsid w:val="0095142B"/>
    <w:rsid w:val="0095199F"/>
    <w:rsid w:val="00951AC7"/>
    <w:rsid w:val="00951B03"/>
    <w:rsid w:val="00951CD0"/>
    <w:rsid w:val="00952154"/>
    <w:rsid w:val="0095226D"/>
    <w:rsid w:val="0095230C"/>
    <w:rsid w:val="00952397"/>
    <w:rsid w:val="00952831"/>
    <w:rsid w:val="00952A80"/>
    <w:rsid w:val="00952B26"/>
    <w:rsid w:val="00952E6E"/>
    <w:rsid w:val="00953562"/>
    <w:rsid w:val="009538E0"/>
    <w:rsid w:val="0095390F"/>
    <w:rsid w:val="00953ABE"/>
    <w:rsid w:val="00953CD1"/>
    <w:rsid w:val="00954341"/>
    <w:rsid w:val="0095447B"/>
    <w:rsid w:val="009549A5"/>
    <w:rsid w:val="00954D03"/>
    <w:rsid w:val="00955249"/>
    <w:rsid w:val="00955980"/>
    <w:rsid w:val="00955D50"/>
    <w:rsid w:val="0095608C"/>
    <w:rsid w:val="00956100"/>
    <w:rsid w:val="00956602"/>
    <w:rsid w:val="00956699"/>
    <w:rsid w:val="00956A52"/>
    <w:rsid w:val="00956EC7"/>
    <w:rsid w:val="00956EF2"/>
    <w:rsid w:val="00956F76"/>
    <w:rsid w:val="009570B7"/>
    <w:rsid w:val="0095712D"/>
    <w:rsid w:val="00957333"/>
    <w:rsid w:val="009575A5"/>
    <w:rsid w:val="00957705"/>
    <w:rsid w:val="009578A0"/>
    <w:rsid w:val="00957AF9"/>
    <w:rsid w:val="00957FED"/>
    <w:rsid w:val="00960527"/>
    <w:rsid w:val="00960CD6"/>
    <w:rsid w:val="00960F65"/>
    <w:rsid w:val="0096108E"/>
    <w:rsid w:val="009612D1"/>
    <w:rsid w:val="00961722"/>
    <w:rsid w:val="00961CF9"/>
    <w:rsid w:val="00961F35"/>
    <w:rsid w:val="00961FEE"/>
    <w:rsid w:val="009625DA"/>
    <w:rsid w:val="009626F5"/>
    <w:rsid w:val="00962750"/>
    <w:rsid w:val="0096284C"/>
    <w:rsid w:val="00962D83"/>
    <w:rsid w:val="00963537"/>
    <w:rsid w:val="0096387E"/>
    <w:rsid w:val="00963BEE"/>
    <w:rsid w:val="00963D1E"/>
    <w:rsid w:val="00964046"/>
    <w:rsid w:val="009642F2"/>
    <w:rsid w:val="00964555"/>
    <w:rsid w:val="00964675"/>
    <w:rsid w:val="0096474B"/>
    <w:rsid w:val="00964C8C"/>
    <w:rsid w:val="00964F67"/>
    <w:rsid w:val="00964FF8"/>
    <w:rsid w:val="009650A0"/>
    <w:rsid w:val="0096529B"/>
    <w:rsid w:val="009654F7"/>
    <w:rsid w:val="00965AA1"/>
    <w:rsid w:val="00965DBE"/>
    <w:rsid w:val="00965FD4"/>
    <w:rsid w:val="00966612"/>
    <w:rsid w:val="00966B46"/>
    <w:rsid w:val="00966C48"/>
    <w:rsid w:val="009670FA"/>
    <w:rsid w:val="00967CA3"/>
    <w:rsid w:val="00967FF0"/>
    <w:rsid w:val="009700B3"/>
    <w:rsid w:val="009701B8"/>
    <w:rsid w:val="00970852"/>
    <w:rsid w:val="00970A2E"/>
    <w:rsid w:val="00970C0C"/>
    <w:rsid w:val="00970C24"/>
    <w:rsid w:val="00970DD2"/>
    <w:rsid w:val="00970FDB"/>
    <w:rsid w:val="0097108A"/>
    <w:rsid w:val="00971143"/>
    <w:rsid w:val="0097114B"/>
    <w:rsid w:val="009712E0"/>
    <w:rsid w:val="00971F73"/>
    <w:rsid w:val="0097202C"/>
    <w:rsid w:val="009720E1"/>
    <w:rsid w:val="00972114"/>
    <w:rsid w:val="009721CA"/>
    <w:rsid w:val="00972390"/>
    <w:rsid w:val="009728DE"/>
    <w:rsid w:val="00972921"/>
    <w:rsid w:val="00973038"/>
    <w:rsid w:val="00973074"/>
    <w:rsid w:val="009730AA"/>
    <w:rsid w:val="0097346A"/>
    <w:rsid w:val="0097350A"/>
    <w:rsid w:val="009737DB"/>
    <w:rsid w:val="00973A2B"/>
    <w:rsid w:val="00973E59"/>
    <w:rsid w:val="009741FC"/>
    <w:rsid w:val="009742BE"/>
    <w:rsid w:val="00974326"/>
    <w:rsid w:val="0097483B"/>
    <w:rsid w:val="009750BE"/>
    <w:rsid w:val="00975133"/>
    <w:rsid w:val="009753A8"/>
    <w:rsid w:val="00975B1B"/>
    <w:rsid w:val="00975B27"/>
    <w:rsid w:val="00975B28"/>
    <w:rsid w:val="00975C10"/>
    <w:rsid w:val="00976016"/>
    <w:rsid w:val="009762D4"/>
    <w:rsid w:val="009762E2"/>
    <w:rsid w:val="0097633C"/>
    <w:rsid w:val="009764C6"/>
    <w:rsid w:val="00976A08"/>
    <w:rsid w:val="00976A45"/>
    <w:rsid w:val="00976D75"/>
    <w:rsid w:val="00977241"/>
    <w:rsid w:val="00977296"/>
    <w:rsid w:val="0097799B"/>
    <w:rsid w:val="009779D3"/>
    <w:rsid w:val="00977BCB"/>
    <w:rsid w:val="00977FCF"/>
    <w:rsid w:val="00980299"/>
    <w:rsid w:val="00980340"/>
    <w:rsid w:val="00980556"/>
    <w:rsid w:val="009806C3"/>
    <w:rsid w:val="00980B05"/>
    <w:rsid w:val="00980B7A"/>
    <w:rsid w:val="00980ECF"/>
    <w:rsid w:val="009814AE"/>
    <w:rsid w:val="00981A8F"/>
    <w:rsid w:val="00981BE7"/>
    <w:rsid w:val="00982722"/>
    <w:rsid w:val="00982D4F"/>
    <w:rsid w:val="00982E53"/>
    <w:rsid w:val="00983895"/>
    <w:rsid w:val="00983C4F"/>
    <w:rsid w:val="00983E22"/>
    <w:rsid w:val="00984085"/>
    <w:rsid w:val="00984354"/>
    <w:rsid w:val="00984681"/>
    <w:rsid w:val="00984892"/>
    <w:rsid w:val="00984B8A"/>
    <w:rsid w:val="00984CC3"/>
    <w:rsid w:val="00984D74"/>
    <w:rsid w:val="00984F26"/>
    <w:rsid w:val="0098509A"/>
    <w:rsid w:val="0098520F"/>
    <w:rsid w:val="009852B4"/>
    <w:rsid w:val="009854F9"/>
    <w:rsid w:val="00985574"/>
    <w:rsid w:val="009857F8"/>
    <w:rsid w:val="00985895"/>
    <w:rsid w:val="009858CF"/>
    <w:rsid w:val="00985E90"/>
    <w:rsid w:val="00986178"/>
    <w:rsid w:val="009861A6"/>
    <w:rsid w:val="00986414"/>
    <w:rsid w:val="009864F0"/>
    <w:rsid w:val="0098695E"/>
    <w:rsid w:val="00986CA4"/>
    <w:rsid w:val="00986DE0"/>
    <w:rsid w:val="009876FF"/>
    <w:rsid w:val="00987ED7"/>
    <w:rsid w:val="00987F04"/>
    <w:rsid w:val="00987FC7"/>
    <w:rsid w:val="00990268"/>
    <w:rsid w:val="009906BE"/>
    <w:rsid w:val="00990AB0"/>
    <w:rsid w:val="00991270"/>
    <w:rsid w:val="00991456"/>
    <w:rsid w:val="009914A8"/>
    <w:rsid w:val="009918C9"/>
    <w:rsid w:val="00991A76"/>
    <w:rsid w:val="00991C7D"/>
    <w:rsid w:val="00991EFD"/>
    <w:rsid w:val="00992279"/>
    <w:rsid w:val="00992598"/>
    <w:rsid w:val="0099271E"/>
    <w:rsid w:val="00992953"/>
    <w:rsid w:val="00992FB9"/>
    <w:rsid w:val="009934F3"/>
    <w:rsid w:val="00993C0D"/>
    <w:rsid w:val="00993D75"/>
    <w:rsid w:val="00993E77"/>
    <w:rsid w:val="00994A83"/>
    <w:rsid w:val="00995319"/>
    <w:rsid w:val="009954AD"/>
    <w:rsid w:val="00995631"/>
    <w:rsid w:val="00995686"/>
    <w:rsid w:val="00995CA5"/>
    <w:rsid w:val="00995E6D"/>
    <w:rsid w:val="00996225"/>
    <w:rsid w:val="00996762"/>
    <w:rsid w:val="00996B47"/>
    <w:rsid w:val="0099728B"/>
    <w:rsid w:val="00997431"/>
    <w:rsid w:val="00997833"/>
    <w:rsid w:val="00997851"/>
    <w:rsid w:val="00997C2A"/>
    <w:rsid w:val="009A0132"/>
    <w:rsid w:val="009A0193"/>
    <w:rsid w:val="009A01BD"/>
    <w:rsid w:val="009A01DB"/>
    <w:rsid w:val="009A07CC"/>
    <w:rsid w:val="009A096C"/>
    <w:rsid w:val="009A0DE3"/>
    <w:rsid w:val="009A14BE"/>
    <w:rsid w:val="009A1505"/>
    <w:rsid w:val="009A1A26"/>
    <w:rsid w:val="009A1F04"/>
    <w:rsid w:val="009A1F43"/>
    <w:rsid w:val="009A1FB6"/>
    <w:rsid w:val="009A20E4"/>
    <w:rsid w:val="009A2101"/>
    <w:rsid w:val="009A22B0"/>
    <w:rsid w:val="009A25DF"/>
    <w:rsid w:val="009A3025"/>
    <w:rsid w:val="009A30FF"/>
    <w:rsid w:val="009A3312"/>
    <w:rsid w:val="009A336A"/>
    <w:rsid w:val="009A33B5"/>
    <w:rsid w:val="009A3442"/>
    <w:rsid w:val="009A375B"/>
    <w:rsid w:val="009A3E1E"/>
    <w:rsid w:val="009A3E2F"/>
    <w:rsid w:val="009A3EC8"/>
    <w:rsid w:val="009A3F93"/>
    <w:rsid w:val="009A4403"/>
    <w:rsid w:val="009A4547"/>
    <w:rsid w:val="009A4590"/>
    <w:rsid w:val="009A45D7"/>
    <w:rsid w:val="009A461E"/>
    <w:rsid w:val="009A48DF"/>
    <w:rsid w:val="009A4A26"/>
    <w:rsid w:val="009A4C64"/>
    <w:rsid w:val="009A564C"/>
    <w:rsid w:val="009A5A9A"/>
    <w:rsid w:val="009A5B1C"/>
    <w:rsid w:val="009A5B6A"/>
    <w:rsid w:val="009A5F3B"/>
    <w:rsid w:val="009A5FEA"/>
    <w:rsid w:val="009A60D3"/>
    <w:rsid w:val="009A69DE"/>
    <w:rsid w:val="009A6A46"/>
    <w:rsid w:val="009A6F71"/>
    <w:rsid w:val="009A73E7"/>
    <w:rsid w:val="009A77A0"/>
    <w:rsid w:val="009A781A"/>
    <w:rsid w:val="009A7943"/>
    <w:rsid w:val="009B06A5"/>
    <w:rsid w:val="009B0760"/>
    <w:rsid w:val="009B08A5"/>
    <w:rsid w:val="009B0BFC"/>
    <w:rsid w:val="009B0D49"/>
    <w:rsid w:val="009B131E"/>
    <w:rsid w:val="009B1660"/>
    <w:rsid w:val="009B1A39"/>
    <w:rsid w:val="009B1DAF"/>
    <w:rsid w:val="009B1EF7"/>
    <w:rsid w:val="009B226C"/>
    <w:rsid w:val="009B24C4"/>
    <w:rsid w:val="009B2803"/>
    <w:rsid w:val="009B28A9"/>
    <w:rsid w:val="009B2FA6"/>
    <w:rsid w:val="009B322C"/>
    <w:rsid w:val="009B3386"/>
    <w:rsid w:val="009B37FD"/>
    <w:rsid w:val="009B3F35"/>
    <w:rsid w:val="009B3F9C"/>
    <w:rsid w:val="009B42E3"/>
    <w:rsid w:val="009B45F9"/>
    <w:rsid w:val="009B4A49"/>
    <w:rsid w:val="009B4A9B"/>
    <w:rsid w:val="009B4ACC"/>
    <w:rsid w:val="009B4B72"/>
    <w:rsid w:val="009B4F0D"/>
    <w:rsid w:val="009B548F"/>
    <w:rsid w:val="009B595C"/>
    <w:rsid w:val="009B5A92"/>
    <w:rsid w:val="009B5BBD"/>
    <w:rsid w:val="009B5FB5"/>
    <w:rsid w:val="009B617E"/>
    <w:rsid w:val="009B63BC"/>
    <w:rsid w:val="009B6536"/>
    <w:rsid w:val="009B68C1"/>
    <w:rsid w:val="009B71BB"/>
    <w:rsid w:val="009B72A4"/>
    <w:rsid w:val="009B739F"/>
    <w:rsid w:val="009B77BE"/>
    <w:rsid w:val="009B7BA9"/>
    <w:rsid w:val="009B7BFC"/>
    <w:rsid w:val="009B7E5E"/>
    <w:rsid w:val="009C01F7"/>
    <w:rsid w:val="009C0A00"/>
    <w:rsid w:val="009C0CBE"/>
    <w:rsid w:val="009C0ECA"/>
    <w:rsid w:val="009C1165"/>
    <w:rsid w:val="009C122B"/>
    <w:rsid w:val="009C167F"/>
    <w:rsid w:val="009C16B9"/>
    <w:rsid w:val="009C18E5"/>
    <w:rsid w:val="009C1CC5"/>
    <w:rsid w:val="009C1EFC"/>
    <w:rsid w:val="009C27D9"/>
    <w:rsid w:val="009C2A59"/>
    <w:rsid w:val="009C2E21"/>
    <w:rsid w:val="009C2F87"/>
    <w:rsid w:val="009C30E6"/>
    <w:rsid w:val="009C367B"/>
    <w:rsid w:val="009C3AC3"/>
    <w:rsid w:val="009C3B62"/>
    <w:rsid w:val="009C3C81"/>
    <w:rsid w:val="009C3DBF"/>
    <w:rsid w:val="009C3F9D"/>
    <w:rsid w:val="009C4166"/>
    <w:rsid w:val="009C488F"/>
    <w:rsid w:val="009C4C4E"/>
    <w:rsid w:val="009C4F3C"/>
    <w:rsid w:val="009C4FDD"/>
    <w:rsid w:val="009C507C"/>
    <w:rsid w:val="009C5BAC"/>
    <w:rsid w:val="009C64EE"/>
    <w:rsid w:val="009C66A2"/>
    <w:rsid w:val="009C67A0"/>
    <w:rsid w:val="009C6A2D"/>
    <w:rsid w:val="009C6D2D"/>
    <w:rsid w:val="009C6F84"/>
    <w:rsid w:val="009C76CA"/>
    <w:rsid w:val="009C7A56"/>
    <w:rsid w:val="009C7B05"/>
    <w:rsid w:val="009C7C35"/>
    <w:rsid w:val="009C7E60"/>
    <w:rsid w:val="009C7EAF"/>
    <w:rsid w:val="009D0128"/>
    <w:rsid w:val="009D06E2"/>
    <w:rsid w:val="009D0908"/>
    <w:rsid w:val="009D0B19"/>
    <w:rsid w:val="009D0B7E"/>
    <w:rsid w:val="009D1117"/>
    <w:rsid w:val="009D1387"/>
    <w:rsid w:val="009D15F1"/>
    <w:rsid w:val="009D1805"/>
    <w:rsid w:val="009D1C54"/>
    <w:rsid w:val="009D243A"/>
    <w:rsid w:val="009D2583"/>
    <w:rsid w:val="009D26DE"/>
    <w:rsid w:val="009D28DF"/>
    <w:rsid w:val="009D2959"/>
    <w:rsid w:val="009D29C0"/>
    <w:rsid w:val="009D2B10"/>
    <w:rsid w:val="009D2F4A"/>
    <w:rsid w:val="009D319A"/>
    <w:rsid w:val="009D3559"/>
    <w:rsid w:val="009D37E1"/>
    <w:rsid w:val="009D3D65"/>
    <w:rsid w:val="009D3F9A"/>
    <w:rsid w:val="009D4064"/>
    <w:rsid w:val="009D4425"/>
    <w:rsid w:val="009D44A0"/>
    <w:rsid w:val="009D48CD"/>
    <w:rsid w:val="009D4C56"/>
    <w:rsid w:val="009D53A9"/>
    <w:rsid w:val="009D55C6"/>
    <w:rsid w:val="009D5793"/>
    <w:rsid w:val="009D6015"/>
    <w:rsid w:val="009D670A"/>
    <w:rsid w:val="009D69A3"/>
    <w:rsid w:val="009D6BB1"/>
    <w:rsid w:val="009D6C3B"/>
    <w:rsid w:val="009D6CBF"/>
    <w:rsid w:val="009D6ED2"/>
    <w:rsid w:val="009E0632"/>
    <w:rsid w:val="009E065F"/>
    <w:rsid w:val="009E0ED4"/>
    <w:rsid w:val="009E174A"/>
    <w:rsid w:val="009E1B09"/>
    <w:rsid w:val="009E1BA6"/>
    <w:rsid w:val="009E22F7"/>
    <w:rsid w:val="009E2421"/>
    <w:rsid w:val="009E24FE"/>
    <w:rsid w:val="009E2789"/>
    <w:rsid w:val="009E2E43"/>
    <w:rsid w:val="009E2EB0"/>
    <w:rsid w:val="009E2F01"/>
    <w:rsid w:val="009E3094"/>
    <w:rsid w:val="009E3459"/>
    <w:rsid w:val="009E3609"/>
    <w:rsid w:val="009E37CE"/>
    <w:rsid w:val="009E3A22"/>
    <w:rsid w:val="009E428B"/>
    <w:rsid w:val="009E43E8"/>
    <w:rsid w:val="009E4659"/>
    <w:rsid w:val="009E5139"/>
    <w:rsid w:val="009E5617"/>
    <w:rsid w:val="009E5944"/>
    <w:rsid w:val="009E5DBC"/>
    <w:rsid w:val="009E6783"/>
    <w:rsid w:val="009E683B"/>
    <w:rsid w:val="009E6CEE"/>
    <w:rsid w:val="009E6DD6"/>
    <w:rsid w:val="009E6E5F"/>
    <w:rsid w:val="009E6E81"/>
    <w:rsid w:val="009E7374"/>
    <w:rsid w:val="009E737A"/>
    <w:rsid w:val="009E7B75"/>
    <w:rsid w:val="009F0270"/>
    <w:rsid w:val="009F050D"/>
    <w:rsid w:val="009F0DBA"/>
    <w:rsid w:val="009F0ED2"/>
    <w:rsid w:val="009F1128"/>
    <w:rsid w:val="009F12C6"/>
    <w:rsid w:val="009F14A8"/>
    <w:rsid w:val="009F14B6"/>
    <w:rsid w:val="009F1DB0"/>
    <w:rsid w:val="009F2779"/>
    <w:rsid w:val="009F2B30"/>
    <w:rsid w:val="009F3192"/>
    <w:rsid w:val="009F3195"/>
    <w:rsid w:val="009F3237"/>
    <w:rsid w:val="009F394A"/>
    <w:rsid w:val="009F3B44"/>
    <w:rsid w:val="009F430B"/>
    <w:rsid w:val="009F44EC"/>
    <w:rsid w:val="009F4979"/>
    <w:rsid w:val="009F52E1"/>
    <w:rsid w:val="009F5313"/>
    <w:rsid w:val="009F539B"/>
    <w:rsid w:val="009F5421"/>
    <w:rsid w:val="009F55AA"/>
    <w:rsid w:val="009F56A8"/>
    <w:rsid w:val="009F5AB2"/>
    <w:rsid w:val="009F62A8"/>
    <w:rsid w:val="009F656D"/>
    <w:rsid w:val="009F6A99"/>
    <w:rsid w:val="009F700B"/>
    <w:rsid w:val="009F778B"/>
    <w:rsid w:val="009F79CF"/>
    <w:rsid w:val="009F7A37"/>
    <w:rsid w:val="009F7E84"/>
    <w:rsid w:val="009F7E8C"/>
    <w:rsid w:val="00A002CA"/>
    <w:rsid w:val="00A0054F"/>
    <w:rsid w:val="00A00562"/>
    <w:rsid w:val="00A0057A"/>
    <w:rsid w:val="00A00753"/>
    <w:rsid w:val="00A009F2"/>
    <w:rsid w:val="00A00FB7"/>
    <w:rsid w:val="00A013F4"/>
    <w:rsid w:val="00A017BE"/>
    <w:rsid w:val="00A0196F"/>
    <w:rsid w:val="00A01FF3"/>
    <w:rsid w:val="00A024F9"/>
    <w:rsid w:val="00A02A08"/>
    <w:rsid w:val="00A02CD9"/>
    <w:rsid w:val="00A02F6F"/>
    <w:rsid w:val="00A03120"/>
    <w:rsid w:val="00A03517"/>
    <w:rsid w:val="00A03846"/>
    <w:rsid w:val="00A0392C"/>
    <w:rsid w:val="00A03974"/>
    <w:rsid w:val="00A039D4"/>
    <w:rsid w:val="00A03B8D"/>
    <w:rsid w:val="00A03CFC"/>
    <w:rsid w:val="00A03F84"/>
    <w:rsid w:val="00A045AD"/>
    <w:rsid w:val="00A04697"/>
    <w:rsid w:val="00A047C5"/>
    <w:rsid w:val="00A04AA7"/>
    <w:rsid w:val="00A04EF7"/>
    <w:rsid w:val="00A05E09"/>
    <w:rsid w:val="00A05E82"/>
    <w:rsid w:val="00A05F66"/>
    <w:rsid w:val="00A05FEB"/>
    <w:rsid w:val="00A06170"/>
    <w:rsid w:val="00A06651"/>
    <w:rsid w:val="00A07284"/>
    <w:rsid w:val="00A072E9"/>
    <w:rsid w:val="00A0750B"/>
    <w:rsid w:val="00A100BC"/>
    <w:rsid w:val="00A1065C"/>
    <w:rsid w:val="00A1080C"/>
    <w:rsid w:val="00A10B0F"/>
    <w:rsid w:val="00A110E3"/>
    <w:rsid w:val="00A11100"/>
    <w:rsid w:val="00A11494"/>
    <w:rsid w:val="00A11B1B"/>
    <w:rsid w:val="00A11C63"/>
    <w:rsid w:val="00A11D30"/>
    <w:rsid w:val="00A11D58"/>
    <w:rsid w:val="00A121C2"/>
    <w:rsid w:val="00A127A2"/>
    <w:rsid w:val="00A12833"/>
    <w:rsid w:val="00A12967"/>
    <w:rsid w:val="00A1304C"/>
    <w:rsid w:val="00A13360"/>
    <w:rsid w:val="00A1360F"/>
    <w:rsid w:val="00A136DB"/>
    <w:rsid w:val="00A139FE"/>
    <w:rsid w:val="00A13AC3"/>
    <w:rsid w:val="00A13E01"/>
    <w:rsid w:val="00A14122"/>
    <w:rsid w:val="00A142FE"/>
    <w:rsid w:val="00A14344"/>
    <w:rsid w:val="00A14A95"/>
    <w:rsid w:val="00A151AB"/>
    <w:rsid w:val="00A154D8"/>
    <w:rsid w:val="00A154FC"/>
    <w:rsid w:val="00A15AB0"/>
    <w:rsid w:val="00A15B6F"/>
    <w:rsid w:val="00A15D6B"/>
    <w:rsid w:val="00A1650E"/>
    <w:rsid w:val="00A1681A"/>
    <w:rsid w:val="00A168FD"/>
    <w:rsid w:val="00A16EDF"/>
    <w:rsid w:val="00A1711A"/>
    <w:rsid w:val="00A17143"/>
    <w:rsid w:val="00A17207"/>
    <w:rsid w:val="00A17573"/>
    <w:rsid w:val="00A17669"/>
    <w:rsid w:val="00A176D8"/>
    <w:rsid w:val="00A179CD"/>
    <w:rsid w:val="00A17A64"/>
    <w:rsid w:val="00A17D74"/>
    <w:rsid w:val="00A17F32"/>
    <w:rsid w:val="00A17F47"/>
    <w:rsid w:val="00A208A9"/>
    <w:rsid w:val="00A20A95"/>
    <w:rsid w:val="00A20DDC"/>
    <w:rsid w:val="00A20E27"/>
    <w:rsid w:val="00A21368"/>
    <w:rsid w:val="00A2151C"/>
    <w:rsid w:val="00A215BD"/>
    <w:rsid w:val="00A2171F"/>
    <w:rsid w:val="00A218B7"/>
    <w:rsid w:val="00A2199C"/>
    <w:rsid w:val="00A21F24"/>
    <w:rsid w:val="00A220DD"/>
    <w:rsid w:val="00A221FF"/>
    <w:rsid w:val="00A22A11"/>
    <w:rsid w:val="00A22B29"/>
    <w:rsid w:val="00A23249"/>
    <w:rsid w:val="00A23450"/>
    <w:rsid w:val="00A234E2"/>
    <w:rsid w:val="00A23A0A"/>
    <w:rsid w:val="00A25815"/>
    <w:rsid w:val="00A2596C"/>
    <w:rsid w:val="00A25996"/>
    <w:rsid w:val="00A25DC8"/>
    <w:rsid w:val="00A26374"/>
    <w:rsid w:val="00A266A0"/>
    <w:rsid w:val="00A26720"/>
    <w:rsid w:val="00A26BD1"/>
    <w:rsid w:val="00A26FE9"/>
    <w:rsid w:val="00A2730C"/>
    <w:rsid w:val="00A273E2"/>
    <w:rsid w:val="00A278B6"/>
    <w:rsid w:val="00A27BF5"/>
    <w:rsid w:val="00A27F6D"/>
    <w:rsid w:val="00A301F4"/>
    <w:rsid w:val="00A30421"/>
    <w:rsid w:val="00A30538"/>
    <w:rsid w:val="00A30724"/>
    <w:rsid w:val="00A30892"/>
    <w:rsid w:val="00A30BE0"/>
    <w:rsid w:val="00A30BFE"/>
    <w:rsid w:val="00A30C3C"/>
    <w:rsid w:val="00A3103E"/>
    <w:rsid w:val="00A310E9"/>
    <w:rsid w:val="00A31400"/>
    <w:rsid w:val="00A31570"/>
    <w:rsid w:val="00A31A29"/>
    <w:rsid w:val="00A328B7"/>
    <w:rsid w:val="00A32F94"/>
    <w:rsid w:val="00A33A12"/>
    <w:rsid w:val="00A346E7"/>
    <w:rsid w:val="00A34D5E"/>
    <w:rsid w:val="00A34F4A"/>
    <w:rsid w:val="00A3547B"/>
    <w:rsid w:val="00A355E0"/>
    <w:rsid w:val="00A355F9"/>
    <w:rsid w:val="00A36166"/>
    <w:rsid w:val="00A365AF"/>
    <w:rsid w:val="00A3668D"/>
    <w:rsid w:val="00A36A90"/>
    <w:rsid w:val="00A36CD7"/>
    <w:rsid w:val="00A3733A"/>
    <w:rsid w:val="00A37442"/>
    <w:rsid w:val="00A37829"/>
    <w:rsid w:val="00A379AA"/>
    <w:rsid w:val="00A37BA6"/>
    <w:rsid w:val="00A37F75"/>
    <w:rsid w:val="00A40459"/>
    <w:rsid w:val="00A40514"/>
    <w:rsid w:val="00A40636"/>
    <w:rsid w:val="00A406A6"/>
    <w:rsid w:val="00A40996"/>
    <w:rsid w:val="00A40FF8"/>
    <w:rsid w:val="00A40FFA"/>
    <w:rsid w:val="00A410AC"/>
    <w:rsid w:val="00A415ED"/>
    <w:rsid w:val="00A41996"/>
    <w:rsid w:val="00A41C0B"/>
    <w:rsid w:val="00A41D9B"/>
    <w:rsid w:val="00A42367"/>
    <w:rsid w:val="00A42594"/>
    <w:rsid w:val="00A426EF"/>
    <w:rsid w:val="00A4277F"/>
    <w:rsid w:val="00A42A5D"/>
    <w:rsid w:val="00A42B68"/>
    <w:rsid w:val="00A42D6E"/>
    <w:rsid w:val="00A42E1F"/>
    <w:rsid w:val="00A42E8A"/>
    <w:rsid w:val="00A435B0"/>
    <w:rsid w:val="00A43836"/>
    <w:rsid w:val="00A43896"/>
    <w:rsid w:val="00A43A46"/>
    <w:rsid w:val="00A43C9D"/>
    <w:rsid w:val="00A43D32"/>
    <w:rsid w:val="00A4481C"/>
    <w:rsid w:val="00A44A81"/>
    <w:rsid w:val="00A44D78"/>
    <w:rsid w:val="00A45346"/>
    <w:rsid w:val="00A453DB"/>
    <w:rsid w:val="00A45C5D"/>
    <w:rsid w:val="00A461A0"/>
    <w:rsid w:val="00A46C47"/>
    <w:rsid w:val="00A47273"/>
    <w:rsid w:val="00A47767"/>
    <w:rsid w:val="00A47C55"/>
    <w:rsid w:val="00A47D77"/>
    <w:rsid w:val="00A47EB8"/>
    <w:rsid w:val="00A47FE3"/>
    <w:rsid w:val="00A501E7"/>
    <w:rsid w:val="00A5089F"/>
    <w:rsid w:val="00A508F7"/>
    <w:rsid w:val="00A50BA9"/>
    <w:rsid w:val="00A50E14"/>
    <w:rsid w:val="00A51230"/>
    <w:rsid w:val="00A51397"/>
    <w:rsid w:val="00A51FEA"/>
    <w:rsid w:val="00A52276"/>
    <w:rsid w:val="00A524C1"/>
    <w:rsid w:val="00A52D14"/>
    <w:rsid w:val="00A52D29"/>
    <w:rsid w:val="00A52FC4"/>
    <w:rsid w:val="00A531E8"/>
    <w:rsid w:val="00A53243"/>
    <w:rsid w:val="00A53331"/>
    <w:rsid w:val="00A53813"/>
    <w:rsid w:val="00A53CAB"/>
    <w:rsid w:val="00A53D2E"/>
    <w:rsid w:val="00A53D6E"/>
    <w:rsid w:val="00A54531"/>
    <w:rsid w:val="00A54539"/>
    <w:rsid w:val="00A54988"/>
    <w:rsid w:val="00A54D49"/>
    <w:rsid w:val="00A54D4E"/>
    <w:rsid w:val="00A55AD6"/>
    <w:rsid w:val="00A55AFC"/>
    <w:rsid w:val="00A56680"/>
    <w:rsid w:val="00A56A61"/>
    <w:rsid w:val="00A56BF0"/>
    <w:rsid w:val="00A57279"/>
    <w:rsid w:val="00A60063"/>
    <w:rsid w:val="00A60093"/>
    <w:rsid w:val="00A600DD"/>
    <w:rsid w:val="00A602B0"/>
    <w:rsid w:val="00A60410"/>
    <w:rsid w:val="00A60423"/>
    <w:rsid w:val="00A60B5B"/>
    <w:rsid w:val="00A60C0E"/>
    <w:rsid w:val="00A61825"/>
    <w:rsid w:val="00A61886"/>
    <w:rsid w:val="00A6199E"/>
    <w:rsid w:val="00A61B07"/>
    <w:rsid w:val="00A61B0B"/>
    <w:rsid w:val="00A61B0C"/>
    <w:rsid w:val="00A61D83"/>
    <w:rsid w:val="00A61FB0"/>
    <w:rsid w:val="00A621FA"/>
    <w:rsid w:val="00A622E0"/>
    <w:rsid w:val="00A623E3"/>
    <w:rsid w:val="00A62401"/>
    <w:rsid w:val="00A6244E"/>
    <w:rsid w:val="00A62520"/>
    <w:rsid w:val="00A62632"/>
    <w:rsid w:val="00A62EC1"/>
    <w:rsid w:val="00A6323D"/>
    <w:rsid w:val="00A632C3"/>
    <w:rsid w:val="00A63471"/>
    <w:rsid w:val="00A639F3"/>
    <w:rsid w:val="00A63A13"/>
    <w:rsid w:val="00A63AC8"/>
    <w:rsid w:val="00A63B4A"/>
    <w:rsid w:val="00A63CCB"/>
    <w:rsid w:val="00A63FD1"/>
    <w:rsid w:val="00A641DB"/>
    <w:rsid w:val="00A64258"/>
    <w:rsid w:val="00A6425B"/>
    <w:rsid w:val="00A64502"/>
    <w:rsid w:val="00A64B88"/>
    <w:rsid w:val="00A64C94"/>
    <w:rsid w:val="00A64E1C"/>
    <w:rsid w:val="00A65AB0"/>
    <w:rsid w:val="00A65B73"/>
    <w:rsid w:val="00A65E99"/>
    <w:rsid w:val="00A65F69"/>
    <w:rsid w:val="00A65FFA"/>
    <w:rsid w:val="00A66262"/>
    <w:rsid w:val="00A667C6"/>
    <w:rsid w:val="00A66A6C"/>
    <w:rsid w:val="00A66DA1"/>
    <w:rsid w:val="00A66E45"/>
    <w:rsid w:val="00A6794D"/>
    <w:rsid w:val="00A67A73"/>
    <w:rsid w:val="00A67B7E"/>
    <w:rsid w:val="00A67C4F"/>
    <w:rsid w:val="00A67F05"/>
    <w:rsid w:val="00A67F86"/>
    <w:rsid w:val="00A7038E"/>
    <w:rsid w:val="00A70405"/>
    <w:rsid w:val="00A70C82"/>
    <w:rsid w:val="00A71165"/>
    <w:rsid w:val="00A711A8"/>
    <w:rsid w:val="00A71231"/>
    <w:rsid w:val="00A713F5"/>
    <w:rsid w:val="00A71BCF"/>
    <w:rsid w:val="00A71C70"/>
    <w:rsid w:val="00A71F33"/>
    <w:rsid w:val="00A720BB"/>
    <w:rsid w:val="00A724EF"/>
    <w:rsid w:val="00A727AF"/>
    <w:rsid w:val="00A727EC"/>
    <w:rsid w:val="00A72A00"/>
    <w:rsid w:val="00A72E2C"/>
    <w:rsid w:val="00A73177"/>
    <w:rsid w:val="00A733BD"/>
    <w:rsid w:val="00A733FF"/>
    <w:rsid w:val="00A737E1"/>
    <w:rsid w:val="00A73891"/>
    <w:rsid w:val="00A739F2"/>
    <w:rsid w:val="00A73DF5"/>
    <w:rsid w:val="00A7427A"/>
    <w:rsid w:val="00A74A41"/>
    <w:rsid w:val="00A74A9C"/>
    <w:rsid w:val="00A74E45"/>
    <w:rsid w:val="00A75035"/>
    <w:rsid w:val="00A753F1"/>
    <w:rsid w:val="00A755AF"/>
    <w:rsid w:val="00A75EF1"/>
    <w:rsid w:val="00A762AD"/>
    <w:rsid w:val="00A76511"/>
    <w:rsid w:val="00A769EA"/>
    <w:rsid w:val="00A76AB6"/>
    <w:rsid w:val="00A76CDF"/>
    <w:rsid w:val="00A76D20"/>
    <w:rsid w:val="00A770B0"/>
    <w:rsid w:val="00A77136"/>
    <w:rsid w:val="00A771DE"/>
    <w:rsid w:val="00A777D8"/>
    <w:rsid w:val="00A77AD4"/>
    <w:rsid w:val="00A77ED7"/>
    <w:rsid w:val="00A80091"/>
    <w:rsid w:val="00A8062B"/>
    <w:rsid w:val="00A80644"/>
    <w:rsid w:val="00A80AB8"/>
    <w:rsid w:val="00A80CCB"/>
    <w:rsid w:val="00A812AC"/>
    <w:rsid w:val="00A8133F"/>
    <w:rsid w:val="00A814B5"/>
    <w:rsid w:val="00A815D6"/>
    <w:rsid w:val="00A815E0"/>
    <w:rsid w:val="00A8191A"/>
    <w:rsid w:val="00A81A33"/>
    <w:rsid w:val="00A81EE3"/>
    <w:rsid w:val="00A82836"/>
    <w:rsid w:val="00A828F4"/>
    <w:rsid w:val="00A8293C"/>
    <w:rsid w:val="00A82C31"/>
    <w:rsid w:val="00A839EE"/>
    <w:rsid w:val="00A83A0E"/>
    <w:rsid w:val="00A83BFB"/>
    <w:rsid w:val="00A840BB"/>
    <w:rsid w:val="00A841A4"/>
    <w:rsid w:val="00A84758"/>
    <w:rsid w:val="00A84927"/>
    <w:rsid w:val="00A84B25"/>
    <w:rsid w:val="00A84C25"/>
    <w:rsid w:val="00A84C53"/>
    <w:rsid w:val="00A84C90"/>
    <w:rsid w:val="00A84CA7"/>
    <w:rsid w:val="00A84E85"/>
    <w:rsid w:val="00A8503F"/>
    <w:rsid w:val="00A851BE"/>
    <w:rsid w:val="00A8566B"/>
    <w:rsid w:val="00A8573B"/>
    <w:rsid w:val="00A858E0"/>
    <w:rsid w:val="00A85BB5"/>
    <w:rsid w:val="00A85CFF"/>
    <w:rsid w:val="00A85D2A"/>
    <w:rsid w:val="00A85EAF"/>
    <w:rsid w:val="00A85FC5"/>
    <w:rsid w:val="00A860B1"/>
    <w:rsid w:val="00A86423"/>
    <w:rsid w:val="00A86521"/>
    <w:rsid w:val="00A87154"/>
    <w:rsid w:val="00A87826"/>
    <w:rsid w:val="00A902DC"/>
    <w:rsid w:val="00A903F8"/>
    <w:rsid w:val="00A90891"/>
    <w:rsid w:val="00A9109D"/>
    <w:rsid w:val="00A9173A"/>
    <w:rsid w:val="00A91A6E"/>
    <w:rsid w:val="00A91B3C"/>
    <w:rsid w:val="00A91BF2"/>
    <w:rsid w:val="00A91D99"/>
    <w:rsid w:val="00A91DA4"/>
    <w:rsid w:val="00A9260A"/>
    <w:rsid w:val="00A92904"/>
    <w:rsid w:val="00A92AA9"/>
    <w:rsid w:val="00A92C60"/>
    <w:rsid w:val="00A93314"/>
    <w:rsid w:val="00A93363"/>
    <w:rsid w:val="00A9392C"/>
    <w:rsid w:val="00A93A69"/>
    <w:rsid w:val="00A94269"/>
    <w:rsid w:val="00A9474B"/>
    <w:rsid w:val="00A9496F"/>
    <w:rsid w:val="00A94A8C"/>
    <w:rsid w:val="00A94A9A"/>
    <w:rsid w:val="00A94AAE"/>
    <w:rsid w:val="00A94F11"/>
    <w:rsid w:val="00A950CF"/>
    <w:rsid w:val="00A955F6"/>
    <w:rsid w:val="00A9585A"/>
    <w:rsid w:val="00A9598E"/>
    <w:rsid w:val="00A95E02"/>
    <w:rsid w:val="00A95E34"/>
    <w:rsid w:val="00A9610C"/>
    <w:rsid w:val="00A9642A"/>
    <w:rsid w:val="00A96543"/>
    <w:rsid w:val="00A9672B"/>
    <w:rsid w:val="00A968B4"/>
    <w:rsid w:val="00A96E3D"/>
    <w:rsid w:val="00A96EB6"/>
    <w:rsid w:val="00A97137"/>
    <w:rsid w:val="00A9713F"/>
    <w:rsid w:val="00A9766B"/>
    <w:rsid w:val="00A97702"/>
    <w:rsid w:val="00A97756"/>
    <w:rsid w:val="00A979C4"/>
    <w:rsid w:val="00A97C5F"/>
    <w:rsid w:val="00A97D60"/>
    <w:rsid w:val="00AA039E"/>
    <w:rsid w:val="00AA07A2"/>
    <w:rsid w:val="00AA0D41"/>
    <w:rsid w:val="00AA11B2"/>
    <w:rsid w:val="00AA1B5B"/>
    <w:rsid w:val="00AA23D1"/>
    <w:rsid w:val="00AA30AF"/>
    <w:rsid w:val="00AA31A7"/>
    <w:rsid w:val="00AA33E5"/>
    <w:rsid w:val="00AA3A47"/>
    <w:rsid w:val="00AA3DF8"/>
    <w:rsid w:val="00AA3ED8"/>
    <w:rsid w:val="00AA44AD"/>
    <w:rsid w:val="00AA4999"/>
    <w:rsid w:val="00AA4A3A"/>
    <w:rsid w:val="00AA4AF5"/>
    <w:rsid w:val="00AA4F02"/>
    <w:rsid w:val="00AA4F22"/>
    <w:rsid w:val="00AA50D4"/>
    <w:rsid w:val="00AA5290"/>
    <w:rsid w:val="00AA53BE"/>
    <w:rsid w:val="00AA5612"/>
    <w:rsid w:val="00AA589A"/>
    <w:rsid w:val="00AA5980"/>
    <w:rsid w:val="00AA5B5A"/>
    <w:rsid w:val="00AA5C98"/>
    <w:rsid w:val="00AA5CC9"/>
    <w:rsid w:val="00AA616B"/>
    <w:rsid w:val="00AA61F7"/>
    <w:rsid w:val="00AA6241"/>
    <w:rsid w:val="00AA6831"/>
    <w:rsid w:val="00AA6904"/>
    <w:rsid w:val="00AA6E33"/>
    <w:rsid w:val="00AA6FD0"/>
    <w:rsid w:val="00AA73D1"/>
    <w:rsid w:val="00AA7770"/>
    <w:rsid w:val="00AA7E8F"/>
    <w:rsid w:val="00AA7EAA"/>
    <w:rsid w:val="00AA7F94"/>
    <w:rsid w:val="00AB0181"/>
    <w:rsid w:val="00AB01F7"/>
    <w:rsid w:val="00AB0390"/>
    <w:rsid w:val="00AB0622"/>
    <w:rsid w:val="00AB0C0A"/>
    <w:rsid w:val="00AB0D1E"/>
    <w:rsid w:val="00AB0DE5"/>
    <w:rsid w:val="00AB1035"/>
    <w:rsid w:val="00AB128C"/>
    <w:rsid w:val="00AB1743"/>
    <w:rsid w:val="00AB2793"/>
    <w:rsid w:val="00AB2910"/>
    <w:rsid w:val="00AB29D4"/>
    <w:rsid w:val="00AB2FC6"/>
    <w:rsid w:val="00AB35BC"/>
    <w:rsid w:val="00AB3689"/>
    <w:rsid w:val="00AB36B5"/>
    <w:rsid w:val="00AB3917"/>
    <w:rsid w:val="00AB3DD8"/>
    <w:rsid w:val="00AB3F81"/>
    <w:rsid w:val="00AB3FFA"/>
    <w:rsid w:val="00AB41D6"/>
    <w:rsid w:val="00AB41F7"/>
    <w:rsid w:val="00AB4E98"/>
    <w:rsid w:val="00AB54F4"/>
    <w:rsid w:val="00AB554D"/>
    <w:rsid w:val="00AB59A6"/>
    <w:rsid w:val="00AB5F90"/>
    <w:rsid w:val="00AB62FB"/>
    <w:rsid w:val="00AB6661"/>
    <w:rsid w:val="00AB694B"/>
    <w:rsid w:val="00AB696D"/>
    <w:rsid w:val="00AB6E8F"/>
    <w:rsid w:val="00AB720A"/>
    <w:rsid w:val="00AB7458"/>
    <w:rsid w:val="00AB78FC"/>
    <w:rsid w:val="00AC00AE"/>
    <w:rsid w:val="00AC04E1"/>
    <w:rsid w:val="00AC0A40"/>
    <w:rsid w:val="00AC0F73"/>
    <w:rsid w:val="00AC122B"/>
    <w:rsid w:val="00AC1385"/>
    <w:rsid w:val="00AC1484"/>
    <w:rsid w:val="00AC149A"/>
    <w:rsid w:val="00AC1658"/>
    <w:rsid w:val="00AC185A"/>
    <w:rsid w:val="00AC192A"/>
    <w:rsid w:val="00AC1AC7"/>
    <w:rsid w:val="00AC2179"/>
    <w:rsid w:val="00AC21FA"/>
    <w:rsid w:val="00AC26AD"/>
    <w:rsid w:val="00AC280C"/>
    <w:rsid w:val="00AC28D5"/>
    <w:rsid w:val="00AC2E48"/>
    <w:rsid w:val="00AC2FE8"/>
    <w:rsid w:val="00AC3615"/>
    <w:rsid w:val="00AC3844"/>
    <w:rsid w:val="00AC45C9"/>
    <w:rsid w:val="00AC4A83"/>
    <w:rsid w:val="00AC5019"/>
    <w:rsid w:val="00AC5041"/>
    <w:rsid w:val="00AC51A9"/>
    <w:rsid w:val="00AC531C"/>
    <w:rsid w:val="00AC5485"/>
    <w:rsid w:val="00AC55C2"/>
    <w:rsid w:val="00AC5AF0"/>
    <w:rsid w:val="00AC5BF3"/>
    <w:rsid w:val="00AC5CCA"/>
    <w:rsid w:val="00AC5CD3"/>
    <w:rsid w:val="00AC647C"/>
    <w:rsid w:val="00AC6586"/>
    <w:rsid w:val="00AC66A0"/>
    <w:rsid w:val="00AC68FB"/>
    <w:rsid w:val="00AC69AD"/>
    <w:rsid w:val="00AC6CFF"/>
    <w:rsid w:val="00AC6E0E"/>
    <w:rsid w:val="00AC6F27"/>
    <w:rsid w:val="00AC6FA4"/>
    <w:rsid w:val="00AC75E9"/>
    <w:rsid w:val="00AC7953"/>
    <w:rsid w:val="00AD00E3"/>
    <w:rsid w:val="00AD07C3"/>
    <w:rsid w:val="00AD0837"/>
    <w:rsid w:val="00AD092B"/>
    <w:rsid w:val="00AD14CC"/>
    <w:rsid w:val="00AD1726"/>
    <w:rsid w:val="00AD17CC"/>
    <w:rsid w:val="00AD1983"/>
    <w:rsid w:val="00AD1A0A"/>
    <w:rsid w:val="00AD1C31"/>
    <w:rsid w:val="00AD269A"/>
    <w:rsid w:val="00AD2C6F"/>
    <w:rsid w:val="00AD2E58"/>
    <w:rsid w:val="00AD300F"/>
    <w:rsid w:val="00AD3915"/>
    <w:rsid w:val="00AD3D34"/>
    <w:rsid w:val="00AD3FF9"/>
    <w:rsid w:val="00AD4F4B"/>
    <w:rsid w:val="00AD5529"/>
    <w:rsid w:val="00AD59B1"/>
    <w:rsid w:val="00AD6137"/>
    <w:rsid w:val="00AD62C0"/>
    <w:rsid w:val="00AD65BD"/>
    <w:rsid w:val="00AD6744"/>
    <w:rsid w:val="00AD6813"/>
    <w:rsid w:val="00AD714C"/>
    <w:rsid w:val="00AD715E"/>
    <w:rsid w:val="00AD737C"/>
    <w:rsid w:val="00AD7734"/>
    <w:rsid w:val="00AD7F52"/>
    <w:rsid w:val="00AE019A"/>
    <w:rsid w:val="00AE03D1"/>
    <w:rsid w:val="00AE0537"/>
    <w:rsid w:val="00AE0706"/>
    <w:rsid w:val="00AE08F4"/>
    <w:rsid w:val="00AE0A7A"/>
    <w:rsid w:val="00AE0AA4"/>
    <w:rsid w:val="00AE0EAC"/>
    <w:rsid w:val="00AE0F21"/>
    <w:rsid w:val="00AE1171"/>
    <w:rsid w:val="00AE1E2B"/>
    <w:rsid w:val="00AE1F5E"/>
    <w:rsid w:val="00AE2047"/>
    <w:rsid w:val="00AE2108"/>
    <w:rsid w:val="00AE2270"/>
    <w:rsid w:val="00AE22D5"/>
    <w:rsid w:val="00AE29DE"/>
    <w:rsid w:val="00AE2D2A"/>
    <w:rsid w:val="00AE34CF"/>
    <w:rsid w:val="00AE3637"/>
    <w:rsid w:val="00AE3AEC"/>
    <w:rsid w:val="00AE3CDC"/>
    <w:rsid w:val="00AE4168"/>
    <w:rsid w:val="00AE45E1"/>
    <w:rsid w:val="00AE4AA4"/>
    <w:rsid w:val="00AE4D54"/>
    <w:rsid w:val="00AE5025"/>
    <w:rsid w:val="00AE54D1"/>
    <w:rsid w:val="00AE56BC"/>
    <w:rsid w:val="00AE5C5C"/>
    <w:rsid w:val="00AE5E2D"/>
    <w:rsid w:val="00AE6196"/>
    <w:rsid w:val="00AE675E"/>
    <w:rsid w:val="00AE6965"/>
    <w:rsid w:val="00AE6B9F"/>
    <w:rsid w:val="00AE6F5A"/>
    <w:rsid w:val="00AE72D0"/>
    <w:rsid w:val="00AE73E1"/>
    <w:rsid w:val="00AE7896"/>
    <w:rsid w:val="00AE7955"/>
    <w:rsid w:val="00AE7A35"/>
    <w:rsid w:val="00AE7B09"/>
    <w:rsid w:val="00AE7B5B"/>
    <w:rsid w:val="00AE7C76"/>
    <w:rsid w:val="00AE7D9B"/>
    <w:rsid w:val="00AF061D"/>
    <w:rsid w:val="00AF0655"/>
    <w:rsid w:val="00AF0E2E"/>
    <w:rsid w:val="00AF1373"/>
    <w:rsid w:val="00AF13EB"/>
    <w:rsid w:val="00AF1606"/>
    <w:rsid w:val="00AF1636"/>
    <w:rsid w:val="00AF1757"/>
    <w:rsid w:val="00AF1957"/>
    <w:rsid w:val="00AF1D1B"/>
    <w:rsid w:val="00AF1F19"/>
    <w:rsid w:val="00AF20E4"/>
    <w:rsid w:val="00AF243C"/>
    <w:rsid w:val="00AF2473"/>
    <w:rsid w:val="00AF2AB7"/>
    <w:rsid w:val="00AF3058"/>
    <w:rsid w:val="00AF32E7"/>
    <w:rsid w:val="00AF3640"/>
    <w:rsid w:val="00AF393D"/>
    <w:rsid w:val="00AF3BB5"/>
    <w:rsid w:val="00AF3D0A"/>
    <w:rsid w:val="00AF3E9F"/>
    <w:rsid w:val="00AF3EAA"/>
    <w:rsid w:val="00AF411B"/>
    <w:rsid w:val="00AF42F9"/>
    <w:rsid w:val="00AF44ED"/>
    <w:rsid w:val="00AF5128"/>
    <w:rsid w:val="00AF558E"/>
    <w:rsid w:val="00AF5711"/>
    <w:rsid w:val="00AF5CE3"/>
    <w:rsid w:val="00AF5D57"/>
    <w:rsid w:val="00AF640A"/>
    <w:rsid w:val="00AF6CC0"/>
    <w:rsid w:val="00AF6E47"/>
    <w:rsid w:val="00AF7532"/>
    <w:rsid w:val="00AF763A"/>
    <w:rsid w:val="00AF7801"/>
    <w:rsid w:val="00B00087"/>
    <w:rsid w:val="00B00091"/>
    <w:rsid w:val="00B0032B"/>
    <w:rsid w:val="00B00B42"/>
    <w:rsid w:val="00B01050"/>
    <w:rsid w:val="00B01103"/>
    <w:rsid w:val="00B01237"/>
    <w:rsid w:val="00B01250"/>
    <w:rsid w:val="00B01303"/>
    <w:rsid w:val="00B013C7"/>
    <w:rsid w:val="00B016A5"/>
    <w:rsid w:val="00B01715"/>
    <w:rsid w:val="00B01958"/>
    <w:rsid w:val="00B01AAD"/>
    <w:rsid w:val="00B01E06"/>
    <w:rsid w:val="00B0265C"/>
    <w:rsid w:val="00B02D06"/>
    <w:rsid w:val="00B02E78"/>
    <w:rsid w:val="00B033E1"/>
    <w:rsid w:val="00B03567"/>
    <w:rsid w:val="00B0369A"/>
    <w:rsid w:val="00B03F90"/>
    <w:rsid w:val="00B042F2"/>
    <w:rsid w:val="00B0481E"/>
    <w:rsid w:val="00B05002"/>
    <w:rsid w:val="00B05314"/>
    <w:rsid w:val="00B058C1"/>
    <w:rsid w:val="00B05A91"/>
    <w:rsid w:val="00B05D92"/>
    <w:rsid w:val="00B05E33"/>
    <w:rsid w:val="00B060D4"/>
    <w:rsid w:val="00B061DA"/>
    <w:rsid w:val="00B06206"/>
    <w:rsid w:val="00B06649"/>
    <w:rsid w:val="00B067E1"/>
    <w:rsid w:val="00B068AA"/>
    <w:rsid w:val="00B0691D"/>
    <w:rsid w:val="00B06D95"/>
    <w:rsid w:val="00B06DC3"/>
    <w:rsid w:val="00B06F2E"/>
    <w:rsid w:val="00B074CA"/>
    <w:rsid w:val="00B074CB"/>
    <w:rsid w:val="00B07540"/>
    <w:rsid w:val="00B078F8"/>
    <w:rsid w:val="00B07A6F"/>
    <w:rsid w:val="00B07BE5"/>
    <w:rsid w:val="00B07DC6"/>
    <w:rsid w:val="00B07ED5"/>
    <w:rsid w:val="00B1040F"/>
    <w:rsid w:val="00B105BE"/>
    <w:rsid w:val="00B108B0"/>
    <w:rsid w:val="00B10919"/>
    <w:rsid w:val="00B10B3A"/>
    <w:rsid w:val="00B10C40"/>
    <w:rsid w:val="00B10EF2"/>
    <w:rsid w:val="00B110B0"/>
    <w:rsid w:val="00B11310"/>
    <w:rsid w:val="00B1158E"/>
    <w:rsid w:val="00B11B03"/>
    <w:rsid w:val="00B11B55"/>
    <w:rsid w:val="00B11E4F"/>
    <w:rsid w:val="00B1206F"/>
    <w:rsid w:val="00B125C0"/>
    <w:rsid w:val="00B129A2"/>
    <w:rsid w:val="00B12DDA"/>
    <w:rsid w:val="00B130A2"/>
    <w:rsid w:val="00B13252"/>
    <w:rsid w:val="00B134A3"/>
    <w:rsid w:val="00B13E8E"/>
    <w:rsid w:val="00B1418C"/>
    <w:rsid w:val="00B141F9"/>
    <w:rsid w:val="00B14260"/>
    <w:rsid w:val="00B14607"/>
    <w:rsid w:val="00B147D3"/>
    <w:rsid w:val="00B1485C"/>
    <w:rsid w:val="00B14C9D"/>
    <w:rsid w:val="00B14DAE"/>
    <w:rsid w:val="00B14E75"/>
    <w:rsid w:val="00B14F07"/>
    <w:rsid w:val="00B15000"/>
    <w:rsid w:val="00B151B2"/>
    <w:rsid w:val="00B1538B"/>
    <w:rsid w:val="00B15701"/>
    <w:rsid w:val="00B1586E"/>
    <w:rsid w:val="00B15909"/>
    <w:rsid w:val="00B15AF1"/>
    <w:rsid w:val="00B15B25"/>
    <w:rsid w:val="00B15D73"/>
    <w:rsid w:val="00B1607C"/>
    <w:rsid w:val="00B161D0"/>
    <w:rsid w:val="00B162BD"/>
    <w:rsid w:val="00B16888"/>
    <w:rsid w:val="00B16978"/>
    <w:rsid w:val="00B16C5E"/>
    <w:rsid w:val="00B16F2E"/>
    <w:rsid w:val="00B17427"/>
    <w:rsid w:val="00B17611"/>
    <w:rsid w:val="00B17874"/>
    <w:rsid w:val="00B2002D"/>
    <w:rsid w:val="00B20370"/>
    <w:rsid w:val="00B2082D"/>
    <w:rsid w:val="00B20BEC"/>
    <w:rsid w:val="00B20F0B"/>
    <w:rsid w:val="00B21846"/>
    <w:rsid w:val="00B21A75"/>
    <w:rsid w:val="00B21C39"/>
    <w:rsid w:val="00B22220"/>
    <w:rsid w:val="00B22317"/>
    <w:rsid w:val="00B225B8"/>
    <w:rsid w:val="00B22901"/>
    <w:rsid w:val="00B22BF6"/>
    <w:rsid w:val="00B22C2D"/>
    <w:rsid w:val="00B22D46"/>
    <w:rsid w:val="00B22F03"/>
    <w:rsid w:val="00B2303F"/>
    <w:rsid w:val="00B2310B"/>
    <w:rsid w:val="00B234D7"/>
    <w:rsid w:val="00B237E7"/>
    <w:rsid w:val="00B23B79"/>
    <w:rsid w:val="00B24082"/>
    <w:rsid w:val="00B24373"/>
    <w:rsid w:val="00B24A4B"/>
    <w:rsid w:val="00B24C5A"/>
    <w:rsid w:val="00B24E0E"/>
    <w:rsid w:val="00B25121"/>
    <w:rsid w:val="00B25316"/>
    <w:rsid w:val="00B25AA4"/>
    <w:rsid w:val="00B25E99"/>
    <w:rsid w:val="00B262E7"/>
    <w:rsid w:val="00B2635D"/>
    <w:rsid w:val="00B26775"/>
    <w:rsid w:val="00B268A1"/>
    <w:rsid w:val="00B26BAD"/>
    <w:rsid w:val="00B26E1B"/>
    <w:rsid w:val="00B270DC"/>
    <w:rsid w:val="00B27264"/>
    <w:rsid w:val="00B27445"/>
    <w:rsid w:val="00B274DC"/>
    <w:rsid w:val="00B275A0"/>
    <w:rsid w:val="00B27C8F"/>
    <w:rsid w:val="00B27DC5"/>
    <w:rsid w:val="00B27E81"/>
    <w:rsid w:val="00B301BA"/>
    <w:rsid w:val="00B30265"/>
    <w:rsid w:val="00B3057B"/>
    <w:rsid w:val="00B30606"/>
    <w:rsid w:val="00B30ADB"/>
    <w:rsid w:val="00B30D5C"/>
    <w:rsid w:val="00B30F43"/>
    <w:rsid w:val="00B311E3"/>
    <w:rsid w:val="00B312F0"/>
    <w:rsid w:val="00B313AF"/>
    <w:rsid w:val="00B324F4"/>
    <w:rsid w:val="00B32536"/>
    <w:rsid w:val="00B32728"/>
    <w:rsid w:val="00B32961"/>
    <w:rsid w:val="00B3296A"/>
    <w:rsid w:val="00B329CA"/>
    <w:rsid w:val="00B32C3E"/>
    <w:rsid w:val="00B335BD"/>
    <w:rsid w:val="00B335C1"/>
    <w:rsid w:val="00B33769"/>
    <w:rsid w:val="00B337B9"/>
    <w:rsid w:val="00B33A7B"/>
    <w:rsid w:val="00B3439B"/>
    <w:rsid w:val="00B3459E"/>
    <w:rsid w:val="00B345BC"/>
    <w:rsid w:val="00B34605"/>
    <w:rsid w:val="00B34620"/>
    <w:rsid w:val="00B34773"/>
    <w:rsid w:val="00B347CE"/>
    <w:rsid w:val="00B34896"/>
    <w:rsid w:val="00B349E3"/>
    <w:rsid w:val="00B34CF1"/>
    <w:rsid w:val="00B34F00"/>
    <w:rsid w:val="00B35164"/>
    <w:rsid w:val="00B35622"/>
    <w:rsid w:val="00B35720"/>
    <w:rsid w:val="00B35868"/>
    <w:rsid w:val="00B35AEB"/>
    <w:rsid w:val="00B36089"/>
    <w:rsid w:val="00B363B1"/>
    <w:rsid w:val="00B36498"/>
    <w:rsid w:val="00B3698B"/>
    <w:rsid w:val="00B36A5D"/>
    <w:rsid w:val="00B36B4C"/>
    <w:rsid w:val="00B372E1"/>
    <w:rsid w:val="00B372F6"/>
    <w:rsid w:val="00B37424"/>
    <w:rsid w:val="00B375A1"/>
    <w:rsid w:val="00B375F9"/>
    <w:rsid w:val="00B37782"/>
    <w:rsid w:val="00B37AA7"/>
    <w:rsid w:val="00B37DCC"/>
    <w:rsid w:val="00B400B1"/>
    <w:rsid w:val="00B40558"/>
    <w:rsid w:val="00B406C6"/>
    <w:rsid w:val="00B40AC0"/>
    <w:rsid w:val="00B40CA5"/>
    <w:rsid w:val="00B40FB6"/>
    <w:rsid w:val="00B41167"/>
    <w:rsid w:val="00B4149A"/>
    <w:rsid w:val="00B41635"/>
    <w:rsid w:val="00B41A97"/>
    <w:rsid w:val="00B429AA"/>
    <w:rsid w:val="00B42DFE"/>
    <w:rsid w:val="00B43967"/>
    <w:rsid w:val="00B43980"/>
    <w:rsid w:val="00B440C5"/>
    <w:rsid w:val="00B4485F"/>
    <w:rsid w:val="00B448D8"/>
    <w:rsid w:val="00B44A55"/>
    <w:rsid w:val="00B44BB9"/>
    <w:rsid w:val="00B452E4"/>
    <w:rsid w:val="00B457E3"/>
    <w:rsid w:val="00B45F7F"/>
    <w:rsid w:val="00B464E6"/>
    <w:rsid w:val="00B465A9"/>
    <w:rsid w:val="00B4711A"/>
    <w:rsid w:val="00B47501"/>
    <w:rsid w:val="00B47631"/>
    <w:rsid w:val="00B47698"/>
    <w:rsid w:val="00B47773"/>
    <w:rsid w:val="00B477B3"/>
    <w:rsid w:val="00B477D4"/>
    <w:rsid w:val="00B50256"/>
    <w:rsid w:val="00B504FA"/>
    <w:rsid w:val="00B508BC"/>
    <w:rsid w:val="00B5116C"/>
    <w:rsid w:val="00B51257"/>
    <w:rsid w:val="00B51314"/>
    <w:rsid w:val="00B51634"/>
    <w:rsid w:val="00B518F7"/>
    <w:rsid w:val="00B51D5F"/>
    <w:rsid w:val="00B51E1E"/>
    <w:rsid w:val="00B51E64"/>
    <w:rsid w:val="00B51FCB"/>
    <w:rsid w:val="00B52177"/>
    <w:rsid w:val="00B523EF"/>
    <w:rsid w:val="00B52419"/>
    <w:rsid w:val="00B52643"/>
    <w:rsid w:val="00B52925"/>
    <w:rsid w:val="00B52CE4"/>
    <w:rsid w:val="00B532D4"/>
    <w:rsid w:val="00B532E8"/>
    <w:rsid w:val="00B53517"/>
    <w:rsid w:val="00B5357A"/>
    <w:rsid w:val="00B53C79"/>
    <w:rsid w:val="00B53C8A"/>
    <w:rsid w:val="00B540F8"/>
    <w:rsid w:val="00B5424A"/>
    <w:rsid w:val="00B544B7"/>
    <w:rsid w:val="00B545CD"/>
    <w:rsid w:val="00B54775"/>
    <w:rsid w:val="00B54802"/>
    <w:rsid w:val="00B54A10"/>
    <w:rsid w:val="00B551FC"/>
    <w:rsid w:val="00B55258"/>
    <w:rsid w:val="00B556A0"/>
    <w:rsid w:val="00B55800"/>
    <w:rsid w:val="00B5585D"/>
    <w:rsid w:val="00B558B4"/>
    <w:rsid w:val="00B559FF"/>
    <w:rsid w:val="00B55BB1"/>
    <w:rsid w:val="00B561ED"/>
    <w:rsid w:val="00B5633F"/>
    <w:rsid w:val="00B563E1"/>
    <w:rsid w:val="00B5658E"/>
    <w:rsid w:val="00B5671D"/>
    <w:rsid w:val="00B56B11"/>
    <w:rsid w:val="00B56B41"/>
    <w:rsid w:val="00B56B81"/>
    <w:rsid w:val="00B56FBE"/>
    <w:rsid w:val="00B575F8"/>
    <w:rsid w:val="00B577E2"/>
    <w:rsid w:val="00B5780F"/>
    <w:rsid w:val="00B57922"/>
    <w:rsid w:val="00B57B27"/>
    <w:rsid w:val="00B57DE1"/>
    <w:rsid w:val="00B57FE7"/>
    <w:rsid w:val="00B6042C"/>
    <w:rsid w:val="00B6056E"/>
    <w:rsid w:val="00B60751"/>
    <w:rsid w:val="00B60B33"/>
    <w:rsid w:val="00B60C14"/>
    <w:rsid w:val="00B60C38"/>
    <w:rsid w:val="00B61619"/>
    <w:rsid w:val="00B61702"/>
    <w:rsid w:val="00B6188F"/>
    <w:rsid w:val="00B621F2"/>
    <w:rsid w:val="00B6228F"/>
    <w:rsid w:val="00B6285A"/>
    <w:rsid w:val="00B62971"/>
    <w:rsid w:val="00B62997"/>
    <w:rsid w:val="00B62ADF"/>
    <w:rsid w:val="00B62DC1"/>
    <w:rsid w:val="00B62E83"/>
    <w:rsid w:val="00B630CC"/>
    <w:rsid w:val="00B6320C"/>
    <w:rsid w:val="00B63D7A"/>
    <w:rsid w:val="00B63DBE"/>
    <w:rsid w:val="00B63FEF"/>
    <w:rsid w:val="00B641C0"/>
    <w:rsid w:val="00B64388"/>
    <w:rsid w:val="00B648C1"/>
    <w:rsid w:val="00B649FE"/>
    <w:rsid w:val="00B64BFD"/>
    <w:rsid w:val="00B64C8B"/>
    <w:rsid w:val="00B64DCD"/>
    <w:rsid w:val="00B65544"/>
    <w:rsid w:val="00B6568B"/>
    <w:rsid w:val="00B658E4"/>
    <w:rsid w:val="00B65B28"/>
    <w:rsid w:val="00B6699C"/>
    <w:rsid w:val="00B66C77"/>
    <w:rsid w:val="00B66F8C"/>
    <w:rsid w:val="00B67088"/>
    <w:rsid w:val="00B67839"/>
    <w:rsid w:val="00B67B7A"/>
    <w:rsid w:val="00B67C4D"/>
    <w:rsid w:val="00B703AE"/>
    <w:rsid w:val="00B70542"/>
    <w:rsid w:val="00B70578"/>
    <w:rsid w:val="00B70B90"/>
    <w:rsid w:val="00B70D7D"/>
    <w:rsid w:val="00B70F19"/>
    <w:rsid w:val="00B71820"/>
    <w:rsid w:val="00B71970"/>
    <w:rsid w:val="00B71A02"/>
    <w:rsid w:val="00B722C1"/>
    <w:rsid w:val="00B72414"/>
    <w:rsid w:val="00B72B63"/>
    <w:rsid w:val="00B72ED0"/>
    <w:rsid w:val="00B73042"/>
    <w:rsid w:val="00B730AD"/>
    <w:rsid w:val="00B73336"/>
    <w:rsid w:val="00B734A8"/>
    <w:rsid w:val="00B7387C"/>
    <w:rsid w:val="00B73A34"/>
    <w:rsid w:val="00B73D64"/>
    <w:rsid w:val="00B73E3F"/>
    <w:rsid w:val="00B73E8D"/>
    <w:rsid w:val="00B743D3"/>
    <w:rsid w:val="00B74CDF"/>
    <w:rsid w:val="00B74E24"/>
    <w:rsid w:val="00B74EB6"/>
    <w:rsid w:val="00B74EB7"/>
    <w:rsid w:val="00B75A1C"/>
    <w:rsid w:val="00B75B3E"/>
    <w:rsid w:val="00B75C0C"/>
    <w:rsid w:val="00B76147"/>
    <w:rsid w:val="00B765BE"/>
    <w:rsid w:val="00B769B1"/>
    <w:rsid w:val="00B772E6"/>
    <w:rsid w:val="00B77501"/>
    <w:rsid w:val="00B7798E"/>
    <w:rsid w:val="00B77B84"/>
    <w:rsid w:val="00B77EB7"/>
    <w:rsid w:val="00B77ED9"/>
    <w:rsid w:val="00B8061C"/>
    <w:rsid w:val="00B80709"/>
    <w:rsid w:val="00B80868"/>
    <w:rsid w:val="00B80A7D"/>
    <w:rsid w:val="00B80B66"/>
    <w:rsid w:val="00B80D62"/>
    <w:rsid w:val="00B816F4"/>
    <w:rsid w:val="00B81941"/>
    <w:rsid w:val="00B81D82"/>
    <w:rsid w:val="00B82470"/>
    <w:rsid w:val="00B82B4B"/>
    <w:rsid w:val="00B82EBA"/>
    <w:rsid w:val="00B83443"/>
    <w:rsid w:val="00B837F8"/>
    <w:rsid w:val="00B8386F"/>
    <w:rsid w:val="00B83A87"/>
    <w:rsid w:val="00B83E3A"/>
    <w:rsid w:val="00B83E44"/>
    <w:rsid w:val="00B841D6"/>
    <w:rsid w:val="00B84308"/>
    <w:rsid w:val="00B8448F"/>
    <w:rsid w:val="00B845D8"/>
    <w:rsid w:val="00B8468C"/>
    <w:rsid w:val="00B849AD"/>
    <w:rsid w:val="00B850BF"/>
    <w:rsid w:val="00B853C1"/>
    <w:rsid w:val="00B8562F"/>
    <w:rsid w:val="00B857A8"/>
    <w:rsid w:val="00B85A45"/>
    <w:rsid w:val="00B85CC0"/>
    <w:rsid w:val="00B85CC3"/>
    <w:rsid w:val="00B85D2D"/>
    <w:rsid w:val="00B8676A"/>
    <w:rsid w:val="00B86D2F"/>
    <w:rsid w:val="00B86DF6"/>
    <w:rsid w:val="00B87407"/>
    <w:rsid w:val="00B8778C"/>
    <w:rsid w:val="00B87D77"/>
    <w:rsid w:val="00B903D1"/>
    <w:rsid w:val="00B90535"/>
    <w:rsid w:val="00B90B71"/>
    <w:rsid w:val="00B90E43"/>
    <w:rsid w:val="00B913B7"/>
    <w:rsid w:val="00B913D2"/>
    <w:rsid w:val="00B91D63"/>
    <w:rsid w:val="00B92B54"/>
    <w:rsid w:val="00B92EBB"/>
    <w:rsid w:val="00B92EFB"/>
    <w:rsid w:val="00B93146"/>
    <w:rsid w:val="00B93AD8"/>
    <w:rsid w:val="00B93E15"/>
    <w:rsid w:val="00B9440D"/>
    <w:rsid w:val="00B9441F"/>
    <w:rsid w:val="00B9448D"/>
    <w:rsid w:val="00B94635"/>
    <w:rsid w:val="00B949A9"/>
    <w:rsid w:val="00B95282"/>
    <w:rsid w:val="00B95549"/>
    <w:rsid w:val="00B955DA"/>
    <w:rsid w:val="00B95DA5"/>
    <w:rsid w:val="00B960C5"/>
    <w:rsid w:val="00B9619A"/>
    <w:rsid w:val="00B965AA"/>
    <w:rsid w:val="00B96719"/>
    <w:rsid w:val="00B96A29"/>
    <w:rsid w:val="00B96C67"/>
    <w:rsid w:val="00B96CA0"/>
    <w:rsid w:val="00B970FD"/>
    <w:rsid w:val="00B97646"/>
    <w:rsid w:val="00B9778F"/>
    <w:rsid w:val="00B97DA6"/>
    <w:rsid w:val="00BA0091"/>
    <w:rsid w:val="00BA03B3"/>
    <w:rsid w:val="00BA051B"/>
    <w:rsid w:val="00BA0BE6"/>
    <w:rsid w:val="00BA0BFE"/>
    <w:rsid w:val="00BA0EA6"/>
    <w:rsid w:val="00BA11FC"/>
    <w:rsid w:val="00BA1390"/>
    <w:rsid w:val="00BA1632"/>
    <w:rsid w:val="00BA197A"/>
    <w:rsid w:val="00BA1BF4"/>
    <w:rsid w:val="00BA21E3"/>
    <w:rsid w:val="00BA261B"/>
    <w:rsid w:val="00BA2E27"/>
    <w:rsid w:val="00BA326F"/>
    <w:rsid w:val="00BA366A"/>
    <w:rsid w:val="00BA3BB3"/>
    <w:rsid w:val="00BA3C3C"/>
    <w:rsid w:val="00BA3E4E"/>
    <w:rsid w:val="00BA3F31"/>
    <w:rsid w:val="00BA3FBC"/>
    <w:rsid w:val="00BA3FFC"/>
    <w:rsid w:val="00BA4358"/>
    <w:rsid w:val="00BA45FD"/>
    <w:rsid w:val="00BA48C1"/>
    <w:rsid w:val="00BA48ED"/>
    <w:rsid w:val="00BA49CA"/>
    <w:rsid w:val="00BA4B6F"/>
    <w:rsid w:val="00BA4B92"/>
    <w:rsid w:val="00BA4C54"/>
    <w:rsid w:val="00BA4C6B"/>
    <w:rsid w:val="00BA4F69"/>
    <w:rsid w:val="00BA4F85"/>
    <w:rsid w:val="00BA51E4"/>
    <w:rsid w:val="00BA5208"/>
    <w:rsid w:val="00BA546A"/>
    <w:rsid w:val="00BA576D"/>
    <w:rsid w:val="00BA5843"/>
    <w:rsid w:val="00BA5A45"/>
    <w:rsid w:val="00BA5AAC"/>
    <w:rsid w:val="00BA5ED0"/>
    <w:rsid w:val="00BA6187"/>
    <w:rsid w:val="00BA63CD"/>
    <w:rsid w:val="00BA63F2"/>
    <w:rsid w:val="00BA65FC"/>
    <w:rsid w:val="00BA664F"/>
    <w:rsid w:val="00BA66C8"/>
    <w:rsid w:val="00BA6720"/>
    <w:rsid w:val="00BA6817"/>
    <w:rsid w:val="00BA6C42"/>
    <w:rsid w:val="00BA6DB4"/>
    <w:rsid w:val="00BA7A98"/>
    <w:rsid w:val="00BA7AF0"/>
    <w:rsid w:val="00BA7D0E"/>
    <w:rsid w:val="00BA7E1C"/>
    <w:rsid w:val="00BB0017"/>
    <w:rsid w:val="00BB0B44"/>
    <w:rsid w:val="00BB0CF6"/>
    <w:rsid w:val="00BB0DD0"/>
    <w:rsid w:val="00BB1181"/>
    <w:rsid w:val="00BB141F"/>
    <w:rsid w:val="00BB152D"/>
    <w:rsid w:val="00BB15FE"/>
    <w:rsid w:val="00BB16B5"/>
    <w:rsid w:val="00BB1745"/>
    <w:rsid w:val="00BB1A3E"/>
    <w:rsid w:val="00BB2846"/>
    <w:rsid w:val="00BB2ADD"/>
    <w:rsid w:val="00BB2C78"/>
    <w:rsid w:val="00BB2D23"/>
    <w:rsid w:val="00BB3122"/>
    <w:rsid w:val="00BB31F6"/>
    <w:rsid w:val="00BB366F"/>
    <w:rsid w:val="00BB3A5D"/>
    <w:rsid w:val="00BB3C88"/>
    <w:rsid w:val="00BB3E4B"/>
    <w:rsid w:val="00BB4030"/>
    <w:rsid w:val="00BB404F"/>
    <w:rsid w:val="00BB42F2"/>
    <w:rsid w:val="00BB457A"/>
    <w:rsid w:val="00BB4955"/>
    <w:rsid w:val="00BB4C7F"/>
    <w:rsid w:val="00BB4E31"/>
    <w:rsid w:val="00BB514B"/>
    <w:rsid w:val="00BB51F1"/>
    <w:rsid w:val="00BB52F2"/>
    <w:rsid w:val="00BB5422"/>
    <w:rsid w:val="00BB5463"/>
    <w:rsid w:val="00BB597C"/>
    <w:rsid w:val="00BB5EF1"/>
    <w:rsid w:val="00BB688D"/>
    <w:rsid w:val="00BB6964"/>
    <w:rsid w:val="00BB6E38"/>
    <w:rsid w:val="00BB71FD"/>
    <w:rsid w:val="00BB729F"/>
    <w:rsid w:val="00BB7593"/>
    <w:rsid w:val="00BB76E8"/>
    <w:rsid w:val="00BB7DAC"/>
    <w:rsid w:val="00BC00AE"/>
    <w:rsid w:val="00BC0213"/>
    <w:rsid w:val="00BC035D"/>
    <w:rsid w:val="00BC0CB0"/>
    <w:rsid w:val="00BC0D4E"/>
    <w:rsid w:val="00BC13E4"/>
    <w:rsid w:val="00BC1646"/>
    <w:rsid w:val="00BC1980"/>
    <w:rsid w:val="00BC202C"/>
    <w:rsid w:val="00BC2EB0"/>
    <w:rsid w:val="00BC3218"/>
    <w:rsid w:val="00BC3A97"/>
    <w:rsid w:val="00BC3E05"/>
    <w:rsid w:val="00BC40FD"/>
    <w:rsid w:val="00BC4330"/>
    <w:rsid w:val="00BC4427"/>
    <w:rsid w:val="00BC47C2"/>
    <w:rsid w:val="00BC4940"/>
    <w:rsid w:val="00BC49CB"/>
    <w:rsid w:val="00BC49EA"/>
    <w:rsid w:val="00BC4A86"/>
    <w:rsid w:val="00BC5090"/>
    <w:rsid w:val="00BC52E1"/>
    <w:rsid w:val="00BC5AC0"/>
    <w:rsid w:val="00BC5BDA"/>
    <w:rsid w:val="00BC687B"/>
    <w:rsid w:val="00BC6A56"/>
    <w:rsid w:val="00BC6AE9"/>
    <w:rsid w:val="00BC6EBD"/>
    <w:rsid w:val="00BC6F96"/>
    <w:rsid w:val="00BC712B"/>
    <w:rsid w:val="00BC719D"/>
    <w:rsid w:val="00BC737A"/>
    <w:rsid w:val="00BC7907"/>
    <w:rsid w:val="00BC79C5"/>
    <w:rsid w:val="00BC7AAD"/>
    <w:rsid w:val="00BD0106"/>
    <w:rsid w:val="00BD022A"/>
    <w:rsid w:val="00BD06DC"/>
    <w:rsid w:val="00BD07F8"/>
    <w:rsid w:val="00BD0946"/>
    <w:rsid w:val="00BD0AB6"/>
    <w:rsid w:val="00BD0BAF"/>
    <w:rsid w:val="00BD0BFC"/>
    <w:rsid w:val="00BD0D7E"/>
    <w:rsid w:val="00BD0F93"/>
    <w:rsid w:val="00BD142E"/>
    <w:rsid w:val="00BD1B21"/>
    <w:rsid w:val="00BD1CA7"/>
    <w:rsid w:val="00BD1DC8"/>
    <w:rsid w:val="00BD1F44"/>
    <w:rsid w:val="00BD23DC"/>
    <w:rsid w:val="00BD2509"/>
    <w:rsid w:val="00BD276B"/>
    <w:rsid w:val="00BD3593"/>
    <w:rsid w:val="00BD3882"/>
    <w:rsid w:val="00BD42A4"/>
    <w:rsid w:val="00BD49EF"/>
    <w:rsid w:val="00BD4BDC"/>
    <w:rsid w:val="00BD4D56"/>
    <w:rsid w:val="00BD517C"/>
    <w:rsid w:val="00BD5253"/>
    <w:rsid w:val="00BD5588"/>
    <w:rsid w:val="00BD570A"/>
    <w:rsid w:val="00BD57A8"/>
    <w:rsid w:val="00BD58D2"/>
    <w:rsid w:val="00BD5AAA"/>
    <w:rsid w:val="00BD5F1E"/>
    <w:rsid w:val="00BD6BC0"/>
    <w:rsid w:val="00BD6DF7"/>
    <w:rsid w:val="00BD7A50"/>
    <w:rsid w:val="00BD7BFF"/>
    <w:rsid w:val="00BE01EB"/>
    <w:rsid w:val="00BE0516"/>
    <w:rsid w:val="00BE05FA"/>
    <w:rsid w:val="00BE0654"/>
    <w:rsid w:val="00BE06E0"/>
    <w:rsid w:val="00BE0811"/>
    <w:rsid w:val="00BE0BB1"/>
    <w:rsid w:val="00BE0F51"/>
    <w:rsid w:val="00BE0FBA"/>
    <w:rsid w:val="00BE183F"/>
    <w:rsid w:val="00BE1911"/>
    <w:rsid w:val="00BE1CAC"/>
    <w:rsid w:val="00BE1D42"/>
    <w:rsid w:val="00BE2546"/>
    <w:rsid w:val="00BE2A1C"/>
    <w:rsid w:val="00BE2A25"/>
    <w:rsid w:val="00BE2B7B"/>
    <w:rsid w:val="00BE2B95"/>
    <w:rsid w:val="00BE367D"/>
    <w:rsid w:val="00BE45A6"/>
    <w:rsid w:val="00BE4935"/>
    <w:rsid w:val="00BE49B7"/>
    <w:rsid w:val="00BE4F04"/>
    <w:rsid w:val="00BE4F09"/>
    <w:rsid w:val="00BE4FE6"/>
    <w:rsid w:val="00BE548B"/>
    <w:rsid w:val="00BE5528"/>
    <w:rsid w:val="00BE59D4"/>
    <w:rsid w:val="00BE5AB1"/>
    <w:rsid w:val="00BE5B7F"/>
    <w:rsid w:val="00BE5BF4"/>
    <w:rsid w:val="00BE5DCA"/>
    <w:rsid w:val="00BE63D4"/>
    <w:rsid w:val="00BE64DE"/>
    <w:rsid w:val="00BE653A"/>
    <w:rsid w:val="00BE6807"/>
    <w:rsid w:val="00BE6953"/>
    <w:rsid w:val="00BE75DA"/>
    <w:rsid w:val="00BE7BE1"/>
    <w:rsid w:val="00BF0142"/>
    <w:rsid w:val="00BF0835"/>
    <w:rsid w:val="00BF0863"/>
    <w:rsid w:val="00BF10A4"/>
    <w:rsid w:val="00BF115B"/>
    <w:rsid w:val="00BF1C4B"/>
    <w:rsid w:val="00BF1C72"/>
    <w:rsid w:val="00BF1DB8"/>
    <w:rsid w:val="00BF1F0C"/>
    <w:rsid w:val="00BF2252"/>
    <w:rsid w:val="00BF25ED"/>
    <w:rsid w:val="00BF29A5"/>
    <w:rsid w:val="00BF2B31"/>
    <w:rsid w:val="00BF2C0D"/>
    <w:rsid w:val="00BF2CF5"/>
    <w:rsid w:val="00BF2EE0"/>
    <w:rsid w:val="00BF2EF4"/>
    <w:rsid w:val="00BF343D"/>
    <w:rsid w:val="00BF3A39"/>
    <w:rsid w:val="00BF3E7B"/>
    <w:rsid w:val="00BF3FC7"/>
    <w:rsid w:val="00BF4218"/>
    <w:rsid w:val="00BF4849"/>
    <w:rsid w:val="00BF4BEE"/>
    <w:rsid w:val="00BF4D6B"/>
    <w:rsid w:val="00BF5657"/>
    <w:rsid w:val="00BF5B38"/>
    <w:rsid w:val="00BF5F16"/>
    <w:rsid w:val="00BF60DB"/>
    <w:rsid w:val="00BF636D"/>
    <w:rsid w:val="00BF6836"/>
    <w:rsid w:val="00BF6D36"/>
    <w:rsid w:val="00BF71BB"/>
    <w:rsid w:val="00BF734D"/>
    <w:rsid w:val="00BF74CB"/>
    <w:rsid w:val="00BF750E"/>
    <w:rsid w:val="00BF7977"/>
    <w:rsid w:val="00BF7B4E"/>
    <w:rsid w:val="00BF7C85"/>
    <w:rsid w:val="00BF7EE1"/>
    <w:rsid w:val="00C001F4"/>
    <w:rsid w:val="00C00352"/>
    <w:rsid w:val="00C00636"/>
    <w:rsid w:val="00C00714"/>
    <w:rsid w:val="00C010EB"/>
    <w:rsid w:val="00C016AF"/>
    <w:rsid w:val="00C016BF"/>
    <w:rsid w:val="00C0187F"/>
    <w:rsid w:val="00C02518"/>
    <w:rsid w:val="00C026DE"/>
    <w:rsid w:val="00C02B29"/>
    <w:rsid w:val="00C02FBC"/>
    <w:rsid w:val="00C03070"/>
    <w:rsid w:val="00C030A9"/>
    <w:rsid w:val="00C038C9"/>
    <w:rsid w:val="00C03930"/>
    <w:rsid w:val="00C03965"/>
    <w:rsid w:val="00C0398D"/>
    <w:rsid w:val="00C03A79"/>
    <w:rsid w:val="00C0419E"/>
    <w:rsid w:val="00C041AB"/>
    <w:rsid w:val="00C04382"/>
    <w:rsid w:val="00C04C52"/>
    <w:rsid w:val="00C04D68"/>
    <w:rsid w:val="00C05249"/>
    <w:rsid w:val="00C05281"/>
    <w:rsid w:val="00C052A9"/>
    <w:rsid w:val="00C05304"/>
    <w:rsid w:val="00C05E09"/>
    <w:rsid w:val="00C06171"/>
    <w:rsid w:val="00C06310"/>
    <w:rsid w:val="00C06A4C"/>
    <w:rsid w:val="00C06AC8"/>
    <w:rsid w:val="00C06FDA"/>
    <w:rsid w:val="00C072D0"/>
    <w:rsid w:val="00C07511"/>
    <w:rsid w:val="00C07594"/>
    <w:rsid w:val="00C07CBF"/>
    <w:rsid w:val="00C10568"/>
    <w:rsid w:val="00C1065A"/>
    <w:rsid w:val="00C108F8"/>
    <w:rsid w:val="00C10A7B"/>
    <w:rsid w:val="00C10C28"/>
    <w:rsid w:val="00C1130A"/>
    <w:rsid w:val="00C116AD"/>
    <w:rsid w:val="00C11722"/>
    <w:rsid w:val="00C11748"/>
    <w:rsid w:val="00C119A8"/>
    <w:rsid w:val="00C11C87"/>
    <w:rsid w:val="00C11E69"/>
    <w:rsid w:val="00C1207B"/>
    <w:rsid w:val="00C121F7"/>
    <w:rsid w:val="00C12225"/>
    <w:rsid w:val="00C124C3"/>
    <w:rsid w:val="00C125AE"/>
    <w:rsid w:val="00C125D5"/>
    <w:rsid w:val="00C12701"/>
    <w:rsid w:val="00C127CE"/>
    <w:rsid w:val="00C12861"/>
    <w:rsid w:val="00C12C54"/>
    <w:rsid w:val="00C12E39"/>
    <w:rsid w:val="00C12F34"/>
    <w:rsid w:val="00C12FF7"/>
    <w:rsid w:val="00C130CD"/>
    <w:rsid w:val="00C130F6"/>
    <w:rsid w:val="00C132FC"/>
    <w:rsid w:val="00C13435"/>
    <w:rsid w:val="00C13D0F"/>
    <w:rsid w:val="00C1440D"/>
    <w:rsid w:val="00C14472"/>
    <w:rsid w:val="00C14940"/>
    <w:rsid w:val="00C14F34"/>
    <w:rsid w:val="00C15100"/>
    <w:rsid w:val="00C154C6"/>
    <w:rsid w:val="00C15623"/>
    <w:rsid w:val="00C15962"/>
    <w:rsid w:val="00C15A78"/>
    <w:rsid w:val="00C15B0C"/>
    <w:rsid w:val="00C15EE2"/>
    <w:rsid w:val="00C163A9"/>
    <w:rsid w:val="00C16693"/>
    <w:rsid w:val="00C16A2B"/>
    <w:rsid w:val="00C16BEF"/>
    <w:rsid w:val="00C16EC8"/>
    <w:rsid w:val="00C172C7"/>
    <w:rsid w:val="00C1745A"/>
    <w:rsid w:val="00C174B7"/>
    <w:rsid w:val="00C17582"/>
    <w:rsid w:val="00C177DD"/>
    <w:rsid w:val="00C201CE"/>
    <w:rsid w:val="00C20263"/>
    <w:rsid w:val="00C20362"/>
    <w:rsid w:val="00C2091F"/>
    <w:rsid w:val="00C2098D"/>
    <w:rsid w:val="00C20A12"/>
    <w:rsid w:val="00C20F15"/>
    <w:rsid w:val="00C213C6"/>
    <w:rsid w:val="00C215F3"/>
    <w:rsid w:val="00C21739"/>
    <w:rsid w:val="00C2206C"/>
    <w:rsid w:val="00C22615"/>
    <w:rsid w:val="00C22AEF"/>
    <w:rsid w:val="00C22B17"/>
    <w:rsid w:val="00C22E3D"/>
    <w:rsid w:val="00C23080"/>
    <w:rsid w:val="00C233AD"/>
    <w:rsid w:val="00C236F1"/>
    <w:rsid w:val="00C2395B"/>
    <w:rsid w:val="00C23989"/>
    <w:rsid w:val="00C23CA1"/>
    <w:rsid w:val="00C23EDF"/>
    <w:rsid w:val="00C241CD"/>
    <w:rsid w:val="00C24200"/>
    <w:rsid w:val="00C248DC"/>
    <w:rsid w:val="00C252AF"/>
    <w:rsid w:val="00C25471"/>
    <w:rsid w:val="00C25A84"/>
    <w:rsid w:val="00C25B19"/>
    <w:rsid w:val="00C25C8C"/>
    <w:rsid w:val="00C2612F"/>
    <w:rsid w:val="00C261A3"/>
    <w:rsid w:val="00C261E9"/>
    <w:rsid w:val="00C2644A"/>
    <w:rsid w:val="00C265F6"/>
    <w:rsid w:val="00C276D0"/>
    <w:rsid w:val="00C27B13"/>
    <w:rsid w:val="00C27BD9"/>
    <w:rsid w:val="00C30592"/>
    <w:rsid w:val="00C30BA9"/>
    <w:rsid w:val="00C30BEA"/>
    <w:rsid w:val="00C30C1C"/>
    <w:rsid w:val="00C30DDE"/>
    <w:rsid w:val="00C31148"/>
    <w:rsid w:val="00C311AD"/>
    <w:rsid w:val="00C31629"/>
    <w:rsid w:val="00C31FDB"/>
    <w:rsid w:val="00C3221A"/>
    <w:rsid w:val="00C32FA9"/>
    <w:rsid w:val="00C335E3"/>
    <w:rsid w:val="00C33633"/>
    <w:rsid w:val="00C336D1"/>
    <w:rsid w:val="00C337DA"/>
    <w:rsid w:val="00C33B61"/>
    <w:rsid w:val="00C33D3B"/>
    <w:rsid w:val="00C33E84"/>
    <w:rsid w:val="00C34DFF"/>
    <w:rsid w:val="00C3501B"/>
    <w:rsid w:val="00C35141"/>
    <w:rsid w:val="00C35231"/>
    <w:rsid w:val="00C3527D"/>
    <w:rsid w:val="00C3580B"/>
    <w:rsid w:val="00C3591A"/>
    <w:rsid w:val="00C35D0D"/>
    <w:rsid w:val="00C35E75"/>
    <w:rsid w:val="00C35EB5"/>
    <w:rsid w:val="00C3642A"/>
    <w:rsid w:val="00C3647A"/>
    <w:rsid w:val="00C36765"/>
    <w:rsid w:val="00C36C9F"/>
    <w:rsid w:val="00C36E43"/>
    <w:rsid w:val="00C36F02"/>
    <w:rsid w:val="00C37597"/>
    <w:rsid w:val="00C37660"/>
    <w:rsid w:val="00C376AA"/>
    <w:rsid w:val="00C376E7"/>
    <w:rsid w:val="00C378B0"/>
    <w:rsid w:val="00C37D35"/>
    <w:rsid w:val="00C401AF"/>
    <w:rsid w:val="00C402DD"/>
    <w:rsid w:val="00C40912"/>
    <w:rsid w:val="00C40F9A"/>
    <w:rsid w:val="00C41178"/>
    <w:rsid w:val="00C42023"/>
    <w:rsid w:val="00C420B8"/>
    <w:rsid w:val="00C42414"/>
    <w:rsid w:val="00C42441"/>
    <w:rsid w:val="00C42603"/>
    <w:rsid w:val="00C4280C"/>
    <w:rsid w:val="00C42E30"/>
    <w:rsid w:val="00C43600"/>
    <w:rsid w:val="00C43719"/>
    <w:rsid w:val="00C4394D"/>
    <w:rsid w:val="00C439AE"/>
    <w:rsid w:val="00C43C1C"/>
    <w:rsid w:val="00C43D38"/>
    <w:rsid w:val="00C43FE1"/>
    <w:rsid w:val="00C44082"/>
    <w:rsid w:val="00C4417D"/>
    <w:rsid w:val="00C44183"/>
    <w:rsid w:val="00C445DD"/>
    <w:rsid w:val="00C45749"/>
    <w:rsid w:val="00C459F5"/>
    <w:rsid w:val="00C45C56"/>
    <w:rsid w:val="00C45D9E"/>
    <w:rsid w:val="00C46293"/>
    <w:rsid w:val="00C4633A"/>
    <w:rsid w:val="00C467EE"/>
    <w:rsid w:val="00C46931"/>
    <w:rsid w:val="00C46BBE"/>
    <w:rsid w:val="00C46DC9"/>
    <w:rsid w:val="00C47342"/>
    <w:rsid w:val="00C47481"/>
    <w:rsid w:val="00C474F8"/>
    <w:rsid w:val="00C475D2"/>
    <w:rsid w:val="00C47B17"/>
    <w:rsid w:val="00C5029B"/>
    <w:rsid w:val="00C503A7"/>
    <w:rsid w:val="00C50536"/>
    <w:rsid w:val="00C5078E"/>
    <w:rsid w:val="00C5090F"/>
    <w:rsid w:val="00C5184D"/>
    <w:rsid w:val="00C5188E"/>
    <w:rsid w:val="00C51D45"/>
    <w:rsid w:val="00C5215F"/>
    <w:rsid w:val="00C5220F"/>
    <w:rsid w:val="00C525F9"/>
    <w:rsid w:val="00C529B1"/>
    <w:rsid w:val="00C529F6"/>
    <w:rsid w:val="00C52CAB"/>
    <w:rsid w:val="00C5317D"/>
    <w:rsid w:val="00C53517"/>
    <w:rsid w:val="00C53A67"/>
    <w:rsid w:val="00C53DA4"/>
    <w:rsid w:val="00C54142"/>
    <w:rsid w:val="00C54746"/>
    <w:rsid w:val="00C54BB4"/>
    <w:rsid w:val="00C54C22"/>
    <w:rsid w:val="00C552B2"/>
    <w:rsid w:val="00C554C3"/>
    <w:rsid w:val="00C5563F"/>
    <w:rsid w:val="00C55655"/>
    <w:rsid w:val="00C55737"/>
    <w:rsid w:val="00C558CB"/>
    <w:rsid w:val="00C55B63"/>
    <w:rsid w:val="00C55E21"/>
    <w:rsid w:val="00C5622F"/>
    <w:rsid w:val="00C56980"/>
    <w:rsid w:val="00C56A32"/>
    <w:rsid w:val="00C56A40"/>
    <w:rsid w:val="00C56F5D"/>
    <w:rsid w:val="00C5748B"/>
    <w:rsid w:val="00C57826"/>
    <w:rsid w:val="00C57B08"/>
    <w:rsid w:val="00C60C01"/>
    <w:rsid w:val="00C61244"/>
    <w:rsid w:val="00C616FF"/>
    <w:rsid w:val="00C61E9A"/>
    <w:rsid w:val="00C627FB"/>
    <w:rsid w:val="00C6286A"/>
    <w:rsid w:val="00C631F3"/>
    <w:rsid w:val="00C63A02"/>
    <w:rsid w:val="00C63F32"/>
    <w:rsid w:val="00C6458E"/>
    <w:rsid w:val="00C64901"/>
    <w:rsid w:val="00C64A9C"/>
    <w:rsid w:val="00C64C4E"/>
    <w:rsid w:val="00C64F69"/>
    <w:rsid w:val="00C650A3"/>
    <w:rsid w:val="00C6515F"/>
    <w:rsid w:val="00C654DB"/>
    <w:rsid w:val="00C6568E"/>
    <w:rsid w:val="00C65776"/>
    <w:rsid w:val="00C65B7F"/>
    <w:rsid w:val="00C66186"/>
    <w:rsid w:val="00C662B1"/>
    <w:rsid w:val="00C66432"/>
    <w:rsid w:val="00C6648B"/>
    <w:rsid w:val="00C674F8"/>
    <w:rsid w:val="00C6766C"/>
    <w:rsid w:val="00C67991"/>
    <w:rsid w:val="00C70166"/>
    <w:rsid w:val="00C70361"/>
    <w:rsid w:val="00C70554"/>
    <w:rsid w:val="00C70668"/>
    <w:rsid w:val="00C70730"/>
    <w:rsid w:val="00C70B60"/>
    <w:rsid w:val="00C70BB3"/>
    <w:rsid w:val="00C70C59"/>
    <w:rsid w:val="00C70E53"/>
    <w:rsid w:val="00C710C0"/>
    <w:rsid w:val="00C71289"/>
    <w:rsid w:val="00C71379"/>
    <w:rsid w:val="00C7138D"/>
    <w:rsid w:val="00C714BC"/>
    <w:rsid w:val="00C72201"/>
    <w:rsid w:val="00C72339"/>
    <w:rsid w:val="00C7284D"/>
    <w:rsid w:val="00C72964"/>
    <w:rsid w:val="00C72C4F"/>
    <w:rsid w:val="00C72EBF"/>
    <w:rsid w:val="00C72EF9"/>
    <w:rsid w:val="00C73044"/>
    <w:rsid w:val="00C7308A"/>
    <w:rsid w:val="00C7320E"/>
    <w:rsid w:val="00C736A0"/>
    <w:rsid w:val="00C73E3E"/>
    <w:rsid w:val="00C740B9"/>
    <w:rsid w:val="00C7423A"/>
    <w:rsid w:val="00C74261"/>
    <w:rsid w:val="00C745C4"/>
    <w:rsid w:val="00C74B3F"/>
    <w:rsid w:val="00C74CAB"/>
    <w:rsid w:val="00C74DC2"/>
    <w:rsid w:val="00C752F8"/>
    <w:rsid w:val="00C75C5A"/>
    <w:rsid w:val="00C75D86"/>
    <w:rsid w:val="00C760C6"/>
    <w:rsid w:val="00C7649D"/>
    <w:rsid w:val="00C7667B"/>
    <w:rsid w:val="00C769D4"/>
    <w:rsid w:val="00C76A0F"/>
    <w:rsid w:val="00C76D85"/>
    <w:rsid w:val="00C7712E"/>
    <w:rsid w:val="00C774D6"/>
    <w:rsid w:val="00C775EA"/>
    <w:rsid w:val="00C77726"/>
    <w:rsid w:val="00C7776A"/>
    <w:rsid w:val="00C77828"/>
    <w:rsid w:val="00C77856"/>
    <w:rsid w:val="00C77877"/>
    <w:rsid w:val="00C778B8"/>
    <w:rsid w:val="00C80174"/>
    <w:rsid w:val="00C80319"/>
    <w:rsid w:val="00C806E2"/>
    <w:rsid w:val="00C8093B"/>
    <w:rsid w:val="00C80CA8"/>
    <w:rsid w:val="00C80F48"/>
    <w:rsid w:val="00C81124"/>
    <w:rsid w:val="00C811AA"/>
    <w:rsid w:val="00C811DC"/>
    <w:rsid w:val="00C8128E"/>
    <w:rsid w:val="00C814C2"/>
    <w:rsid w:val="00C81E1B"/>
    <w:rsid w:val="00C82979"/>
    <w:rsid w:val="00C82A5A"/>
    <w:rsid w:val="00C82B1C"/>
    <w:rsid w:val="00C83858"/>
    <w:rsid w:val="00C83A3C"/>
    <w:rsid w:val="00C83A75"/>
    <w:rsid w:val="00C83AAB"/>
    <w:rsid w:val="00C83AE5"/>
    <w:rsid w:val="00C83F0F"/>
    <w:rsid w:val="00C83FB4"/>
    <w:rsid w:val="00C8442E"/>
    <w:rsid w:val="00C8444B"/>
    <w:rsid w:val="00C8467C"/>
    <w:rsid w:val="00C84A5A"/>
    <w:rsid w:val="00C84D38"/>
    <w:rsid w:val="00C84ED1"/>
    <w:rsid w:val="00C84F9B"/>
    <w:rsid w:val="00C851EC"/>
    <w:rsid w:val="00C85DCB"/>
    <w:rsid w:val="00C85F2A"/>
    <w:rsid w:val="00C85F91"/>
    <w:rsid w:val="00C85FB9"/>
    <w:rsid w:val="00C863FF"/>
    <w:rsid w:val="00C86569"/>
    <w:rsid w:val="00C86C02"/>
    <w:rsid w:val="00C86EFF"/>
    <w:rsid w:val="00C86FD8"/>
    <w:rsid w:val="00C8714C"/>
    <w:rsid w:val="00C87472"/>
    <w:rsid w:val="00C876AB"/>
    <w:rsid w:val="00C87A9B"/>
    <w:rsid w:val="00C87CA4"/>
    <w:rsid w:val="00C90015"/>
    <w:rsid w:val="00C9001B"/>
    <w:rsid w:val="00C90630"/>
    <w:rsid w:val="00C90873"/>
    <w:rsid w:val="00C90FBE"/>
    <w:rsid w:val="00C91031"/>
    <w:rsid w:val="00C914D9"/>
    <w:rsid w:val="00C9163B"/>
    <w:rsid w:val="00C91815"/>
    <w:rsid w:val="00C921BD"/>
    <w:rsid w:val="00C92325"/>
    <w:rsid w:val="00C92379"/>
    <w:rsid w:val="00C924DC"/>
    <w:rsid w:val="00C92A10"/>
    <w:rsid w:val="00C92CD5"/>
    <w:rsid w:val="00C92DEA"/>
    <w:rsid w:val="00C93137"/>
    <w:rsid w:val="00C932BB"/>
    <w:rsid w:val="00C9349D"/>
    <w:rsid w:val="00C93775"/>
    <w:rsid w:val="00C93B32"/>
    <w:rsid w:val="00C94849"/>
    <w:rsid w:val="00C9617C"/>
    <w:rsid w:val="00C963FB"/>
    <w:rsid w:val="00C965CA"/>
    <w:rsid w:val="00C9699D"/>
    <w:rsid w:val="00C96ACA"/>
    <w:rsid w:val="00C96F9D"/>
    <w:rsid w:val="00C97334"/>
    <w:rsid w:val="00C97AE7"/>
    <w:rsid w:val="00C97D57"/>
    <w:rsid w:val="00C97EBE"/>
    <w:rsid w:val="00C97F35"/>
    <w:rsid w:val="00C97F3F"/>
    <w:rsid w:val="00CA0085"/>
    <w:rsid w:val="00CA0942"/>
    <w:rsid w:val="00CA0B92"/>
    <w:rsid w:val="00CA0F5D"/>
    <w:rsid w:val="00CA10D3"/>
    <w:rsid w:val="00CA1431"/>
    <w:rsid w:val="00CA1811"/>
    <w:rsid w:val="00CA1E3A"/>
    <w:rsid w:val="00CA20B7"/>
    <w:rsid w:val="00CA2284"/>
    <w:rsid w:val="00CA2586"/>
    <w:rsid w:val="00CA2639"/>
    <w:rsid w:val="00CA2A7F"/>
    <w:rsid w:val="00CA2DD3"/>
    <w:rsid w:val="00CA2ED1"/>
    <w:rsid w:val="00CA300A"/>
    <w:rsid w:val="00CA38D6"/>
    <w:rsid w:val="00CA3C0A"/>
    <w:rsid w:val="00CA4015"/>
    <w:rsid w:val="00CA4C5C"/>
    <w:rsid w:val="00CA4DA2"/>
    <w:rsid w:val="00CA4E77"/>
    <w:rsid w:val="00CA5274"/>
    <w:rsid w:val="00CA5426"/>
    <w:rsid w:val="00CA5D9E"/>
    <w:rsid w:val="00CA60C6"/>
    <w:rsid w:val="00CA6BFC"/>
    <w:rsid w:val="00CA6E9D"/>
    <w:rsid w:val="00CA70CC"/>
    <w:rsid w:val="00CA73D8"/>
    <w:rsid w:val="00CA7BCD"/>
    <w:rsid w:val="00CA7FA1"/>
    <w:rsid w:val="00CB016F"/>
    <w:rsid w:val="00CB069F"/>
    <w:rsid w:val="00CB07C0"/>
    <w:rsid w:val="00CB0D65"/>
    <w:rsid w:val="00CB0FA9"/>
    <w:rsid w:val="00CB113D"/>
    <w:rsid w:val="00CB135A"/>
    <w:rsid w:val="00CB13D2"/>
    <w:rsid w:val="00CB1772"/>
    <w:rsid w:val="00CB17D6"/>
    <w:rsid w:val="00CB19D7"/>
    <w:rsid w:val="00CB22B9"/>
    <w:rsid w:val="00CB2446"/>
    <w:rsid w:val="00CB267B"/>
    <w:rsid w:val="00CB2813"/>
    <w:rsid w:val="00CB2FB3"/>
    <w:rsid w:val="00CB3452"/>
    <w:rsid w:val="00CB35A6"/>
    <w:rsid w:val="00CB3C93"/>
    <w:rsid w:val="00CB413D"/>
    <w:rsid w:val="00CB449A"/>
    <w:rsid w:val="00CB4577"/>
    <w:rsid w:val="00CB4710"/>
    <w:rsid w:val="00CB491F"/>
    <w:rsid w:val="00CB4A28"/>
    <w:rsid w:val="00CB54D7"/>
    <w:rsid w:val="00CB56C5"/>
    <w:rsid w:val="00CB5713"/>
    <w:rsid w:val="00CB5799"/>
    <w:rsid w:val="00CB5879"/>
    <w:rsid w:val="00CB600C"/>
    <w:rsid w:val="00CB6085"/>
    <w:rsid w:val="00CB63B7"/>
    <w:rsid w:val="00CB6701"/>
    <w:rsid w:val="00CB6897"/>
    <w:rsid w:val="00CB68FE"/>
    <w:rsid w:val="00CB6937"/>
    <w:rsid w:val="00CB6B41"/>
    <w:rsid w:val="00CB708D"/>
    <w:rsid w:val="00CB731B"/>
    <w:rsid w:val="00CB74D4"/>
    <w:rsid w:val="00CB7B32"/>
    <w:rsid w:val="00CB7D36"/>
    <w:rsid w:val="00CC01BE"/>
    <w:rsid w:val="00CC05DE"/>
    <w:rsid w:val="00CC09DF"/>
    <w:rsid w:val="00CC0D42"/>
    <w:rsid w:val="00CC0E6A"/>
    <w:rsid w:val="00CC0E85"/>
    <w:rsid w:val="00CC10A0"/>
    <w:rsid w:val="00CC1326"/>
    <w:rsid w:val="00CC132C"/>
    <w:rsid w:val="00CC1586"/>
    <w:rsid w:val="00CC176A"/>
    <w:rsid w:val="00CC1DF9"/>
    <w:rsid w:val="00CC1E65"/>
    <w:rsid w:val="00CC2170"/>
    <w:rsid w:val="00CC21DF"/>
    <w:rsid w:val="00CC24BB"/>
    <w:rsid w:val="00CC24C2"/>
    <w:rsid w:val="00CC2617"/>
    <w:rsid w:val="00CC267A"/>
    <w:rsid w:val="00CC28A5"/>
    <w:rsid w:val="00CC2D09"/>
    <w:rsid w:val="00CC3032"/>
    <w:rsid w:val="00CC33C0"/>
    <w:rsid w:val="00CC34BE"/>
    <w:rsid w:val="00CC376A"/>
    <w:rsid w:val="00CC3912"/>
    <w:rsid w:val="00CC3B2C"/>
    <w:rsid w:val="00CC3D72"/>
    <w:rsid w:val="00CC41D8"/>
    <w:rsid w:val="00CC501E"/>
    <w:rsid w:val="00CC50D1"/>
    <w:rsid w:val="00CC537B"/>
    <w:rsid w:val="00CC55CA"/>
    <w:rsid w:val="00CC5796"/>
    <w:rsid w:val="00CC5E24"/>
    <w:rsid w:val="00CC6415"/>
    <w:rsid w:val="00CC65DA"/>
    <w:rsid w:val="00CC6D49"/>
    <w:rsid w:val="00CC71A9"/>
    <w:rsid w:val="00CC73B6"/>
    <w:rsid w:val="00CC78AC"/>
    <w:rsid w:val="00CC78C3"/>
    <w:rsid w:val="00CC7925"/>
    <w:rsid w:val="00CC7AB0"/>
    <w:rsid w:val="00CC7FAD"/>
    <w:rsid w:val="00CD0212"/>
    <w:rsid w:val="00CD0455"/>
    <w:rsid w:val="00CD0890"/>
    <w:rsid w:val="00CD0A2D"/>
    <w:rsid w:val="00CD0CA7"/>
    <w:rsid w:val="00CD0E8A"/>
    <w:rsid w:val="00CD14FC"/>
    <w:rsid w:val="00CD18FE"/>
    <w:rsid w:val="00CD1922"/>
    <w:rsid w:val="00CD1B6A"/>
    <w:rsid w:val="00CD1CE5"/>
    <w:rsid w:val="00CD3157"/>
    <w:rsid w:val="00CD326E"/>
    <w:rsid w:val="00CD3908"/>
    <w:rsid w:val="00CD3B62"/>
    <w:rsid w:val="00CD3D0D"/>
    <w:rsid w:val="00CD45DC"/>
    <w:rsid w:val="00CD4816"/>
    <w:rsid w:val="00CD4AD9"/>
    <w:rsid w:val="00CD5250"/>
    <w:rsid w:val="00CD585D"/>
    <w:rsid w:val="00CD5BE3"/>
    <w:rsid w:val="00CD63EE"/>
    <w:rsid w:val="00CD65C9"/>
    <w:rsid w:val="00CD6C9E"/>
    <w:rsid w:val="00CD6F67"/>
    <w:rsid w:val="00CD72C8"/>
    <w:rsid w:val="00CD7463"/>
    <w:rsid w:val="00CD76D7"/>
    <w:rsid w:val="00CD77D6"/>
    <w:rsid w:val="00CD7821"/>
    <w:rsid w:val="00CD7A26"/>
    <w:rsid w:val="00CD7AAF"/>
    <w:rsid w:val="00CD7F7A"/>
    <w:rsid w:val="00CE04CC"/>
    <w:rsid w:val="00CE063A"/>
    <w:rsid w:val="00CE096A"/>
    <w:rsid w:val="00CE097C"/>
    <w:rsid w:val="00CE0A78"/>
    <w:rsid w:val="00CE0C8C"/>
    <w:rsid w:val="00CE0DDF"/>
    <w:rsid w:val="00CE1060"/>
    <w:rsid w:val="00CE112D"/>
    <w:rsid w:val="00CE11D2"/>
    <w:rsid w:val="00CE1A0B"/>
    <w:rsid w:val="00CE1B46"/>
    <w:rsid w:val="00CE245C"/>
    <w:rsid w:val="00CE272E"/>
    <w:rsid w:val="00CE2831"/>
    <w:rsid w:val="00CE3404"/>
    <w:rsid w:val="00CE3878"/>
    <w:rsid w:val="00CE390B"/>
    <w:rsid w:val="00CE392F"/>
    <w:rsid w:val="00CE39D0"/>
    <w:rsid w:val="00CE3CE1"/>
    <w:rsid w:val="00CE3D6D"/>
    <w:rsid w:val="00CE4327"/>
    <w:rsid w:val="00CE45C7"/>
    <w:rsid w:val="00CE462D"/>
    <w:rsid w:val="00CE4897"/>
    <w:rsid w:val="00CE4B78"/>
    <w:rsid w:val="00CE5957"/>
    <w:rsid w:val="00CE5A84"/>
    <w:rsid w:val="00CE5B08"/>
    <w:rsid w:val="00CE5DA5"/>
    <w:rsid w:val="00CE6303"/>
    <w:rsid w:val="00CE655A"/>
    <w:rsid w:val="00CE6689"/>
    <w:rsid w:val="00CE6BFE"/>
    <w:rsid w:val="00CE6C86"/>
    <w:rsid w:val="00CE6F94"/>
    <w:rsid w:val="00CE6FC9"/>
    <w:rsid w:val="00CE711E"/>
    <w:rsid w:val="00CE723E"/>
    <w:rsid w:val="00CE7EDE"/>
    <w:rsid w:val="00CF0052"/>
    <w:rsid w:val="00CF018C"/>
    <w:rsid w:val="00CF0718"/>
    <w:rsid w:val="00CF0A01"/>
    <w:rsid w:val="00CF0A81"/>
    <w:rsid w:val="00CF0AC4"/>
    <w:rsid w:val="00CF0D05"/>
    <w:rsid w:val="00CF0DF0"/>
    <w:rsid w:val="00CF10DE"/>
    <w:rsid w:val="00CF1280"/>
    <w:rsid w:val="00CF1758"/>
    <w:rsid w:val="00CF1E95"/>
    <w:rsid w:val="00CF1EAB"/>
    <w:rsid w:val="00CF2392"/>
    <w:rsid w:val="00CF246D"/>
    <w:rsid w:val="00CF2651"/>
    <w:rsid w:val="00CF2872"/>
    <w:rsid w:val="00CF2B2F"/>
    <w:rsid w:val="00CF2B42"/>
    <w:rsid w:val="00CF2CD0"/>
    <w:rsid w:val="00CF2E25"/>
    <w:rsid w:val="00CF2E3D"/>
    <w:rsid w:val="00CF30DD"/>
    <w:rsid w:val="00CF319D"/>
    <w:rsid w:val="00CF334E"/>
    <w:rsid w:val="00CF34BE"/>
    <w:rsid w:val="00CF41EA"/>
    <w:rsid w:val="00CF46EE"/>
    <w:rsid w:val="00CF51F8"/>
    <w:rsid w:val="00CF52A8"/>
    <w:rsid w:val="00CF5400"/>
    <w:rsid w:val="00CF57F0"/>
    <w:rsid w:val="00CF5D67"/>
    <w:rsid w:val="00CF5DF4"/>
    <w:rsid w:val="00CF6B47"/>
    <w:rsid w:val="00CF6F2C"/>
    <w:rsid w:val="00CF72C1"/>
    <w:rsid w:val="00CF7438"/>
    <w:rsid w:val="00CF7676"/>
    <w:rsid w:val="00CF796F"/>
    <w:rsid w:val="00CF79A3"/>
    <w:rsid w:val="00CF7DB0"/>
    <w:rsid w:val="00D0059A"/>
    <w:rsid w:val="00D00C28"/>
    <w:rsid w:val="00D00DCE"/>
    <w:rsid w:val="00D00DEB"/>
    <w:rsid w:val="00D014B5"/>
    <w:rsid w:val="00D0169F"/>
    <w:rsid w:val="00D01823"/>
    <w:rsid w:val="00D01EEE"/>
    <w:rsid w:val="00D02284"/>
    <w:rsid w:val="00D026CA"/>
    <w:rsid w:val="00D02876"/>
    <w:rsid w:val="00D0298E"/>
    <w:rsid w:val="00D036DC"/>
    <w:rsid w:val="00D038D2"/>
    <w:rsid w:val="00D039F4"/>
    <w:rsid w:val="00D04747"/>
    <w:rsid w:val="00D055ED"/>
    <w:rsid w:val="00D056AF"/>
    <w:rsid w:val="00D05AF2"/>
    <w:rsid w:val="00D05E80"/>
    <w:rsid w:val="00D05FC6"/>
    <w:rsid w:val="00D061C1"/>
    <w:rsid w:val="00D06218"/>
    <w:rsid w:val="00D06256"/>
    <w:rsid w:val="00D06397"/>
    <w:rsid w:val="00D06601"/>
    <w:rsid w:val="00D070E7"/>
    <w:rsid w:val="00D072A7"/>
    <w:rsid w:val="00D07E63"/>
    <w:rsid w:val="00D10526"/>
    <w:rsid w:val="00D10A8D"/>
    <w:rsid w:val="00D10B6A"/>
    <w:rsid w:val="00D10DD2"/>
    <w:rsid w:val="00D10E22"/>
    <w:rsid w:val="00D1111B"/>
    <w:rsid w:val="00D1193D"/>
    <w:rsid w:val="00D11B9A"/>
    <w:rsid w:val="00D11D04"/>
    <w:rsid w:val="00D11D0C"/>
    <w:rsid w:val="00D11EE7"/>
    <w:rsid w:val="00D11F81"/>
    <w:rsid w:val="00D12948"/>
    <w:rsid w:val="00D12966"/>
    <w:rsid w:val="00D1296F"/>
    <w:rsid w:val="00D12C70"/>
    <w:rsid w:val="00D12FEE"/>
    <w:rsid w:val="00D1311A"/>
    <w:rsid w:val="00D136F3"/>
    <w:rsid w:val="00D137CC"/>
    <w:rsid w:val="00D14355"/>
    <w:rsid w:val="00D1496A"/>
    <w:rsid w:val="00D14FF3"/>
    <w:rsid w:val="00D152F8"/>
    <w:rsid w:val="00D15553"/>
    <w:rsid w:val="00D157D2"/>
    <w:rsid w:val="00D15990"/>
    <w:rsid w:val="00D15D39"/>
    <w:rsid w:val="00D1620D"/>
    <w:rsid w:val="00D16611"/>
    <w:rsid w:val="00D166FD"/>
    <w:rsid w:val="00D16980"/>
    <w:rsid w:val="00D16EB7"/>
    <w:rsid w:val="00D16F82"/>
    <w:rsid w:val="00D1739D"/>
    <w:rsid w:val="00D173B0"/>
    <w:rsid w:val="00D17E74"/>
    <w:rsid w:val="00D17F12"/>
    <w:rsid w:val="00D200AF"/>
    <w:rsid w:val="00D2032D"/>
    <w:rsid w:val="00D207BF"/>
    <w:rsid w:val="00D20D38"/>
    <w:rsid w:val="00D20D6C"/>
    <w:rsid w:val="00D20FBF"/>
    <w:rsid w:val="00D212E7"/>
    <w:rsid w:val="00D21305"/>
    <w:rsid w:val="00D21583"/>
    <w:rsid w:val="00D216E1"/>
    <w:rsid w:val="00D21B3B"/>
    <w:rsid w:val="00D21B91"/>
    <w:rsid w:val="00D21EC6"/>
    <w:rsid w:val="00D21EF3"/>
    <w:rsid w:val="00D22145"/>
    <w:rsid w:val="00D223B2"/>
    <w:rsid w:val="00D224E5"/>
    <w:rsid w:val="00D22AF2"/>
    <w:rsid w:val="00D22C37"/>
    <w:rsid w:val="00D23349"/>
    <w:rsid w:val="00D233C1"/>
    <w:rsid w:val="00D233C6"/>
    <w:rsid w:val="00D2370F"/>
    <w:rsid w:val="00D23CF6"/>
    <w:rsid w:val="00D23D0F"/>
    <w:rsid w:val="00D240DC"/>
    <w:rsid w:val="00D24285"/>
    <w:rsid w:val="00D24306"/>
    <w:rsid w:val="00D243BE"/>
    <w:rsid w:val="00D24454"/>
    <w:rsid w:val="00D2466F"/>
    <w:rsid w:val="00D247CD"/>
    <w:rsid w:val="00D24D21"/>
    <w:rsid w:val="00D25014"/>
    <w:rsid w:val="00D2508B"/>
    <w:rsid w:val="00D253AA"/>
    <w:rsid w:val="00D253B1"/>
    <w:rsid w:val="00D2599B"/>
    <w:rsid w:val="00D25CE5"/>
    <w:rsid w:val="00D25D5E"/>
    <w:rsid w:val="00D260BA"/>
    <w:rsid w:val="00D26699"/>
    <w:rsid w:val="00D26AC4"/>
    <w:rsid w:val="00D272DE"/>
    <w:rsid w:val="00D27495"/>
    <w:rsid w:val="00D27B2C"/>
    <w:rsid w:val="00D30831"/>
    <w:rsid w:val="00D30A5D"/>
    <w:rsid w:val="00D30AD8"/>
    <w:rsid w:val="00D30DBB"/>
    <w:rsid w:val="00D310BC"/>
    <w:rsid w:val="00D314D2"/>
    <w:rsid w:val="00D31639"/>
    <w:rsid w:val="00D3173C"/>
    <w:rsid w:val="00D31884"/>
    <w:rsid w:val="00D31B86"/>
    <w:rsid w:val="00D31EA6"/>
    <w:rsid w:val="00D32060"/>
    <w:rsid w:val="00D322E3"/>
    <w:rsid w:val="00D3283A"/>
    <w:rsid w:val="00D3296C"/>
    <w:rsid w:val="00D32A4D"/>
    <w:rsid w:val="00D32A8C"/>
    <w:rsid w:val="00D32B94"/>
    <w:rsid w:val="00D32F8D"/>
    <w:rsid w:val="00D334D9"/>
    <w:rsid w:val="00D336A7"/>
    <w:rsid w:val="00D3377B"/>
    <w:rsid w:val="00D337AB"/>
    <w:rsid w:val="00D33E93"/>
    <w:rsid w:val="00D341E1"/>
    <w:rsid w:val="00D345DC"/>
    <w:rsid w:val="00D34B20"/>
    <w:rsid w:val="00D34CCC"/>
    <w:rsid w:val="00D34D61"/>
    <w:rsid w:val="00D34EA0"/>
    <w:rsid w:val="00D3543B"/>
    <w:rsid w:val="00D35811"/>
    <w:rsid w:val="00D359E2"/>
    <w:rsid w:val="00D35A44"/>
    <w:rsid w:val="00D36059"/>
    <w:rsid w:val="00D3667C"/>
    <w:rsid w:val="00D3671D"/>
    <w:rsid w:val="00D36DF0"/>
    <w:rsid w:val="00D37023"/>
    <w:rsid w:val="00D3720A"/>
    <w:rsid w:val="00D37581"/>
    <w:rsid w:val="00D3778F"/>
    <w:rsid w:val="00D37A00"/>
    <w:rsid w:val="00D37A26"/>
    <w:rsid w:val="00D37A62"/>
    <w:rsid w:val="00D37AAF"/>
    <w:rsid w:val="00D37B6D"/>
    <w:rsid w:val="00D37CCE"/>
    <w:rsid w:val="00D37D0B"/>
    <w:rsid w:val="00D40490"/>
    <w:rsid w:val="00D40CA8"/>
    <w:rsid w:val="00D40EB9"/>
    <w:rsid w:val="00D41121"/>
    <w:rsid w:val="00D41CB3"/>
    <w:rsid w:val="00D41E41"/>
    <w:rsid w:val="00D42123"/>
    <w:rsid w:val="00D42564"/>
    <w:rsid w:val="00D42604"/>
    <w:rsid w:val="00D42835"/>
    <w:rsid w:val="00D4295D"/>
    <w:rsid w:val="00D42A48"/>
    <w:rsid w:val="00D42A84"/>
    <w:rsid w:val="00D42E84"/>
    <w:rsid w:val="00D431A0"/>
    <w:rsid w:val="00D433B7"/>
    <w:rsid w:val="00D435E1"/>
    <w:rsid w:val="00D4396C"/>
    <w:rsid w:val="00D439B1"/>
    <w:rsid w:val="00D43B6D"/>
    <w:rsid w:val="00D44176"/>
    <w:rsid w:val="00D441D4"/>
    <w:rsid w:val="00D441E4"/>
    <w:rsid w:val="00D44459"/>
    <w:rsid w:val="00D44696"/>
    <w:rsid w:val="00D45341"/>
    <w:rsid w:val="00D453F2"/>
    <w:rsid w:val="00D45832"/>
    <w:rsid w:val="00D45BB6"/>
    <w:rsid w:val="00D45F5B"/>
    <w:rsid w:val="00D46070"/>
    <w:rsid w:val="00D4630B"/>
    <w:rsid w:val="00D46734"/>
    <w:rsid w:val="00D467C1"/>
    <w:rsid w:val="00D468D9"/>
    <w:rsid w:val="00D46A32"/>
    <w:rsid w:val="00D46DF4"/>
    <w:rsid w:val="00D47017"/>
    <w:rsid w:val="00D4715D"/>
    <w:rsid w:val="00D471BD"/>
    <w:rsid w:val="00D47548"/>
    <w:rsid w:val="00D47592"/>
    <w:rsid w:val="00D475D1"/>
    <w:rsid w:val="00D476B9"/>
    <w:rsid w:val="00D47825"/>
    <w:rsid w:val="00D479E1"/>
    <w:rsid w:val="00D47BAE"/>
    <w:rsid w:val="00D47CB6"/>
    <w:rsid w:val="00D50717"/>
    <w:rsid w:val="00D50BC4"/>
    <w:rsid w:val="00D50C5B"/>
    <w:rsid w:val="00D50CB9"/>
    <w:rsid w:val="00D50E31"/>
    <w:rsid w:val="00D50FC9"/>
    <w:rsid w:val="00D51124"/>
    <w:rsid w:val="00D51297"/>
    <w:rsid w:val="00D512CE"/>
    <w:rsid w:val="00D51D0B"/>
    <w:rsid w:val="00D51E4E"/>
    <w:rsid w:val="00D51FE7"/>
    <w:rsid w:val="00D52103"/>
    <w:rsid w:val="00D524E0"/>
    <w:rsid w:val="00D528BB"/>
    <w:rsid w:val="00D5298C"/>
    <w:rsid w:val="00D537BA"/>
    <w:rsid w:val="00D538E0"/>
    <w:rsid w:val="00D53D35"/>
    <w:rsid w:val="00D53DB1"/>
    <w:rsid w:val="00D53ED5"/>
    <w:rsid w:val="00D546AF"/>
    <w:rsid w:val="00D54890"/>
    <w:rsid w:val="00D5490B"/>
    <w:rsid w:val="00D54946"/>
    <w:rsid w:val="00D54962"/>
    <w:rsid w:val="00D5534E"/>
    <w:rsid w:val="00D559BB"/>
    <w:rsid w:val="00D55A65"/>
    <w:rsid w:val="00D55AF8"/>
    <w:rsid w:val="00D55FB6"/>
    <w:rsid w:val="00D5694D"/>
    <w:rsid w:val="00D56A57"/>
    <w:rsid w:val="00D56BF1"/>
    <w:rsid w:val="00D56EED"/>
    <w:rsid w:val="00D5769B"/>
    <w:rsid w:val="00D57D7F"/>
    <w:rsid w:val="00D57E1A"/>
    <w:rsid w:val="00D57EF1"/>
    <w:rsid w:val="00D57FFA"/>
    <w:rsid w:val="00D602AE"/>
    <w:rsid w:val="00D60417"/>
    <w:rsid w:val="00D60474"/>
    <w:rsid w:val="00D60709"/>
    <w:rsid w:val="00D60818"/>
    <w:rsid w:val="00D60B81"/>
    <w:rsid w:val="00D60C5F"/>
    <w:rsid w:val="00D61379"/>
    <w:rsid w:val="00D623D0"/>
    <w:rsid w:val="00D62417"/>
    <w:rsid w:val="00D627CF"/>
    <w:rsid w:val="00D629CC"/>
    <w:rsid w:val="00D62CF0"/>
    <w:rsid w:val="00D632E9"/>
    <w:rsid w:val="00D635F7"/>
    <w:rsid w:val="00D63A21"/>
    <w:rsid w:val="00D63D38"/>
    <w:rsid w:val="00D64121"/>
    <w:rsid w:val="00D641B6"/>
    <w:rsid w:val="00D6431F"/>
    <w:rsid w:val="00D64678"/>
    <w:rsid w:val="00D64982"/>
    <w:rsid w:val="00D6534B"/>
    <w:rsid w:val="00D65633"/>
    <w:rsid w:val="00D6574C"/>
    <w:rsid w:val="00D658E9"/>
    <w:rsid w:val="00D6590B"/>
    <w:rsid w:val="00D65B2B"/>
    <w:rsid w:val="00D6614C"/>
    <w:rsid w:val="00D66454"/>
    <w:rsid w:val="00D66708"/>
    <w:rsid w:val="00D66972"/>
    <w:rsid w:val="00D669E5"/>
    <w:rsid w:val="00D66AEA"/>
    <w:rsid w:val="00D66B2E"/>
    <w:rsid w:val="00D66D98"/>
    <w:rsid w:val="00D67C7B"/>
    <w:rsid w:val="00D67F82"/>
    <w:rsid w:val="00D71312"/>
    <w:rsid w:val="00D71664"/>
    <w:rsid w:val="00D71751"/>
    <w:rsid w:val="00D71858"/>
    <w:rsid w:val="00D71DFC"/>
    <w:rsid w:val="00D71EAA"/>
    <w:rsid w:val="00D71FA9"/>
    <w:rsid w:val="00D72076"/>
    <w:rsid w:val="00D72478"/>
    <w:rsid w:val="00D72838"/>
    <w:rsid w:val="00D72BDE"/>
    <w:rsid w:val="00D72C4F"/>
    <w:rsid w:val="00D72D98"/>
    <w:rsid w:val="00D72F7D"/>
    <w:rsid w:val="00D7371E"/>
    <w:rsid w:val="00D74D2B"/>
    <w:rsid w:val="00D74DAE"/>
    <w:rsid w:val="00D7530A"/>
    <w:rsid w:val="00D75386"/>
    <w:rsid w:val="00D75AAB"/>
    <w:rsid w:val="00D769DC"/>
    <w:rsid w:val="00D76AF7"/>
    <w:rsid w:val="00D76D75"/>
    <w:rsid w:val="00D77130"/>
    <w:rsid w:val="00D774F5"/>
    <w:rsid w:val="00D77518"/>
    <w:rsid w:val="00D77949"/>
    <w:rsid w:val="00D77BA5"/>
    <w:rsid w:val="00D80ABC"/>
    <w:rsid w:val="00D80B60"/>
    <w:rsid w:val="00D817EA"/>
    <w:rsid w:val="00D81ED8"/>
    <w:rsid w:val="00D821CA"/>
    <w:rsid w:val="00D823DF"/>
    <w:rsid w:val="00D8242F"/>
    <w:rsid w:val="00D82516"/>
    <w:rsid w:val="00D8252F"/>
    <w:rsid w:val="00D82547"/>
    <w:rsid w:val="00D829B2"/>
    <w:rsid w:val="00D829EB"/>
    <w:rsid w:val="00D82B3D"/>
    <w:rsid w:val="00D82F15"/>
    <w:rsid w:val="00D83130"/>
    <w:rsid w:val="00D832B9"/>
    <w:rsid w:val="00D83881"/>
    <w:rsid w:val="00D83B6C"/>
    <w:rsid w:val="00D83FEF"/>
    <w:rsid w:val="00D84498"/>
    <w:rsid w:val="00D8454F"/>
    <w:rsid w:val="00D84927"/>
    <w:rsid w:val="00D84D3D"/>
    <w:rsid w:val="00D84EA9"/>
    <w:rsid w:val="00D851BB"/>
    <w:rsid w:val="00D851C0"/>
    <w:rsid w:val="00D8530F"/>
    <w:rsid w:val="00D856E2"/>
    <w:rsid w:val="00D85AD7"/>
    <w:rsid w:val="00D85B08"/>
    <w:rsid w:val="00D85BC9"/>
    <w:rsid w:val="00D85F99"/>
    <w:rsid w:val="00D85FFF"/>
    <w:rsid w:val="00D861EC"/>
    <w:rsid w:val="00D86200"/>
    <w:rsid w:val="00D87005"/>
    <w:rsid w:val="00D874CD"/>
    <w:rsid w:val="00D87614"/>
    <w:rsid w:val="00D877E6"/>
    <w:rsid w:val="00D87A53"/>
    <w:rsid w:val="00D87F1D"/>
    <w:rsid w:val="00D90161"/>
    <w:rsid w:val="00D903EE"/>
    <w:rsid w:val="00D912ED"/>
    <w:rsid w:val="00D91D05"/>
    <w:rsid w:val="00D91EE9"/>
    <w:rsid w:val="00D922D2"/>
    <w:rsid w:val="00D92609"/>
    <w:rsid w:val="00D92A35"/>
    <w:rsid w:val="00D92ADE"/>
    <w:rsid w:val="00D9306C"/>
    <w:rsid w:val="00D93338"/>
    <w:rsid w:val="00D93704"/>
    <w:rsid w:val="00D93C50"/>
    <w:rsid w:val="00D94475"/>
    <w:rsid w:val="00D94C40"/>
    <w:rsid w:val="00D95056"/>
    <w:rsid w:val="00D95CC4"/>
    <w:rsid w:val="00D95D4E"/>
    <w:rsid w:val="00D95F40"/>
    <w:rsid w:val="00D9601E"/>
    <w:rsid w:val="00D961CA"/>
    <w:rsid w:val="00D96423"/>
    <w:rsid w:val="00D965F7"/>
    <w:rsid w:val="00D969EA"/>
    <w:rsid w:val="00D96C4C"/>
    <w:rsid w:val="00D96DEE"/>
    <w:rsid w:val="00D97283"/>
    <w:rsid w:val="00D97AAD"/>
    <w:rsid w:val="00D97D48"/>
    <w:rsid w:val="00DA01EE"/>
    <w:rsid w:val="00DA02E3"/>
    <w:rsid w:val="00DA0412"/>
    <w:rsid w:val="00DA0538"/>
    <w:rsid w:val="00DA0641"/>
    <w:rsid w:val="00DA06E2"/>
    <w:rsid w:val="00DA090C"/>
    <w:rsid w:val="00DA096D"/>
    <w:rsid w:val="00DA0DD5"/>
    <w:rsid w:val="00DA161A"/>
    <w:rsid w:val="00DA168B"/>
    <w:rsid w:val="00DA1700"/>
    <w:rsid w:val="00DA1E3E"/>
    <w:rsid w:val="00DA1EFE"/>
    <w:rsid w:val="00DA2530"/>
    <w:rsid w:val="00DA25FC"/>
    <w:rsid w:val="00DA2655"/>
    <w:rsid w:val="00DA26E4"/>
    <w:rsid w:val="00DA277B"/>
    <w:rsid w:val="00DA2826"/>
    <w:rsid w:val="00DA2A04"/>
    <w:rsid w:val="00DA2AE7"/>
    <w:rsid w:val="00DA2DEA"/>
    <w:rsid w:val="00DA3922"/>
    <w:rsid w:val="00DA3A37"/>
    <w:rsid w:val="00DA3DF9"/>
    <w:rsid w:val="00DA3FDB"/>
    <w:rsid w:val="00DA3FEA"/>
    <w:rsid w:val="00DA4701"/>
    <w:rsid w:val="00DA4A23"/>
    <w:rsid w:val="00DA50A3"/>
    <w:rsid w:val="00DA524C"/>
    <w:rsid w:val="00DA5332"/>
    <w:rsid w:val="00DA55EE"/>
    <w:rsid w:val="00DA568E"/>
    <w:rsid w:val="00DA59B3"/>
    <w:rsid w:val="00DA61A3"/>
    <w:rsid w:val="00DA633E"/>
    <w:rsid w:val="00DA66A1"/>
    <w:rsid w:val="00DA711F"/>
    <w:rsid w:val="00DA7134"/>
    <w:rsid w:val="00DA71B1"/>
    <w:rsid w:val="00DA721F"/>
    <w:rsid w:val="00DA73BD"/>
    <w:rsid w:val="00DA77E1"/>
    <w:rsid w:val="00DA7801"/>
    <w:rsid w:val="00DA7973"/>
    <w:rsid w:val="00DA7D5C"/>
    <w:rsid w:val="00DB059D"/>
    <w:rsid w:val="00DB063B"/>
    <w:rsid w:val="00DB092A"/>
    <w:rsid w:val="00DB1055"/>
    <w:rsid w:val="00DB17A6"/>
    <w:rsid w:val="00DB1B54"/>
    <w:rsid w:val="00DB1CA3"/>
    <w:rsid w:val="00DB1F5E"/>
    <w:rsid w:val="00DB257C"/>
    <w:rsid w:val="00DB2624"/>
    <w:rsid w:val="00DB28BF"/>
    <w:rsid w:val="00DB2939"/>
    <w:rsid w:val="00DB43E2"/>
    <w:rsid w:val="00DB43F9"/>
    <w:rsid w:val="00DB4748"/>
    <w:rsid w:val="00DB4AA0"/>
    <w:rsid w:val="00DB4B2E"/>
    <w:rsid w:val="00DB502C"/>
    <w:rsid w:val="00DB545F"/>
    <w:rsid w:val="00DB59F8"/>
    <w:rsid w:val="00DB5EA3"/>
    <w:rsid w:val="00DB6106"/>
    <w:rsid w:val="00DB62B0"/>
    <w:rsid w:val="00DB648A"/>
    <w:rsid w:val="00DB648E"/>
    <w:rsid w:val="00DB69A4"/>
    <w:rsid w:val="00DB7020"/>
    <w:rsid w:val="00DB7109"/>
    <w:rsid w:val="00DB731F"/>
    <w:rsid w:val="00DB7345"/>
    <w:rsid w:val="00DB7429"/>
    <w:rsid w:val="00DB7616"/>
    <w:rsid w:val="00DB7774"/>
    <w:rsid w:val="00DB7785"/>
    <w:rsid w:val="00DB7A41"/>
    <w:rsid w:val="00DB7F1C"/>
    <w:rsid w:val="00DC009B"/>
    <w:rsid w:val="00DC0446"/>
    <w:rsid w:val="00DC0810"/>
    <w:rsid w:val="00DC0897"/>
    <w:rsid w:val="00DC08A9"/>
    <w:rsid w:val="00DC0927"/>
    <w:rsid w:val="00DC0A7A"/>
    <w:rsid w:val="00DC0BB1"/>
    <w:rsid w:val="00DC1035"/>
    <w:rsid w:val="00DC10CF"/>
    <w:rsid w:val="00DC117F"/>
    <w:rsid w:val="00DC1181"/>
    <w:rsid w:val="00DC1299"/>
    <w:rsid w:val="00DC135C"/>
    <w:rsid w:val="00DC2132"/>
    <w:rsid w:val="00DC2483"/>
    <w:rsid w:val="00DC2BDD"/>
    <w:rsid w:val="00DC2CC2"/>
    <w:rsid w:val="00DC2CEC"/>
    <w:rsid w:val="00DC2FAD"/>
    <w:rsid w:val="00DC3189"/>
    <w:rsid w:val="00DC351D"/>
    <w:rsid w:val="00DC3576"/>
    <w:rsid w:val="00DC39E3"/>
    <w:rsid w:val="00DC3A69"/>
    <w:rsid w:val="00DC4774"/>
    <w:rsid w:val="00DC4EFA"/>
    <w:rsid w:val="00DC4FB0"/>
    <w:rsid w:val="00DC5062"/>
    <w:rsid w:val="00DC5077"/>
    <w:rsid w:val="00DC522F"/>
    <w:rsid w:val="00DC5506"/>
    <w:rsid w:val="00DC581E"/>
    <w:rsid w:val="00DC5A25"/>
    <w:rsid w:val="00DC5D55"/>
    <w:rsid w:val="00DC5FC4"/>
    <w:rsid w:val="00DC605C"/>
    <w:rsid w:val="00DC63C5"/>
    <w:rsid w:val="00DC69DE"/>
    <w:rsid w:val="00DC750F"/>
    <w:rsid w:val="00DC7CC8"/>
    <w:rsid w:val="00DD02FA"/>
    <w:rsid w:val="00DD0871"/>
    <w:rsid w:val="00DD0E66"/>
    <w:rsid w:val="00DD1039"/>
    <w:rsid w:val="00DD11AA"/>
    <w:rsid w:val="00DD12C3"/>
    <w:rsid w:val="00DD1410"/>
    <w:rsid w:val="00DD15C2"/>
    <w:rsid w:val="00DD16AB"/>
    <w:rsid w:val="00DD196D"/>
    <w:rsid w:val="00DD1BBF"/>
    <w:rsid w:val="00DD1F27"/>
    <w:rsid w:val="00DD1F46"/>
    <w:rsid w:val="00DD2032"/>
    <w:rsid w:val="00DD21FB"/>
    <w:rsid w:val="00DD2389"/>
    <w:rsid w:val="00DD2944"/>
    <w:rsid w:val="00DD2A1A"/>
    <w:rsid w:val="00DD2A6D"/>
    <w:rsid w:val="00DD2EB9"/>
    <w:rsid w:val="00DD3308"/>
    <w:rsid w:val="00DD341D"/>
    <w:rsid w:val="00DD3506"/>
    <w:rsid w:val="00DD35AB"/>
    <w:rsid w:val="00DD36A3"/>
    <w:rsid w:val="00DD37C6"/>
    <w:rsid w:val="00DD3976"/>
    <w:rsid w:val="00DD3D02"/>
    <w:rsid w:val="00DD3E75"/>
    <w:rsid w:val="00DD4492"/>
    <w:rsid w:val="00DD4531"/>
    <w:rsid w:val="00DD458C"/>
    <w:rsid w:val="00DD52CD"/>
    <w:rsid w:val="00DD5460"/>
    <w:rsid w:val="00DD5AEE"/>
    <w:rsid w:val="00DD6002"/>
    <w:rsid w:val="00DD6600"/>
    <w:rsid w:val="00DD689D"/>
    <w:rsid w:val="00DD6907"/>
    <w:rsid w:val="00DD6C5B"/>
    <w:rsid w:val="00DD6C9B"/>
    <w:rsid w:val="00DD6F7F"/>
    <w:rsid w:val="00DD6F9C"/>
    <w:rsid w:val="00DD7095"/>
    <w:rsid w:val="00DD73EB"/>
    <w:rsid w:val="00DD7526"/>
    <w:rsid w:val="00DD779E"/>
    <w:rsid w:val="00DD7D90"/>
    <w:rsid w:val="00DE0055"/>
    <w:rsid w:val="00DE0175"/>
    <w:rsid w:val="00DE05D3"/>
    <w:rsid w:val="00DE0C31"/>
    <w:rsid w:val="00DE1256"/>
    <w:rsid w:val="00DE1339"/>
    <w:rsid w:val="00DE13C0"/>
    <w:rsid w:val="00DE19DF"/>
    <w:rsid w:val="00DE1FFF"/>
    <w:rsid w:val="00DE233E"/>
    <w:rsid w:val="00DE268B"/>
    <w:rsid w:val="00DE2761"/>
    <w:rsid w:val="00DE281A"/>
    <w:rsid w:val="00DE29A3"/>
    <w:rsid w:val="00DE3327"/>
    <w:rsid w:val="00DE3422"/>
    <w:rsid w:val="00DE35E9"/>
    <w:rsid w:val="00DE36C7"/>
    <w:rsid w:val="00DE3801"/>
    <w:rsid w:val="00DE3AF6"/>
    <w:rsid w:val="00DE3D0A"/>
    <w:rsid w:val="00DE3E2E"/>
    <w:rsid w:val="00DE3F77"/>
    <w:rsid w:val="00DE4014"/>
    <w:rsid w:val="00DE4460"/>
    <w:rsid w:val="00DE47C1"/>
    <w:rsid w:val="00DE47CA"/>
    <w:rsid w:val="00DE482D"/>
    <w:rsid w:val="00DE4912"/>
    <w:rsid w:val="00DE4FAA"/>
    <w:rsid w:val="00DE5059"/>
    <w:rsid w:val="00DE5516"/>
    <w:rsid w:val="00DE552E"/>
    <w:rsid w:val="00DE5AD1"/>
    <w:rsid w:val="00DE658A"/>
    <w:rsid w:val="00DE699D"/>
    <w:rsid w:val="00DE69E8"/>
    <w:rsid w:val="00DE6A98"/>
    <w:rsid w:val="00DE6C0A"/>
    <w:rsid w:val="00DE728B"/>
    <w:rsid w:val="00DE7339"/>
    <w:rsid w:val="00DE736C"/>
    <w:rsid w:val="00DE7BEB"/>
    <w:rsid w:val="00DE7CB7"/>
    <w:rsid w:val="00DF0476"/>
    <w:rsid w:val="00DF0BC9"/>
    <w:rsid w:val="00DF0E2D"/>
    <w:rsid w:val="00DF0E92"/>
    <w:rsid w:val="00DF1569"/>
    <w:rsid w:val="00DF16B1"/>
    <w:rsid w:val="00DF1758"/>
    <w:rsid w:val="00DF1861"/>
    <w:rsid w:val="00DF19A3"/>
    <w:rsid w:val="00DF23ED"/>
    <w:rsid w:val="00DF2614"/>
    <w:rsid w:val="00DF268D"/>
    <w:rsid w:val="00DF2792"/>
    <w:rsid w:val="00DF2CFB"/>
    <w:rsid w:val="00DF2E90"/>
    <w:rsid w:val="00DF304A"/>
    <w:rsid w:val="00DF3453"/>
    <w:rsid w:val="00DF34FC"/>
    <w:rsid w:val="00DF36C6"/>
    <w:rsid w:val="00DF38C4"/>
    <w:rsid w:val="00DF398F"/>
    <w:rsid w:val="00DF3B73"/>
    <w:rsid w:val="00DF3C2D"/>
    <w:rsid w:val="00DF3C40"/>
    <w:rsid w:val="00DF422D"/>
    <w:rsid w:val="00DF4A64"/>
    <w:rsid w:val="00DF4B6C"/>
    <w:rsid w:val="00DF4C20"/>
    <w:rsid w:val="00DF4CF8"/>
    <w:rsid w:val="00DF4D99"/>
    <w:rsid w:val="00DF4F59"/>
    <w:rsid w:val="00DF542F"/>
    <w:rsid w:val="00DF549B"/>
    <w:rsid w:val="00DF5624"/>
    <w:rsid w:val="00DF5796"/>
    <w:rsid w:val="00DF584D"/>
    <w:rsid w:val="00DF5B1A"/>
    <w:rsid w:val="00DF5C8B"/>
    <w:rsid w:val="00DF64D9"/>
    <w:rsid w:val="00DF6576"/>
    <w:rsid w:val="00DF6735"/>
    <w:rsid w:val="00DF682C"/>
    <w:rsid w:val="00DF6AAA"/>
    <w:rsid w:val="00DF6B22"/>
    <w:rsid w:val="00DF6D98"/>
    <w:rsid w:val="00DF6EDC"/>
    <w:rsid w:val="00DF712B"/>
    <w:rsid w:val="00DF7201"/>
    <w:rsid w:val="00DF7594"/>
    <w:rsid w:val="00DF7823"/>
    <w:rsid w:val="00DF79CE"/>
    <w:rsid w:val="00E00024"/>
    <w:rsid w:val="00E00339"/>
    <w:rsid w:val="00E00AE2"/>
    <w:rsid w:val="00E00BC9"/>
    <w:rsid w:val="00E0158F"/>
    <w:rsid w:val="00E01919"/>
    <w:rsid w:val="00E01B35"/>
    <w:rsid w:val="00E01DB3"/>
    <w:rsid w:val="00E01FAF"/>
    <w:rsid w:val="00E020C9"/>
    <w:rsid w:val="00E02199"/>
    <w:rsid w:val="00E026E5"/>
    <w:rsid w:val="00E0278B"/>
    <w:rsid w:val="00E02849"/>
    <w:rsid w:val="00E02968"/>
    <w:rsid w:val="00E02AD1"/>
    <w:rsid w:val="00E0326E"/>
    <w:rsid w:val="00E03637"/>
    <w:rsid w:val="00E036E4"/>
    <w:rsid w:val="00E039C0"/>
    <w:rsid w:val="00E04003"/>
    <w:rsid w:val="00E046A6"/>
    <w:rsid w:val="00E04B1C"/>
    <w:rsid w:val="00E04CC2"/>
    <w:rsid w:val="00E04E07"/>
    <w:rsid w:val="00E05651"/>
    <w:rsid w:val="00E05846"/>
    <w:rsid w:val="00E05863"/>
    <w:rsid w:val="00E05B20"/>
    <w:rsid w:val="00E05C67"/>
    <w:rsid w:val="00E05E15"/>
    <w:rsid w:val="00E062C9"/>
    <w:rsid w:val="00E068AD"/>
    <w:rsid w:val="00E06A15"/>
    <w:rsid w:val="00E06AE9"/>
    <w:rsid w:val="00E06ED9"/>
    <w:rsid w:val="00E07134"/>
    <w:rsid w:val="00E0737B"/>
    <w:rsid w:val="00E0743C"/>
    <w:rsid w:val="00E07F01"/>
    <w:rsid w:val="00E07FE5"/>
    <w:rsid w:val="00E10035"/>
    <w:rsid w:val="00E10CEB"/>
    <w:rsid w:val="00E10EB2"/>
    <w:rsid w:val="00E11255"/>
    <w:rsid w:val="00E118DF"/>
    <w:rsid w:val="00E11B32"/>
    <w:rsid w:val="00E11D0A"/>
    <w:rsid w:val="00E11E69"/>
    <w:rsid w:val="00E120D4"/>
    <w:rsid w:val="00E1260F"/>
    <w:rsid w:val="00E12994"/>
    <w:rsid w:val="00E12BB5"/>
    <w:rsid w:val="00E12E92"/>
    <w:rsid w:val="00E13158"/>
    <w:rsid w:val="00E13527"/>
    <w:rsid w:val="00E135D7"/>
    <w:rsid w:val="00E1394E"/>
    <w:rsid w:val="00E139A8"/>
    <w:rsid w:val="00E139E4"/>
    <w:rsid w:val="00E140BD"/>
    <w:rsid w:val="00E141F2"/>
    <w:rsid w:val="00E14259"/>
    <w:rsid w:val="00E143FB"/>
    <w:rsid w:val="00E144E6"/>
    <w:rsid w:val="00E147E3"/>
    <w:rsid w:val="00E14ADA"/>
    <w:rsid w:val="00E15715"/>
    <w:rsid w:val="00E160AC"/>
    <w:rsid w:val="00E1624D"/>
    <w:rsid w:val="00E162D2"/>
    <w:rsid w:val="00E1657B"/>
    <w:rsid w:val="00E1661A"/>
    <w:rsid w:val="00E173B3"/>
    <w:rsid w:val="00E175ED"/>
    <w:rsid w:val="00E176FB"/>
    <w:rsid w:val="00E1775C"/>
    <w:rsid w:val="00E17974"/>
    <w:rsid w:val="00E179E6"/>
    <w:rsid w:val="00E17F30"/>
    <w:rsid w:val="00E17F51"/>
    <w:rsid w:val="00E21221"/>
    <w:rsid w:val="00E212A9"/>
    <w:rsid w:val="00E215E3"/>
    <w:rsid w:val="00E21790"/>
    <w:rsid w:val="00E2181C"/>
    <w:rsid w:val="00E21D01"/>
    <w:rsid w:val="00E21D2A"/>
    <w:rsid w:val="00E21D4A"/>
    <w:rsid w:val="00E2248B"/>
    <w:rsid w:val="00E225CA"/>
    <w:rsid w:val="00E2281F"/>
    <w:rsid w:val="00E229AA"/>
    <w:rsid w:val="00E22AFA"/>
    <w:rsid w:val="00E22FF9"/>
    <w:rsid w:val="00E23211"/>
    <w:rsid w:val="00E23989"/>
    <w:rsid w:val="00E23EEC"/>
    <w:rsid w:val="00E23F7C"/>
    <w:rsid w:val="00E24012"/>
    <w:rsid w:val="00E24233"/>
    <w:rsid w:val="00E2480D"/>
    <w:rsid w:val="00E24C57"/>
    <w:rsid w:val="00E253F6"/>
    <w:rsid w:val="00E25552"/>
    <w:rsid w:val="00E255B4"/>
    <w:rsid w:val="00E257AF"/>
    <w:rsid w:val="00E25D54"/>
    <w:rsid w:val="00E25DC5"/>
    <w:rsid w:val="00E2613B"/>
    <w:rsid w:val="00E26547"/>
    <w:rsid w:val="00E26819"/>
    <w:rsid w:val="00E26AA3"/>
    <w:rsid w:val="00E2719B"/>
    <w:rsid w:val="00E27671"/>
    <w:rsid w:val="00E27B6E"/>
    <w:rsid w:val="00E27B9F"/>
    <w:rsid w:val="00E27C09"/>
    <w:rsid w:val="00E27CFF"/>
    <w:rsid w:val="00E27D30"/>
    <w:rsid w:val="00E27F07"/>
    <w:rsid w:val="00E3066F"/>
    <w:rsid w:val="00E308EF"/>
    <w:rsid w:val="00E3096A"/>
    <w:rsid w:val="00E30F1A"/>
    <w:rsid w:val="00E30FE2"/>
    <w:rsid w:val="00E311E4"/>
    <w:rsid w:val="00E311EA"/>
    <w:rsid w:val="00E315C3"/>
    <w:rsid w:val="00E31A99"/>
    <w:rsid w:val="00E31C0B"/>
    <w:rsid w:val="00E31D96"/>
    <w:rsid w:val="00E31E01"/>
    <w:rsid w:val="00E32069"/>
    <w:rsid w:val="00E32169"/>
    <w:rsid w:val="00E322BE"/>
    <w:rsid w:val="00E325A3"/>
    <w:rsid w:val="00E32A12"/>
    <w:rsid w:val="00E3316E"/>
    <w:rsid w:val="00E331B3"/>
    <w:rsid w:val="00E331F9"/>
    <w:rsid w:val="00E33626"/>
    <w:rsid w:val="00E33A84"/>
    <w:rsid w:val="00E33C9C"/>
    <w:rsid w:val="00E33D4F"/>
    <w:rsid w:val="00E34338"/>
    <w:rsid w:val="00E34B43"/>
    <w:rsid w:val="00E353D5"/>
    <w:rsid w:val="00E355ED"/>
    <w:rsid w:val="00E356FA"/>
    <w:rsid w:val="00E35B29"/>
    <w:rsid w:val="00E35E38"/>
    <w:rsid w:val="00E36422"/>
    <w:rsid w:val="00E365E5"/>
    <w:rsid w:val="00E367A5"/>
    <w:rsid w:val="00E36984"/>
    <w:rsid w:val="00E36996"/>
    <w:rsid w:val="00E36EC3"/>
    <w:rsid w:val="00E37155"/>
    <w:rsid w:val="00E3746A"/>
    <w:rsid w:val="00E3766F"/>
    <w:rsid w:val="00E376AC"/>
    <w:rsid w:val="00E377B4"/>
    <w:rsid w:val="00E3783E"/>
    <w:rsid w:val="00E37D50"/>
    <w:rsid w:val="00E403B4"/>
    <w:rsid w:val="00E408D5"/>
    <w:rsid w:val="00E40BD6"/>
    <w:rsid w:val="00E41454"/>
    <w:rsid w:val="00E418D3"/>
    <w:rsid w:val="00E41B82"/>
    <w:rsid w:val="00E41C85"/>
    <w:rsid w:val="00E41CBF"/>
    <w:rsid w:val="00E42073"/>
    <w:rsid w:val="00E425E7"/>
    <w:rsid w:val="00E42B4B"/>
    <w:rsid w:val="00E431F4"/>
    <w:rsid w:val="00E433F6"/>
    <w:rsid w:val="00E43704"/>
    <w:rsid w:val="00E439A8"/>
    <w:rsid w:val="00E43ACF"/>
    <w:rsid w:val="00E43F13"/>
    <w:rsid w:val="00E43FD5"/>
    <w:rsid w:val="00E4465A"/>
    <w:rsid w:val="00E45523"/>
    <w:rsid w:val="00E45919"/>
    <w:rsid w:val="00E45AED"/>
    <w:rsid w:val="00E46436"/>
    <w:rsid w:val="00E46FBF"/>
    <w:rsid w:val="00E470E6"/>
    <w:rsid w:val="00E4734E"/>
    <w:rsid w:val="00E4735F"/>
    <w:rsid w:val="00E474ED"/>
    <w:rsid w:val="00E476C4"/>
    <w:rsid w:val="00E47F59"/>
    <w:rsid w:val="00E50286"/>
    <w:rsid w:val="00E502E5"/>
    <w:rsid w:val="00E506BD"/>
    <w:rsid w:val="00E50BA9"/>
    <w:rsid w:val="00E512BC"/>
    <w:rsid w:val="00E5159F"/>
    <w:rsid w:val="00E51811"/>
    <w:rsid w:val="00E51990"/>
    <w:rsid w:val="00E51C1A"/>
    <w:rsid w:val="00E51C45"/>
    <w:rsid w:val="00E51E32"/>
    <w:rsid w:val="00E5202B"/>
    <w:rsid w:val="00E52341"/>
    <w:rsid w:val="00E52678"/>
    <w:rsid w:val="00E5283B"/>
    <w:rsid w:val="00E52F48"/>
    <w:rsid w:val="00E533C1"/>
    <w:rsid w:val="00E534AA"/>
    <w:rsid w:val="00E53FB3"/>
    <w:rsid w:val="00E54417"/>
    <w:rsid w:val="00E54F68"/>
    <w:rsid w:val="00E55B2D"/>
    <w:rsid w:val="00E55BD4"/>
    <w:rsid w:val="00E55C9E"/>
    <w:rsid w:val="00E565AF"/>
    <w:rsid w:val="00E56716"/>
    <w:rsid w:val="00E56F38"/>
    <w:rsid w:val="00E571C7"/>
    <w:rsid w:val="00E57698"/>
    <w:rsid w:val="00E57812"/>
    <w:rsid w:val="00E57977"/>
    <w:rsid w:val="00E57FEB"/>
    <w:rsid w:val="00E60089"/>
    <w:rsid w:val="00E600B7"/>
    <w:rsid w:val="00E60537"/>
    <w:rsid w:val="00E6081B"/>
    <w:rsid w:val="00E60822"/>
    <w:rsid w:val="00E60D16"/>
    <w:rsid w:val="00E6146E"/>
    <w:rsid w:val="00E618DD"/>
    <w:rsid w:val="00E61C62"/>
    <w:rsid w:val="00E61CD1"/>
    <w:rsid w:val="00E61E16"/>
    <w:rsid w:val="00E62009"/>
    <w:rsid w:val="00E62071"/>
    <w:rsid w:val="00E62963"/>
    <w:rsid w:val="00E629E5"/>
    <w:rsid w:val="00E63129"/>
    <w:rsid w:val="00E633BD"/>
    <w:rsid w:val="00E633FB"/>
    <w:rsid w:val="00E63607"/>
    <w:rsid w:val="00E63616"/>
    <w:rsid w:val="00E637EF"/>
    <w:rsid w:val="00E6387E"/>
    <w:rsid w:val="00E6398A"/>
    <w:rsid w:val="00E639C7"/>
    <w:rsid w:val="00E6450D"/>
    <w:rsid w:val="00E64F7D"/>
    <w:rsid w:val="00E65150"/>
    <w:rsid w:val="00E652CC"/>
    <w:rsid w:val="00E655F8"/>
    <w:rsid w:val="00E659AA"/>
    <w:rsid w:val="00E65D29"/>
    <w:rsid w:val="00E65EBD"/>
    <w:rsid w:val="00E660EC"/>
    <w:rsid w:val="00E6636C"/>
    <w:rsid w:val="00E6667F"/>
    <w:rsid w:val="00E66F31"/>
    <w:rsid w:val="00E671C3"/>
    <w:rsid w:val="00E67416"/>
    <w:rsid w:val="00E675B0"/>
    <w:rsid w:val="00E67B69"/>
    <w:rsid w:val="00E67C5D"/>
    <w:rsid w:val="00E67FCF"/>
    <w:rsid w:val="00E701E8"/>
    <w:rsid w:val="00E70618"/>
    <w:rsid w:val="00E70832"/>
    <w:rsid w:val="00E708B2"/>
    <w:rsid w:val="00E7092B"/>
    <w:rsid w:val="00E70966"/>
    <w:rsid w:val="00E70B12"/>
    <w:rsid w:val="00E7113A"/>
    <w:rsid w:val="00E711A4"/>
    <w:rsid w:val="00E71378"/>
    <w:rsid w:val="00E713EC"/>
    <w:rsid w:val="00E71612"/>
    <w:rsid w:val="00E71C48"/>
    <w:rsid w:val="00E71DF8"/>
    <w:rsid w:val="00E724F1"/>
    <w:rsid w:val="00E726DE"/>
    <w:rsid w:val="00E726E4"/>
    <w:rsid w:val="00E7272D"/>
    <w:rsid w:val="00E729E2"/>
    <w:rsid w:val="00E72AE3"/>
    <w:rsid w:val="00E72BBC"/>
    <w:rsid w:val="00E72C66"/>
    <w:rsid w:val="00E72D39"/>
    <w:rsid w:val="00E72E62"/>
    <w:rsid w:val="00E72FE4"/>
    <w:rsid w:val="00E73B38"/>
    <w:rsid w:val="00E73F8B"/>
    <w:rsid w:val="00E7403F"/>
    <w:rsid w:val="00E740CA"/>
    <w:rsid w:val="00E74295"/>
    <w:rsid w:val="00E74572"/>
    <w:rsid w:val="00E745C1"/>
    <w:rsid w:val="00E7479F"/>
    <w:rsid w:val="00E747E6"/>
    <w:rsid w:val="00E74DBF"/>
    <w:rsid w:val="00E7532E"/>
    <w:rsid w:val="00E756ED"/>
    <w:rsid w:val="00E75D79"/>
    <w:rsid w:val="00E7628C"/>
    <w:rsid w:val="00E764D2"/>
    <w:rsid w:val="00E764D3"/>
    <w:rsid w:val="00E775B6"/>
    <w:rsid w:val="00E77751"/>
    <w:rsid w:val="00E779ED"/>
    <w:rsid w:val="00E77A2C"/>
    <w:rsid w:val="00E77BB9"/>
    <w:rsid w:val="00E77D62"/>
    <w:rsid w:val="00E8066C"/>
    <w:rsid w:val="00E8069C"/>
    <w:rsid w:val="00E806AC"/>
    <w:rsid w:val="00E809C2"/>
    <w:rsid w:val="00E809EF"/>
    <w:rsid w:val="00E80A23"/>
    <w:rsid w:val="00E81031"/>
    <w:rsid w:val="00E811F4"/>
    <w:rsid w:val="00E814E1"/>
    <w:rsid w:val="00E81550"/>
    <w:rsid w:val="00E81721"/>
    <w:rsid w:val="00E81778"/>
    <w:rsid w:val="00E81C8F"/>
    <w:rsid w:val="00E82585"/>
    <w:rsid w:val="00E82873"/>
    <w:rsid w:val="00E82AC4"/>
    <w:rsid w:val="00E82CF7"/>
    <w:rsid w:val="00E82D3D"/>
    <w:rsid w:val="00E82F82"/>
    <w:rsid w:val="00E83136"/>
    <w:rsid w:val="00E83995"/>
    <w:rsid w:val="00E83A9D"/>
    <w:rsid w:val="00E83F1A"/>
    <w:rsid w:val="00E84137"/>
    <w:rsid w:val="00E841B5"/>
    <w:rsid w:val="00E84530"/>
    <w:rsid w:val="00E84C7B"/>
    <w:rsid w:val="00E84CD8"/>
    <w:rsid w:val="00E85217"/>
    <w:rsid w:val="00E853FE"/>
    <w:rsid w:val="00E857F3"/>
    <w:rsid w:val="00E858AC"/>
    <w:rsid w:val="00E86023"/>
    <w:rsid w:val="00E86427"/>
    <w:rsid w:val="00E866B7"/>
    <w:rsid w:val="00E866D0"/>
    <w:rsid w:val="00E86988"/>
    <w:rsid w:val="00E86B76"/>
    <w:rsid w:val="00E86B8E"/>
    <w:rsid w:val="00E86ED1"/>
    <w:rsid w:val="00E86EE8"/>
    <w:rsid w:val="00E87250"/>
    <w:rsid w:val="00E87274"/>
    <w:rsid w:val="00E87424"/>
    <w:rsid w:val="00E87666"/>
    <w:rsid w:val="00E87683"/>
    <w:rsid w:val="00E878E9"/>
    <w:rsid w:val="00E87A6A"/>
    <w:rsid w:val="00E87D76"/>
    <w:rsid w:val="00E9005A"/>
    <w:rsid w:val="00E90142"/>
    <w:rsid w:val="00E903EE"/>
    <w:rsid w:val="00E90450"/>
    <w:rsid w:val="00E904C3"/>
    <w:rsid w:val="00E916D9"/>
    <w:rsid w:val="00E91A19"/>
    <w:rsid w:val="00E91F40"/>
    <w:rsid w:val="00E91FCC"/>
    <w:rsid w:val="00E92652"/>
    <w:rsid w:val="00E9269E"/>
    <w:rsid w:val="00E926CE"/>
    <w:rsid w:val="00E9295F"/>
    <w:rsid w:val="00E92F2D"/>
    <w:rsid w:val="00E93155"/>
    <w:rsid w:val="00E931AC"/>
    <w:rsid w:val="00E931BB"/>
    <w:rsid w:val="00E93690"/>
    <w:rsid w:val="00E9374C"/>
    <w:rsid w:val="00E93896"/>
    <w:rsid w:val="00E94B4A"/>
    <w:rsid w:val="00E94BB3"/>
    <w:rsid w:val="00E952A7"/>
    <w:rsid w:val="00E95423"/>
    <w:rsid w:val="00E95513"/>
    <w:rsid w:val="00E9598A"/>
    <w:rsid w:val="00E95C0B"/>
    <w:rsid w:val="00E95DC1"/>
    <w:rsid w:val="00E967C7"/>
    <w:rsid w:val="00E96CBD"/>
    <w:rsid w:val="00E9724A"/>
    <w:rsid w:val="00E978B3"/>
    <w:rsid w:val="00E978E6"/>
    <w:rsid w:val="00EA02D2"/>
    <w:rsid w:val="00EA0366"/>
    <w:rsid w:val="00EA0370"/>
    <w:rsid w:val="00EA08B0"/>
    <w:rsid w:val="00EA0C3C"/>
    <w:rsid w:val="00EA0D4D"/>
    <w:rsid w:val="00EA117E"/>
    <w:rsid w:val="00EA135C"/>
    <w:rsid w:val="00EA14CE"/>
    <w:rsid w:val="00EA18DA"/>
    <w:rsid w:val="00EA1DFD"/>
    <w:rsid w:val="00EA1F61"/>
    <w:rsid w:val="00EA21F7"/>
    <w:rsid w:val="00EA2345"/>
    <w:rsid w:val="00EA2695"/>
    <w:rsid w:val="00EA29D6"/>
    <w:rsid w:val="00EA2BC7"/>
    <w:rsid w:val="00EA3248"/>
    <w:rsid w:val="00EA361A"/>
    <w:rsid w:val="00EA365A"/>
    <w:rsid w:val="00EA36FB"/>
    <w:rsid w:val="00EA3801"/>
    <w:rsid w:val="00EA3A1B"/>
    <w:rsid w:val="00EA3D12"/>
    <w:rsid w:val="00EA43C3"/>
    <w:rsid w:val="00EA4902"/>
    <w:rsid w:val="00EA50B1"/>
    <w:rsid w:val="00EA5216"/>
    <w:rsid w:val="00EA5240"/>
    <w:rsid w:val="00EA52B1"/>
    <w:rsid w:val="00EA561F"/>
    <w:rsid w:val="00EA6348"/>
    <w:rsid w:val="00EA6749"/>
    <w:rsid w:val="00EA722F"/>
    <w:rsid w:val="00EA7435"/>
    <w:rsid w:val="00EA74BD"/>
    <w:rsid w:val="00EA77FE"/>
    <w:rsid w:val="00EA79B8"/>
    <w:rsid w:val="00EA7A02"/>
    <w:rsid w:val="00EB0265"/>
    <w:rsid w:val="00EB0641"/>
    <w:rsid w:val="00EB0812"/>
    <w:rsid w:val="00EB089D"/>
    <w:rsid w:val="00EB124F"/>
    <w:rsid w:val="00EB1E4F"/>
    <w:rsid w:val="00EB1F00"/>
    <w:rsid w:val="00EB27B8"/>
    <w:rsid w:val="00EB2834"/>
    <w:rsid w:val="00EB2A32"/>
    <w:rsid w:val="00EB2CEC"/>
    <w:rsid w:val="00EB3260"/>
    <w:rsid w:val="00EB355B"/>
    <w:rsid w:val="00EB36A5"/>
    <w:rsid w:val="00EB36C3"/>
    <w:rsid w:val="00EB39F4"/>
    <w:rsid w:val="00EB39FD"/>
    <w:rsid w:val="00EB3B5B"/>
    <w:rsid w:val="00EB3B83"/>
    <w:rsid w:val="00EB4472"/>
    <w:rsid w:val="00EB47F8"/>
    <w:rsid w:val="00EB4A09"/>
    <w:rsid w:val="00EB4BD3"/>
    <w:rsid w:val="00EB4C2A"/>
    <w:rsid w:val="00EB4E46"/>
    <w:rsid w:val="00EB51AB"/>
    <w:rsid w:val="00EB52A8"/>
    <w:rsid w:val="00EB5560"/>
    <w:rsid w:val="00EB55ED"/>
    <w:rsid w:val="00EB565A"/>
    <w:rsid w:val="00EB5F42"/>
    <w:rsid w:val="00EB5FE6"/>
    <w:rsid w:val="00EB61D8"/>
    <w:rsid w:val="00EB62F6"/>
    <w:rsid w:val="00EB64D1"/>
    <w:rsid w:val="00EB65BD"/>
    <w:rsid w:val="00EB6652"/>
    <w:rsid w:val="00EB6655"/>
    <w:rsid w:val="00EB6695"/>
    <w:rsid w:val="00EB6829"/>
    <w:rsid w:val="00EB6AB9"/>
    <w:rsid w:val="00EB6CB8"/>
    <w:rsid w:val="00EB7357"/>
    <w:rsid w:val="00EB7D56"/>
    <w:rsid w:val="00EB7F15"/>
    <w:rsid w:val="00EC0732"/>
    <w:rsid w:val="00EC07CB"/>
    <w:rsid w:val="00EC13FA"/>
    <w:rsid w:val="00EC1EBC"/>
    <w:rsid w:val="00EC1EE0"/>
    <w:rsid w:val="00EC2615"/>
    <w:rsid w:val="00EC307F"/>
    <w:rsid w:val="00EC3564"/>
    <w:rsid w:val="00EC3930"/>
    <w:rsid w:val="00EC398A"/>
    <w:rsid w:val="00EC3BA3"/>
    <w:rsid w:val="00EC482F"/>
    <w:rsid w:val="00EC48C5"/>
    <w:rsid w:val="00EC4D44"/>
    <w:rsid w:val="00EC4DCA"/>
    <w:rsid w:val="00EC5755"/>
    <w:rsid w:val="00EC5BD0"/>
    <w:rsid w:val="00EC69DD"/>
    <w:rsid w:val="00EC6E18"/>
    <w:rsid w:val="00EC70F3"/>
    <w:rsid w:val="00EC7467"/>
    <w:rsid w:val="00EC7517"/>
    <w:rsid w:val="00EC75B2"/>
    <w:rsid w:val="00EC781B"/>
    <w:rsid w:val="00EC7886"/>
    <w:rsid w:val="00EC79AE"/>
    <w:rsid w:val="00EC7B82"/>
    <w:rsid w:val="00EC7ED5"/>
    <w:rsid w:val="00ED01E2"/>
    <w:rsid w:val="00ED0687"/>
    <w:rsid w:val="00ED0711"/>
    <w:rsid w:val="00ED0FAF"/>
    <w:rsid w:val="00ED13B6"/>
    <w:rsid w:val="00ED1553"/>
    <w:rsid w:val="00ED17B9"/>
    <w:rsid w:val="00ED18DD"/>
    <w:rsid w:val="00ED1963"/>
    <w:rsid w:val="00ED1F73"/>
    <w:rsid w:val="00ED20D0"/>
    <w:rsid w:val="00ED2352"/>
    <w:rsid w:val="00ED2883"/>
    <w:rsid w:val="00ED28A8"/>
    <w:rsid w:val="00ED2D1E"/>
    <w:rsid w:val="00ED2FCF"/>
    <w:rsid w:val="00ED36E4"/>
    <w:rsid w:val="00ED3CDF"/>
    <w:rsid w:val="00ED3DE4"/>
    <w:rsid w:val="00ED490F"/>
    <w:rsid w:val="00ED4AEC"/>
    <w:rsid w:val="00ED50DC"/>
    <w:rsid w:val="00ED5EFC"/>
    <w:rsid w:val="00ED60D4"/>
    <w:rsid w:val="00ED64D0"/>
    <w:rsid w:val="00ED6AF7"/>
    <w:rsid w:val="00ED7561"/>
    <w:rsid w:val="00ED7586"/>
    <w:rsid w:val="00ED761F"/>
    <w:rsid w:val="00ED786A"/>
    <w:rsid w:val="00ED79F2"/>
    <w:rsid w:val="00ED7D65"/>
    <w:rsid w:val="00EE011D"/>
    <w:rsid w:val="00EE0499"/>
    <w:rsid w:val="00EE07A0"/>
    <w:rsid w:val="00EE07CF"/>
    <w:rsid w:val="00EE0958"/>
    <w:rsid w:val="00EE0C2C"/>
    <w:rsid w:val="00EE10E7"/>
    <w:rsid w:val="00EE14F4"/>
    <w:rsid w:val="00EE1AB2"/>
    <w:rsid w:val="00EE2116"/>
    <w:rsid w:val="00EE245F"/>
    <w:rsid w:val="00EE2669"/>
    <w:rsid w:val="00EE2846"/>
    <w:rsid w:val="00EE2AC1"/>
    <w:rsid w:val="00EE2B17"/>
    <w:rsid w:val="00EE2B57"/>
    <w:rsid w:val="00EE2C4C"/>
    <w:rsid w:val="00EE3137"/>
    <w:rsid w:val="00EE3207"/>
    <w:rsid w:val="00EE347F"/>
    <w:rsid w:val="00EE361C"/>
    <w:rsid w:val="00EE384A"/>
    <w:rsid w:val="00EE3A86"/>
    <w:rsid w:val="00EE404E"/>
    <w:rsid w:val="00EE4B4A"/>
    <w:rsid w:val="00EE4C86"/>
    <w:rsid w:val="00EE4D91"/>
    <w:rsid w:val="00EE5062"/>
    <w:rsid w:val="00EE5173"/>
    <w:rsid w:val="00EE54F2"/>
    <w:rsid w:val="00EE59DA"/>
    <w:rsid w:val="00EE5FAA"/>
    <w:rsid w:val="00EE6A7F"/>
    <w:rsid w:val="00EE6AF6"/>
    <w:rsid w:val="00EE6B14"/>
    <w:rsid w:val="00EE6FDD"/>
    <w:rsid w:val="00EE7261"/>
    <w:rsid w:val="00EE75A8"/>
    <w:rsid w:val="00EE78F2"/>
    <w:rsid w:val="00EF0532"/>
    <w:rsid w:val="00EF07AC"/>
    <w:rsid w:val="00EF0E0D"/>
    <w:rsid w:val="00EF0F0C"/>
    <w:rsid w:val="00EF1B0C"/>
    <w:rsid w:val="00EF1D5B"/>
    <w:rsid w:val="00EF2192"/>
    <w:rsid w:val="00EF236B"/>
    <w:rsid w:val="00EF276B"/>
    <w:rsid w:val="00EF2866"/>
    <w:rsid w:val="00EF2A8F"/>
    <w:rsid w:val="00EF2D4F"/>
    <w:rsid w:val="00EF2DED"/>
    <w:rsid w:val="00EF2F31"/>
    <w:rsid w:val="00EF3ABF"/>
    <w:rsid w:val="00EF4716"/>
    <w:rsid w:val="00EF50F2"/>
    <w:rsid w:val="00EF5108"/>
    <w:rsid w:val="00EF51DE"/>
    <w:rsid w:val="00EF534B"/>
    <w:rsid w:val="00EF5A62"/>
    <w:rsid w:val="00EF5FF8"/>
    <w:rsid w:val="00EF62B1"/>
    <w:rsid w:val="00EF6B74"/>
    <w:rsid w:val="00EF767A"/>
    <w:rsid w:val="00EF7753"/>
    <w:rsid w:val="00EF7CF4"/>
    <w:rsid w:val="00F0029D"/>
    <w:rsid w:val="00F003C6"/>
    <w:rsid w:val="00F003F9"/>
    <w:rsid w:val="00F00795"/>
    <w:rsid w:val="00F009D7"/>
    <w:rsid w:val="00F00E08"/>
    <w:rsid w:val="00F00FD5"/>
    <w:rsid w:val="00F011EF"/>
    <w:rsid w:val="00F01910"/>
    <w:rsid w:val="00F01ABC"/>
    <w:rsid w:val="00F01F08"/>
    <w:rsid w:val="00F0221C"/>
    <w:rsid w:val="00F0229F"/>
    <w:rsid w:val="00F02990"/>
    <w:rsid w:val="00F02E28"/>
    <w:rsid w:val="00F0321C"/>
    <w:rsid w:val="00F036EC"/>
    <w:rsid w:val="00F036F5"/>
    <w:rsid w:val="00F037F2"/>
    <w:rsid w:val="00F03930"/>
    <w:rsid w:val="00F040BA"/>
    <w:rsid w:val="00F0431B"/>
    <w:rsid w:val="00F04379"/>
    <w:rsid w:val="00F044E2"/>
    <w:rsid w:val="00F04992"/>
    <w:rsid w:val="00F04B11"/>
    <w:rsid w:val="00F0511B"/>
    <w:rsid w:val="00F0558A"/>
    <w:rsid w:val="00F058C2"/>
    <w:rsid w:val="00F05BC2"/>
    <w:rsid w:val="00F05C25"/>
    <w:rsid w:val="00F05FF5"/>
    <w:rsid w:val="00F065E0"/>
    <w:rsid w:val="00F0681E"/>
    <w:rsid w:val="00F06B93"/>
    <w:rsid w:val="00F06EE8"/>
    <w:rsid w:val="00F06F02"/>
    <w:rsid w:val="00F07349"/>
    <w:rsid w:val="00F073FC"/>
    <w:rsid w:val="00F07788"/>
    <w:rsid w:val="00F0785E"/>
    <w:rsid w:val="00F07CF3"/>
    <w:rsid w:val="00F07EE4"/>
    <w:rsid w:val="00F10417"/>
    <w:rsid w:val="00F10990"/>
    <w:rsid w:val="00F10D4F"/>
    <w:rsid w:val="00F10F1D"/>
    <w:rsid w:val="00F111A3"/>
    <w:rsid w:val="00F113EF"/>
    <w:rsid w:val="00F113FB"/>
    <w:rsid w:val="00F115C8"/>
    <w:rsid w:val="00F1176B"/>
    <w:rsid w:val="00F11CA2"/>
    <w:rsid w:val="00F11F5E"/>
    <w:rsid w:val="00F12210"/>
    <w:rsid w:val="00F126F3"/>
    <w:rsid w:val="00F12B26"/>
    <w:rsid w:val="00F12C2F"/>
    <w:rsid w:val="00F12DCE"/>
    <w:rsid w:val="00F12E2D"/>
    <w:rsid w:val="00F13026"/>
    <w:rsid w:val="00F13054"/>
    <w:rsid w:val="00F132C3"/>
    <w:rsid w:val="00F13643"/>
    <w:rsid w:val="00F13BAF"/>
    <w:rsid w:val="00F1406E"/>
    <w:rsid w:val="00F144B3"/>
    <w:rsid w:val="00F14680"/>
    <w:rsid w:val="00F147B0"/>
    <w:rsid w:val="00F14A27"/>
    <w:rsid w:val="00F14A9C"/>
    <w:rsid w:val="00F14D9F"/>
    <w:rsid w:val="00F14EC5"/>
    <w:rsid w:val="00F15389"/>
    <w:rsid w:val="00F159BF"/>
    <w:rsid w:val="00F15DA2"/>
    <w:rsid w:val="00F1695C"/>
    <w:rsid w:val="00F17557"/>
    <w:rsid w:val="00F17A2C"/>
    <w:rsid w:val="00F17BD6"/>
    <w:rsid w:val="00F201FB"/>
    <w:rsid w:val="00F204D4"/>
    <w:rsid w:val="00F20644"/>
    <w:rsid w:val="00F206AC"/>
    <w:rsid w:val="00F2118F"/>
    <w:rsid w:val="00F213AC"/>
    <w:rsid w:val="00F21797"/>
    <w:rsid w:val="00F21C11"/>
    <w:rsid w:val="00F21E5F"/>
    <w:rsid w:val="00F22AE5"/>
    <w:rsid w:val="00F22EE9"/>
    <w:rsid w:val="00F2303E"/>
    <w:rsid w:val="00F2326D"/>
    <w:rsid w:val="00F238A7"/>
    <w:rsid w:val="00F23A0A"/>
    <w:rsid w:val="00F23F6B"/>
    <w:rsid w:val="00F2416F"/>
    <w:rsid w:val="00F243B8"/>
    <w:rsid w:val="00F245A9"/>
    <w:rsid w:val="00F248DE"/>
    <w:rsid w:val="00F24B9A"/>
    <w:rsid w:val="00F24FD1"/>
    <w:rsid w:val="00F25195"/>
    <w:rsid w:val="00F25291"/>
    <w:rsid w:val="00F257DD"/>
    <w:rsid w:val="00F25857"/>
    <w:rsid w:val="00F259D3"/>
    <w:rsid w:val="00F25AE8"/>
    <w:rsid w:val="00F264B8"/>
    <w:rsid w:val="00F265D0"/>
    <w:rsid w:val="00F26612"/>
    <w:rsid w:val="00F26C88"/>
    <w:rsid w:val="00F26E3C"/>
    <w:rsid w:val="00F26F3C"/>
    <w:rsid w:val="00F27859"/>
    <w:rsid w:val="00F27BAE"/>
    <w:rsid w:val="00F27D3C"/>
    <w:rsid w:val="00F30454"/>
    <w:rsid w:val="00F305B8"/>
    <w:rsid w:val="00F30BBC"/>
    <w:rsid w:val="00F319C1"/>
    <w:rsid w:val="00F320E4"/>
    <w:rsid w:val="00F323C5"/>
    <w:rsid w:val="00F324C6"/>
    <w:rsid w:val="00F32A0F"/>
    <w:rsid w:val="00F333F5"/>
    <w:rsid w:val="00F33D6D"/>
    <w:rsid w:val="00F340AE"/>
    <w:rsid w:val="00F34105"/>
    <w:rsid w:val="00F34289"/>
    <w:rsid w:val="00F34485"/>
    <w:rsid w:val="00F34D13"/>
    <w:rsid w:val="00F3556B"/>
    <w:rsid w:val="00F3594A"/>
    <w:rsid w:val="00F35A78"/>
    <w:rsid w:val="00F35B9C"/>
    <w:rsid w:val="00F35BB7"/>
    <w:rsid w:val="00F35CFB"/>
    <w:rsid w:val="00F35D31"/>
    <w:rsid w:val="00F36066"/>
    <w:rsid w:val="00F366DD"/>
    <w:rsid w:val="00F36B73"/>
    <w:rsid w:val="00F37860"/>
    <w:rsid w:val="00F37D15"/>
    <w:rsid w:val="00F37E0F"/>
    <w:rsid w:val="00F40032"/>
    <w:rsid w:val="00F40229"/>
    <w:rsid w:val="00F403E9"/>
    <w:rsid w:val="00F404AD"/>
    <w:rsid w:val="00F40511"/>
    <w:rsid w:val="00F4090F"/>
    <w:rsid w:val="00F4129F"/>
    <w:rsid w:val="00F41333"/>
    <w:rsid w:val="00F413A0"/>
    <w:rsid w:val="00F41E84"/>
    <w:rsid w:val="00F42056"/>
    <w:rsid w:val="00F422DD"/>
    <w:rsid w:val="00F427B0"/>
    <w:rsid w:val="00F427B4"/>
    <w:rsid w:val="00F42810"/>
    <w:rsid w:val="00F4304A"/>
    <w:rsid w:val="00F430CF"/>
    <w:rsid w:val="00F43483"/>
    <w:rsid w:val="00F43734"/>
    <w:rsid w:val="00F43ABF"/>
    <w:rsid w:val="00F44337"/>
    <w:rsid w:val="00F44526"/>
    <w:rsid w:val="00F4488A"/>
    <w:rsid w:val="00F448DF"/>
    <w:rsid w:val="00F448EB"/>
    <w:rsid w:val="00F44B24"/>
    <w:rsid w:val="00F44CE5"/>
    <w:rsid w:val="00F44DB9"/>
    <w:rsid w:val="00F44DD7"/>
    <w:rsid w:val="00F4592E"/>
    <w:rsid w:val="00F45B26"/>
    <w:rsid w:val="00F45B48"/>
    <w:rsid w:val="00F45CA4"/>
    <w:rsid w:val="00F45D6D"/>
    <w:rsid w:val="00F463D1"/>
    <w:rsid w:val="00F4645B"/>
    <w:rsid w:val="00F46943"/>
    <w:rsid w:val="00F4697F"/>
    <w:rsid w:val="00F46D19"/>
    <w:rsid w:val="00F4756E"/>
    <w:rsid w:val="00F47CB5"/>
    <w:rsid w:val="00F47E3C"/>
    <w:rsid w:val="00F502B8"/>
    <w:rsid w:val="00F503F3"/>
    <w:rsid w:val="00F505EE"/>
    <w:rsid w:val="00F506EA"/>
    <w:rsid w:val="00F50823"/>
    <w:rsid w:val="00F509EE"/>
    <w:rsid w:val="00F51106"/>
    <w:rsid w:val="00F51752"/>
    <w:rsid w:val="00F51B71"/>
    <w:rsid w:val="00F51C44"/>
    <w:rsid w:val="00F51CD0"/>
    <w:rsid w:val="00F51FAA"/>
    <w:rsid w:val="00F527EE"/>
    <w:rsid w:val="00F52E04"/>
    <w:rsid w:val="00F531C0"/>
    <w:rsid w:val="00F5328F"/>
    <w:rsid w:val="00F5338F"/>
    <w:rsid w:val="00F533DE"/>
    <w:rsid w:val="00F53429"/>
    <w:rsid w:val="00F53C1E"/>
    <w:rsid w:val="00F53C2E"/>
    <w:rsid w:val="00F53C57"/>
    <w:rsid w:val="00F54042"/>
    <w:rsid w:val="00F54258"/>
    <w:rsid w:val="00F5432D"/>
    <w:rsid w:val="00F545C8"/>
    <w:rsid w:val="00F5494A"/>
    <w:rsid w:val="00F549DE"/>
    <w:rsid w:val="00F54B78"/>
    <w:rsid w:val="00F54C85"/>
    <w:rsid w:val="00F54D59"/>
    <w:rsid w:val="00F54EFD"/>
    <w:rsid w:val="00F55426"/>
    <w:rsid w:val="00F55442"/>
    <w:rsid w:val="00F5553E"/>
    <w:rsid w:val="00F5582C"/>
    <w:rsid w:val="00F55A41"/>
    <w:rsid w:val="00F56216"/>
    <w:rsid w:val="00F5623B"/>
    <w:rsid w:val="00F5627A"/>
    <w:rsid w:val="00F56421"/>
    <w:rsid w:val="00F56781"/>
    <w:rsid w:val="00F56F84"/>
    <w:rsid w:val="00F57A53"/>
    <w:rsid w:val="00F57B68"/>
    <w:rsid w:val="00F57FDF"/>
    <w:rsid w:val="00F603AC"/>
    <w:rsid w:val="00F60918"/>
    <w:rsid w:val="00F60B65"/>
    <w:rsid w:val="00F614E1"/>
    <w:rsid w:val="00F61517"/>
    <w:rsid w:val="00F61568"/>
    <w:rsid w:val="00F6170F"/>
    <w:rsid w:val="00F61786"/>
    <w:rsid w:val="00F61C54"/>
    <w:rsid w:val="00F61EF3"/>
    <w:rsid w:val="00F62037"/>
    <w:rsid w:val="00F62561"/>
    <w:rsid w:val="00F626A0"/>
    <w:rsid w:val="00F6285D"/>
    <w:rsid w:val="00F62C82"/>
    <w:rsid w:val="00F63408"/>
    <w:rsid w:val="00F63592"/>
    <w:rsid w:val="00F63B1C"/>
    <w:rsid w:val="00F63B7D"/>
    <w:rsid w:val="00F63D18"/>
    <w:rsid w:val="00F63DF4"/>
    <w:rsid w:val="00F6406A"/>
    <w:rsid w:val="00F641A2"/>
    <w:rsid w:val="00F6457D"/>
    <w:rsid w:val="00F647D6"/>
    <w:rsid w:val="00F64804"/>
    <w:rsid w:val="00F64D61"/>
    <w:rsid w:val="00F65692"/>
    <w:rsid w:val="00F65D4D"/>
    <w:rsid w:val="00F65EEA"/>
    <w:rsid w:val="00F661E1"/>
    <w:rsid w:val="00F6632E"/>
    <w:rsid w:val="00F6643F"/>
    <w:rsid w:val="00F66583"/>
    <w:rsid w:val="00F66836"/>
    <w:rsid w:val="00F66B7A"/>
    <w:rsid w:val="00F672F4"/>
    <w:rsid w:val="00F673B7"/>
    <w:rsid w:val="00F6762B"/>
    <w:rsid w:val="00F6771F"/>
    <w:rsid w:val="00F67755"/>
    <w:rsid w:val="00F6790C"/>
    <w:rsid w:val="00F67BFC"/>
    <w:rsid w:val="00F67D0D"/>
    <w:rsid w:val="00F67D17"/>
    <w:rsid w:val="00F70094"/>
    <w:rsid w:val="00F701A6"/>
    <w:rsid w:val="00F702CB"/>
    <w:rsid w:val="00F70562"/>
    <w:rsid w:val="00F705F8"/>
    <w:rsid w:val="00F70745"/>
    <w:rsid w:val="00F70B8E"/>
    <w:rsid w:val="00F70FB4"/>
    <w:rsid w:val="00F7149B"/>
    <w:rsid w:val="00F71522"/>
    <w:rsid w:val="00F71530"/>
    <w:rsid w:val="00F71555"/>
    <w:rsid w:val="00F716A6"/>
    <w:rsid w:val="00F7182A"/>
    <w:rsid w:val="00F71F76"/>
    <w:rsid w:val="00F72222"/>
    <w:rsid w:val="00F72940"/>
    <w:rsid w:val="00F72969"/>
    <w:rsid w:val="00F72F94"/>
    <w:rsid w:val="00F7305A"/>
    <w:rsid w:val="00F735DF"/>
    <w:rsid w:val="00F73841"/>
    <w:rsid w:val="00F739A4"/>
    <w:rsid w:val="00F73C80"/>
    <w:rsid w:val="00F73DE7"/>
    <w:rsid w:val="00F74348"/>
    <w:rsid w:val="00F74901"/>
    <w:rsid w:val="00F7496E"/>
    <w:rsid w:val="00F74C06"/>
    <w:rsid w:val="00F74DA8"/>
    <w:rsid w:val="00F75204"/>
    <w:rsid w:val="00F75426"/>
    <w:rsid w:val="00F75684"/>
    <w:rsid w:val="00F75987"/>
    <w:rsid w:val="00F75EBB"/>
    <w:rsid w:val="00F75F1D"/>
    <w:rsid w:val="00F7618D"/>
    <w:rsid w:val="00F76398"/>
    <w:rsid w:val="00F76456"/>
    <w:rsid w:val="00F76538"/>
    <w:rsid w:val="00F7667E"/>
    <w:rsid w:val="00F766D5"/>
    <w:rsid w:val="00F76822"/>
    <w:rsid w:val="00F768C6"/>
    <w:rsid w:val="00F7694B"/>
    <w:rsid w:val="00F76AC0"/>
    <w:rsid w:val="00F76FF2"/>
    <w:rsid w:val="00F77938"/>
    <w:rsid w:val="00F77A93"/>
    <w:rsid w:val="00F77CBE"/>
    <w:rsid w:val="00F80A53"/>
    <w:rsid w:val="00F80BD2"/>
    <w:rsid w:val="00F80F44"/>
    <w:rsid w:val="00F813C0"/>
    <w:rsid w:val="00F817D1"/>
    <w:rsid w:val="00F819B2"/>
    <w:rsid w:val="00F81A40"/>
    <w:rsid w:val="00F81B9F"/>
    <w:rsid w:val="00F81D3E"/>
    <w:rsid w:val="00F820E9"/>
    <w:rsid w:val="00F821E0"/>
    <w:rsid w:val="00F8239C"/>
    <w:rsid w:val="00F8246A"/>
    <w:rsid w:val="00F829C0"/>
    <w:rsid w:val="00F829F6"/>
    <w:rsid w:val="00F829FF"/>
    <w:rsid w:val="00F82BD2"/>
    <w:rsid w:val="00F82D5F"/>
    <w:rsid w:val="00F83198"/>
    <w:rsid w:val="00F837E9"/>
    <w:rsid w:val="00F838B7"/>
    <w:rsid w:val="00F83ABF"/>
    <w:rsid w:val="00F83AE0"/>
    <w:rsid w:val="00F83C34"/>
    <w:rsid w:val="00F83CA0"/>
    <w:rsid w:val="00F83EC0"/>
    <w:rsid w:val="00F83F6A"/>
    <w:rsid w:val="00F84372"/>
    <w:rsid w:val="00F84388"/>
    <w:rsid w:val="00F84513"/>
    <w:rsid w:val="00F84820"/>
    <w:rsid w:val="00F848F6"/>
    <w:rsid w:val="00F84C5E"/>
    <w:rsid w:val="00F84FEE"/>
    <w:rsid w:val="00F8508F"/>
    <w:rsid w:val="00F85350"/>
    <w:rsid w:val="00F8590B"/>
    <w:rsid w:val="00F85BEE"/>
    <w:rsid w:val="00F8668E"/>
    <w:rsid w:val="00F866DA"/>
    <w:rsid w:val="00F86961"/>
    <w:rsid w:val="00F86B6D"/>
    <w:rsid w:val="00F86F09"/>
    <w:rsid w:val="00F8704C"/>
    <w:rsid w:val="00F87508"/>
    <w:rsid w:val="00F87690"/>
    <w:rsid w:val="00F8777F"/>
    <w:rsid w:val="00F87CBD"/>
    <w:rsid w:val="00F904D3"/>
    <w:rsid w:val="00F9086C"/>
    <w:rsid w:val="00F908E0"/>
    <w:rsid w:val="00F90B2C"/>
    <w:rsid w:val="00F90CD4"/>
    <w:rsid w:val="00F91258"/>
    <w:rsid w:val="00F912F8"/>
    <w:rsid w:val="00F91F10"/>
    <w:rsid w:val="00F9260E"/>
    <w:rsid w:val="00F92841"/>
    <w:rsid w:val="00F92A25"/>
    <w:rsid w:val="00F937C6"/>
    <w:rsid w:val="00F937C9"/>
    <w:rsid w:val="00F93B6E"/>
    <w:rsid w:val="00F93D60"/>
    <w:rsid w:val="00F94259"/>
    <w:rsid w:val="00F948E8"/>
    <w:rsid w:val="00F94A58"/>
    <w:rsid w:val="00F94D05"/>
    <w:rsid w:val="00F94DF8"/>
    <w:rsid w:val="00F94E8F"/>
    <w:rsid w:val="00F94E94"/>
    <w:rsid w:val="00F94F61"/>
    <w:rsid w:val="00F9501A"/>
    <w:rsid w:val="00F9521E"/>
    <w:rsid w:val="00F95841"/>
    <w:rsid w:val="00F95D94"/>
    <w:rsid w:val="00F95D96"/>
    <w:rsid w:val="00F95EBD"/>
    <w:rsid w:val="00F96204"/>
    <w:rsid w:val="00F96223"/>
    <w:rsid w:val="00F9638C"/>
    <w:rsid w:val="00F971CC"/>
    <w:rsid w:val="00F972DC"/>
    <w:rsid w:val="00F974A7"/>
    <w:rsid w:val="00F978D6"/>
    <w:rsid w:val="00FA0651"/>
    <w:rsid w:val="00FA097D"/>
    <w:rsid w:val="00FA0BE2"/>
    <w:rsid w:val="00FA0F1B"/>
    <w:rsid w:val="00FA12AA"/>
    <w:rsid w:val="00FA1512"/>
    <w:rsid w:val="00FA1542"/>
    <w:rsid w:val="00FA154F"/>
    <w:rsid w:val="00FA1F69"/>
    <w:rsid w:val="00FA2090"/>
    <w:rsid w:val="00FA2159"/>
    <w:rsid w:val="00FA25E5"/>
    <w:rsid w:val="00FA2C33"/>
    <w:rsid w:val="00FA2E2D"/>
    <w:rsid w:val="00FA30A3"/>
    <w:rsid w:val="00FA33BC"/>
    <w:rsid w:val="00FA3C3E"/>
    <w:rsid w:val="00FA4724"/>
    <w:rsid w:val="00FA4767"/>
    <w:rsid w:val="00FA4804"/>
    <w:rsid w:val="00FA4A17"/>
    <w:rsid w:val="00FA4ACC"/>
    <w:rsid w:val="00FA55B7"/>
    <w:rsid w:val="00FA5B8F"/>
    <w:rsid w:val="00FA5FBE"/>
    <w:rsid w:val="00FA6008"/>
    <w:rsid w:val="00FA6074"/>
    <w:rsid w:val="00FA61C0"/>
    <w:rsid w:val="00FA61D9"/>
    <w:rsid w:val="00FA67E2"/>
    <w:rsid w:val="00FA6C36"/>
    <w:rsid w:val="00FA70B5"/>
    <w:rsid w:val="00FB172A"/>
    <w:rsid w:val="00FB1E00"/>
    <w:rsid w:val="00FB1E02"/>
    <w:rsid w:val="00FB1F1A"/>
    <w:rsid w:val="00FB1F62"/>
    <w:rsid w:val="00FB215B"/>
    <w:rsid w:val="00FB2173"/>
    <w:rsid w:val="00FB2654"/>
    <w:rsid w:val="00FB29F6"/>
    <w:rsid w:val="00FB3095"/>
    <w:rsid w:val="00FB33D3"/>
    <w:rsid w:val="00FB342C"/>
    <w:rsid w:val="00FB356A"/>
    <w:rsid w:val="00FB39FB"/>
    <w:rsid w:val="00FB3FD6"/>
    <w:rsid w:val="00FB43E9"/>
    <w:rsid w:val="00FB4A6B"/>
    <w:rsid w:val="00FB4D88"/>
    <w:rsid w:val="00FB4DCB"/>
    <w:rsid w:val="00FB538B"/>
    <w:rsid w:val="00FB5462"/>
    <w:rsid w:val="00FB5A38"/>
    <w:rsid w:val="00FB5E34"/>
    <w:rsid w:val="00FB61F1"/>
    <w:rsid w:val="00FB6BD7"/>
    <w:rsid w:val="00FB6DEB"/>
    <w:rsid w:val="00FB72A6"/>
    <w:rsid w:val="00FB756C"/>
    <w:rsid w:val="00FB772F"/>
    <w:rsid w:val="00FB7C57"/>
    <w:rsid w:val="00FB7D83"/>
    <w:rsid w:val="00FC02B8"/>
    <w:rsid w:val="00FC04A1"/>
    <w:rsid w:val="00FC0504"/>
    <w:rsid w:val="00FC0537"/>
    <w:rsid w:val="00FC0B1C"/>
    <w:rsid w:val="00FC110E"/>
    <w:rsid w:val="00FC13A6"/>
    <w:rsid w:val="00FC19DD"/>
    <w:rsid w:val="00FC1AEE"/>
    <w:rsid w:val="00FC1C4E"/>
    <w:rsid w:val="00FC1D4F"/>
    <w:rsid w:val="00FC2024"/>
    <w:rsid w:val="00FC20C5"/>
    <w:rsid w:val="00FC2AF1"/>
    <w:rsid w:val="00FC2C0D"/>
    <w:rsid w:val="00FC32E6"/>
    <w:rsid w:val="00FC3B7C"/>
    <w:rsid w:val="00FC3EE4"/>
    <w:rsid w:val="00FC4426"/>
    <w:rsid w:val="00FC46B4"/>
    <w:rsid w:val="00FC4737"/>
    <w:rsid w:val="00FC48F1"/>
    <w:rsid w:val="00FC4C24"/>
    <w:rsid w:val="00FC4C38"/>
    <w:rsid w:val="00FC51CB"/>
    <w:rsid w:val="00FC5206"/>
    <w:rsid w:val="00FC5363"/>
    <w:rsid w:val="00FC58A1"/>
    <w:rsid w:val="00FC5A04"/>
    <w:rsid w:val="00FC5B16"/>
    <w:rsid w:val="00FC5C9C"/>
    <w:rsid w:val="00FC5D37"/>
    <w:rsid w:val="00FC5E47"/>
    <w:rsid w:val="00FC648C"/>
    <w:rsid w:val="00FC64A5"/>
    <w:rsid w:val="00FC6740"/>
    <w:rsid w:val="00FC6BB2"/>
    <w:rsid w:val="00FC6D6C"/>
    <w:rsid w:val="00FC6DDE"/>
    <w:rsid w:val="00FC6E1F"/>
    <w:rsid w:val="00FC709B"/>
    <w:rsid w:val="00FC7226"/>
    <w:rsid w:val="00FC7621"/>
    <w:rsid w:val="00FC787A"/>
    <w:rsid w:val="00FC7902"/>
    <w:rsid w:val="00FC7A87"/>
    <w:rsid w:val="00FC7D5C"/>
    <w:rsid w:val="00FC7E7F"/>
    <w:rsid w:val="00FC7FF5"/>
    <w:rsid w:val="00FD0252"/>
    <w:rsid w:val="00FD0389"/>
    <w:rsid w:val="00FD09A1"/>
    <w:rsid w:val="00FD09A8"/>
    <w:rsid w:val="00FD0A67"/>
    <w:rsid w:val="00FD0DDB"/>
    <w:rsid w:val="00FD1237"/>
    <w:rsid w:val="00FD14FC"/>
    <w:rsid w:val="00FD167C"/>
    <w:rsid w:val="00FD1926"/>
    <w:rsid w:val="00FD1CB7"/>
    <w:rsid w:val="00FD1F54"/>
    <w:rsid w:val="00FD1FA4"/>
    <w:rsid w:val="00FD227B"/>
    <w:rsid w:val="00FD2462"/>
    <w:rsid w:val="00FD257E"/>
    <w:rsid w:val="00FD26F2"/>
    <w:rsid w:val="00FD27BC"/>
    <w:rsid w:val="00FD298F"/>
    <w:rsid w:val="00FD3733"/>
    <w:rsid w:val="00FD384C"/>
    <w:rsid w:val="00FD39F5"/>
    <w:rsid w:val="00FD3D27"/>
    <w:rsid w:val="00FD4B41"/>
    <w:rsid w:val="00FD4C6A"/>
    <w:rsid w:val="00FD5632"/>
    <w:rsid w:val="00FD5937"/>
    <w:rsid w:val="00FD598A"/>
    <w:rsid w:val="00FD5A23"/>
    <w:rsid w:val="00FD5ABC"/>
    <w:rsid w:val="00FD5C9E"/>
    <w:rsid w:val="00FD5D6E"/>
    <w:rsid w:val="00FD5E83"/>
    <w:rsid w:val="00FD60A9"/>
    <w:rsid w:val="00FD620C"/>
    <w:rsid w:val="00FD64AA"/>
    <w:rsid w:val="00FD673C"/>
    <w:rsid w:val="00FD677E"/>
    <w:rsid w:val="00FD6A66"/>
    <w:rsid w:val="00FD6DE8"/>
    <w:rsid w:val="00FD6E98"/>
    <w:rsid w:val="00FD71A3"/>
    <w:rsid w:val="00FD71FF"/>
    <w:rsid w:val="00FD73AE"/>
    <w:rsid w:val="00FD75C4"/>
    <w:rsid w:val="00FD7A4C"/>
    <w:rsid w:val="00FD7B0C"/>
    <w:rsid w:val="00FD7BCF"/>
    <w:rsid w:val="00FD7BEC"/>
    <w:rsid w:val="00FD7C37"/>
    <w:rsid w:val="00FE072B"/>
    <w:rsid w:val="00FE078E"/>
    <w:rsid w:val="00FE0F7D"/>
    <w:rsid w:val="00FE10B4"/>
    <w:rsid w:val="00FE1F2E"/>
    <w:rsid w:val="00FE2258"/>
    <w:rsid w:val="00FE2828"/>
    <w:rsid w:val="00FE2AD9"/>
    <w:rsid w:val="00FE303E"/>
    <w:rsid w:val="00FE339E"/>
    <w:rsid w:val="00FE355F"/>
    <w:rsid w:val="00FE391C"/>
    <w:rsid w:val="00FE3D94"/>
    <w:rsid w:val="00FE3F0C"/>
    <w:rsid w:val="00FE40A3"/>
    <w:rsid w:val="00FE4128"/>
    <w:rsid w:val="00FE4522"/>
    <w:rsid w:val="00FE4860"/>
    <w:rsid w:val="00FE4960"/>
    <w:rsid w:val="00FE4DB1"/>
    <w:rsid w:val="00FE4F3C"/>
    <w:rsid w:val="00FE5358"/>
    <w:rsid w:val="00FE535E"/>
    <w:rsid w:val="00FE5460"/>
    <w:rsid w:val="00FE555D"/>
    <w:rsid w:val="00FE5570"/>
    <w:rsid w:val="00FE5C37"/>
    <w:rsid w:val="00FE6069"/>
    <w:rsid w:val="00FE6482"/>
    <w:rsid w:val="00FE6564"/>
    <w:rsid w:val="00FE6724"/>
    <w:rsid w:val="00FE675E"/>
    <w:rsid w:val="00FE6A41"/>
    <w:rsid w:val="00FE6B13"/>
    <w:rsid w:val="00FE6B90"/>
    <w:rsid w:val="00FE6BAF"/>
    <w:rsid w:val="00FE6BFB"/>
    <w:rsid w:val="00FE701B"/>
    <w:rsid w:val="00FE742A"/>
    <w:rsid w:val="00FE797E"/>
    <w:rsid w:val="00FE7E69"/>
    <w:rsid w:val="00FE7FB5"/>
    <w:rsid w:val="00FF079F"/>
    <w:rsid w:val="00FF07BC"/>
    <w:rsid w:val="00FF09BF"/>
    <w:rsid w:val="00FF0C43"/>
    <w:rsid w:val="00FF0FB8"/>
    <w:rsid w:val="00FF10D8"/>
    <w:rsid w:val="00FF155D"/>
    <w:rsid w:val="00FF15A7"/>
    <w:rsid w:val="00FF177C"/>
    <w:rsid w:val="00FF18F8"/>
    <w:rsid w:val="00FF219C"/>
    <w:rsid w:val="00FF2348"/>
    <w:rsid w:val="00FF24A5"/>
    <w:rsid w:val="00FF24DD"/>
    <w:rsid w:val="00FF2907"/>
    <w:rsid w:val="00FF3113"/>
    <w:rsid w:val="00FF332A"/>
    <w:rsid w:val="00FF3345"/>
    <w:rsid w:val="00FF4E45"/>
    <w:rsid w:val="00FF5039"/>
    <w:rsid w:val="00FF58A0"/>
    <w:rsid w:val="00FF5FB5"/>
    <w:rsid w:val="00FF6616"/>
    <w:rsid w:val="00FF68FF"/>
    <w:rsid w:val="00FF75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0AA0C"/>
  <w15:docId w15:val="{B79C9C35-7E6F-437E-8160-9DCC698F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unhideWhenUsed="1"/>
    <w:lsdException w:name="List Number" w:semiHidden="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37F"/>
    <w:pPr>
      <w:spacing w:after="120" w:line="288" w:lineRule="auto"/>
    </w:pPr>
    <w:rPr>
      <w:rFonts w:ascii="Verdana" w:hAnsi="Verdana" w:cs="Arial"/>
      <w:szCs w:val="22"/>
      <w:lang w:eastAsia="en-US"/>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imes New Roman"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unhideWhenUsed/>
    <w:qFormat/>
    <w:rsid w:val="007F3ACD"/>
    <w:pPr>
      <w:keepNext/>
      <w:keepLines/>
      <w:numPr>
        <w:ilvl w:val="4"/>
        <w:numId w:val="5"/>
      </w:numPr>
      <w:spacing w:before="200"/>
      <w:outlineLvl w:val="4"/>
    </w:pPr>
    <w:rPr>
      <w:rFonts w:eastAsia="Times New Roman" w:cs="Times New Roman"/>
      <w:color w:val="243F60"/>
    </w:rPr>
  </w:style>
  <w:style w:type="paragraph" w:styleId="Heading6">
    <w:name w:val="heading 6"/>
    <w:basedOn w:val="Normal"/>
    <w:next w:val="Normal"/>
    <w:link w:val="Heading6Char"/>
    <w:uiPriority w:val="9"/>
    <w:unhideWhenUsed/>
    <w:qFormat/>
    <w:rsid w:val="007F3ACD"/>
    <w:pPr>
      <w:keepNext/>
      <w:keepLines/>
      <w:spacing w:before="200" w:after="0"/>
      <w:outlineLvl w:val="5"/>
    </w:pPr>
    <w:rPr>
      <w:rFonts w:eastAsia="Times New Roman" w:cs="Times New Roman"/>
      <w:i/>
      <w:iCs/>
      <w:color w:val="243F60"/>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imes New Roman" w:cs="Times New Roman"/>
      <w:i/>
      <w:iCs/>
      <w:color w:val="404040"/>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imes New Roman" w:cs="Times New Roman"/>
      <w:color w:val="404040"/>
      <w:szCs w:val="20"/>
    </w:rPr>
  </w:style>
  <w:style w:type="paragraph" w:styleId="Heading9">
    <w:name w:val="heading 9"/>
    <w:basedOn w:val="Normal"/>
    <w:next w:val="Normal"/>
    <w:link w:val="Heading9Char"/>
    <w:uiPriority w:val="9"/>
    <w:unhideWhenUsed/>
    <w:qFormat/>
    <w:rsid w:val="007F3ACD"/>
    <w:pPr>
      <w:keepNext/>
      <w:keepLines/>
      <w:spacing w:before="200" w:after="0"/>
      <w:outlineLvl w:val="8"/>
    </w:pPr>
    <w:rPr>
      <w:rFonts w:eastAsia="Times New Roman"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113EF"/>
    <w:rPr>
      <w:rFonts w:ascii="Georgia" w:eastAsia="Times New Roman" w:hAnsi="Georgia" w:cs="Arial"/>
      <w:b/>
      <w:bCs/>
      <w:sz w:val="36"/>
      <w:szCs w:val="28"/>
    </w:rPr>
  </w:style>
  <w:style w:type="character" w:customStyle="1" w:styleId="Heading2Char">
    <w:name w:val="Heading 2 Char"/>
    <w:link w:val="Heading2"/>
    <w:uiPriority w:val="99"/>
    <w:rsid w:val="00F126F3"/>
    <w:rPr>
      <w:rFonts w:ascii="Verdana" w:hAnsi="Verdana" w:cs="Arial"/>
      <w:b/>
      <w:sz w:val="28"/>
      <w:szCs w:val="28"/>
    </w:rPr>
  </w:style>
  <w:style w:type="character" w:customStyle="1" w:styleId="Heading3Char">
    <w:name w:val="Heading 3 Char"/>
    <w:link w:val="Heading3"/>
    <w:uiPriority w:val="99"/>
    <w:rsid w:val="00F126F3"/>
    <w:rPr>
      <w:rFonts w:ascii="Verdana" w:hAnsi="Verdana" w:cs="Arial"/>
      <w:b/>
      <w:sz w:val="24"/>
      <w:szCs w:val="24"/>
    </w:rPr>
  </w:style>
  <w:style w:type="character" w:customStyle="1" w:styleId="Heading4Char">
    <w:name w:val="Heading 4 Char"/>
    <w:link w:val="Heading4"/>
    <w:uiPriority w:val="99"/>
    <w:rsid w:val="00F126F3"/>
    <w:rPr>
      <w:rFonts w:ascii="Verdana" w:hAnsi="Verdana" w:cs="Arial"/>
      <w:i/>
      <w:sz w:val="24"/>
      <w:szCs w:val="24"/>
    </w:r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Body"/>
    <w:basedOn w:val="Normal"/>
    <w:link w:val="ListParagraphChar"/>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6B19BD"/>
    <w:pPr>
      <w:spacing w:after="300"/>
      <w:contextualSpacing/>
    </w:pPr>
    <w:rPr>
      <w:rFonts w:ascii="Georgia" w:eastAsia="Times New Roman" w:hAnsi="Georgia" w:cs="Times New Roman"/>
      <w:spacing w:val="5"/>
      <w:kern w:val="28"/>
      <w:sz w:val="36"/>
      <w:szCs w:val="52"/>
    </w:rPr>
  </w:style>
  <w:style w:type="character" w:customStyle="1" w:styleId="TitleChar">
    <w:name w:val="Title Char"/>
    <w:link w:val="Title"/>
    <w:uiPriority w:val="99"/>
    <w:rsid w:val="006B19BD"/>
    <w:rPr>
      <w:rFonts w:ascii="Georgia" w:eastAsia="Times New Roman"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imes New Roman" w:cs="Times New Roman"/>
      <w:b/>
      <w:iCs/>
      <w:spacing w:val="15"/>
      <w:sz w:val="28"/>
      <w:szCs w:val="24"/>
    </w:rPr>
  </w:style>
  <w:style w:type="character" w:customStyle="1" w:styleId="SubtitleChar">
    <w:name w:val="Subtitle Char"/>
    <w:link w:val="Subtitle"/>
    <w:uiPriority w:val="99"/>
    <w:rsid w:val="006B19BD"/>
    <w:rPr>
      <w:rFonts w:ascii="Verdana" w:eastAsia="Times New Roman" w:hAnsi="Verdana"/>
      <w:b/>
      <w:iCs/>
      <w:spacing w:val="15"/>
      <w:sz w:val="28"/>
      <w:szCs w:val="24"/>
    </w:rPr>
  </w:style>
  <w:style w:type="character" w:styleId="SubtleEmphasis">
    <w:name w:val="Subtle Emphasis"/>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lang w:eastAsia="en-US"/>
    </w:rPr>
  </w:style>
  <w:style w:type="character" w:customStyle="1" w:styleId="Heading5Char">
    <w:name w:val="Heading 5 Char"/>
    <w:link w:val="Heading5"/>
    <w:uiPriority w:val="9"/>
    <w:rsid w:val="007F3ACD"/>
    <w:rPr>
      <w:rFonts w:ascii="Verdana" w:eastAsia="Times New Roman" w:hAnsi="Verdana"/>
      <w:color w:val="243F60"/>
      <w:szCs w:val="22"/>
      <w:lang w:eastAsia="en-US"/>
    </w:rPr>
  </w:style>
  <w:style w:type="character" w:styleId="Strong">
    <w:name w:val="Strong"/>
    <w:uiPriority w:val="22"/>
    <w:qFormat/>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imes New Roman"/>
      <w:lang w:val="en-US" w:eastAsia="ja-JP"/>
    </w:rPr>
  </w:style>
  <w:style w:type="paragraph" w:styleId="NoSpacing">
    <w:name w:val="No Spacing"/>
    <w:basedOn w:val="BodyText0"/>
    <w:uiPriority w:val="1"/>
    <w:rsid w:val="003B0A38"/>
  </w:style>
  <w:style w:type="paragraph" w:styleId="Quote">
    <w:name w:val="Quote"/>
    <w:basedOn w:val="Normal"/>
    <w:next w:val="Normal"/>
    <w:link w:val="QuoteChar"/>
    <w:uiPriority w:val="29"/>
    <w:rsid w:val="002D367B"/>
    <w:rPr>
      <w:i/>
      <w:iCs/>
      <w:color w:val="000000"/>
    </w:rPr>
  </w:style>
  <w:style w:type="character" w:customStyle="1" w:styleId="QuoteChar">
    <w:name w:val="Quote Char"/>
    <w:link w:val="Quote"/>
    <w:uiPriority w:val="29"/>
    <w:rsid w:val="002D367B"/>
    <w:rPr>
      <w:rFonts w:ascii="Verdana" w:hAnsi="Verdana" w:cs="Arial"/>
      <w:i/>
      <w:iCs/>
      <w:color w:val="000000"/>
      <w:sz w:val="22"/>
      <w:szCs w:val="22"/>
    </w:rPr>
  </w:style>
  <w:style w:type="character" w:styleId="Emphasis">
    <w:name w:val="Emphasis"/>
    <w:uiPriority w:val="20"/>
    <w:qFormat/>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pBdr>
      <w:spacing w:before="200" w:after="280"/>
      <w:ind w:left="936" w:right="936"/>
    </w:pPr>
    <w:rPr>
      <w:b/>
      <w:bCs/>
      <w:i/>
      <w:iCs/>
    </w:rPr>
  </w:style>
  <w:style w:type="character" w:customStyle="1" w:styleId="IntenseQuoteChar">
    <w:name w:val="Intense Quote Char"/>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uiPriority w:val="33"/>
    <w:rsid w:val="003E3722"/>
    <w:rPr>
      <w:rFonts w:ascii="Verdana" w:hAnsi="Verdana"/>
      <w:b w:val="0"/>
      <w:bCs/>
      <w:i/>
      <w:caps w:val="0"/>
      <w:smallCaps w:val="0"/>
      <w:spacing w:val="5"/>
      <w:sz w:val="20"/>
    </w:rPr>
  </w:style>
  <w:style w:type="character" w:styleId="IntenseReference">
    <w:name w:val="Intense Reference"/>
    <w:uiPriority w:val="32"/>
    <w:rsid w:val="003B0A38"/>
    <w:rPr>
      <w:b/>
      <w:bCs/>
      <w:smallCaps/>
      <w:spacing w:val="5"/>
    </w:rPr>
  </w:style>
  <w:style w:type="character" w:styleId="SubtleReference">
    <w:name w:val="Subtle Reference"/>
    <w:uiPriority w:val="31"/>
    <w:rsid w:val="003B0A38"/>
    <w:rPr>
      <w:smallCaps/>
    </w:rPr>
  </w:style>
  <w:style w:type="character" w:styleId="IntenseEmphasis">
    <w:name w:val="Intense Emphasis"/>
    <w:uiPriority w:val="21"/>
    <w:rsid w:val="003B0A38"/>
    <w:rPr>
      <w:b/>
      <w:bCs/>
      <w:i/>
      <w:iCs/>
      <w:color w:val="auto"/>
    </w:rPr>
  </w:style>
  <w:style w:type="paragraph" w:styleId="BlockText">
    <w:name w:val="Block Text"/>
    <w:basedOn w:val="Normal"/>
    <w:uiPriority w:val="99"/>
    <w:semiHidden/>
    <w:rsid w:val="003E372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eastAsia="Times New Roman" w:cs="Times New Roman"/>
      <w:iCs/>
    </w:rPr>
  </w:style>
  <w:style w:type="character" w:styleId="EndnoteReference">
    <w:name w:val="endnote reference"/>
    <w:uiPriority w:val="99"/>
    <w:semiHidden/>
    <w:rsid w:val="003B0A38"/>
    <w:rPr>
      <w:rFonts w:ascii="Verdana" w:hAnsi="Verdana"/>
      <w:sz w:val="18"/>
      <w:vertAlign w:val="superscript"/>
    </w:rPr>
  </w:style>
  <w:style w:type="paragraph" w:styleId="BodyText0">
    <w:name w:val="Body Text"/>
    <w:aliases w:val="Body Text Char Char Char Char Char,Body Text Char Char Char1 Char,Body Text Char1,Body Text Char Char,Body Text Char Char Char1,Body Text Char Char Char Char"/>
    <w:basedOn w:val="Normal"/>
    <w:link w:val="BodyTextChar"/>
    <w:uiPriority w:val="99"/>
    <w:rsid w:val="003B0A38"/>
  </w:style>
  <w:style w:type="character" w:customStyle="1" w:styleId="BodyTextChar">
    <w:name w:val="Body Text Char"/>
    <w:aliases w:val="Body Text Char Char Char Char Char Char,Body Text Char Char Char1 Char Char,Body Text Char1 Char,Body Text Char Char Char,Body Text Char Char Char1 Char1,Body Text Char Char Char Char Char1"/>
    <w:link w:val="BodyText0"/>
    <w:uiPriority w:val="99"/>
    <w:rsid w:val="003B0A38"/>
    <w:rPr>
      <w:rFonts w:ascii="Verdana" w:hAnsi="Verdana" w:cs="Arial"/>
      <w:szCs w:val="22"/>
    </w:rPr>
  </w:style>
  <w:style w:type="character" w:styleId="CommentReference">
    <w:name w:val="annotation reference"/>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rsid w:val="003E3722"/>
    <w:pPr>
      <w:ind w:left="283"/>
    </w:pPr>
  </w:style>
  <w:style w:type="character" w:customStyle="1" w:styleId="BodyTextIndentChar">
    <w:name w:val="Body Text Indent Char"/>
    <w:link w:val="BodyTextIndent"/>
    <w:uiPriority w:val="99"/>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sz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E3722"/>
    <w:rPr>
      <w:rFonts w:ascii="Verdana" w:hAnsi="Verdana"/>
      <w:color w:val="365F91"/>
      <w:sz w:val="1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E3722"/>
    <w:rPr>
      <w:rFonts w:ascii="Verdana" w:hAnsi="Verdana"/>
      <w:color w:val="943634"/>
      <w:sz w:val="18"/>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E3722"/>
    <w:rPr>
      <w:rFonts w:ascii="Verdana" w:hAnsi="Verdana"/>
      <w:color w:val="76923C"/>
      <w:sz w:val="18"/>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E3722"/>
    <w:rPr>
      <w:rFonts w:ascii="Verdana" w:hAnsi="Verdana"/>
      <w:color w:val="5F497A"/>
      <w:sz w:val="18"/>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E3722"/>
    <w:rPr>
      <w:rFonts w:ascii="Verdana" w:hAnsi="Verdana"/>
      <w:color w:val="31849B"/>
      <w:sz w:val="18"/>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E3722"/>
    <w:rPr>
      <w:rFonts w:ascii="Verdana" w:hAnsi="Verdana"/>
      <w:color w:val="E36C0A"/>
      <w:sz w:val="18"/>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sz w:val="18"/>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E3722"/>
    <w:rPr>
      <w:rFonts w:ascii="Verdana" w:hAnsi="Verdana"/>
      <w:color w:val="000000"/>
      <w:sz w:val="18"/>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E3722"/>
    <w:rPr>
      <w:rFonts w:ascii="Verdana" w:hAnsi="Verdana"/>
      <w:color w:val="000000"/>
      <w:sz w:val="18"/>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E3722"/>
    <w:rPr>
      <w:rFonts w:ascii="Verdana" w:hAnsi="Verdana"/>
      <w:color w:val="000000"/>
      <w:sz w:val="18"/>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E3722"/>
    <w:rPr>
      <w:rFonts w:ascii="Verdana" w:hAnsi="Verdana"/>
      <w:color w:val="000000"/>
      <w:sz w:val="18"/>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E3722"/>
    <w:rPr>
      <w:rFonts w:ascii="Verdana" w:hAnsi="Verdana"/>
      <w:color w:val="000000"/>
      <w:sz w:val="18"/>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E3722"/>
    <w:rPr>
      <w:rFonts w:ascii="Verdana" w:hAnsi="Verdana"/>
      <w:color w:val="000000"/>
      <w:sz w:val="18"/>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List2">
    <w:name w:val="Medium List 2"/>
    <w:basedOn w:val="TableNormal"/>
    <w:uiPriority w:val="66"/>
    <w:rsid w:val="003E3722"/>
    <w:rPr>
      <w:rFonts w:ascii="Verdana" w:eastAsia="Times New Roman" w:hAnsi="Verdan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imes New Roman" w:hAnsi="Verdan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imes New Roman" w:hAnsi="Verdan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imes New Roman" w:hAnsi="Verdan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imes New Roman" w:hAnsi="Verdan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imes New Roman" w:hAnsi="Verdan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imes New Roman" w:hAnsi="Verdan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2">
    <w:name w:val="Medium Grid 2"/>
    <w:basedOn w:val="TableNormal"/>
    <w:uiPriority w:val="68"/>
    <w:rsid w:val="003E3722"/>
    <w:rPr>
      <w:rFonts w:ascii="Verdana" w:eastAsia="Times New Roman" w:hAnsi="Verdan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E3722"/>
    <w:rPr>
      <w:rFonts w:ascii="Verdana" w:eastAsia="Times New Roman" w:hAnsi="Verdan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E3722"/>
    <w:rPr>
      <w:rFonts w:ascii="Verdana" w:eastAsia="Times New Roman" w:hAnsi="Verdan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E3722"/>
    <w:rPr>
      <w:rFonts w:ascii="Verdana" w:eastAsia="Times New Roman" w:hAnsi="Verdan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E3722"/>
    <w:rPr>
      <w:rFonts w:ascii="Verdana" w:eastAsia="Times New Roman" w:hAnsi="Verdan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E3722"/>
    <w:rPr>
      <w:rFonts w:ascii="Verdana" w:eastAsia="Times New Roman" w:hAnsi="Verdan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E3722"/>
    <w:rPr>
      <w:rFonts w:ascii="Verdana" w:eastAsia="Times New Roman" w:hAnsi="Verdan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rsid w:val="003E3722"/>
    <w:rPr>
      <w:rFonts w:ascii="Verdana" w:hAnsi="Verdana"/>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E3722"/>
    <w:rPr>
      <w:rFonts w:ascii="Verdana" w:hAnsi="Verdana"/>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E3722"/>
    <w:rPr>
      <w:rFonts w:ascii="Verdana" w:hAnsi="Verdana"/>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E3722"/>
    <w:rPr>
      <w:rFonts w:ascii="Verdana" w:hAnsi="Verdana"/>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E3722"/>
    <w:rPr>
      <w:rFonts w:ascii="Verdana" w:hAnsi="Verdana"/>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E3722"/>
    <w:rPr>
      <w:rFonts w:ascii="Verdana" w:hAnsi="Verdana"/>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E3722"/>
    <w:rPr>
      <w:rFonts w:ascii="Verdana" w:hAnsi="Verdana"/>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3E3722"/>
    <w:rPr>
      <w:rFonts w:ascii="Verdana" w:hAnsi="Verdana"/>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E3722"/>
    <w:rPr>
      <w:rFonts w:ascii="Verdana" w:hAnsi="Verdana"/>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E3722"/>
    <w:rPr>
      <w:rFonts w:ascii="Verdana" w:hAnsi="Verdana"/>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E3722"/>
    <w:rPr>
      <w:rFonts w:ascii="Verdana" w:hAnsi="Verdana"/>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E3722"/>
    <w:rPr>
      <w:rFonts w:ascii="Verdana" w:hAnsi="Verdana"/>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E3722"/>
    <w:rPr>
      <w:rFonts w:ascii="Verdana" w:hAnsi="Verdana"/>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E3722"/>
    <w:rPr>
      <w:rFonts w:ascii="Verdana" w:hAnsi="Verdana"/>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3E3722"/>
    <w:rPr>
      <w:rFonts w:ascii="Verdana" w:hAnsi="Verdana"/>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E3722"/>
    <w:rPr>
      <w:rFonts w:ascii="Verdana" w:hAnsi="Verdana"/>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E3722"/>
    <w:rPr>
      <w:rFonts w:ascii="Verdana" w:hAnsi="Verdana"/>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E3722"/>
    <w:rPr>
      <w:rFonts w:ascii="Verdana" w:hAnsi="Verdana"/>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E3722"/>
    <w:rPr>
      <w:rFonts w:ascii="Verdana" w:hAnsi="Verdana"/>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E3722"/>
    <w:rPr>
      <w:rFonts w:ascii="Verdana" w:hAnsi="Verdana"/>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E3722"/>
    <w:rPr>
      <w:rFonts w:ascii="Verdana" w:hAnsi="Verdana"/>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E3722"/>
    <w:rPr>
      <w:rFonts w:ascii="Verdana" w:hAnsi="Verdana"/>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imes New Roman" w:cs="Times New Roman"/>
      <w:sz w:val="22"/>
      <w:szCs w:val="24"/>
    </w:rPr>
  </w:style>
  <w:style w:type="paragraph" w:styleId="EnvelopeReturn">
    <w:name w:val="envelope return"/>
    <w:basedOn w:val="Normal"/>
    <w:uiPriority w:val="99"/>
    <w:semiHidden/>
    <w:rsid w:val="003E3722"/>
    <w:pPr>
      <w:spacing w:after="0" w:line="240" w:lineRule="auto"/>
    </w:pPr>
    <w:rPr>
      <w:rFonts w:eastAsia="Times New Roman" w:cs="Times New Roman"/>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link w:val="Footer"/>
    <w:uiPriority w:val="99"/>
    <w:rsid w:val="003E3722"/>
    <w:rPr>
      <w:rFonts w:ascii="Verdana" w:hAnsi="Verdana" w:cs="Arial"/>
      <w:sz w:val="18"/>
      <w:szCs w:val="22"/>
    </w:rPr>
  </w:style>
  <w:style w:type="paragraph" w:styleId="FootnoteText">
    <w:name w:val="footnote text"/>
    <w:basedOn w:val="Normal"/>
    <w:link w:val="FootnoteTextChar"/>
    <w:uiPriority w:val="99"/>
    <w:rsid w:val="003E3722"/>
    <w:pPr>
      <w:spacing w:after="0" w:line="240" w:lineRule="auto"/>
    </w:pPr>
    <w:rPr>
      <w:sz w:val="18"/>
      <w:szCs w:val="20"/>
    </w:rPr>
  </w:style>
  <w:style w:type="character" w:customStyle="1" w:styleId="FootnoteTextChar">
    <w:name w:val="Footnote Text Char"/>
    <w:link w:val="FootnoteText"/>
    <w:uiPriority w:val="99"/>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imes New Roman" w:cs="Times New Roman"/>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Times New Roman"/>
      <w:sz w:val="22"/>
      <w:szCs w:val="24"/>
    </w:rPr>
  </w:style>
  <w:style w:type="character" w:customStyle="1" w:styleId="MessageHeaderChar">
    <w:name w:val="Message Header Char"/>
    <w:link w:val="MessageHeader"/>
    <w:uiPriority w:val="99"/>
    <w:semiHidden/>
    <w:rsid w:val="003E3722"/>
    <w:rPr>
      <w:rFonts w:ascii="Verdana" w:eastAsia="Times New Roman" w:hAnsi="Verdana" w:cs="Times New Roman"/>
      <w:sz w:val="22"/>
      <w:szCs w:val="24"/>
      <w:shd w:val="pct20" w:color="auto" w:fill="auto"/>
    </w:rPr>
  </w:style>
  <w:style w:type="paragraph" w:styleId="NormalWeb">
    <w:name w:val="Normal (Web)"/>
    <w:basedOn w:val="Normal"/>
    <w:link w:val="NormalWebChar"/>
    <w:uiPriority w:val="99"/>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imes New Roman" w:cs="Times New Roman"/>
      <w:b/>
      <w:bCs/>
      <w:sz w:val="24"/>
      <w:szCs w:val="24"/>
    </w:rPr>
  </w:style>
  <w:style w:type="character" w:customStyle="1" w:styleId="Heading6Char">
    <w:name w:val="Heading 6 Char"/>
    <w:link w:val="Heading6"/>
    <w:uiPriority w:val="9"/>
    <w:rsid w:val="007F3ACD"/>
    <w:rPr>
      <w:rFonts w:ascii="Verdana" w:eastAsia="Times New Roman" w:hAnsi="Verdana" w:cs="Times New Roman"/>
      <w:i/>
      <w:iCs/>
      <w:color w:val="243F60"/>
      <w:szCs w:val="22"/>
    </w:rPr>
  </w:style>
  <w:style w:type="character" w:customStyle="1" w:styleId="Heading7Char">
    <w:name w:val="Heading 7 Char"/>
    <w:link w:val="Heading7"/>
    <w:uiPriority w:val="9"/>
    <w:semiHidden/>
    <w:rsid w:val="007F3ACD"/>
    <w:rPr>
      <w:rFonts w:ascii="Verdana" w:eastAsia="Times New Roman" w:hAnsi="Verdana" w:cs="Times New Roman"/>
      <w:i/>
      <w:iCs/>
      <w:color w:val="404040"/>
      <w:szCs w:val="22"/>
    </w:rPr>
  </w:style>
  <w:style w:type="character" w:customStyle="1" w:styleId="Heading8Char">
    <w:name w:val="Heading 8 Char"/>
    <w:link w:val="Heading8"/>
    <w:uiPriority w:val="9"/>
    <w:semiHidden/>
    <w:rsid w:val="007F3ACD"/>
    <w:rPr>
      <w:rFonts w:ascii="Verdana" w:eastAsia="Times New Roman" w:hAnsi="Verdana" w:cs="Times New Roman"/>
      <w:color w:val="404040"/>
    </w:rPr>
  </w:style>
  <w:style w:type="character" w:customStyle="1" w:styleId="Heading9Char">
    <w:name w:val="Heading 9 Char"/>
    <w:link w:val="Heading9"/>
    <w:uiPriority w:val="9"/>
    <w:rsid w:val="007F3ACD"/>
    <w:rPr>
      <w:rFonts w:ascii="Verdana" w:eastAsia="Times New Roman" w:hAnsi="Verdana" w:cs="Times New Roman"/>
      <w:i/>
      <w:iCs/>
      <w:color w:val="404040"/>
    </w:rPr>
  </w:style>
  <w:style w:type="character" w:styleId="HTMLKeyboard">
    <w:name w:val="HTML Keyboard"/>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link w:val="HTMLPreformatted"/>
    <w:uiPriority w:val="99"/>
    <w:semiHidden/>
    <w:rsid w:val="007F3ACD"/>
    <w:rPr>
      <w:rFonts w:ascii="Verdana" w:hAnsi="Verdana" w:cs="Consolas"/>
    </w:rPr>
  </w:style>
  <w:style w:type="character" w:styleId="HTMLSample">
    <w:name w:val="HTML Sample"/>
    <w:uiPriority w:val="99"/>
    <w:semiHidden/>
    <w:rsid w:val="007F3ACD"/>
    <w:rPr>
      <w:rFonts w:ascii="Verdana" w:hAnsi="Verdana" w:cs="Consolas"/>
      <w:sz w:val="24"/>
      <w:szCs w:val="24"/>
    </w:rPr>
  </w:style>
  <w:style w:type="character" w:styleId="HTMLTypewriter">
    <w:name w:val="HTML Typewriter"/>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lang w:eastAsia="en-US"/>
    </w:rPr>
  </w:style>
  <w:style w:type="character" w:customStyle="1" w:styleId="MacroTextChar">
    <w:name w:val="Macro Text Char"/>
    <w:link w:val="MacroText"/>
    <w:uiPriority w:val="99"/>
    <w:semiHidden/>
    <w:rsid w:val="007F3ACD"/>
    <w:rPr>
      <w:rFonts w:ascii="Verdana" w:hAnsi="Verdana" w:cs="Consolas"/>
    </w:rPr>
  </w:style>
  <w:style w:type="character" w:styleId="Hyperlink">
    <w:name w:val="Hyperlink"/>
    <w:rsid w:val="000F4232"/>
    <w:rPr>
      <w:color w:val="0000FF"/>
      <w:u w:val="single"/>
    </w:rPr>
  </w:style>
  <w:style w:type="character" w:styleId="FollowedHyperlink">
    <w:name w:val="FollowedHyperlink"/>
    <w:rsid w:val="00A01FF3"/>
    <w:rPr>
      <w:color w:val="800080"/>
      <w:u w:val="single"/>
    </w:rPr>
  </w:style>
  <w:style w:type="character" w:styleId="FootnoteReference">
    <w:name w:val="footnote reference"/>
    <w:unhideWhenUsed/>
    <w:rsid w:val="001863D9"/>
    <w:rPr>
      <w:vertAlign w:val="superscript"/>
    </w:rPr>
  </w:style>
  <w:style w:type="paragraph" w:styleId="Header">
    <w:name w:val="header"/>
    <w:basedOn w:val="Normal"/>
    <w:link w:val="HeaderChar"/>
    <w:uiPriority w:val="99"/>
    <w:unhideWhenUsed/>
    <w:rsid w:val="00630293"/>
    <w:pPr>
      <w:tabs>
        <w:tab w:val="center" w:pos="4513"/>
        <w:tab w:val="right" w:pos="9026"/>
      </w:tabs>
      <w:spacing w:after="0" w:line="240" w:lineRule="auto"/>
    </w:pPr>
  </w:style>
  <w:style w:type="character" w:customStyle="1" w:styleId="HeaderChar">
    <w:name w:val="Header Char"/>
    <w:link w:val="Header"/>
    <w:uiPriority w:val="99"/>
    <w:rsid w:val="00630293"/>
    <w:rPr>
      <w:rFonts w:ascii="Verdana" w:hAnsi="Verdana" w:cs="Arial"/>
      <w:szCs w:val="22"/>
    </w:rPr>
  </w:style>
  <w:style w:type="character" w:styleId="UnresolvedMention">
    <w:name w:val="Unresolved Mention"/>
    <w:uiPriority w:val="99"/>
    <w:semiHidden/>
    <w:unhideWhenUsed/>
    <w:rsid w:val="00AE56BC"/>
    <w:rPr>
      <w:color w:val="605E5C"/>
      <w:shd w:val="clear" w:color="auto" w:fill="E1DFDD"/>
    </w:rPr>
  </w:style>
  <w:style w:type="numbering" w:customStyle="1" w:styleId="NoList1">
    <w:name w:val="No List1"/>
    <w:next w:val="NoList"/>
    <w:uiPriority w:val="99"/>
    <w:semiHidden/>
    <w:unhideWhenUsed/>
    <w:rsid w:val="008A4C3D"/>
  </w:style>
  <w:style w:type="table" w:customStyle="1" w:styleId="TableGrid10">
    <w:name w:val="Table Grid1"/>
    <w:basedOn w:val="TableNormal"/>
    <w:next w:val="TableGrid"/>
    <w:rsid w:val="008A4C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8A4C3D"/>
    <w:rPr>
      <w:rFonts w:ascii="Verdana" w:hAnsi="Verdana"/>
      <w:szCs w:val="24"/>
    </w:rPr>
  </w:style>
  <w:style w:type="character" w:styleId="PageNumber">
    <w:name w:val="page number"/>
    <w:basedOn w:val="DefaultParagraphFont"/>
    <w:rsid w:val="008A4C3D"/>
  </w:style>
  <w:style w:type="paragraph" w:customStyle="1" w:styleId="CharCharCharCharCharChar1CharChar">
    <w:name w:val="Char Char Char Char Char Char1 Char Char"/>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
    <w:name w:val="Char Char"/>
    <w:basedOn w:val="Normal"/>
    <w:rsid w:val="008A4C3D"/>
    <w:pPr>
      <w:spacing w:after="160" w:line="240" w:lineRule="exact"/>
    </w:pPr>
    <w:rPr>
      <w:rFonts w:eastAsia="Times New Roman" w:cs="Times New Roman"/>
      <w:szCs w:val="20"/>
      <w:lang w:val="en-US"/>
    </w:rPr>
  </w:style>
  <w:style w:type="paragraph" w:styleId="CommentSubject">
    <w:name w:val="annotation subject"/>
    <w:basedOn w:val="CommentText"/>
    <w:next w:val="CommentText"/>
    <w:link w:val="CommentSubjectChar"/>
    <w:semiHidden/>
    <w:rsid w:val="008A4C3D"/>
    <w:pPr>
      <w:spacing w:after="0"/>
    </w:pPr>
    <w:rPr>
      <w:rFonts w:ascii="Times New Roman" w:eastAsia="Times New Roman" w:hAnsi="Times New Roman" w:cs="Times New Roman"/>
      <w:b/>
      <w:bCs/>
    </w:rPr>
  </w:style>
  <w:style w:type="character" w:customStyle="1" w:styleId="CommentSubjectChar">
    <w:name w:val="Comment Subject Char"/>
    <w:link w:val="CommentSubject"/>
    <w:semiHidden/>
    <w:rsid w:val="008A4C3D"/>
    <w:rPr>
      <w:rFonts w:ascii="Times New Roman" w:eastAsia="Times New Roman" w:hAnsi="Times New Roman" w:cs="Arial"/>
      <w:b/>
      <w:bCs/>
    </w:rPr>
  </w:style>
  <w:style w:type="table" w:customStyle="1" w:styleId="TableGrid20">
    <w:name w:val="Table Grid2"/>
    <w:basedOn w:val="TableNormal"/>
    <w:next w:val="TableGrid"/>
    <w:rsid w:val="008A4C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8A4C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A4C3D"/>
  </w:style>
  <w:style w:type="paragraph" w:customStyle="1" w:styleId="StyleSourceArialMori9ptBlackJustifiedLeft0cmBe">
    <w:name w:val="Style Source + Arial Mäori 9 pt Black Justified Left:  0 cm Be..."/>
    <w:basedOn w:val="Normal"/>
    <w:rsid w:val="008A4C3D"/>
    <w:pPr>
      <w:spacing w:after="0" w:line="360" w:lineRule="auto"/>
    </w:pPr>
    <w:rPr>
      <w:rFonts w:ascii="Arial Mäori" w:eastAsia="Times New Roman" w:hAnsi="Arial Mäori" w:cs="Times New Roman"/>
      <w:i/>
      <w:iCs/>
      <w:color w:val="000000"/>
      <w:sz w:val="18"/>
      <w:szCs w:val="20"/>
      <w:lang w:val="en-GB" w:eastAsia="en-GB"/>
    </w:rPr>
  </w:style>
  <w:style w:type="character" w:customStyle="1" w:styleId="MainTableFigHeadChar">
    <w:name w:val="Main TableFig Head Char"/>
    <w:rsid w:val="008A4C3D"/>
    <w:rPr>
      <w:rFonts w:ascii="Arial Maori" w:hAnsi="Arial Maori"/>
      <w:b/>
      <w:sz w:val="18"/>
      <w:szCs w:val="18"/>
    </w:rPr>
  </w:style>
  <w:style w:type="paragraph" w:customStyle="1" w:styleId="MainTableFigHeadChar1">
    <w:name w:val="Main TableFig Head Char1"/>
    <w:basedOn w:val="Heading4"/>
    <w:link w:val="MainTableFigHeadChar1Char"/>
    <w:rsid w:val="008A4C3D"/>
    <w:pPr>
      <w:keepNext/>
      <w:spacing w:before="240" w:line="240" w:lineRule="auto"/>
      <w:ind w:left="2268" w:hanging="1134"/>
    </w:pPr>
    <w:rPr>
      <w:rFonts w:ascii="Arial Maori" w:eastAsia="Times New Roman" w:hAnsi="Arial Maori" w:cs="Times New Roman"/>
      <w:bCs/>
      <w:i w:val="0"/>
      <w:color w:val="999999"/>
      <w:sz w:val="16"/>
      <w:szCs w:val="28"/>
      <w:lang w:val="en-GB" w:eastAsia="en-GB"/>
    </w:rPr>
  </w:style>
  <w:style w:type="paragraph" w:customStyle="1" w:styleId="TableLeftHead">
    <w:name w:val="Table Left Head"/>
    <w:basedOn w:val="Normal"/>
    <w:semiHidden/>
    <w:rsid w:val="008A4C3D"/>
    <w:pPr>
      <w:spacing w:before="40" w:after="40" w:line="240" w:lineRule="auto"/>
    </w:pPr>
    <w:rPr>
      <w:rFonts w:ascii="Arial Maori" w:eastAsia="Times New Roman" w:hAnsi="Arial Maori" w:cs="Times New Roman"/>
      <w:b/>
      <w:color w:val="999999"/>
      <w:sz w:val="16"/>
      <w:szCs w:val="18"/>
      <w:lang w:val="en-GB" w:eastAsia="en-GB"/>
    </w:rPr>
  </w:style>
  <w:style w:type="character" w:customStyle="1" w:styleId="MainTableFigHeadChar1Char">
    <w:name w:val="Main TableFig Head Char1 Char"/>
    <w:link w:val="MainTableFigHeadChar1"/>
    <w:rsid w:val="008A4C3D"/>
    <w:rPr>
      <w:rFonts w:ascii="Arial Maori" w:eastAsia="Times New Roman" w:hAnsi="Arial Maori"/>
      <w:bCs/>
      <w:color w:val="999999"/>
      <w:sz w:val="16"/>
      <w:szCs w:val="28"/>
      <w:lang w:val="en-GB" w:eastAsia="en-GB"/>
    </w:rPr>
  </w:style>
  <w:style w:type="paragraph" w:customStyle="1" w:styleId="ReportBody">
    <w:name w:val="Report Body"/>
    <w:basedOn w:val="Normal"/>
    <w:link w:val="ReportBodyChar"/>
    <w:uiPriority w:val="99"/>
    <w:qFormat/>
    <w:rsid w:val="008A4C3D"/>
    <w:pPr>
      <w:numPr>
        <w:numId w:val="8"/>
      </w:numPr>
      <w:spacing w:after="240" w:line="260" w:lineRule="exact"/>
      <w:jc w:val="both"/>
    </w:pPr>
    <w:rPr>
      <w:rFonts w:ascii="Arial" w:eastAsia="Times New Roman" w:hAnsi="Arial" w:cs="Times New Roman"/>
      <w:kern w:val="22"/>
      <w:sz w:val="22"/>
    </w:rPr>
  </w:style>
  <w:style w:type="numbering" w:customStyle="1" w:styleId="ReportNumber">
    <w:name w:val="Report Number"/>
    <w:basedOn w:val="NoList"/>
    <w:rsid w:val="008A4C3D"/>
    <w:pPr>
      <w:numPr>
        <w:numId w:val="14"/>
      </w:numPr>
    </w:pPr>
  </w:style>
  <w:style w:type="paragraph" w:styleId="Caption">
    <w:name w:val="caption"/>
    <w:basedOn w:val="Normal"/>
    <w:next w:val="Normal"/>
    <w:qFormat/>
    <w:rsid w:val="008A4C3D"/>
    <w:pPr>
      <w:spacing w:before="120" w:line="240" w:lineRule="auto"/>
    </w:pPr>
    <w:rPr>
      <w:rFonts w:ascii="Arial" w:eastAsia="Times New Roman" w:hAnsi="Arial" w:cs="Times New Roman"/>
      <w:b/>
      <w:bCs/>
      <w:szCs w:val="20"/>
      <w:lang w:val="en-GB"/>
    </w:rPr>
  </w:style>
  <w:style w:type="numbering" w:customStyle="1" w:styleId="BodyNumber">
    <w:name w:val="Body Number"/>
    <w:basedOn w:val="NoList"/>
    <w:rsid w:val="008A4C3D"/>
    <w:pPr>
      <w:numPr>
        <w:numId w:val="9"/>
      </w:numPr>
    </w:pPr>
  </w:style>
  <w:style w:type="paragraph" w:customStyle="1" w:styleId="BodyText">
    <w:name w:val="Body  Text"/>
    <w:basedOn w:val="Normal"/>
    <w:link w:val="BodyTextChar0"/>
    <w:rsid w:val="008A4C3D"/>
    <w:pPr>
      <w:numPr>
        <w:numId w:val="9"/>
      </w:numPr>
      <w:spacing w:after="240" w:line="260" w:lineRule="exact"/>
      <w:jc w:val="both"/>
    </w:pPr>
    <w:rPr>
      <w:rFonts w:ascii="Arial" w:eastAsia="Times New Roman" w:hAnsi="Arial" w:cs="Times New Roman"/>
      <w:kern w:val="22"/>
      <w:sz w:val="22"/>
    </w:rPr>
  </w:style>
  <w:style w:type="character" w:customStyle="1" w:styleId="BodyTextChar0">
    <w:name w:val="Body  Text Char"/>
    <w:link w:val="BodyText"/>
    <w:rsid w:val="008A4C3D"/>
    <w:rPr>
      <w:rFonts w:ascii="Arial" w:eastAsia="Times New Roman" w:hAnsi="Arial"/>
      <w:kern w:val="22"/>
      <w:sz w:val="22"/>
      <w:szCs w:val="22"/>
      <w:lang w:eastAsia="en-US"/>
    </w:rPr>
  </w:style>
  <w:style w:type="paragraph" w:customStyle="1" w:styleId="Default">
    <w:name w:val="Default"/>
    <w:rsid w:val="008A4C3D"/>
    <w:pPr>
      <w:autoSpaceDE w:val="0"/>
      <w:autoSpaceDN w:val="0"/>
      <w:adjustRightInd w:val="0"/>
    </w:pPr>
    <w:rPr>
      <w:rFonts w:ascii="Arial" w:eastAsia="Times New Roman" w:hAnsi="Arial" w:cs="Arial"/>
      <w:color w:val="000000"/>
      <w:sz w:val="24"/>
      <w:szCs w:val="24"/>
      <w:lang w:val="en-US" w:eastAsia="en-US"/>
    </w:rPr>
  </w:style>
  <w:style w:type="paragraph" w:customStyle="1" w:styleId="CharChar1CharCharCharChar">
    <w:name w:val="Char Char1 Char Char Char Char"/>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5CharCharChar">
    <w:name w:val="Char Char5 Char Char Char"/>
    <w:basedOn w:val="Normal"/>
    <w:semiHidden/>
    <w:rsid w:val="008A4C3D"/>
    <w:pPr>
      <w:spacing w:after="160" w:line="240" w:lineRule="exact"/>
    </w:pPr>
    <w:rPr>
      <w:rFonts w:eastAsia="Times New Roman" w:cs="Times New Roman"/>
      <w:szCs w:val="24"/>
      <w:lang w:val="en-US"/>
    </w:rPr>
  </w:style>
  <w:style w:type="paragraph" w:customStyle="1" w:styleId="CharChar2CharCharCharCharCharCharCharCharChar">
    <w:name w:val="Char Char2 Char Char Char Char Char Char Char Char Char"/>
    <w:basedOn w:val="Normal"/>
    <w:rsid w:val="008A4C3D"/>
    <w:pPr>
      <w:spacing w:after="160" w:line="240" w:lineRule="exact"/>
    </w:pPr>
    <w:rPr>
      <w:rFonts w:eastAsia="Times New Roman" w:cs="Times New Roman"/>
      <w:szCs w:val="20"/>
      <w:lang w:val="en-US"/>
    </w:rPr>
  </w:style>
  <w:style w:type="paragraph" w:customStyle="1" w:styleId="csresource">
    <w:name w:val="csresource"/>
    <w:basedOn w:val="Normal"/>
    <w:rsid w:val="008A4C3D"/>
    <w:pPr>
      <w:spacing w:before="60" w:after="0" w:line="240" w:lineRule="auto"/>
    </w:pPr>
    <w:rPr>
      <w:rFonts w:ascii="Arial Mäori" w:eastAsia="Times New Roman" w:hAnsi="Arial Mäori" w:cs="Times New Roman"/>
      <w:szCs w:val="20"/>
    </w:rPr>
  </w:style>
  <w:style w:type="paragraph" w:customStyle="1" w:styleId="CharChar2">
    <w:name w:val="Char Char2"/>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3CharCharCharCharCharChar">
    <w:name w:val="Char Char3 Char Char Char Char Char Char"/>
    <w:basedOn w:val="Normal"/>
    <w:rsid w:val="008A4C3D"/>
    <w:pPr>
      <w:spacing w:after="160" w:line="240" w:lineRule="exact"/>
    </w:pPr>
    <w:rPr>
      <w:rFonts w:ascii="Tahoma" w:eastAsia="Times New Roman" w:hAnsi="Tahoma" w:cs="Times New Roman"/>
      <w:szCs w:val="20"/>
      <w:lang w:val="en-US"/>
    </w:rPr>
  </w:style>
  <w:style w:type="numbering" w:customStyle="1" w:styleId="BodyList">
    <w:name w:val="Body List"/>
    <w:basedOn w:val="NoList"/>
    <w:rsid w:val="008A4C3D"/>
    <w:pPr>
      <w:numPr>
        <w:numId w:val="10"/>
      </w:numPr>
    </w:pPr>
  </w:style>
  <w:style w:type="paragraph" w:customStyle="1" w:styleId="CharChar1">
    <w:name w:val="Char Char1"/>
    <w:basedOn w:val="Normal"/>
    <w:rsid w:val="008A4C3D"/>
    <w:pPr>
      <w:spacing w:after="160" w:line="240" w:lineRule="exact"/>
    </w:pPr>
    <w:rPr>
      <w:rFonts w:ascii="Tahoma" w:eastAsia="Times New Roman" w:hAnsi="Tahoma" w:cs="Times New Roman"/>
      <w:szCs w:val="20"/>
      <w:lang w:val="en-US"/>
    </w:rPr>
  </w:style>
  <w:style w:type="paragraph" w:customStyle="1" w:styleId="CharChar1Char">
    <w:name w:val="Char Char1 Char"/>
    <w:basedOn w:val="Normal"/>
    <w:rsid w:val="008A4C3D"/>
    <w:pPr>
      <w:spacing w:after="160" w:line="240" w:lineRule="exact"/>
    </w:pPr>
    <w:rPr>
      <w:rFonts w:ascii="Tahoma" w:eastAsia="Times New Roman" w:hAnsi="Tahoma" w:cs="Times New Roman"/>
      <w:szCs w:val="20"/>
      <w:lang w:val="en-US"/>
    </w:rPr>
  </w:style>
  <w:style w:type="paragraph" w:customStyle="1" w:styleId="CharChar2Char">
    <w:name w:val="Char Char2 Char"/>
    <w:basedOn w:val="Normal"/>
    <w:rsid w:val="008A4C3D"/>
    <w:pPr>
      <w:spacing w:before="360" w:after="240" w:line="280" w:lineRule="atLeast"/>
      <w:jc w:val="both"/>
    </w:pPr>
    <w:rPr>
      <w:rFonts w:eastAsia="Times New Roman" w:cs="Times New Roman"/>
      <w:b/>
      <w:caps/>
      <w:sz w:val="28"/>
      <w:szCs w:val="28"/>
      <w:lang w:val="en-US"/>
    </w:rPr>
  </w:style>
  <w:style w:type="paragraph" w:customStyle="1" w:styleId="CharChar1CharCharChar">
    <w:name w:val="Char Char1 Char Char Char"/>
    <w:basedOn w:val="Normal"/>
    <w:rsid w:val="008A4C3D"/>
    <w:pPr>
      <w:spacing w:before="360" w:after="240" w:line="280" w:lineRule="atLeast"/>
      <w:jc w:val="both"/>
    </w:pPr>
    <w:rPr>
      <w:rFonts w:eastAsia="Times New Roman" w:cs="Times New Roman"/>
      <w:b/>
      <w:caps/>
      <w:sz w:val="28"/>
      <w:szCs w:val="28"/>
      <w:lang w:val="en-US"/>
    </w:rPr>
  </w:style>
  <w:style w:type="character" w:customStyle="1" w:styleId="gwt-inlinelabeltextv">
    <w:name w:val="gwt-inlinelabel textv"/>
    <w:basedOn w:val="DefaultParagraphFont"/>
    <w:rsid w:val="008A4C3D"/>
  </w:style>
  <w:style w:type="character" w:customStyle="1" w:styleId="st">
    <w:name w:val="st"/>
    <w:rsid w:val="008A4C3D"/>
  </w:style>
  <w:style w:type="numbering" w:customStyle="1" w:styleId="NoList111">
    <w:name w:val="No List111"/>
    <w:next w:val="NoList"/>
    <w:uiPriority w:val="99"/>
    <w:semiHidden/>
    <w:unhideWhenUsed/>
    <w:rsid w:val="008A4C3D"/>
  </w:style>
  <w:style w:type="numbering" w:customStyle="1" w:styleId="NoList2">
    <w:name w:val="No List2"/>
    <w:next w:val="NoList"/>
    <w:uiPriority w:val="99"/>
    <w:semiHidden/>
    <w:unhideWhenUsed/>
    <w:rsid w:val="008A4C3D"/>
  </w:style>
  <w:style w:type="numbering" w:customStyle="1" w:styleId="ReportNumber1">
    <w:name w:val="Report Number1"/>
    <w:basedOn w:val="NoList"/>
    <w:rsid w:val="008A4C3D"/>
    <w:pPr>
      <w:numPr>
        <w:numId w:val="12"/>
      </w:numPr>
    </w:pPr>
  </w:style>
  <w:style w:type="numbering" w:customStyle="1" w:styleId="BodyNumber1">
    <w:name w:val="Body Number1"/>
    <w:basedOn w:val="NoList"/>
    <w:rsid w:val="008A4C3D"/>
    <w:pPr>
      <w:numPr>
        <w:numId w:val="11"/>
      </w:numPr>
    </w:pPr>
  </w:style>
  <w:style w:type="numbering" w:customStyle="1" w:styleId="BodyList1">
    <w:name w:val="Body List1"/>
    <w:basedOn w:val="NoList"/>
    <w:rsid w:val="008A4C3D"/>
    <w:pPr>
      <w:numPr>
        <w:numId w:val="13"/>
      </w:numPr>
    </w:pPr>
  </w:style>
  <w:style w:type="paragraph" w:customStyle="1" w:styleId="CharChar3">
    <w:name w:val="Char Char3"/>
    <w:basedOn w:val="Normal"/>
    <w:rsid w:val="008A4C3D"/>
    <w:pPr>
      <w:spacing w:after="160" w:line="240" w:lineRule="exact"/>
    </w:pPr>
    <w:rPr>
      <w:rFonts w:eastAsia="Times New Roman" w:cs="Times New Roman"/>
      <w:szCs w:val="20"/>
      <w:lang w:val="en-US"/>
    </w:rPr>
  </w:style>
  <w:style w:type="character" w:customStyle="1" w:styleId="selectable">
    <w:name w:val="selectable"/>
    <w:basedOn w:val="DefaultParagraphFont"/>
    <w:rsid w:val="008A4C3D"/>
  </w:style>
  <w:style w:type="character" w:customStyle="1" w:styleId="FootnoteTextChar1">
    <w:name w:val="Footnote Text Char1"/>
    <w:rsid w:val="008A4C3D"/>
    <w:rPr>
      <w:lang w:val="en-GB" w:eastAsia="en-GB"/>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link w:val="ListParagraph"/>
    <w:uiPriority w:val="34"/>
    <w:locked/>
    <w:rsid w:val="008A4C3D"/>
    <w:rPr>
      <w:rFonts w:ascii="Verdana" w:hAnsi="Verdana" w:cs="Arial"/>
      <w:szCs w:val="22"/>
    </w:rPr>
  </w:style>
  <w:style w:type="paragraph" w:customStyle="1" w:styleId="Copyrightbodytext">
    <w:name w:val="Copyright bodytext"/>
    <w:basedOn w:val="BodyText0"/>
    <w:link w:val="CopyrightbodytextChar"/>
    <w:qFormat/>
    <w:rsid w:val="008A4C3D"/>
    <w:pPr>
      <w:spacing w:before="60" w:after="0" w:line="300" w:lineRule="atLeast"/>
      <w:jc w:val="both"/>
    </w:pPr>
    <w:rPr>
      <w:rFonts w:ascii="Times New Roman" w:eastAsia="Times New Roman" w:hAnsi="Times New Roman" w:cs="Times New Roman"/>
      <w:sz w:val="24"/>
      <w:szCs w:val="20"/>
      <w:lang w:val="en-AU" w:eastAsia="en-AU"/>
    </w:rPr>
  </w:style>
  <w:style w:type="character" w:customStyle="1" w:styleId="CopyrightbodytextChar">
    <w:name w:val="Copyright bodytext Char"/>
    <w:link w:val="Copyrightbodytext"/>
    <w:rsid w:val="008A4C3D"/>
    <w:rPr>
      <w:rFonts w:ascii="Times New Roman" w:eastAsia="Times New Roman" w:hAnsi="Times New Roman"/>
      <w:sz w:val="24"/>
      <w:lang w:val="en-AU" w:eastAsia="en-AU"/>
    </w:rPr>
  </w:style>
  <w:style w:type="numbering" w:customStyle="1" w:styleId="ReportNumber2">
    <w:name w:val="Report Number2"/>
    <w:basedOn w:val="NoList"/>
    <w:rsid w:val="008A4C3D"/>
  </w:style>
  <w:style w:type="character" w:customStyle="1" w:styleId="ReportBodyChar">
    <w:name w:val="Report Body Char"/>
    <w:link w:val="ReportBody"/>
    <w:uiPriority w:val="99"/>
    <w:rsid w:val="008A4C3D"/>
    <w:rPr>
      <w:rFonts w:ascii="Arial" w:eastAsia="Times New Roman" w:hAnsi="Arial"/>
      <w:kern w:val="22"/>
      <w:sz w:val="22"/>
      <w:szCs w:val="22"/>
      <w:lang w:eastAsia="en-US"/>
    </w:rPr>
  </w:style>
  <w:style w:type="character" w:customStyle="1" w:styleId="datevaluewidget">
    <w:name w:val="datevaluewidget"/>
    <w:rsid w:val="008A4C3D"/>
  </w:style>
  <w:style w:type="paragraph" w:customStyle="1" w:styleId="note">
    <w:name w:val="note"/>
    <w:basedOn w:val="Normal"/>
    <w:rsid w:val="008A4C3D"/>
    <w:pPr>
      <w:spacing w:before="100" w:beforeAutospacing="1" w:after="100" w:afterAutospacing="1" w:line="240" w:lineRule="auto"/>
    </w:pPr>
    <w:rPr>
      <w:rFonts w:ascii="Times New Roman" w:eastAsia="Times New Roman" w:hAnsi="Times New Roman" w:cs="Times New Roman"/>
      <w:sz w:val="24"/>
      <w:szCs w:val="24"/>
      <w:lang w:eastAsia="en-NZ"/>
    </w:rPr>
  </w:style>
  <w:style w:type="table" w:customStyle="1" w:styleId="TableGrid11">
    <w:name w:val="Table Grid11"/>
    <w:basedOn w:val="TableNormal"/>
    <w:next w:val="TableGrid"/>
    <w:uiPriority w:val="59"/>
    <w:rsid w:val="004E62C9"/>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portNumber21">
    <w:name w:val="Report Number21"/>
    <w:basedOn w:val="NoList"/>
    <w:rsid w:val="00BA49CA"/>
  </w:style>
  <w:style w:type="paragraph" w:customStyle="1" w:styleId="Pa2">
    <w:name w:val="Pa2"/>
    <w:basedOn w:val="Default"/>
    <w:next w:val="Default"/>
    <w:uiPriority w:val="99"/>
    <w:rsid w:val="008D749A"/>
    <w:pPr>
      <w:spacing w:line="221" w:lineRule="atLeast"/>
    </w:pPr>
    <w:rPr>
      <w:rFonts w:ascii="Gotham Book" w:eastAsia="Calibri" w:hAnsi="Gotham Book" w:cs="Times New Roman"/>
      <w:color w:val="auto"/>
      <w:lang w:val="en-NZ" w:eastAsia="en-NZ"/>
    </w:rPr>
  </w:style>
  <w:style w:type="character" w:customStyle="1" w:styleId="A15">
    <w:name w:val="A15"/>
    <w:uiPriority w:val="99"/>
    <w:rsid w:val="008D749A"/>
    <w:rPr>
      <w:rFonts w:cs="Gotham Book"/>
      <w:color w:val="000000"/>
      <w:sz w:val="11"/>
      <w:szCs w:val="11"/>
    </w:rPr>
  </w:style>
  <w:style w:type="character" w:customStyle="1" w:styleId="A2">
    <w:name w:val="A2"/>
    <w:uiPriority w:val="99"/>
    <w:rsid w:val="00690168"/>
    <w:rPr>
      <w:rFonts w:cs="Gotham Book"/>
      <w:color w:val="000000"/>
      <w:sz w:val="16"/>
      <w:szCs w:val="16"/>
    </w:rPr>
  </w:style>
  <w:style w:type="character" w:customStyle="1" w:styleId="nlmyear">
    <w:name w:val="nlm_year"/>
    <w:basedOn w:val="DefaultParagraphFont"/>
    <w:rsid w:val="00593A7C"/>
  </w:style>
  <w:style w:type="character" w:customStyle="1" w:styleId="nlmarticle-title">
    <w:name w:val="nlm_article-title"/>
    <w:basedOn w:val="DefaultParagraphFont"/>
    <w:rsid w:val="00593A7C"/>
  </w:style>
  <w:style w:type="character" w:customStyle="1" w:styleId="nlmfpage">
    <w:name w:val="nlm_fpage"/>
    <w:basedOn w:val="DefaultParagraphFont"/>
    <w:rsid w:val="00593A7C"/>
  </w:style>
  <w:style w:type="character" w:customStyle="1" w:styleId="nlmlpage">
    <w:name w:val="nlm_lpage"/>
    <w:basedOn w:val="DefaultParagraphFont"/>
    <w:rsid w:val="00593A7C"/>
  </w:style>
  <w:style w:type="paragraph" w:customStyle="1" w:styleId="nova-e-listitem">
    <w:name w:val="nova-e-list__item"/>
    <w:basedOn w:val="Normal"/>
    <w:rsid w:val="005C37F0"/>
    <w:pPr>
      <w:spacing w:before="100" w:beforeAutospacing="1" w:after="100" w:afterAutospacing="1" w:line="240" w:lineRule="auto"/>
    </w:pPr>
    <w:rPr>
      <w:rFonts w:ascii="Times New Roman" w:eastAsia="Times New Roman" w:hAnsi="Times New Roman" w:cs="Times New Roman"/>
      <w:sz w:val="24"/>
      <w:szCs w:val="24"/>
      <w:lang w:eastAsia="en-NZ"/>
    </w:rPr>
  </w:style>
  <w:style w:type="numbering" w:customStyle="1" w:styleId="ReportNumber22">
    <w:name w:val="Report Number22"/>
    <w:basedOn w:val="NoList"/>
    <w:rsid w:val="00B83443"/>
    <w:pPr>
      <w:numPr>
        <w:numId w:val="1"/>
      </w:numPr>
    </w:pPr>
  </w:style>
  <w:style w:type="table" w:customStyle="1" w:styleId="LightShading1">
    <w:name w:val="Light Shading1"/>
    <w:basedOn w:val="TableNormal"/>
    <w:next w:val="LightShading"/>
    <w:uiPriority w:val="60"/>
    <w:rsid w:val="002C3EA2"/>
    <w:rPr>
      <w:rFonts w:ascii="Verdana" w:hAnsi="Verdan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2C3EA2"/>
    <w:rPr>
      <w:rFonts w:ascii="Verdana" w:hAnsi="Verdana"/>
      <w:color w:val="365F91"/>
      <w:sz w:val="18"/>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2C3EA2"/>
    <w:rPr>
      <w:rFonts w:ascii="Verdana" w:hAnsi="Verdana"/>
      <w:color w:val="943634"/>
      <w:sz w:val="18"/>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2C3EA2"/>
    <w:rPr>
      <w:rFonts w:ascii="Verdana" w:hAnsi="Verdana"/>
      <w:color w:val="76923C"/>
      <w:sz w:val="18"/>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2C3EA2"/>
    <w:rPr>
      <w:rFonts w:ascii="Verdana" w:hAnsi="Verdana"/>
      <w:color w:val="5F497A"/>
      <w:sz w:val="18"/>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2C3EA2"/>
    <w:rPr>
      <w:rFonts w:ascii="Verdana" w:hAnsi="Verdana"/>
      <w:color w:val="31849B"/>
      <w:sz w:val="18"/>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2C3EA2"/>
    <w:rPr>
      <w:rFonts w:ascii="Verdana" w:hAnsi="Verdana"/>
      <w:color w:val="E36C0A"/>
      <w:sz w:val="18"/>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2C3EA2"/>
    <w:rPr>
      <w:rFonts w:ascii="Verdana" w:hAnsi="Verdana"/>
      <w:sz w:val="18"/>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2C3EA2"/>
    <w:rPr>
      <w:rFonts w:ascii="Verdana" w:hAnsi="Verdana"/>
      <w:sz w:val="18"/>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2C3EA2"/>
    <w:rPr>
      <w:rFonts w:ascii="Verdana" w:hAnsi="Verdana"/>
      <w:sz w:val="18"/>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2C3EA2"/>
    <w:rPr>
      <w:rFonts w:ascii="Verdana" w:hAnsi="Verdana"/>
      <w:sz w:val="18"/>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2C3EA2"/>
    <w:rPr>
      <w:rFonts w:ascii="Verdana" w:hAnsi="Verdana"/>
      <w:sz w:val="18"/>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2C3EA2"/>
    <w:rPr>
      <w:rFonts w:ascii="Verdana" w:hAnsi="Verdana"/>
      <w:sz w:val="18"/>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2C3EA2"/>
    <w:rPr>
      <w:rFonts w:ascii="Verdana" w:hAnsi="Verdana"/>
      <w:sz w:val="18"/>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2C3EA2"/>
    <w:rPr>
      <w:rFonts w:ascii="Verdana" w:hAnsi="Verdana"/>
      <w:sz w:val="18"/>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2C3EA2"/>
    <w:rPr>
      <w:rFonts w:ascii="Verdana" w:hAnsi="Verdana"/>
      <w:sz w:val="18"/>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2C3EA2"/>
    <w:rPr>
      <w:rFonts w:ascii="Verdana" w:hAnsi="Verdana"/>
      <w:sz w:val="18"/>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2C3EA2"/>
    <w:rPr>
      <w:rFonts w:ascii="Verdana" w:hAnsi="Verdana"/>
      <w:sz w:val="18"/>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2C3EA2"/>
    <w:rPr>
      <w:rFonts w:ascii="Verdana" w:hAnsi="Verdana"/>
      <w:sz w:val="18"/>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2C3EA2"/>
    <w:rPr>
      <w:rFonts w:ascii="Verdana" w:hAnsi="Verdana"/>
      <w:sz w:val="18"/>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2C3EA2"/>
    <w:rPr>
      <w:rFonts w:ascii="Verdana" w:hAnsi="Verdana"/>
      <w:sz w:val="18"/>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2C3EA2"/>
    <w:rPr>
      <w:rFonts w:ascii="Verdana" w:hAnsi="Verdana"/>
      <w:sz w:val="18"/>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2C3EA2"/>
    <w:rPr>
      <w:rFonts w:ascii="Verdana" w:hAnsi="Verdana"/>
      <w:sz w:val="18"/>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2C3EA2"/>
    <w:rPr>
      <w:rFonts w:ascii="Verdana" w:hAnsi="Verdana"/>
      <w:sz w:val="18"/>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2C3EA2"/>
    <w:rPr>
      <w:rFonts w:ascii="Verdana" w:hAnsi="Verdana"/>
      <w:sz w:val="18"/>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2C3EA2"/>
    <w:rPr>
      <w:rFonts w:ascii="Verdana" w:hAnsi="Verdana"/>
      <w:sz w:val="18"/>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2C3EA2"/>
    <w:rPr>
      <w:rFonts w:ascii="Verdana" w:hAnsi="Verdana"/>
      <w:sz w:val="18"/>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2C3EA2"/>
    <w:rPr>
      <w:rFonts w:ascii="Verdana" w:hAnsi="Verdana"/>
      <w:sz w:val="18"/>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2C3EA2"/>
    <w:rPr>
      <w:rFonts w:ascii="Verdana" w:hAnsi="Verdana"/>
      <w:sz w:val="18"/>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2C3EA2"/>
    <w:rPr>
      <w:rFonts w:ascii="Verdana" w:hAnsi="Verdana"/>
      <w:color w:val="000000"/>
      <w:sz w:val="18"/>
      <w:lang w:eastAsia="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2C3EA2"/>
    <w:rPr>
      <w:rFonts w:ascii="Verdana" w:hAnsi="Verdana"/>
      <w:color w:val="000000"/>
      <w:sz w:val="18"/>
      <w:lang w:eastAsia="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2C3EA2"/>
    <w:rPr>
      <w:rFonts w:ascii="Verdana" w:hAnsi="Verdana"/>
      <w:color w:val="000000"/>
      <w:sz w:val="18"/>
      <w:lang w:eastAsia="en-US"/>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2C3EA2"/>
    <w:rPr>
      <w:rFonts w:ascii="Verdana" w:hAnsi="Verdana"/>
      <w:color w:val="000000"/>
      <w:sz w:val="18"/>
      <w:lang w:eastAsia="en-US"/>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2C3EA2"/>
    <w:rPr>
      <w:rFonts w:ascii="Verdana" w:hAnsi="Verdana"/>
      <w:color w:val="000000"/>
      <w:sz w:val="18"/>
      <w:lang w:eastAsia="en-US"/>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2C3EA2"/>
    <w:rPr>
      <w:rFonts w:ascii="Verdana" w:hAnsi="Verdana"/>
      <w:color w:val="000000"/>
      <w:sz w:val="18"/>
      <w:lang w:eastAsia="en-US"/>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2C3EA2"/>
    <w:rPr>
      <w:rFonts w:ascii="Verdana" w:hAnsi="Verdana"/>
      <w:color w:val="000000"/>
      <w:sz w:val="18"/>
      <w:lang w:eastAsia="en-US"/>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1">
    <w:name w:val="Medium Grid 11"/>
    <w:basedOn w:val="TableNormal"/>
    <w:next w:val="MediumGrid1"/>
    <w:uiPriority w:val="67"/>
    <w:rsid w:val="002C3EA2"/>
    <w:rPr>
      <w:rFonts w:ascii="Verdana" w:hAnsi="Verdana"/>
      <w:sz w:val="18"/>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2C3EA2"/>
    <w:rPr>
      <w:rFonts w:ascii="Verdana" w:hAnsi="Verdana"/>
      <w:sz w:val="18"/>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2C3EA2"/>
    <w:rPr>
      <w:rFonts w:ascii="Verdana" w:hAnsi="Verdana"/>
      <w:sz w:val="18"/>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2C3EA2"/>
    <w:rPr>
      <w:rFonts w:ascii="Verdana" w:hAnsi="Verdana"/>
      <w:sz w:val="18"/>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2C3EA2"/>
    <w:rPr>
      <w:rFonts w:ascii="Verdana" w:hAnsi="Verdana"/>
      <w:sz w:val="18"/>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2C3EA2"/>
    <w:rPr>
      <w:rFonts w:ascii="Verdana" w:hAnsi="Verdana"/>
      <w:sz w:val="18"/>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2C3EA2"/>
    <w:rPr>
      <w:rFonts w:ascii="Verdana" w:hAnsi="Verdana"/>
      <w:sz w:val="18"/>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List21">
    <w:name w:val="Medium List 21"/>
    <w:basedOn w:val="TableNormal"/>
    <w:next w:val="MediumList2"/>
    <w:uiPriority w:val="66"/>
    <w:rsid w:val="002C3EA2"/>
    <w:rPr>
      <w:rFonts w:ascii="Verdana" w:eastAsia="Times New Roman" w:hAnsi="Verdana"/>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2C3EA2"/>
    <w:rPr>
      <w:rFonts w:ascii="Verdana" w:eastAsia="Times New Roman" w:hAnsi="Verdan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2C3EA2"/>
    <w:rPr>
      <w:rFonts w:ascii="Verdana" w:eastAsia="Times New Roman" w:hAnsi="Verdana"/>
      <w:color w:val="000000"/>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2C3EA2"/>
    <w:rPr>
      <w:rFonts w:ascii="Verdana" w:eastAsia="Times New Roman" w:hAnsi="Verdana"/>
      <w:color w:val="000000"/>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2C3EA2"/>
    <w:rPr>
      <w:rFonts w:ascii="Verdana" w:eastAsia="Times New Roman" w:hAnsi="Verdana"/>
      <w:color w:val="000000"/>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2C3EA2"/>
    <w:rPr>
      <w:rFonts w:ascii="Verdana" w:eastAsia="Times New Roman" w:hAnsi="Verdana"/>
      <w:color w:val="000000"/>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2C3EA2"/>
    <w:rPr>
      <w:rFonts w:ascii="Verdana" w:eastAsia="Times New Roman" w:hAnsi="Verdana"/>
      <w:color w:val="000000"/>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21">
    <w:name w:val="Medium Grid 21"/>
    <w:basedOn w:val="TableNormal"/>
    <w:next w:val="MediumGrid2"/>
    <w:uiPriority w:val="68"/>
    <w:rsid w:val="002C3EA2"/>
    <w:rPr>
      <w:rFonts w:ascii="Verdana" w:eastAsia="Times New Roman" w:hAnsi="Verdana"/>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2C3EA2"/>
    <w:rPr>
      <w:rFonts w:ascii="Verdana" w:eastAsia="Times New Roman" w:hAnsi="Verdan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2C3EA2"/>
    <w:rPr>
      <w:rFonts w:ascii="Verdana" w:eastAsia="Times New Roman" w:hAnsi="Verdana"/>
      <w:color w:val="000000"/>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2C3EA2"/>
    <w:rPr>
      <w:rFonts w:ascii="Verdana" w:eastAsia="Times New Roman" w:hAnsi="Verdana"/>
      <w:color w:val="000000"/>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2C3EA2"/>
    <w:rPr>
      <w:rFonts w:ascii="Verdana" w:eastAsia="Times New Roman" w:hAnsi="Verdana"/>
      <w:color w:val="000000"/>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2C3EA2"/>
    <w:rPr>
      <w:rFonts w:ascii="Verdana" w:eastAsia="Times New Roman" w:hAnsi="Verdana"/>
      <w:color w:val="000000"/>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2C3EA2"/>
    <w:rPr>
      <w:rFonts w:ascii="Verdana" w:eastAsia="Times New Roman" w:hAnsi="Verdana"/>
      <w:color w:val="000000"/>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2C3EA2"/>
    <w:rPr>
      <w:rFonts w:ascii="Verdana" w:hAnsi="Verdana"/>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2C3EA2"/>
    <w:rPr>
      <w:rFonts w:ascii="Verdana" w:hAnsi="Verdana"/>
      <w:color w:val="FFFFFF"/>
      <w:lang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2C3EA2"/>
    <w:rPr>
      <w:rFonts w:ascii="Verdana" w:hAnsi="Verdana"/>
      <w:color w:val="FFFFFF"/>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2C3EA2"/>
    <w:rPr>
      <w:rFonts w:ascii="Verdana" w:hAnsi="Verdana"/>
      <w:color w:val="FFFFFF"/>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2C3EA2"/>
    <w:rPr>
      <w:rFonts w:ascii="Verdana" w:hAnsi="Verdana"/>
      <w:color w:val="FFFFFF"/>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2C3EA2"/>
    <w:rPr>
      <w:rFonts w:ascii="Verdana" w:hAnsi="Verdana"/>
      <w:color w:val="FFFFFF"/>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2C3EA2"/>
    <w:rPr>
      <w:rFonts w:ascii="Verdana" w:hAnsi="Verdana"/>
      <w:color w:val="FFFFFF"/>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2C3EA2"/>
    <w:rPr>
      <w:rFonts w:ascii="Verdana" w:hAnsi="Verdana"/>
      <w:color w:val="FFFFFF"/>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next w:val="ColorfulShading"/>
    <w:uiPriority w:val="71"/>
    <w:rsid w:val="002C3EA2"/>
    <w:rPr>
      <w:rFonts w:ascii="Verdana" w:hAnsi="Verdana"/>
      <w:color w:val="000000"/>
      <w:lang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2C3EA2"/>
    <w:rPr>
      <w:rFonts w:ascii="Verdana" w:hAnsi="Verdana"/>
      <w:color w:val="000000"/>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2C3EA2"/>
    <w:rPr>
      <w:rFonts w:ascii="Verdana" w:hAnsi="Verdana"/>
      <w:color w:val="000000"/>
      <w:lang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2C3EA2"/>
    <w:rPr>
      <w:rFonts w:ascii="Verdana" w:hAnsi="Verdana"/>
      <w:color w:val="000000"/>
      <w:lang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2C3EA2"/>
    <w:rPr>
      <w:rFonts w:ascii="Verdana" w:hAnsi="Verdana"/>
      <w:color w:val="000000"/>
      <w:lang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2C3EA2"/>
    <w:rPr>
      <w:rFonts w:ascii="Verdana" w:hAnsi="Verdana"/>
      <w:color w:val="000000"/>
      <w:lang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2C3EA2"/>
    <w:rPr>
      <w:rFonts w:ascii="Verdana" w:hAnsi="Verdana"/>
      <w:color w:val="000000"/>
      <w:lang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next w:val="ColorfulList"/>
    <w:uiPriority w:val="72"/>
    <w:rsid w:val="002C3EA2"/>
    <w:rPr>
      <w:rFonts w:ascii="Verdana" w:hAnsi="Verdana"/>
      <w:color w:val="000000"/>
      <w:lang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2C3EA2"/>
    <w:rPr>
      <w:rFonts w:ascii="Verdana" w:hAnsi="Verdana"/>
      <w:color w:val="000000"/>
      <w:lang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2C3EA2"/>
    <w:rPr>
      <w:rFonts w:ascii="Verdana" w:hAnsi="Verdana"/>
      <w:color w:val="000000"/>
      <w:lang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2C3EA2"/>
    <w:rPr>
      <w:rFonts w:ascii="Verdana" w:hAnsi="Verdana"/>
      <w:color w:val="000000"/>
      <w:lang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2C3EA2"/>
    <w:rPr>
      <w:rFonts w:ascii="Verdana" w:hAnsi="Verdana"/>
      <w:color w:val="000000"/>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2C3EA2"/>
    <w:rPr>
      <w:rFonts w:ascii="Verdana" w:hAnsi="Verdana"/>
      <w:color w:val="000000"/>
      <w:lang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2C3EA2"/>
    <w:rPr>
      <w:rFonts w:ascii="Verdana" w:hAnsi="Verdana"/>
      <w:color w:val="000000"/>
      <w:lang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next w:val="ColorfulGrid"/>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2C3EA2"/>
    <w:rPr>
      <w:rFonts w:ascii="Verdana" w:hAnsi="Verdana"/>
      <w:color w:val="000000"/>
      <w:lang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ReportNumber23">
    <w:name w:val="Report Number23"/>
    <w:basedOn w:val="NoList"/>
    <w:rsid w:val="002C3EA2"/>
    <w:pPr>
      <w:numPr>
        <w:numId w:val="15"/>
      </w:numPr>
    </w:pPr>
  </w:style>
  <w:style w:type="numbering" w:customStyle="1" w:styleId="ReportNumber3">
    <w:name w:val="Report Number3"/>
    <w:basedOn w:val="NoList"/>
    <w:rsid w:val="002C3EA2"/>
    <w:pPr>
      <w:numPr>
        <w:numId w:val="7"/>
      </w:numPr>
    </w:pPr>
  </w:style>
  <w:style w:type="numbering" w:customStyle="1" w:styleId="BodyNumber2">
    <w:name w:val="Body Number2"/>
    <w:basedOn w:val="NoList"/>
    <w:rsid w:val="002C3EA2"/>
    <w:pPr>
      <w:numPr>
        <w:numId w:val="16"/>
      </w:numPr>
    </w:pPr>
  </w:style>
  <w:style w:type="numbering" w:customStyle="1" w:styleId="BodyList2">
    <w:name w:val="Body List2"/>
    <w:basedOn w:val="NoList"/>
    <w:rsid w:val="002C3EA2"/>
    <w:pPr>
      <w:numPr>
        <w:numId w:val="17"/>
      </w:numPr>
    </w:pPr>
  </w:style>
  <w:style w:type="numbering" w:customStyle="1" w:styleId="ReportNumber11">
    <w:name w:val="Report Number11"/>
    <w:basedOn w:val="NoList"/>
    <w:rsid w:val="002C3EA2"/>
    <w:pPr>
      <w:numPr>
        <w:numId w:val="19"/>
      </w:numPr>
    </w:pPr>
  </w:style>
  <w:style w:type="numbering" w:customStyle="1" w:styleId="BodyNumber11">
    <w:name w:val="Body Number11"/>
    <w:basedOn w:val="NoList"/>
    <w:rsid w:val="002C3EA2"/>
    <w:pPr>
      <w:numPr>
        <w:numId w:val="18"/>
      </w:numPr>
    </w:pPr>
  </w:style>
  <w:style w:type="numbering" w:customStyle="1" w:styleId="BodyList11">
    <w:name w:val="Body List11"/>
    <w:basedOn w:val="NoList"/>
    <w:rsid w:val="002C3EA2"/>
    <w:pPr>
      <w:numPr>
        <w:numId w:val="20"/>
      </w:numPr>
    </w:pPr>
  </w:style>
  <w:style w:type="character" w:styleId="LineNumber">
    <w:name w:val="line number"/>
    <w:basedOn w:val="DefaultParagraphFont"/>
    <w:uiPriority w:val="99"/>
    <w:semiHidden/>
    <w:unhideWhenUsed/>
    <w:rsid w:val="001D67F9"/>
  </w:style>
  <w:style w:type="paragraph" w:customStyle="1" w:styleId="c-article-author-listitem">
    <w:name w:val="c-article-author-list__item"/>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c-article-info-details">
    <w:name w:val="c-article-info-details"/>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u-visually-hidden">
    <w:name w:val="u-visually-hidden"/>
    <w:basedOn w:val="DefaultParagraphFont"/>
    <w:rsid w:val="00517546"/>
  </w:style>
  <w:style w:type="paragraph" w:customStyle="1" w:styleId="c-article-metrics-barcount">
    <w:name w:val="c-article-metrics-bar__count"/>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article-metrics-barlabel">
    <w:name w:val="c-article-metrics-bar__label"/>
    <w:basedOn w:val="DefaultParagraphFont"/>
    <w:rsid w:val="00517546"/>
  </w:style>
  <w:style w:type="paragraph" w:customStyle="1" w:styleId="c-article-metrics-bardetails">
    <w:name w:val="c-article-metrics-bar__details"/>
    <w:basedOn w:val="Normal"/>
    <w:rsid w:val="00517546"/>
    <w:pPr>
      <w:spacing w:before="100" w:beforeAutospacing="1" w:after="100" w:afterAutospacing="1" w:line="240" w:lineRule="auto"/>
    </w:pPr>
    <w:rPr>
      <w:rFonts w:ascii="Times New Roman" w:eastAsia="Times New Roman" w:hAnsi="Times New Roman" w:cs="Times New Roman"/>
      <w:sz w:val="24"/>
      <w:szCs w:val="24"/>
      <w:lang w:eastAsia="en-NZ"/>
    </w:rPr>
  </w:style>
  <w:style w:type="numbering" w:customStyle="1" w:styleId="ReportNumber24">
    <w:name w:val="Report Number24"/>
    <w:basedOn w:val="NoList"/>
    <w:rsid w:val="00705262"/>
  </w:style>
  <w:style w:type="paragraph" w:customStyle="1" w:styleId="ReportBody2">
    <w:name w:val="Report Body 2"/>
    <w:basedOn w:val="ReportBody"/>
    <w:uiPriority w:val="99"/>
    <w:qFormat/>
    <w:rsid w:val="00091514"/>
    <w:pPr>
      <w:numPr>
        <w:numId w:val="0"/>
      </w:numPr>
      <w:tabs>
        <w:tab w:val="num" w:pos="493"/>
      </w:tabs>
      <w:spacing w:before="120" w:after="120" w:line="288" w:lineRule="auto"/>
      <w:ind w:left="987" w:hanging="494"/>
      <w:jc w:val="left"/>
    </w:pPr>
    <w:rPr>
      <w:rFonts w:ascii="Verdana" w:hAnsi="Verdana" w:cs="Arial"/>
      <w:color w:val="000000"/>
      <w:szCs w:val="20"/>
      <w:lang w:eastAsia="en-NZ"/>
    </w:rPr>
  </w:style>
  <w:style w:type="character" w:customStyle="1" w:styleId="cf01">
    <w:name w:val="cf01"/>
    <w:basedOn w:val="DefaultParagraphFont"/>
    <w:rsid w:val="009B617E"/>
    <w:rPr>
      <w:rFonts w:ascii="Segoe UI" w:hAnsi="Segoe UI" w:cs="Segoe UI" w:hint="default"/>
      <w:sz w:val="18"/>
      <w:szCs w:val="18"/>
    </w:rPr>
  </w:style>
  <w:style w:type="character" w:customStyle="1" w:styleId="cite-bracket">
    <w:name w:val="cite-bracket"/>
    <w:basedOn w:val="DefaultParagraphFont"/>
    <w:rsid w:val="004A0B30"/>
  </w:style>
  <w:style w:type="table" w:customStyle="1" w:styleId="TableGrid40">
    <w:name w:val="Table Grid4"/>
    <w:basedOn w:val="TableNormal"/>
    <w:next w:val="TableGrid"/>
    <w:uiPriority w:val="59"/>
    <w:rsid w:val="00EC5755"/>
    <w:rPr>
      <w:rFonts w:ascii="Verdana" w:hAnsi="Verdana"/>
      <w:kern w:val="2"/>
      <w:sz w:val="1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F132B"/>
  </w:style>
  <w:style w:type="paragraph" w:customStyle="1" w:styleId="content-meta-dataauthors">
    <w:name w:val="content-meta-data__authors"/>
    <w:basedOn w:val="Normal"/>
    <w:rsid w:val="001F132B"/>
    <w:pPr>
      <w:spacing w:before="100" w:beforeAutospacing="1" w:after="100" w:afterAutospacing="1" w:line="240" w:lineRule="auto"/>
    </w:pPr>
    <w:rPr>
      <w:rFonts w:ascii="Times New Roman" w:eastAsia="Times New Roman" w:hAnsi="Times New Roman" w:cs="Times New Roman"/>
      <w:sz w:val="24"/>
      <w:szCs w:val="24"/>
      <w:lang w:eastAsia="en-NZ"/>
    </w:rPr>
  </w:style>
  <w:style w:type="numbering" w:customStyle="1" w:styleId="NoList3">
    <w:name w:val="No List3"/>
    <w:next w:val="NoList"/>
    <w:uiPriority w:val="99"/>
    <w:semiHidden/>
    <w:unhideWhenUsed/>
    <w:rsid w:val="00711FE4"/>
  </w:style>
  <w:style w:type="table" w:customStyle="1" w:styleId="TableGrid50">
    <w:name w:val="Table Grid5"/>
    <w:basedOn w:val="TableNormal"/>
    <w:next w:val="TableGrid"/>
    <w:uiPriority w:val="59"/>
    <w:rsid w:val="00711FE4"/>
    <w:rPr>
      <w:rFonts w:ascii="Verdana" w:hAnsi="Verdana"/>
      <w:kern w:val="2"/>
      <w:sz w:val="1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711FE4"/>
    <w:rPr>
      <w:rFonts w:ascii="Verdana" w:hAnsi="Verdana"/>
      <w:color w:val="000000"/>
      <w:kern w:val="2"/>
      <w:sz w:val="18"/>
      <w:lang w:eastAsia="en-US"/>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711FE4"/>
    <w:rPr>
      <w:rFonts w:ascii="Verdana" w:hAnsi="Verdana"/>
      <w:color w:val="365F91"/>
      <w:kern w:val="2"/>
      <w:sz w:val="18"/>
      <w:lang w:eastAsia="en-US"/>
      <w14:ligatures w14:val="standardContextua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711FE4"/>
    <w:rPr>
      <w:rFonts w:ascii="Verdana" w:hAnsi="Verdana"/>
      <w:color w:val="943634"/>
      <w:kern w:val="2"/>
      <w:sz w:val="18"/>
      <w:lang w:eastAsia="en-US"/>
      <w14:ligatures w14:val="standardContextual"/>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711FE4"/>
    <w:rPr>
      <w:rFonts w:ascii="Verdana" w:hAnsi="Verdana"/>
      <w:color w:val="76923C"/>
      <w:kern w:val="2"/>
      <w:sz w:val="18"/>
      <w:lang w:eastAsia="en-US"/>
      <w14:ligatures w14:val="standardContextua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711FE4"/>
    <w:rPr>
      <w:rFonts w:ascii="Verdana" w:hAnsi="Verdana"/>
      <w:color w:val="5F497A"/>
      <w:kern w:val="2"/>
      <w:sz w:val="18"/>
      <w:lang w:eastAsia="en-US"/>
      <w14:ligatures w14:val="standardContextual"/>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711FE4"/>
    <w:rPr>
      <w:rFonts w:ascii="Verdana" w:hAnsi="Verdana"/>
      <w:color w:val="31849B"/>
      <w:kern w:val="2"/>
      <w:sz w:val="18"/>
      <w:lang w:eastAsia="en-US"/>
      <w14:ligatures w14:val="standardContextual"/>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711FE4"/>
    <w:rPr>
      <w:rFonts w:ascii="Verdana" w:hAnsi="Verdana"/>
      <w:color w:val="E36C0A"/>
      <w:kern w:val="2"/>
      <w:sz w:val="18"/>
      <w:lang w:eastAsia="en-US"/>
      <w14:ligatures w14:val="standardContextual"/>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2">
    <w:name w:val="Light List2"/>
    <w:basedOn w:val="TableNormal"/>
    <w:next w:val="LightList"/>
    <w:uiPriority w:val="61"/>
    <w:rsid w:val="00711FE4"/>
    <w:rPr>
      <w:rFonts w:ascii="Verdana" w:hAnsi="Verdana"/>
      <w:kern w:val="2"/>
      <w:sz w:val="18"/>
      <w:lang w:eastAsia="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711FE4"/>
    <w:rPr>
      <w:rFonts w:ascii="Verdana" w:hAnsi="Verdana"/>
      <w:kern w:val="2"/>
      <w:sz w:val="18"/>
      <w:lang w:eastAsia="en-US"/>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711FE4"/>
    <w:rPr>
      <w:rFonts w:ascii="Verdana" w:hAnsi="Verdana"/>
      <w:kern w:val="2"/>
      <w:sz w:val="18"/>
      <w:lang w:eastAsia="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711FE4"/>
    <w:rPr>
      <w:rFonts w:ascii="Verdana" w:hAnsi="Verdana"/>
      <w:kern w:val="2"/>
      <w:sz w:val="18"/>
      <w:lang w:eastAsia="en-US"/>
      <w14:ligatures w14:val="standardContextu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711FE4"/>
    <w:rPr>
      <w:rFonts w:ascii="Verdana" w:hAnsi="Verdana"/>
      <w:kern w:val="2"/>
      <w:sz w:val="18"/>
      <w:lang w:eastAsia="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711FE4"/>
    <w:rPr>
      <w:rFonts w:ascii="Verdana" w:hAnsi="Verdana"/>
      <w:kern w:val="2"/>
      <w:sz w:val="18"/>
      <w:lang w:eastAsia="en-US"/>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711FE4"/>
    <w:rPr>
      <w:rFonts w:ascii="Verdana" w:hAnsi="Verdana"/>
      <w:kern w:val="2"/>
      <w:sz w:val="18"/>
      <w:lang w:eastAsia="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2">
    <w:name w:val="Light Grid2"/>
    <w:basedOn w:val="TableNormal"/>
    <w:next w:val="LightGrid"/>
    <w:uiPriority w:val="62"/>
    <w:rsid w:val="00711FE4"/>
    <w:rPr>
      <w:rFonts w:ascii="Verdana" w:hAnsi="Verdana"/>
      <w:kern w:val="2"/>
      <w:sz w:val="18"/>
      <w:lang w:eastAsia="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711FE4"/>
    <w:rPr>
      <w:rFonts w:ascii="Verdana" w:hAnsi="Verdana"/>
      <w:kern w:val="2"/>
      <w:sz w:val="18"/>
      <w:lang w:eastAsia="en-US"/>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711FE4"/>
    <w:rPr>
      <w:rFonts w:ascii="Verdana" w:hAnsi="Verdana"/>
      <w:kern w:val="2"/>
      <w:sz w:val="18"/>
      <w:lang w:eastAsia="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711FE4"/>
    <w:rPr>
      <w:rFonts w:ascii="Verdana" w:hAnsi="Verdana"/>
      <w:kern w:val="2"/>
      <w:sz w:val="18"/>
      <w:lang w:eastAsia="en-US"/>
      <w14:ligatures w14:val="standardContextu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711FE4"/>
    <w:rPr>
      <w:rFonts w:ascii="Verdana" w:hAnsi="Verdana"/>
      <w:kern w:val="2"/>
      <w:sz w:val="18"/>
      <w:lang w:eastAsia="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711FE4"/>
    <w:rPr>
      <w:rFonts w:ascii="Verdana" w:hAnsi="Verdana"/>
      <w:kern w:val="2"/>
      <w:sz w:val="18"/>
      <w:lang w:eastAsia="en-US"/>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711FE4"/>
    <w:rPr>
      <w:rFonts w:ascii="Verdana" w:hAnsi="Verdana"/>
      <w:kern w:val="2"/>
      <w:sz w:val="18"/>
      <w:lang w:eastAsia="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2">
    <w:name w:val="Medium Shading 12"/>
    <w:basedOn w:val="TableNormal"/>
    <w:next w:val="MediumShading1"/>
    <w:uiPriority w:val="63"/>
    <w:rsid w:val="00711FE4"/>
    <w:rPr>
      <w:rFonts w:ascii="Verdana" w:hAnsi="Verdana"/>
      <w:kern w:val="2"/>
      <w:sz w:val="18"/>
      <w:lang w:eastAsia="en-US"/>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List11">
    <w:name w:val="Table List 11"/>
    <w:basedOn w:val="TableNormal"/>
    <w:next w:val="TableList1"/>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711FE4"/>
    <w:pPr>
      <w:spacing w:after="120" w:line="288" w:lineRule="auto"/>
    </w:pPr>
    <w:rPr>
      <w:rFonts w:ascii="Verdana" w:hAnsi="Verdana"/>
      <w:kern w:val="2"/>
      <w:sz w:val="18"/>
      <w:lang w:eastAsia="en-US"/>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711FE4"/>
    <w:pPr>
      <w:spacing w:after="120" w:line="288" w:lineRule="auto"/>
    </w:pPr>
    <w:rPr>
      <w:rFonts w:ascii="Verdana" w:hAnsi="Verdana"/>
      <w:kern w:val="2"/>
      <w:sz w:val="18"/>
      <w:lang w:eastAsia="en-US"/>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711FE4"/>
    <w:pPr>
      <w:spacing w:after="120" w:line="288" w:lineRule="auto"/>
    </w:pPr>
    <w:rPr>
      <w:rFonts w:ascii="Verdana" w:hAnsi="Verdana"/>
      <w:kern w:val="2"/>
      <w:sz w:val="18"/>
      <w:lang w:eastAsia="en-US"/>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711FE4"/>
    <w:pPr>
      <w:spacing w:after="120" w:line="288" w:lineRule="auto"/>
    </w:pPr>
    <w:rPr>
      <w:rFonts w:ascii="Verdana" w:hAnsi="Verdana"/>
      <w:kern w:val="2"/>
      <w:sz w:val="18"/>
      <w:lang w:eastAsia="en-US"/>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711FE4"/>
    <w:pPr>
      <w:spacing w:after="120" w:line="288" w:lineRule="auto"/>
    </w:pPr>
    <w:rPr>
      <w:rFonts w:ascii="Verdana" w:hAnsi="Verdana"/>
      <w:kern w:val="2"/>
      <w:sz w:val="18"/>
      <w:lang w:eastAsia="en-US"/>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711FE4"/>
    <w:pPr>
      <w:spacing w:after="120" w:line="288" w:lineRule="auto"/>
    </w:pPr>
    <w:rPr>
      <w:rFonts w:ascii="Verdana" w:hAnsi="Verdana"/>
      <w:kern w:val="2"/>
      <w:sz w:val="18"/>
      <w:lang w:eastAsia="en-US"/>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Shading1-Accent12">
    <w:name w:val="Medium Shading 1 - Accent 12"/>
    <w:basedOn w:val="TableNormal"/>
    <w:next w:val="MediumShading1-Accent1"/>
    <w:uiPriority w:val="63"/>
    <w:rsid w:val="00711FE4"/>
    <w:rPr>
      <w:rFonts w:ascii="Verdana" w:hAnsi="Verdana"/>
      <w:kern w:val="2"/>
      <w:sz w:val="18"/>
      <w:lang w:eastAsia="en-US"/>
      <w14:ligatures w14:val="standardContextu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711FE4"/>
    <w:rPr>
      <w:rFonts w:ascii="Verdana" w:hAnsi="Verdana"/>
      <w:kern w:val="2"/>
      <w:sz w:val="18"/>
      <w:lang w:eastAsia="en-US"/>
      <w14:ligatures w14:val="standardContextu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711FE4"/>
    <w:rPr>
      <w:rFonts w:ascii="Verdana" w:hAnsi="Verdana"/>
      <w:kern w:val="2"/>
      <w:sz w:val="18"/>
      <w:lang w:eastAsia="en-US"/>
      <w14:ligatures w14:val="standardContextu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711FE4"/>
    <w:rPr>
      <w:rFonts w:ascii="Verdana" w:hAnsi="Verdana"/>
      <w:kern w:val="2"/>
      <w:sz w:val="18"/>
      <w:lang w:eastAsia="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711FE4"/>
    <w:rPr>
      <w:rFonts w:ascii="Verdana" w:hAnsi="Verdana"/>
      <w:kern w:val="2"/>
      <w:sz w:val="18"/>
      <w:lang w:eastAsia="en-US"/>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711FE4"/>
    <w:rPr>
      <w:rFonts w:ascii="Verdana" w:hAnsi="Verdana"/>
      <w:kern w:val="2"/>
      <w:sz w:val="18"/>
      <w:lang w:eastAsia="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711FE4"/>
    <w:rPr>
      <w:rFonts w:ascii="Verdana" w:hAnsi="Verdana"/>
      <w:kern w:val="2"/>
      <w:sz w:val="18"/>
      <w:lang w:eastAsia="en-US"/>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next w:val="MediumList1"/>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711FE4"/>
    <w:rPr>
      <w:rFonts w:ascii="Verdana" w:hAnsi="Verdana"/>
      <w:color w:val="000000"/>
      <w:kern w:val="2"/>
      <w:sz w:val="18"/>
      <w:lang w:eastAsia="en-US"/>
      <w14:ligatures w14:val="standardContextual"/>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12">
    <w:name w:val="Medium Grid 12"/>
    <w:basedOn w:val="TableNormal"/>
    <w:next w:val="MediumGrid1"/>
    <w:uiPriority w:val="67"/>
    <w:rsid w:val="00711FE4"/>
    <w:rPr>
      <w:rFonts w:ascii="Verdana" w:hAnsi="Verdana"/>
      <w:kern w:val="2"/>
      <w:sz w:val="18"/>
      <w:lang w:eastAsia="en-US"/>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711FE4"/>
    <w:rPr>
      <w:rFonts w:ascii="Verdana" w:hAnsi="Verdana"/>
      <w:kern w:val="2"/>
      <w:sz w:val="18"/>
      <w:lang w:eastAsia="en-US"/>
      <w14:ligatures w14:val="standardContextu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711FE4"/>
    <w:rPr>
      <w:rFonts w:ascii="Verdana" w:hAnsi="Verdana"/>
      <w:kern w:val="2"/>
      <w:sz w:val="18"/>
      <w:lang w:eastAsia="en-US"/>
      <w14:ligatures w14:val="standardContextu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711FE4"/>
    <w:rPr>
      <w:rFonts w:ascii="Verdana" w:hAnsi="Verdana"/>
      <w:kern w:val="2"/>
      <w:sz w:val="18"/>
      <w:lang w:eastAsia="en-US"/>
      <w14:ligatures w14:val="standardContextu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711FE4"/>
    <w:rPr>
      <w:rFonts w:ascii="Verdana" w:hAnsi="Verdana"/>
      <w:kern w:val="2"/>
      <w:sz w:val="18"/>
      <w:lang w:eastAsia="en-US"/>
      <w14:ligatures w14:val="standardContextu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711FE4"/>
    <w:rPr>
      <w:rFonts w:ascii="Verdana" w:hAnsi="Verdana"/>
      <w:kern w:val="2"/>
      <w:sz w:val="18"/>
      <w:lang w:eastAsia="en-US"/>
      <w14:ligatures w14:val="standardContextu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711FE4"/>
    <w:rPr>
      <w:rFonts w:ascii="Verdana" w:hAnsi="Verdana"/>
      <w:kern w:val="2"/>
      <w:sz w:val="18"/>
      <w:lang w:eastAsia="en-US"/>
      <w14:ligatures w14:val="standardContextu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List22">
    <w:name w:val="Medium List 22"/>
    <w:basedOn w:val="TableNormal"/>
    <w:next w:val="MediumList2"/>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22">
    <w:name w:val="Medium Grid 22"/>
    <w:basedOn w:val="TableNormal"/>
    <w:next w:val="MediumGrid2"/>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711FE4"/>
    <w:rPr>
      <w:rFonts w:ascii="Verdana" w:eastAsia="Times New Roman" w:hAnsi="Verdana"/>
      <w:color w:val="000000"/>
      <w:kern w:val="2"/>
      <w:lang w:eastAsia="en-US"/>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711FE4"/>
    <w:rPr>
      <w:rFonts w:ascii="Verdana" w:hAnsi="Verdana"/>
      <w:kern w:val="2"/>
      <w:lang w:eastAsia="en-US"/>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2">
    <w:name w:val="Dark List2"/>
    <w:basedOn w:val="TableNormal"/>
    <w:next w:val="DarkList"/>
    <w:uiPriority w:val="70"/>
    <w:rsid w:val="00711FE4"/>
    <w:rPr>
      <w:rFonts w:ascii="Verdana" w:hAnsi="Verdana"/>
      <w:color w:val="FFFFFF"/>
      <w:kern w:val="2"/>
      <w:lang w:eastAsia="en-US"/>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711FE4"/>
    <w:rPr>
      <w:rFonts w:ascii="Verdana" w:hAnsi="Verdana"/>
      <w:color w:val="FFFFFF"/>
      <w:kern w:val="2"/>
      <w:lang w:eastAsia="en-US"/>
      <w14:ligatures w14:val="standardContextual"/>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711FE4"/>
    <w:rPr>
      <w:rFonts w:ascii="Verdana" w:hAnsi="Verdana"/>
      <w:color w:val="FFFFFF"/>
      <w:kern w:val="2"/>
      <w:lang w:eastAsia="en-US"/>
      <w14:ligatures w14:val="standardContextual"/>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711FE4"/>
    <w:rPr>
      <w:rFonts w:ascii="Verdana" w:hAnsi="Verdana"/>
      <w:color w:val="FFFFFF"/>
      <w:kern w:val="2"/>
      <w:lang w:eastAsia="en-US"/>
      <w14:ligatures w14:val="standardContextual"/>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711FE4"/>
    <w:rPr>
      <w:rFonts w:ascii="Verdana" w:hAnsi="Verdana"/>
      <w:color w:val="FFFFFF"/>
      <w:kern w:val="2"/>
      <w:lang w:eastAsia="en-US"/>
      <w14:ligatures w14:val="standardContextual"/>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711FE4"/>
    <w:rPr>
      <w:rFonts w:ascii="Verdana" w:hAnsi="Verdana"/>
      <w:color w:val="FFFFFF"/>
      <w:kern w:val="2"/>
      <w:lang w:eastAsia="en-US"/>
      <w14:ligatures w14:val="standardContextual"/>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711FE4"/>
    <w:rPr>
      <w:rFonts w:ascii="Verdana" w:hAnsi="Verdana"/>
      <w:color w:val="FFFFFF"/>
      <w:kern w:val="2"/>
      <w:lang w:eastAsia="en-US"/>
      <w14:ligatures w14:val="standardContextual"/>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2">
    <w:name w:val="Colorful Shading2"/>
    <w:basedOn w:val="TableNormal"/>
    <w:next w:val="ColorfulShading"/>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711FE4"/>
    <w:rPr>
      <w:rFonts w:ascii="Verdana" w:hAnsi="Verdana"/>
      <w:color w:val="000000"/>
      <w:kern w:val="2"/>
      <w:lang w:eastAsia="en-US"/>
      <w14:ligatures w14:val="standardContextual"/>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2">
    <w:name w:val="Colorful List2"/>
    <w:basedOn w:val="TableNormal"/>
    <w:next w:val="ColorfulList"/>
    <w:uiPriority w:val="72"/>
    <w:rsid w:val="00711FE4"/>
    <w:rPr>
      <w:rFonts w:ascii="Verdana" w:hAnsi="Verdana"/>
      <w:color w:val="000000"/>
      <w:kern w:val="2"/>
      <w:lang w:eastAsia="en-US"/>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711FE4"/>
    <w:rPr>
      <w:rFonts w:ascii="Verdana" w:hAnsi="Verdana"/>
      <w:color w:val="000000"/>
      <w:kern w:val="2"/>
      <w:lang w:eastAsia="en-US"/>
      <w14:ligatures w14:val="standardContextual"/>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711FE4"/>
    <w:rPr>
      <w:rFonts w:ascii="Verdana" w:hAnsi="Verdana"/>
      <w:color w:val="000000"/>
      <w:kern w:val="2"/>
      <w:lang w:eastAsia="en-US"/>
      <w14:ligatures w14:val="standardContextual"/>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711FE4"/>
    <w:rPr>
      <w:rFonts w:ascii="Verdana" w:hAnsi="Verdana"/>
      <w:color w:val="000000"/>
      <w:kern w:val="2"/>
      <w:lang w:eastAsia="en-US"/>
      <w14:ligatures w14:val="standardContextual"/>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711FE4"/>
    <w:rPr>
      <w:rFonts w:ascii="Verdana" w:hAnsi="Verdana"/>
      <w:color w:val="000000"/>
      <w:kern w:val="2"/>
      <w:lang w:eastAsia="en-US"/>
      <w14:ligatures w14:val="standardContextual"/>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711FE4"/>
    <w:rPr>
      <w:rFonts w:ascii="Verdana" w:hAnsi="Verdana"/>
      <w:color w:val="000000"/>
      <w:kern w:val="2"/>
      <w:lang w:eastAsia="en-US"/>
      <w14:ligatures w14:val="standardContextual"/>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711FE4"/>
    <w:rPr>
      <w:rFonts w:ascii="Verdana" w:hAnsi="Verdana"/>
      <w:color w:val="000000"/>
      <w:kern w:val="2"/>
      <w:lang w:eastAsia="en-US"/>
      <w14:ligatures w14:val="standardContextual"/>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2">
    <w:name w:val="Colorful Grid2"/>
    <w:basedOn w:val="TableNormal"/>
    <w:next w:val="ColorfulGrid"/>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711FE4"/>
    <w:rPr>
      <w:rFonts w:ascii="Verdana" w:hAnsi="Verdana"/>
      <w:color w:val="000000"/>
      <w:kern w:val="2"/>
      <w:lang w:eastAsia="en-US"/>
      <w14:ligatures w14:val="standardContextual"/>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3Deffects11">
    <w:name w:val="Table 3D effects 11"/>
    <w:basedOn w:val="TableNormal"/>
    <w:next w:val="Table3Deffects1"/>
    <w:uiPriority w:val="99"/>
    <w:semiHidden/>
    <w:unhideWhenUsed/>
    <w:rsid w:val="00711FE4"/>
    <w:pPr>
      <w:spacing w:after="120" w:line="288" w:lineRule="auto"/>
    </w:pPr>
    <w:rPr>
      <w:rFonts w:ascii="Verdana" w:hAnsi="Verdana"/>
      <w:kern w:val="2"/>
      <w:sz w:val="18"/>
      <w:lang w:eastAsia="en-US"/>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711FE4"/>
    <w:pPr>
      <w:spacing w:after="120" w:line="288" w:lineRule="auto"/>
    </w:pPr>
    <w:rPr>
      <w:rFonts w:ascii="Verdana" w:hAnsi="Verdana"/>
      <w:color w:val="000080"/>
      <w:kern w:val="2"/>
      <w:sz w:val="18"/>
      <w:lang w:eastAsia="en-US"/>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711FE4"/>
    <w:pPr>
      <w:spacing w:after="120" w:line="288" w:lineRule="auto"/>
    </w:pPr>
    <w:rPr>
      <w:rFonts w:ascii="Verdana" w:hAnsi="Verdana"/>
      <w:color w:val="FFFFFF"/>
      <w:kern w:val="2"/>
      <w:sz w:val="18"/>
      <w:lang w:eastAsia="en-US"/>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711FE4"/>
    <w:pPr>
      <w:spacing w:after="120" w:line="288" w:lineRule="auto"/>
    </w:pPr>
    <w:rPr>
      <w:rFonts w:ascii="Verdana" w:hAnsi="Verdana"/>
      <w:kern w:val="2"/>
      <w:sz w:val="18"/>
      <w:lang w:eastAsia="en-US"/>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711FE4"/>
    <w:pPr>
      <w:spacing w:after="120" w:line="288" w:lineRule="auto"/>
    </w:pPr>
    <w:rPr>
      <w:rFonts w:ascii="Verdana" w:hAnsi="Verdana"/>
      <w:b/>
      <w:bCs/>
      <w:kern w:val="2"/>
      <w:sz w:val="18"/>
      <w:lang w:eastAsia="en-US"/>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711FE4"/>
    <w:pPr>
      <w:spacing w:after="120" w:line="288" w:lineRule="auto"/>
    </w:pPr>
    <w:rPr>
      <w:rFonts w:ascii="Verdana" w:hAnsi="Verdana"/>
      <w:b/>
      <w:bCs/>
      <w:kern w:val="2"/>
      <w:sz w:val="18"/>
      <w:lang w:eastAsia="en-US"/>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711FE4"/>
    <w:pPr>
      <w:spacing w:after="120" w:line="288" w:lineRule="auto"/>
    </w:pPr>
    <w:rPr>
      <w:rFonts w:ascii="Verdana" w:hAnsi="Verdana"/>
      <w:b/>
      <w:bCs/>
      <w:kern w:val="2"/>
      <w:sz w:val="18"/>
      <w:lang w:eastAsia="en-US"/>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711FE4"/>
    <w:pPr>
      <w:spacing w:after="120" w:line="288" w:lineRule="auto"/>
    </w:pPr>
    <w:rPr>
      <w:rFonts w:ascii="Verdana" w:hAnsi="Verdana"/>
      <w:kern w:val="2"/>
      <w:sz w:val="18"/>
      <w:lang w:eastAsia="en-US"/>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711FE4"/>
    <w:pPr>
      <w:spacing w:after="120" w:line="288" w:lineRule="auto"/>
    </w:pPr>
    <w:rPr>
      <w:rFonts w:ascii="Verdana" w:hAnsi="Verdana"/>
      <w:kern w:val="2"/>
      <w:sz w:val="18"/>
      <w:lang w:eastAsia="en-US"/>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711FE4"/>
    <w:pPr>
      <w:spacing w:after="120" w:line="288" w:lineRule="auto"/>
    </w:pPr>
    <w:rPr>
      <w:rFonts w:ascii="Verdana" w:hAnsi="Verdana"/>
      <w:kern w:val="2"/>
      <w:sz w:val="18"/>
      <w:lang w:eastAsia="en-US"/>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711FE4"/>
    <w:pPr>
      <w:spacing w:after="120" w:line="288" w:lineRule="auto"/>
    </w:pPr>
    <w:rPr>
      <w:rFonts w:ascii="Verdana" w:hAnsi="Verdana"/>
      <w:kern w:val="2"/>
      <w:sz w:val="18"/>
      <w:lang w:eastAsia="en-US"/>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711FE4"/>
    <w:pPr>
      <w:spacing w:after="120" w:line="288" w:lineRule="auto"/>
    </w:pPr>
    <w:rPr>
      <w:rFonts w:ascii="Verdana" w:hAnsi="Verdana"/>
      <w:kern w:val="2"/>
      <w:sz w:val="18"/>
      <w:lang w:eastAsia="en-US"/>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711FE4"/>
    <w:pPr>
      <w:spacing w:after="120" w:line="288" w:lineRule="auto"/>
    </w:pPr>
    <w:rPr>
      <w:rFonts w:ascii="Verdana" w:hAnsi="Verdana"/>
      <w:kern w:val="2"/>
      <w:sz w:val="18"/>
      <w:lang w:eastAsia="en-US"/>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711FE4"/>
    <w:pPr>
      <w:spacing w:after="120" w:line="288" w:lineRule="auto"/>
    </w:pPr>
    <w:rPr>
      <w:rFonts w:ascii="Verdana" w:hAnsi="Verdana"/>
      <w:b/>
      <w:bCs/>
      <w:kern w:val="2"/>
      <w:sz w:val="18"/>
      <w:lang w:eastAsia="en-US"/>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711FE4"/>
    <w:pPr>
      <w:spacing w:after="120" w:line="288" w:lineRule="auto"/>
    </w:pPr>
    <w:rPr>
      <w:rFonts w:ascii="Verdana" w:hAnsi="Verdana"/>
      <w:kern w:val="2"/>
      <w:sz w:val="18"/>
      <w:lang w:eastAsia="en-US"/>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ReportNumber25">
    <w:name w:val="Report Number25"/>
    <w:basedOn w:val="NoList"/>
    <w:rsid w:val="00711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4757">
      <w:bodyDiv w:val="1"/>
      <w:marLeft w:val="0"/>
      <w:marRight w:val="0"/>
      <w:marTop w:val="0"/>
      <w:marBottom w:val="0"/>
      <w:divBdr>
        <w:top w:val="none" w:sz="0" w:space="0" w:color="auto"/>
        <w:left w:val="none" w:sz="0" w:space="0" w:color="auto"/>
        <w:bottom w:val="none" w:sz="0" w:space="0" w:color="auto"/>
        <w:right w:val="none" w:sz="0" w:space="0" w:color="auto"/>
      </w:divBdr>
    </w:div>
    <w:div w:id="67464906">
      <w:bodyDiv w:val="1"/>
      <w:marLeft w:val="0"/>
      <w:marRight w:val="0"/>
      <w:marTop w:val="0"/>
      <w:marBottom w:val="0"/>
      <w:divBdr>
        <w:top w:val="none" w:sz="0" w:space="0" w:color="auto"/>
        <w:left w:val="none" w:sz="0" w:space="0" w:color="auto"/>
        <w:bottom w:val="none" w:sz="0" w:space="0" w:color="auto"/>
        <w:right w:val="none" w:sz="0" w:space="0" w:color="auto"/>
      </w:divBdr>
    </w:div>
    <w:div w:id="90054310">
      <w:bodyDiv w:val="1"/>
      <w:marLeft w:val="0"/>
      <w:marRight w:val="0"/>
      <w:marTop w:val="0"/>
      <w:marBottom w:val="0"/>
      <w:divBdr>
        <w:top w:val="none" w:sz="0" w:space="0" w:color="auto"/>
        <w:left w:val="none" w:sz="0" w:space="0" w:color="auto"/>
        <w:bottom w:val="none" w:sz="0" w:space="0" w:color="auto"/>
        <w:right w:val="none" w:sz="0" w:space="0" w:color="auto"/>
      </w:divBdr>
    </w:div>
    <w:div w:id="147214241">
      <w:bodyDiv w:val="1"/>
      <w:marLeft w:val="0"/>
      <w:marRight w:val="0"/>
      <w:marTop w:val="0"/>
      <w:marBottom w:val="0"/>
      <w:divBdr>
        <w:top w:val="none" w:sz="0" w:space="0" w:color="auto"/>
        <w:left w:val="none" w:sz="0" w:space="0" w:color="auto"/>
        <w:bottom w:val="none" w:sz="0" w:space="0" w:color="auto"/>
        <w:right w:val="none" w:sz="0" w:space="0" w:color="auto"/>
      </w:divBdr>
    </w:div>
    <w:div w:id="161893217">
      <w:bodyDiv w:val="1"/>
      <w:marLeft w:val="0"/>
      <w:marRight w:val="0"/>
      <w:marTop w:val="0"/>
      <w:marBottom w:val="0"/>
      <w:divBdr>
        <w:top w:val="none" w:sz="0" w:space="0" w:color="auto"/>
        <w:left w:val="none" w:sz="0" w:space="0" w:color="auto"/>
        <w:bottom w:val="none" w:sz="0" w:space="0" w:color="auto"/>
        <w:right w:val="none" w:sz="0" w:space="0" w:color="auto"/>
      </w:divBdr>
    </w:div>
    <w:div w:id="166985901">
      <w:bodyDiv w:val="1"/>
      <w:marLeft w:val="0"/>
      <w:marRight w:val="0"/>
      <w:marTop w:val="0"/>
      <w:marBottom w:val="0"/>
      <w:divBdr>
        <w:top w:val="none" w:sz="0" w:space="0" w:color="auto"/>
        <w:left w:val="none" w:sz="0" w:space="0" w:color="auto"/>
        <w:bottom w:val="none" w:sz="0" w:space="0" w:color="auto"/>
        <w:right w:val="none" w:sz="0" w:space="0" w:color="auto"/>
      </w:divBdr>
    </w:div>
    <w:div w:id="187915810">
      <w:bodyDiv w:val="1"/>
      <w:marLeft w:val="0"/>
      <w:marRight w:val="0"/>
      <w:marTop w:val="0"/>
      <w:marBottom w:val="0"/>
      <w:divBdr>
        <w:top w:val="none" w:sz="0" w:space="0" w:color="auto"/>
        <w:left w:val="none" w:sz="0" w:space="0" w:color="auto"/>
        <w:bottom w:val="none" w:sz="0" w:space="0" w:color="auto"/>
        <w:right w:val="none" w:sz="0" w:space="0" w:color="auto"/>
      </w:divBdr>
    </w:div>
    <w:div w:id="206995077">
      <w:bodyDiv w:val="1"/>
      <w:marLeft w:val="0"/>
      <w:marRight w:val="0"/>
      <w:marTop w:val="0"/>
      <w:marBottom w:val="0"/>
      <w:divBdr>
        <w:top w:val="none" w:sz="0" w:space="0" w:color="auto"/>
        <w:left w:val="none" w:sz="0" w:space="0" w:color="auto"/>
        <w:bottom w:val="none" w:sz="0" w:space="0" w:color="auto"/>
        <w:right w:val="none" w:sz="0" w:space="0" w:color="auto"/>
      </w:divBdr>
    </w:div>
    <w:div w:id="242958585">
      <w:bodyDiv w:val="1"/>
      <w:marLeft w:val="0"/>
      <w:marRight w:val="0"/>
      <w:marTop w:val="0"/>
      <w:marBottom w:val="0"/>
      <w:divBdr>
        <w:top w:val="none" w:sz="0" w:space="0" w:color="auto"/>
        <w:left w:val="none" w:sz="0" w:space="0" w:color="auto"/>
        <w:bottom w:val="none" w:sz="0" w:space="0" w:color="auto"/>
        <w:right w:val="none" w:sz="0" w:space="0" w:color="auto"/>
      </w:divBdr>
    </w:div>
    <w:div w:id="348066984">
      <w:bodyDiv w:val="1"/>
      <w:marLeft w:val="0"/>
      <w:marRight w:val="0"/>
      <w:marTop w:val="0"/>
      <w:marBottom w:val="0"/>
      <w:divBdr>
        <w:top w:val="none" w:sz="0" w:space="0" w:color="auto"/>
        <w:left w:val="none" w:sz="0" w:space="0" w:color="auto"/>
        <w:bottom w:val="none" w:sz="0" w:space="0" w:color="auto"/>
        <w:right w:val="none" w:sz="0" w:space="0" w:color="auto"/>
      </w:divBdr>
    </w:div>
    <w:div w:id="393237748">
      <w:bodyDiv w:val="1"/>
      <w:marLeft w:val="0"/>
      <w:marRight w:val="0"/>
      <w:marTop w:val="0"/>
      <w:marBottom w:val="0"/>
      <w:divBdr>
        <w:top w:val="none" w:sz="0" w:space="0" w:color="auto"/>
        <w:left w:val="none" w:sz="0" w:space="0" w:color="auto"/>
        <w:bottom w:val="none" w:sz="0" w:space="0" w:color="auto"/>
        <w:right w:val="none" w:sz="0" w:space="0" w:color="auto"/>
      </w:divBdr>
      <w:divsChild>
        <w:div w:id="1812404973">
          <w:marLeft w:val="0"/>
          <w:marRight w:val="0"/>
          <w:marTop w:val="0"/>
          <w:marBottom w:val="0"/>
          <w:divBdr>
            <w:top w:val="none" w:sz="0" w:space="0" w:color="auto"/>
            <w:left w:val="none" w:sz="0" w:space="0" w:color="auto"/>
            <w:bottom w:val="none" w:sz="0" w:space="0" w:color="auto"/>
            <w:right w:val="none" w:sz="0" w:space="0" w:color="auto"/>
          </w:divBdr>
        </w:div>
        <w:div w:id="401411013">
          <w:marLeft w:val="0"/>
          <w:marRight w:val="0"/>
          <w:marTop w:val="0"/>
          <w:marBottom w:val="0"/>
          <w:divBdr>
            <w:top w:val="none" w:sz="0" w:space="0" w:color="auto"/>
            <w:left w:val="none" w:sz="0" w:space="0" w:color="auto"/>
            <w:bottom w:val="none" w:sz="0" w:space="0" w:color="auto"/>
            <w:right w:val="none" w:sz="0" w:space="0" w:color="auto"/>
          </w:divBdr>
        </w:div>
        <w:div w:id="27340904">
          <w:marLeft w:val="0"/>
          <w:marRight w:val="0"/>
          <w:marTop w:val="0"/>
          <w:marBottom w:val="0"/>
          <w:divBdr>
            <w:top w:val="none" w:sz="0" w:space="0" w:color="auto"/>
            <w:left w:val="none" w:sz="0" w:space="0" w:color="auto"/>
            <w:bottom w:val="none" w:sz="0" w:space="0" w:color="auto"/>
            <w:right w:val="none" w:sz="0" w:space="0" w:color="auto"/>
          </w:divBdr>
        </w:div>
      </w:divsChild>
    </w:div>
    <w:div w:id="395395944">
      <w:bodyDiv w:val="1"/>
      <w:marLeft w:val="0"/>
      <w:marRight w:val="0"/>
      <w:marTop w:val="0"/>
      <w:marBottom w:val="0"/>
      <w:divBdr>
        <w:top w:val="none" w:sz="0" w:space="0" w:color="auto"/>
        <w:left w:val="none" w:sz="0" w:space="0" w:color="auto"/>
        <w:bottom w:val="none" w:sz="0" w:space="0" w:color="auto"/>
        <w:right w:val="none" w:sz="0" w:space="0" w:color="auto"/>
      </w:divBdr>
    </w:div>
    <w:div w:id="405224312">
      <w:bodyDiv w:val="1"/>
      <w:marLeft w:val="0"/>
      <w:marRight w:val="0"/>
      <w:marTop w:val="0"/>
      <w:marBottom w:val="0"/>
      <w:divBdr>
        <w:top w:val="none" w:sz="0" w:space="0" w:color="auto"/>
        <w:left w:val="none" w:sz="0" w:space="0" w:color="auto"/>
        <w:bottom w:val="none" w:sz="0" w:space="0" w:color="auto"/>
        <w:right w:val="none" w:sz="0" w:space="0" w:color="auto"/>
      </w:divBdr>
    </w:div>
    <w:div w:id="413166907">
      <w:bodyDiv w:val="1"/>
      <w:marLeft w:val="0"/>
      <w:marRight w:val="0"/>
      <w:marTop w:val="0"/>
      <w:marBottom w:val="0"/>
      <w:divBdr>
        <w:top w:val="none" w:sz="0" w:space="0" w:color="auto"/>
        <w:left w:val="none" w:sz="0" w:space="0" w:color="auto"/>
        <w:bottom w:val="none" w:sz="0" w:space="0" w:color="auto"/>
        <w:right w:val="none" w:sz="0" w:space="0" w:color="auto"/>
      </w:divBdr>
    </w:div>
    <w:div w:id="444153850">
      <w:bodyDiv w:val="1"/>
      <w:marLeft w:val="0"/>
      <w:marRight w:val="0"/>
      <w:marTop w:val="0"/>
      <w:marBottom w:val="0"/>
      <w:divBdr>
        <w:top w:val="none" w:sz="0" w:space="0" w:color="auto"/>
        <w:left w:val="none" w:sz="0" w:space="0" w:color="auto"/>
        <w:bottom w:val="none" w:sz="0" w:space="0" w:color="auto"/>
        <w:right w:val="none" w:sz="0" w:space="0" w:color="auto"/>
      </w:divBdr>
    </w:div>
    <w:div w:id="481969902">
      <w:bodyDiv w:val="1"/>
      <w:marLeft w:val="0"/>
      <w:marRight w:val="0"/>
      <w:marTop w:val="0"/>
      <w:marBottom w:val="0"/>
      <w:divBdr>
        <w:top w:val="none" w:sz="0" w:space="0" w:color="auto"/>
        <w:left w:val="none" w:sz="0" w:space="0" w:color="auto"/>
        <w:bottom w:val="none" w:sz="0" w:space="0" w:color="auto"/>
        <w:right w:val="none" w:sz="0" w:space="0" w:color="auto"/>
      </w:divBdr>
    </w:div>
    <w:div w:id="497382212">
      <w:bodyDiv w:val="1"/>
      <w:marLeft w:val="0"/>
      <w:marRight w:val="0"/>
      <w:marTop w:val="0"/>
      <w:marBottom w:val="0"/>
      <w:divBdr>
        <w:top w:val="none" w:sz="0" w:space="0" w:color="auto"/>
        <w:left w:val="none" w:sz="0" w:space="0" w:color="auto"/>
        <w:bottom w:val="none" w:sz="0" w:space="0" w:color="auto"/>
        <w:right w:val="none" w:sz="0" w:space="0" w:color="auto"/>
      </w:divBdr>
    </w:div>
    <w:div w:id="527761638">
      <w:bodyDiv w:val="1"/>
      <w:marLeft w:val="0"/>
      <w:marRight w:val="0"/>
      <w:marTop w:val="0"/>
      <w:marBottom w:val="0"/>
      <w:divBdr>
        <w:top w:val="none" w:sz="0" w:space="0" w:color="auto"/>
        <w:left w:val="none" w:sz="0" w:space="0" w:color="auto"/>
        <w:bottom w:val="none" w:sz="0" w:space="0" w:color="auto"/>
        <w:right w:val="none" w:sz="0" w:space="0" w:color="auto"/>
      </w:divBdr>
    </w:div>
    <w:div w:id="528614936">
      <w:bodyDiv w:val="1"/>
      <w:marLeft w:val="0"/>
      <w:marRight w:val="0"/>
      <w:marTop w:val="0"/>
      <w:marBottom w:val="0"/>
      <w:divBdr>
        <w:top w:val="none" w:sz="0" w:space="0" w:color="auto"/>
        <w:left w:val="none" w:sz="0" w:space="0" w:color="auto"/>
        <w:bottom w:val="none" w:sz="0" w:space="0" w:color="auto"/>
        <w:right w:val="none" w:sz="0" w:space="0" w:color="auto"/>
      </w:divBdr>
    </w:div>
    <w:div w:id="528956787">
      <w:bodyDiv w:val="1"/>
      <w:marLeft w:val="0"/>
      <w:marRight w:val="0"/>
      <w:marTop w:val="0"/>
      <w:marBottom w:val="0"/>
      <w:divBdr>
        <w:top w:val="none" w:sz="0" w:space="0" w:color="auto"/>
        <w:left w:val="none" w:sz="0" w:space="0" w:color="auto"/>
        <w:bottom w:val="none" w:sz="0" w:space="0" w:color="auto"/>
        <w:right w:val="none" w:sz="0" w:space="0" w:color="auto"/>
      </w:divBdr>
    </w:div>
    <w:div w:id="531384451">
      <w:bodyDiv w:val="1"/>
      <w:marLeft w:val="0"/>
      <w:marRight w:val="0"/>
      <w:marTop w:val="0"/>
      <w:marBottom w:val="0"/>
      <w:divBdr>
        <w:top w:val="none" w:sz="0" w:space="0" w:color="auto"/>
        <w:left w:val="none" w:sz="0" w:space="0" w:color="auto"/>
        <w:bottom w:val="none" w:sz="0" w:space="0" w:color="auto"/>
        <w:right w:val="none" w:sz="0" w:space="0" w:color="auto"/>
      </w:divBdr>
    </w:div>
    <w:div w:id="535193946">
      <w:bodyDiv w:val="1"/>
      <w:marLeft w:val="0"/>
      <w:marRight w:val="0"/>
      <w:marTop w:val="0"/>
      <w:marBottom w:val="0"/>
      <w:divBdr>
        <w:top w:val="none" w:sz="0" w:space="0" w:color="auto"/>
        <w:left w:val="none" w:sz="0" w:space="0" w:color="auto"/>
        <w:bottom w:val="none" w:sz="0" w:space="0" w:color="auto"/>
        <w:right w:val="none" w:sz="0" w:space="0" w:color="auto"/>
      </w:divBdr>
    </w:div>
    <w:div w:id="552472589">
      <w:bodyDiv w:val="1"/>
      <w:marLeft w:val="0"/>
      <w:marRight w:val="0"/>
      <w:marTop w:val="0"/>
      <w:marBottom w:val="0"/>
      <w:divBdr>
        <w:top w:val="none" w:sz="0" w:space="0" w:color="auto"/>
        <w:left w:val="none" w:sz="0" w:space="0" w:color="auto"/>
        <w:bottom w:val="none" w:sz="0" w:space="0" w:color="auto"/>
        <w:right w:val="none" w:sz="0" w:space="0" w:color="auto"/>
      </w:divBdr>
    </w:div>
    <w:div w:id="558246208">
      <w:bodyDiv w:val="1"/>
      <w:marLeft w:val="0"/>
      <w:marRight w:val="0"/>
      <w:marTop w:val="0"/>
      <w:marBottom w:val="0"/>
      <w:divBdr>
        <w:top w:val="none" w:sz="0" w:space="0" w:color="auto"/>
        <w:left w:val="none" w:sz="0" w:space="0" w:color="auto"/>
        <w:bottom w:val="none" w:sz="0" w:space="0" w:color="auto"/>
        <w:right w:val="none" w:sz="0" w:space="0" w:color="auto"/>
      </w:divBdr>
    </w:div>
    <w:div w:id="582299503">
      <w:bodyDiv w:val="1"/>
      <w:marLeft w:val="0"/>
      <w:marRight w:val="0"/>
      <w:marTop w:val="0"/>
      <w:marBottom w:val="0"/>
      <w:divBdr>
        <w:top w:val="none" w:sz="0" w:space="0" w:color="auto"/>
        <w:left w:val="none" w:sz="0" w:space="0" w:color="auto"/>
        <w:bottom w:val="none" w:sz="0" w:space="0" w:color="auto"/>
        <w:right w:val="none" w:sz="0" w:space="0" w:color="auto"/>
      </w:divBdr>
      <w:divsChild>
        <w:div w:id="1061058027">
          <w:marLeft w:val="0"/>
          <w:marRight w:val="0"/>
          <w:marTop w:val="0"/>
          <w:marBottom w:val="0"/>
          <w:divBdr>
            <w:top w:val="none" w:sz="0" w:space="0" w:color="auto"/>
            <w:left w:val="none" w:sz="0" w:space="0" w:color="auto"/>
            <w:bottom w:val="none" w:sz="0" w:space="0" w:color="auto"/>
            <w:right w:val="none" w:sz="0" w:space="0" w:color="auto"/>
          </w:divBdr>
        </w:div>
        <w:div w:id="1613702451">
          <w:marLeft w:val="0"/>
          <w:marRight w:val="0"/>
          <w:marTop w:val="0"/>
          <w:marBottom w:val="0"/>
          <w:divBdr>
            <w:top w:val="none" w:sz="0" w:space="0" w:color="auto"/>
            <w:left w:val="none" w:sz="0" w:space="0" w:color="auto"/>
            <w:bottom w:val="none" w:sz="0" w:space="0" w:color="auto"/>
            <w:right w:val="none" w:sz="0" w:space="0" w:color="auto"/>
          </w:divBdr>
        </w:div>
      </w:divsChild>
    </w:div>
    <w:div w:id="632560066">
      <w:bodyDiv w:val="1"/>
      <w:marLeft w:val="0"/>
      <w:marRight w:val="0"/>
      <w:marTop w:val="0"/>
      <w:marBottom w:val="0"/>
      <w:divBdr>
        <w:top w:val="none" w:sz="0" w:space="0" w:color="auto"/>
        <w:left w:val="none" w:sz="0" w:space="0" w:color="auto"/>
        <w:bottom w:val="none" w:sz="0" w:space="0" w:color="auto"/>
        <w:right w:val="none" w:sz="0" w:space="0" w:color="auto"/>
      </w:divBdr>
    </w:div>
    <w:div w:id="650251960">
      <w:bodyDiv w:val="1"/>
      <w:marLeft w:val="0"/>
      <w:marRight w:val="0"/>
      <w:marTop w:val="0"/>
      <w:marBottom w:val="0"/>
      <w:divBdr>
        <w:top w:val="none" w:sz="0" w:space="0" w:color="auto"/>
        <w:left w:val="none" w:sz="0" w:space="0" w:color="auto"/>
        <w:bottom w:val="none" w:sz="0" w:space="0" w:color="auto"/>
        <w:right w:val="none" w:sz="0" w:space="0" w:color="auto"/>
      </w:divBdr>
      <w:divsChild>
        <w:div w:id="1145853692">
          <w:marLeft w:val="0"/>
          <w:marRight w:val="0"/>
          <w:marTop w:val="0"/>
          <w:marBottom w:val="0"/>
          <w:divBdr>
            <w:top w:val="none" w:sz="0" w:space="0" w:color="auto"/>
            <w:left w:val="none" w:sz="0" w:space="0" w:color="auto"/>
            <w:bottom w:val="none" w:sz="0" w:space="0" w:color="auto"/>
            <w:right w:val="none" w:sz="0" w:space="0" w:color="auto"/>
          </w:divBdr>
          <w:divsChild>
            <w:div w:id="1198352940">
              <w:marLeft w:val="0"/>
              <w:marRight w:val="0"/>
              <w:marTop w:val="0"/>
              <w:marBottom w:val="0"/>
              <w:divBdr>
                <w:top w:val="none" w:sz="0" w:space="0" w:color="auto"/>
                <w:left w:val="none" w:sz="0" w:space="0" w:color="auto"/>
                <w:bottom w:val="none" w:sz="0" w:space="0" w:color="auto"/>
                <w:right w:val="none" w:sz="0" w:space="0" w:color="auto"/>
              </w:divBdr>
              <w:divsChild>
                <w:div w:id="2063089370">
                  <w:marLeft w:val="0"/>
                  <w:marRight w:val="0"/>
                  <w:marTop w:val="0"/>
                  <w:marBottom w:val="0"/>
                  <w:divBdr>
                    <w:top w:val="none" w:sz="0" w:space="0" w:color="auto"/>
                    <w:left w:val="none" w:sz="0" w:space="0" w:color="auto"/>
                    <w:bottom w:val="none" w:sz="0" w:space="0" w:color="auto"/>
                    <w:right w:val="none" w:sz="0" w:space="0" w:color="auto"/>
                  </w:divBdr>
                  <w:divsChild>
                    <w:div w:id="1623075893">
                      <w:marLeft w:val="0"/>
                      <w:marRight w:val="0"/>
                      <w:marTop w:val="0"/>
                      <w:marBottom w:val="0"/>
                      <w:divBdr>
                        <w:top w:val="none" w:sz="0" w:space="0" w:color="auto"/>
                        <w:left w:val="none" w:sz="0" w:space="0" w:color="auto"/>
                        <w:bottom w:val="none" w:sz="0" w:space="0" w:color="auto"/>
                        <w:right w:val="none" w:sz="0" w:space="0" w:color="auto"/>
                      </w:divBdr>
                      <w:divsChild>
                        <w:div w:id="19655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051508">
      <w:bodyDiv w:val="1"/>
      <w:marLeft w:val="0"/>
      <w:marRight w:val="0"/>
      <w:marTop w:val="0"/>
      <w:marBottom w:val="0"/>
      <w:divBdr>
        <w:top w:val="none" w:sz="0" w:space="0" w:color="auto"/>
        <w:left w:val="none" w:sz="0" w:space="0" w:color="auto"/>
        <w:bottom w:val="none" w:sz="0" w:space="0" w:color="auto"/>
        <w:right w:val="none" w:sz="0" w:space="0" w:color="auto"/>
      </w:divBdr>
    </w:div>
    <w:div w:id="706757962">
      <w:bodyDiv w:val="1"/>
      <w:marLeft w:val="0"/>
      <w:marRight w:val="0"/>
      <w:marTop w:val="0"/>
      <w:marBottom w:val="0"/>
      <w:divBdr>
        <w:top w:val="none" w:sz="0" w:space="0" w:color="auto"/>
        <w:left w:val="none" w:sz="0" w:space="0" w:color="auto"/>
        <w:bottom w:val="none" w:sz="0" w:space="0" w:color="auto"/>
        <w:right w:val="none" w:sz="0" w:space="0" w:color="auto"/>
      </w:divBdr>
    </w:div>
    <w:div w:id="734012443">
      <w:bodyDiv w:val="1"/>
      <w:marLeft w:val="0"/>
      <w:marRight w:val="0"/>
      <w:marTop w:val="0"/>
      <w:marBottom w:val="0"/>
      <w:divBdr>
        <w:top w:val="none" w:sz="0" w:space="0" w:color="auto"/>
        <w:left w:val="none" w:sz="0" w:space="0" w:color="auto"/>
        <w:bottom w:val="none" w:sz="0" w:space="0" w:color="auto"/>
        <w:right w:val="none" w:sz="0" w:space="0" w:color="auto"/>
      </w:divBdr>
    </w:div>
    <w:div w:id="760875292">
      <w:bodyDiv w:val="1"/>
      <w:marLeft w:val="0"/>
      <w:marRight w:val="0"/>
      <w:marTop w:val="0"/>
      <w:marBottom w:val="0"/>
      <w:divBdr>
        <w:top w:val="none" w:sz="0" w:space="0" w:color="auto"/>
        <w:left w:val="none" w:sz="0" w:space="0" w:color="auto"/>
        <w:bottom w:val="none" w:sz="0" w:space="0" w:color="auto"/>
        <w:right w:val="none" w:sz="0" w:space="0" w:color="auto"/>
      </w:divBdr>
    </w:div>
    <w:div w:id="766190377">
      <w:bodyDiv w:val="1"/>
      <w:marLeft w:val="0"/>
      <w:marRight w:val="0"/>
      <w:marTop w:val="0"/>
      <w:marBottom w:val="0"/>
      <w:divBdr>
        <w:top w:val="none" w:sz="0" w:space="0" w:color="auto"/>
        <w:left w:val="none" w:sz="0" w:space="0" w:color="auto"/>
        <w:bottom w:val="none" w:sz="0" w:space="0" w:color="auto"/>
        <w:right w:val="none" w:sz="0" w:space="0" w:color="auto"/>
      </w:divBdr>
    </w:div>
    <w:div w:id="767579771">
      <w:bodyDiv w:val="1"/>
      <w:marLeft w:val="0"/>
      <w:marRight w:val="0"/>
      <w:marTop w:val="0"/>
      <w:marBottom w:val="0"/>
      <w:divBdr>
        <w:top w:val="none" w:sz="0" w:space="0" w:color="auto"/>
        <w:left w:val="none" w:sz="0" w:space="0" w:color="auto"/>
        <w:bottom w:val="none" w:sz="0" w:space="0" w:color="auto"/>
        <w:right w:val="none" w:sz="0" w:space="0" w:color="auto"/>
      </w:divBdr>
    </w:div>
    <w:div w:id="799763646">
      <w:bodyDiv w:val="1"/>
      <w:marLeft w:val="0"/>
      <w:marRight w:val="0"/>
      <w:marTop w:val="0"/>
      <w:marBottom w:val="0"/>
      <w:divBdr>
        <w:top w:val="none" w:sz="0" w:space="0" w:color="auto"/>
        <w:left w:val="none" w:sz="0" w:space="0" w:color="auto"/>
        <w:bottom w:val="none" w:sz="0" w:space="0" w:color="auto"/>
        <w:right w:val="none" w:sz="0" w:space="0" w:color="auto"/>
      </w:divBdr>
    </w:div>
    <w:div w:id="824055921">
      <w:bodyDiv w:val="1"/>
      <w:marLeft w:val="0"/>
      <w:marRight w:val="0"/>
      <w:marTop w:val="0"/>
      <w:marBottom w:val="0"/>
      <w:divBdr>
        <w:top w:val="none" w:sz="0" w:space="0" w:color="auto"/>
        <w:left w:val="none" w:sz="0" w:space="0" w:color="auto"/>
        <w:bottom w:val="none" w:sz="0" w:space="0" w:color="auto"/>
        <w:right w:val="none" w:sz="0" w:space="0" w:color="auto"/>
      </w:divBdr>
    </w:div>
    <w:div w:id="826628275">
      <w:bodyDiv w:val="1"/>
      <w:marLeft w:val="0"/>
      <w:marRight w:val="0"/>
      <w:marTop w:val="0"/>
      <w:marBottom w:val="0"/>
      <w:divBdr>
        <w:top w:val="none" w:sz="0" w:space="0" w:color="auto"/>
        <w:left w:val="none" w:sz="0" w:space="0" w:color="auto"/>
        <w:bottom w:val="none" w:sz="0" w:space="0" w:color="auto"/>
        <w:right w:val="none" w:sz="0" w:space="0" w:color="auto"/>
      </w:divBdr>
    </w:div>
    <w:div w:id="836922467">
      <w:bodyDiv w:val="1"/>
      <w:marLeft w:val="0"/>
      <w:marRight w:val="0"/>
      <w:marTop w:val="0"/>
      <w:marBottom w:val="0"/>
      <w:divBdr>
        <w:top w:val="none" w:sz="0" w:space="0" w:color="auto"/>
        <w:left w:val="none" w:sz="0" w:space="0" w:color="auto"/>
        <w:bottom w:val="none" w:sz="0" w:space="0" w:color="auto"/>
        <w:right w:val="none" w:sz="0" w:space="0" w:color="auto"/>
      </w:divBdr>
    </w:div>
    <w:div w:id="882331404">
      <w:bodyDiv w:val="1"/>
      <w:marLeft w:val="0"/>
      <w:marRight w:val="0"/>
      <w:marTop w:val="0"/>
      <w:marBottom w:val="0"/>
      <w:divBdr>
        <w:top w:val="none" w:sz="0" w:space="0" w:color="auto"/>
        <w:left w:val="none" w:sz="0" w:space="0" w:color="auto"/>
        <w:bottom w:val="none" w:sz="0" w:space="0" w:color="auto"/>
        <w:right w:val="none" w:sz="0" w:space="0" w:color="auto"/>
      </w:divBdr>
    </w:div>
    <w:div w:id="892814314">
      <w:bodyDiv w:val="1"/>
      <w:marLeft w:val="0"/>
      <w:marRight w:val="0"/>
      <w:marTop w:val="0"/>
      <w:marBottom w:val="0"/>
      <w:divBdr>
        <w:top w:val="none" w:sz="0" w:space="0" w:color="auto"/>
        <w:left w:val="none" w:sz="0" w:space="0" w:color="auto"/>
        <w:bottom w:val="none" w:sz="0" w:space="0" w:color="auto"/>
        <w:right w:val="none" w:sz="0" w:space="0" w:color="auto"/>
      </w:divBdr>
    </w:div>
    <w:div w:id="906303127">
      <w:bodyDiv w:val="1"/>
      <w:marLeft w:val="0"/>
      <w:marRight w:val="0"/>
      <w:marTop w:val="0"/>
      <w:marBottom w:val="0"/>
      <w:divBdr>
        <w:top w:val="none" w:sz="0" w:space="0" w:color="auto"/>
        <w:left w:val="none" w:sz="0" w:space="0" w:color="auto"/>
        <w:bottom w:val="none" w:sz="0" w:space="0" w:color="auto"/>
        <w:right w:val="none" w:sz="0" w:space="0" w:color="auto"/>
      </w:divBdr>
    </w:div>
    <w:div w:id="907500708">
      <w:bodyDiv w:val="1"/>
      <w:marLeft w:val="0"/>
      <w:marRight w:val="0"/>
      <w:marTop w:val="0"/>
      <w:marBottom w:val="0"/>
      <w:divBdr>
        <w:top w:val="none" w:sz="0" w:space="0" w:color="auto"/>
        <w:left w:val="none" w:sz="0" w:space="0" w:color="auto"/>
        <w:bottom w:val="none" w:sz="0" w:space="0" w:color="auto"/>
        <w:right w:val="none" w:sz="0" w:space="0" w:color="auto"/>
      </w:divBdr>
      <w:divsChild>
        <w:div w:id="1712461583">
          <w:marLeft w:val="0"/>
          <w:marRight w:val="0"/>
          <w:marTop w:val="0"/>
          <w:marBottom w:val="0"/>
          <w:divBdr>
            <w:top w:val="none" w:sz="0" w:space="0" w:color="auto"/>
            <w:left w:val="none" w:sz="0" w:space="0" w:color="auto"/>
            <w:bottom w:val="none" w:sz="0" w:space="0" w:color="auto"/>
            <w:right w:val="none" w:sz="0" w:space="0" w:color="auto"/>
          </w:divBdr>
          <w:divsChild>
            <w:div w:id="141509623">
              <w:marLeft w:val="0"/>
              <w:marRight w:val="0"/>
              <w:marTop w:val="0"/>
              <w:marBottom w:val="0"/>
              <w:divBdr>
                <w:top w:val="none" w:sz="0" w:space="0" w:color="auto"/>
                <w:left w:val="none" w:sz="0" w:space="0" w:color="auto"/>
                <w:bottom w:val="none" w:sz="0" w:space="0" w:color="auto"/>
                <w:right w:val="none" w:sz="0" w:space="0" w:color="auto"/>
              </w:divBdr>
              <w:divsChild>
                <w:div w:id="240874020">
                  <w:marLeft w:val="0"/>
                  <w:marRight w:val="0"/>
                  <w:marTop w:val="0"/>
                  <w:marBottom w:val="0"/>
                  <w:divBdr>
                    <w:top w:val="none" w:sz="0" w:space="0" w:color="auto"/>
                    <w:left w:val="none" w:sz="0" w:space="0" w:color="auto"/>
                    <w:bottom w:val="none" w:sz="0" w:space="0" w:color="auto"/>
                    <w:right w:val="none" w:sz="0" w:space="0" w:color="auto"/>
                  </w:divBdr>
                  <w:divsChild>
                    <w:div w:id="167255646">
                      <w:marLeft w:val="0"/>
                      <w:marRight w:val="0"/>
                      <w:marTop w:val="0"/>
                      <w:marBottom w:val="0"/>
                      <w:divBdr>
                        <w:top w:val="none" w:sz="0" w:space="0" w:color="auto"/>
                        <w:left w:val="none" w:sz="0" w:space="0" w:color="auto"/>
                        <w:bottom w:val="none" w:sz="0" w:space="0" w:color="auto"/>
                        <w:right w:val="none" w:sz="0" w:space="0" w:color="auto"/>
                      </w:divBdr>
                      <w:divsChild>
                        <w:div w:id="19262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614639">
      <w:bodyDiv w:val="1"/>
      <w:marLeft w:val="0"/>
      <w:marRight w:val="0"/>
      <w:marTop w:val="0"/>
      <w:marBottom w:val="0"/>
      <w:divBdr>
        <w:top w:val="none" w:sz="0" w:space="0" w:color="auto"/>
        <w:left w:val="none" w:sz="0" w:space="0" w:color="auto"/>
        <w:bottom w:val="none" w:sz="0" w:space="0" w:color="auto"/>
        <w:right w:val="none" w:sz="0" w:space="0" w:color="auto"/>
      </w:divBdr>
    </w:div>
    <w:div w:id="997612658">
      <w:bodyDiv w:val="1"/>
      <w:marLeft w:val="0"/>
      <w:marRight w:val="0"/>
      <w:marTop w:val="0"/>
      <w:marBottom w:val="0"/>
      <w:divBdr>
        <w:top w:val="none" w:sz="0" w:space="0" w:color="auto"/>
        <w:left w:val="none" w:sz="0" w:space="0" w:color="auto"/>
        <w:bottom w:val="none" w:sz="0" w:space="0" w:color="auto"/>
        <w:right w:val="none" w:sz="0" w:space="0" w:color="auto"/>
      </w:divBdr>
    </w:div>
    <w:div w:id="1009064930">
      <w:bodyDiv w:val="1"/>
      <w:marLeft w:val="0"/>
      <w:marRight w:val="0"/>
      <w:marTop w:val="0"/>
      <w:marBottom w:val="0"/>
      <w:divBdr>
        <w:top w:val="none" w:sz="0" w:space="0" w:color="auto"/>
        <w:left w:val="none" w:sz="0" w:space="0" w:color="auto"/>
        <w:bottom w:val="none" w:sz="0" w:space="0" w:color="auto"/>
        <w:right w:val="none" w:sz="0" w:space="0" w:color="auto"/>
      </w:divBdr>
    </w:div>
    <w:div w:id="1023435089">
      <w:bodyDiv w:val="1"/>
      <w:marLeft w:val="0"/>
      <w:marRight w:val="0"/>
      <w:marTop w:val="0"/>
      <w:marBottom w:val="0"/>
      <w:divBdr>
        <w:top w:val="none" w:sz="0" w:space="0" w:color="auto"/>
        <w:left w:val="none" w:sz="0" w:space="0" w:color="auto"/>
        <w:bottom w:val="none" w:sz="0" w:space="0" w:color="auto"/>
        <w:right w:val="none" w:sz="0" w:space="0" w:color="auto"/>
      </w:divBdr>
    </w:div>
    <w:div w:id="1026249978">
      <w:bodyDiv w:val="1"/>
      <w:marLeft w:val="0"/>
      <w:marRight w:val="0"/>
      <w:marTop w:val="0"/>
      <w:marBottom w:val="0"/>
      <w:divBdr>
        <w:top w:val="none" w:sz="0" w:space="0" w:color="auto"/>
        <w:left w:val="none" w:sz="0" w:space="0" w:color="auto"/>
        <w:bottom w:val="none" w:sz="0" w:space="0" w:color="auto"/>
        <w:right w:val="none" w:sz="0" w:space="0" w:color="auto"/>
      </w:divBdr>
    </w:div>
    <w:div w:id="1050769034">
      <w:bodyDiv w:val="1"/>
      <w:marLeft w:val="0"/>
      <w:marRight w:val="0"/>
      <w:marTop w:val="0"/>
      <w:marBottom w:val="0"/>
      <w:divBdr>
        <w:top w:val="none" w:sz="0" w:space="0" w:color="auto"/>
        <w:left w:val="none" w:sz="0" w:space="0" w:color="auto"/>
        <w:bottom w:val="none" w:sz="0" w:space="0" w:color="auto"/>
        <w:right w:val="none" w:sz="0" w:space="0" w:color="auto"/>
      </w:divBdr>
    </w:div>
    <w:div w:id="1065101245">
      <w:bodyDiv w:val="1"/>
      <w:marLeft w:val="0"/>
      <w:marRight w:val="0"/>
      <w:marTop w:val="0"/>
      <w:marBottom w:val="0"/>
      <w:divBdr>
        <w:top w:val="none" w:sz="0" w:space="0" w:color="auto"/>
        <w:left w:val="none" w:sz="0" w:space="0" w:color="auto"/>
        <w:bottom w:val="none" w:sz="0" w:space="0" w:color="auto"/>
        <w:right w:val="none" w:sz="0" w:space="0" w:color="auto"/>
      </w:divBdr>
    </w:div>
    <w:div w:id="1095831406">
      <w:bodyDiv w:val="1"/>
      <w:marLeft w:val="0"/>
      <w:marRight w:val="0"/>
      <w:marTop w:val="0"/>
      <w:marBottom w:val="0"/>
      <w:divBdr>
        <w:top w:val="none" w:sz="0" w:space="0" w:color="auto"/>
        <w:left w:val="none" w:sz="0" w:space="0" w:color="auto"/>
        <w:bottom w:val="none" w:sz="0" w:space="0" w:color="auto"/>
        <w:right w:val="none" w:sz="0" w:space="0" w:color="auto"/>
      </w:divBdr>
    </w:div>
    <w:div w:id="1098450083">
      <w:bodyDiv w:val="1"/>
      <w:marLeft w:val="0"/>
      <w:marRight w:val="0"/>
      <w:marTop w:val="0"/>
      <w:marBottom w:val="0"/>
      <w:divBdr>
        <w:top w:val="none" w:sz="0" w:space="0" w:color="auto"/>
        <w:left w:val="none" w:sz="0" w:space="0" w:color="auto"/>
        <w:bottom w:val="none" w:sz="0" w:space="0" w:color="auto"/>
        <w:right w:val="none" w:sz="0" w:space="0" w:color="auto"/>
      </w:divBdr>
    </w:div>
    <w:div w:id="1124930533">
      <w:bodyDiv w:val="1"/>
      <w:marLeft w:val="0"/>
      <w:marRight w:val="0"/>
      <w:marTop w:val="0"/>
      <w:marBottom w:val="0"/>
      <w:divBdr>
        <w:top w:val="none" w:sz="0" w:space="0" w:color="auto"/>
        <w:left w:val="none" w:sz="0" w:space="0" w:color="auto"/>
        <w:bottom w:val="none" w:sz="0" w:space="0" w:color="auto"/>
        <w:right w:val="none" w:sz="0" w:space="0" w:color="auto"/>
      </w:divBdr>
    </w:div>
    <w:div w:id="1136996494">
      <w:bodyDiv w:val="1"/>
      <w:marLeft w:val="0"/>
      <w:marRight w:val="0"/>
      <w:marTop w:val="0"/>
      <w:marBottom w:val="0"/>
      <w:divBdr>
        <w:top w:val="none" w:sz="0" w:space="0" w:color="auto"/>
        <w:left w:val="none" w:sz="0" w:space="0" w:color="auto"/>
        <w:bottom w:val="none" w:sz="0" w:space="0" w:color="auto"/>
        <w:right w:val="none" w:sz="0" w:space="0" w:color="auto"/>
      </w:divBdr>
    </w:div>
    <w:div w:id="1166702762">
      <w:bodyDiv w:val="1"/>
      <w:marLeft w:val="0"/>
      <w:marRight w:val="0"/>
      <w:marTop w:val="0"/>
      <w:marBottom w:val="0"/>
      <w:divBdr>
        <w:top w:val="none" w:sz="0" w:space="0" w:color="auto"/>
        <w:left w:val="none" w:sz="0" w:space="0" w:color="auto"/>
        <w:bottom w:val="none" w:sz="0" w:space="0" w:color="auto"/>
        <w:right w:val="none" w:sz="0" w:space="0" w:color="auto"/>
      </w:divBdr>
    </w:div>
    <w:div w:id="1190951884">
      <w:bodyDiv w:val="1"/>
      <w:marLeft w:val="0"/>
      <w:marRight w:val="0"/>
      <w:marTop w:val="0"/>
      <w:marBottom w:val="0"/>
      <w:divBdr>
        <w:top w:val="none" w:sz="0" w:space="0" w:color="auto"/>
        <w:left w:val="none" w:sz="0" w:space="0" w:color="auto"/>
        <w:bottom w:val="none" w:sz="0" w:space="0" w:color="auto"/>
        <w:right w:val="none" w:sz="0" w:space="0" w:color="auto"/>
      </w:divBdr>
    </w:div>
    <w:div w:id="1225336912">
      <w:bodyDiv w:val="1"/>
      <w:marLeft w:val="0"/>
      <w:marRight w:val="0"/>
      <w:marTop w:val="0"/>
      <w:marBottom w:val="0"/>
      <w:divBdr>
        <w:top w:val="none" w:sz="0" w:space="0" w:color="auto"/>
        <w:left w:val="none" w:sz="0" w:space="0" w:color="auto"/>
        <w:bottom w:val="none" w:sz="0" w:space="0" w:color="auto"/>
        <w:right w:val="none" w:sz="0" w:space="0" w:color="auto"/>
      </w:divBdr>
    </w:div>
    <w:div w:id="1246377314">
      <w:bodyDiv w:val="1"/>
      <w:marLeft w:val="0"/>
      <w:marRight w:val="0"/>
      <w:marTop w:val="0"/>
      <w:marBottom w:val="0"/>
      <w:divBdr>
        <w:top w:val="none" w:sz="0" w:space="0" w:color="auto"/>
        <w:left w:val="none" w:sz="0" w:space="0" w:color="auto"/>
        <w:bottom w:val="none" w:sz="0" w:space="0" w:color="auto"/>
        <w:right w:val="none" w:sz="0" w:space="0" w:color="auto"/>
      </w:divBdr>
    </w:div>
    <w:div w:id="1268197255">
      <w:bodyDiv w:val="1"/>
      <w:marLeft w:val="0"/>
      <w:marRight w:val="0"/>
      <w:marTop w:val="0"/>
      <w:marBottom w:val="0"/>
      <w:divBdr>
        <w:top w:val="none" w:sz="0" w:space="0" w:color="auto"/>
        <w:left w:val="none" w:sz="0" w:space="0" w:color="auto"/>
        <w:bottom w:val="none" w:sz="0" w:space="0" w:color="auto"/>
        <w:right w:val="none" w:sz="0" w:space="0" w:color="auto"/>
      </w:divBdr>
    </w:div>
    <w:div w:id="1311907418">
      <w:bodyDiv w:val="1"/>
      <w:marLeft w:val="0"/>
      <w:marRight w:val="0"/>
      <w:marTop w:val="0"/>
      <w:marBottom w:val="0"/>
      <w:divBdr>
        <w:top w:val="none" w:sz="0" w:space="0" w:color="auto"/>
        <w:left w:val="none" w:sz="0" w:space="0" w:color="auto"/>
        <w:bottom w:val="none" w:sz="0" w:space="0" w:color="auto"/>
        <w:right w:val="none" w:sz="0" w:space="0" w:color="auto"/>
      </w:divBdr>
    </w:div>
    <w:div w:id="1351028650">
      <w:bodyDiv w:val="1"/>
      <w:marLeft w:val="0"/>
      <w:marRight w:val="0"/>
      <w:marTop w:val="0"/>
      <w:marBottom w:val="0"/>
      <w:divBdr>
        <w:top w:val="none" w:sz="0" w:space="0" w:color="auto"/>
        <w:left w:val="none" w:sz="0" w:space="0" w:color="auto"/>
        <w:bottom w:val="none" w:sz="0" w:space="0" w:color="auto"/>
        <w:right w:val="none" w:sz="0" w:space="0" w:color="auto"/>
      </w:divBdr>
      <w:divsChild>
        <w:div w:id="2013408046">
          <w:marLeft w:val="0"/>
          <w:marRight w:val="0"/>
          <w:marTop w:val="0"/>
          <w:marBottom w:val="0"/>
          <w:divBdr>
            <w:top w:val="none" w:sz="0" w:space="0" w:color="auto"/>
            <w:left w:val="none" w:sz="0" w:space="0" w:color="auto"/>
            <w:bottom w:val="none" w:sz="0" w:space="0" w:color="auto"/>
            <w:right w:val="none" w:sz="0" w:space="0" w:color="auto"/>
          </w:divBdr>
        </w:div>
        <w:div w:id="1758937528">
          <w:marLeft w:val="0"/>
          <w:marRight w:val="0"/>
          <w:marTop w:val="0"/>
          <w:marBottom w:val="0"/>
          <w:divBdr>
            <w:top w:val="none" w:sz="0" w:space="0" w:color="auto"/>
            <w:left w:val="none" w:sz="0" w:space="0" w:color="auto"/>
            <w:bottom w:val="none" w:sz="0" w:space="0" w:color="auto"/>
            <w:right w:val="none" w:sz="0" w:space="0" w:color="auto"/>
          </w:divBdr>
          <w:divsChild>
            <w:div w:id="707024955">
              <w:marLeft w:val="0"/>
              <w:marRight w:val="0"/>
              <w:marTop w:val="0"/>
              <w:marBottom w:val="0"/>
              <w:divBdr>
                <w:top w:val="none" w:sz="0" w:space="0" w:color="auto"/>
                <w:left w:val="none" w:sz="0" w:space="0" w:color="auto"/>
                <w:bottom w:val="none" w:sz="0" w:space="0" w:color="auto"/>
                <w:right w:val="none" w:sz="0" w:space="0" w:color="auto"/>
              </w:divBdr>
              <w:divsChild>
                <w:div w:id="189999611">
                  <w:marLeft w:val="0"/>
                  <w:marRight w:val="0"/>
                  <w:marTop w:val="0"/>
                  <w:marBottom w:val="0"/>
                  <w:divBdr>
                    <w:top w:val="none" w:sz="0" w:space="0" w:color="auto"/>
                    <w:left w:val="none" w:sz="0" w:space="0" w:color="auto"/>
                    <w:bottom w:val="none" w:sz="0" w:space="0" w:color="auto"/>
                    <w:right w:val="none" w:sz="0" w:space="0" w:color="auto"/>
                  </w:divBdr>
                </w:div>
                <w:div w:id="320471856">
                  <w:marLeft w:val="0"/>
                  <w:marRight w:val="0"/>
                  <w:marTop w:val="0"/>
                  <w:marBottom w:val="0"/>
                  <w:divBdr>
                    <w:top w:val="none" w:sz="0" w:space="0" w:color="auto"/>
                    <w:left w:val="none" w:sz="0" w:space="0" w:color="auto"/>
                    <w:bottom w:val="none" w:sz="0" w:space="0" w:color="auto"/>
                    <w:right w:val="none" w:sz="0" w:space="0" w:color="auto"/>
                  </w:divBdr>
                </w:div>
                <w:div w:id="125004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24436">
      <w:bodyDiv w:val="1"/>
      <w:marLeft w:val="0"/>
      <w:marRight w:val="0"/>
      <w:marTop w:val="0"/>
      <w:marBottom w:val="0"/>
      <w:divBdr>
        <w:top w:val="none" w:sz="0" w:space="0" w:color="auto"/>
        <w:left w:val="none" w:sz="0" w:space="0" w:color="auto"/>
        <w:bottom w:val="none" w:sz="0" w:space="0" w:color="auto"/>
        <w:right w:val="none" w:sz="0" w:space="0" w:color="auto"/>
      </w:divBdr>
    </w:div>
    <w:div w:id="1427729951">
      <w:bodyDiv w:val="1"/>
      <w:marLeft w:val="0"/>
      <w:marRight w:val="0"/>
      <w:marTop w:val="0"/>
      <w:marBottom w:val="0"/>
      <w:divBdr>
        <w:top w:val="none" w:sz="0" w:space="0" w:color="auto"/>
        <w:left w:val="none" w:sz="0" w:space="0" w:color="auto"/>
        <w:bottom w:val="none" w:sz="0" w:space="0" w:color="auto"/>
        <w:right w:val="none" w:sz="0" w:space="0" w:color="auto"/>
      </w:divBdr>
    </w:div>
    <w:div w:id="1439721268">
      <w:bodyDiv w:val="1"/>
      <w:marLeft w:val="0"/>
      <w:marRight w:val="0"/>
      <w:marTop w:val="0"/>
      <w:marBottom w:val="0"/>
      <w:divBdr>
        <w:top w:val="none" w:sz="0" w:space="0" w:color="auto"/>
        <w:left w:val="none" w:sz="0" w:space="0" w:color="auto"/>
        <w:bottom w:val="none" w:sz="0" w:space="0" w:color="auto"/>
        <w:right w:val="none" w:sz="0" w:space="0" w:color="auto"/>
      </w:divBdr>
    </w:div>
    <w:div w:id="1452702483">
      <w:bodyDiv w:val="1"/>
      <w:marLeft w:val="0"/>
      <w:marRight w:val="0"/>
      <w:marTop w:val="0"/>
      <w:marBottom w:val="0"/>
      <w:divBdr>
        <w:top w:val="none" w:sz="0" w:space="0" w:color="auto"/>
        <w:left w:val="none" w:sz="0" w:space="0" w:color="auto"/>
        <w:bottom w:val="none" w:sz="0" w:space="0" w:color="auto"/>
        <w:right w:val="none" w:sz="0" w:space="0" w:color="auto"/>
      </w:divBdr>
    </w:div>
    <w:div w:id="1458796715">
      <w:bodyDiv w:val="1"/>
      <w:marLeft w:val="0"/>
      <w:marRight w:val="0"/>
      <w:marTop w:val="0"/>
      <w:marBottom w:val="0"/>
      <w:divBdr>
        <w:top w:val="none" w:sz="0" w:space="0" w:color="auto"/>
        <w:left w:val="none" w:sz="0" w:space="0" w:color="auto"/>
        <w:bottom w:val="none" w:sz="0" w:space="0" w:color="auto"/>
        <w:right w:val="none" w:sz="0" w:space="0" w:color="auto"/>
      </w:divBdr>
    </w:div>
    <w:div w:id="1486245274">
      <w:bodyDiv w:val="1"/>
      <w:marLeft w:val="0"/>
      <w:marRight w:val="0"/>
      <w:marTop w:val="0"/>
      <w:marBottom w:val="0"/>
      <w:divBdr>
        <w:top w:val="none" w:sz="0" w:space="0" w:color="auto"/>
        <w:left w:val="none" w:sz="0" w:space="0" w:color="auto"/>
        <w:bottom w:val="none" w:sz="0" w:space="0" w:color="auto"/>
        <w:right w:val="none" w:sz="0" w:space="0" w:color="auto"/>
      </w:divBdr>
    </w:div>
    <w:div w:id="1493057760">
      <w:bodyDiv w:val="1"/>
      <w:marLeft w:val="0"/>
      <w:marRight w:val="0"/>
      <w:marTop w:val="0"/>
      <w:marBottom w:val="0"/>
      <w:divBdr>
        <w:top w:val="none" w:sz="0" w:space="0" w:color="auto"/>
        <w:left w:val="none" w:sz="0" w:space="0" w:color="auto"/>
        <w:bottom w:val="none" w:sz="0" w:space="0" w:color="auto"/>
        <w:right w:val="none" w:sz="0" w:space="0" w:color="auto"/>
      </w:divBdr>
    </w:div>
    <w:div w:id="1499421685">
      <w:bodyDiv w:val="1"/>
      <w:marLeft w:val="0"/>
      <w:marRight w:val="0"/>
      <w:marTop w:val="0"/>
      <w:marBottom w:val="0"/>
      <w:divBdr>
        <w:top w:val="none" w:sz="0" w:space="0" w:color="auto"/>
        <w:left w:val="none" w:sz="0" w:space="0" w:color="auto"/>
        <w:bottom w:val="none" w:sz="0" w:space="0" w:color="auto"/>
        <w:right w:val="none" w:sz="0" w:space="0" w:color="auto"/>
      </w:divBdr>
    </w:div>
    <w:div w:id="1509561975">
      <w:bodyDiv w:val="1"/>
      <w:marLeft w:val="0"/>
      <w:marRight w:val="0"/>
      <w:marTop w:val="0"/>
      <w:marBottom w:val="0"/>
      <w:divBdr>
        <w:top w:val="none" w:sz="0" w:space="0" w:color="auto"/>
        <w:left w:val="none" w:sz="0" w:space="0" w:color="auto"/>
        <w:bottom w:val="none" w:sz="0" w:space="0" w:color="auto"/>
        <w:right w:val="none" w:sz="0" w:space="0" w:color="auto"/>
      </w:divBdr>
    </w:div>
    <w:div w:id="1511216630">
      <w:bodyDiv w:val="1"/>
      <w:marLeft w:val="0"/>
      <w:marRight w:val="0"/>
      <w:marTop w:val="0"/>
      <w:marBottom w:val="0"/>
      <w:divBdr>
        <w:top w:val="none" w:sz="0" w:space="0" w:color="auto"/>
        <w:left w:val="none" w:sz="0" w:space="0" w:color="auto"/>
        <w:bottom w:val="none" w:sz="0" w:space="0" w:color="auto"/>
        <w:right w:val="none" w:sz="0" w:space="0" w:color="auto"/>
      </w:divBdr>
    </w:div>
    <w:div w:id="1564489252">
      <w:bodyDiv w:val="1"/>
      <w:marLeft w:val="0"/>
      <w:marRight w:val="0"/>
      <w:marTop w:val="0"/>
      <w:marBottom w:val="0"/>
      <w:divBdr>
        <w:top w:val="none" w:sz="0" w:space="0" w:color="auto"/>
        <w:left w:val="none" w:sz="0" w:space="0" w:color="auto"/>
        <w:bottom w:val="none" w:sz="0" w:space="0" w:color="auto"/>
        <w:right w:val="none" w:sz="0" w:space="0" w:color="auto"/>
      </w:divBdr>
    </w:div>
    <w:div w:id="1648196413">
      <w:bodyDiv w:val="1"/>
      <w:marLeft w:val="0"/>
      <w:marRight w:val="0"/>
      <w:marTop w:val="0"/>
      <w:marBottom w:val="0"/>
      <w:divBdr>
        <w:top w:val="none" w:sz="0" w:space="0" w:color="auto"/>
        <w:left w:val="none" w:sz="0" w:space="0" w:color="auto"/>
        <w:bottom w:val="none" w:sz="0" w:space="0" w:color="auto"/>
        <w:right w:val="none" w:sz="0" w:space="0" w:color="auto"/>
      </w:divBdr>
    </w:div>
    <w:div w:id="1663506648">
      <w:bodyDiv w:val="1"/>
      <w:marLeft w:val="0"/>
      <w:marRight w:val="0"/>
      <w:marTop w:val="0"/>
      <w:marBottom w:val="0"/>
      <w:divBdr>
        <w:top w:val="none" w:sz="0" w:space="0" w:color="auto"/>
        <w:left w:val="none" w:sz="0" w:space="0" w:color="auto"/>
        <w:bottom w:val="none" w:sz="0" w:space="0" w:color="auto"/>
        <w:right w:val="none" w:sz="0" w:space="0" w:color="auto"/>
      </w:divBdr>
      <w:divsChild>
        <w:div w:id="1560942271">
          <w:marLeft w:val="0"/>
          <w:marRight w:val="0"/>
          <w:marTop w:val="0"/>
          <w:marBottom w:val="0"/>
          <w:divBdr>
            <w:top w:val="none" w:sz="0" w:space="0" w:color="auto"/>
            <w:left w:val="none" w:sz="0" w:space="0" w:color="auto"/>
            <w:bottom w:val="none" w:sz="0" w:space="0" w:color="auto"/>
            <w:right w:val="none" w:sz="0" w:space="0" w:color="auto"/>
          </w:divBdr>
        </w:div>
        <w:div w:id="829637659">
          <w:marLeft w:val="0"/>
          <w:marRight w:val="0"/>
          <w:marTop w:val="0"/>
          <w:marBottom w:val="0"/>
          <w:divBdr>
            <w:top w:val="none" w:sz="0" w:space="0" w:color="auto"/>
            <w:left w:val="none" w:sz="0" w:space="0" w:color="auto"/>
            <w:bottom w:val="none" w:sz="0" w:space="0" w:color="auto"/>
            <w:right w:val="none" w:sz="0" w:space="0" w:color="auto"/>
          </w:divBdr>
        </w:div>
      </w:divsChild>
    </w:div>
    <w:div w:id="1687101597">
      <w:bodyDiv w:val="1"/>
      <w:marLeft w:val="0"/>
      <w:marRight w:val="0"/>
      <w:marTop w:val="0"/>
      <w:marBottom w:val="0"/>
      <w:divBdr>
        <w:top w:val="none" w:sz="0" w:space="0" w:color="auto"/>
        <w:left w:val="none" w:sz="0" w:space="0" w:color="auto"/>
        <w:bottom w:val="none" w:sz="0" w:space="0" w:color="auto"/>
        <w:right w:val="none" w:sz="0" w:space="0" w:color="auto"/>
      </w:divBdr>
    </w:div>
    <w:div w:id="1688362354">
      <w:bodyDiv w:val="1"/>
      <w:marLeft w:val="0"/>
      <w:marRight w:val="0"/>
      <w:marTop w:val="0"/>
      <w:marBottom w:val="0"/>
      <w:divBdr>
        <w:top w:val="none" w:sz="0" w:space="0" w:color="auto"/>
        <w:left w:val="none" w:sz="0" w:space="0" w:color="auto"/>
        <w:bottom w:val="none" w:sz="0" w:space="0" w:color="auto"/>
        <w:right w:val="none" w:sz="0" w:space="0" w:color="auto"/>
      </w:divBdr>
    </w:div>
    <w:div w:id="1792287991">
      <w:bodyDiv w:val="1"/>
      <w:marLeft w:val="0"/>
      <w:marRight w:val="0"/>
      <w:marTop w:val="0"/>
      <w:marBottom w:val="0"/>
      <w:divBdr>
        <w:top w:val="none" w:sz="0" w:space="0" w:color="auto"/>
        <w:left w:val="none" w:sz="0" w:space="0" w:color="auto"/>
        <w:bottom w:val="none" w:sz="0" w:space="0" w:color="auto"/>
        <w:right w:val="none" w:sz="0" w:space="0" w:color="auto"/>
      </w:divBdr>
    </w:div>
    <w:div w:id="1869371916">
      <w:bodyDiv w:val="1"/>
      <w:marLeft w:val="0"/>
      <w:marRight w:val="0"/>
      <w:marTop w:val="0"/>
      <w:marBottom w:val="0"/>
      <w:divBdr>
        <w:top w:val="none" w:sz="0" w:space="0" w:color="auto"/>
        <w:left w:val="none" w:sz="0" w:space="0" w:color="auto"/>
        <w:bottom w:val="none" w:sz="0" w:space="0" w:color="auto"/>
        <w:right w:val="none" w:sz="0" w:space="0" w:color="auto"/>
      </w:divBdr>
    </w:div>
    <w:div w:id="1872574181">
      <w:bodyDiv w:val="1"/>
      <w:marLeft w:val="0"/>
      <w:marRight w:val="0"/>
      <w:marTop w:val="0"/>
      <w:marBottom w:val="0"/>
      <w:divBdr>
        <w:top w:val="none" w:sz="0" w:space="0" w:color="auto"/>
        <w:left w:val="none" w:sz="0" w:space="0" w:color="auto"/>
        <w:bottom w:val="none" w:sz="0" w:space="0" w:color="auto"/>
        <w:right w:val="none" w:sz="0" w:space="0" w:color="auto"/>
      </w:divBdr>
    </w:div>
    <w:div w:id="1875386026">
      <w:bodyDiv w:val="1"/>
      <w:marLeft w:val="0"/>
      <w:marRight w:val="0"/>
      <w:marTop w:val="0"/>
      <w:marBottom w:val="0"/>
      <w:divBdr>
        <w:top w:val="none" w:sz="0" w:space="0" w:color="auto"/>
        <w:left w:val="none" w:sz="0" w:space="0" w:color="auto"/>
        <w:bottom w:val="none" w:sz="0" w:space="0" w:color="auto"/>
        <w:right w:val="none" w:sz="0" w:space="0" w:color="auto"/>
      </w:divBdr>
    </w:div>
    <w:div w:id="1883665857">
      <w:bodyDiv w:val="1"/>
      <w:marLeft w:val="0"/>
      <w:marRight w:val="0"/>
      <w:marTop w:val="0"/>
      <w:marBottom w:val="0"/>
      <w:divBdr>
        <w:top w:val="none" w:sz="0" w:space="0" w:color="auto"/>
        <w:left w:val="none" w:sz="0" w:space="0" w:color="auto"/>
        <w:bottom w:val="none" w:sz="0" w:space="0" w:color="auto"/>
        <w:right w:val="none" w:sz="0" w:space="0" w:color="auto"/>
      </w:divBdr>
    </w:div>
    <w:div w:id="1883900595">
      <w:bodyDiv w:val="1"/>
      <w:marLeft w:val="0"/>
      <w:marRight w:val="0"/>
      <w:marTop w:val="0"/>
      <w:marBottom w:val="0"/>
      <w:divBdr>
        <w:top w:val="none" w:sz="0" w:space="0" w:color="auto"/>
        <w:left w:val="none" w:sz="0" w:space="0" w:color="auto"/>
        <w:bottom w:val="none" w:sz="0" w:space="0" w:color="auto"/>
        <w:right w:val="none" w:sz="0" w:space="0" w:color="auto"/>
      </w:divBdr>
    </w:div>
    <w:div w:id="1903372785">
      <w:bodyDiv w:val="1"/>
      <w:marLeft w:val="0"/>
      <w:marRight w:val="0"/>
      <w:marTop w:val="0"/>
      <w:marBottom w:val="0"/>
      <w:divBdr>
        <w:top w:val="none" w:sz="0" w:space="0" w:color="auto"/>
        <w:left w:val="none" w:sz="0" w:space="0" w:color="auto"/>
        <w:bottom w:val="none" w:sz="0" w:space="0" w:color="auto"/>
        <w:right w:val="none" w:sz="0" w:space="0" w:color="auto"/>
      </w:divBdr>
    </w:div>
    <w:div w:id="1911500887">
      <w:bodyDiv w:val="1"/>
      <w:marLeft w:val="0"/>
      <w:marRight w:val="0"/>
      <w:marTop w:val="0"/>
      <w:marBottom w:val="0"/>
      <w:divBdr>
        <w:top w:val="none" w:sz="0" w:space="0" w:color="auto"/>
        <w:left w:val="none" w:sz="0" w:space="0" w:color="auto"/>
        <w:bottom w:val="none" w:sz="0" w:space="0" w:color="auto"/>
        <w:right w:val="none" w:sz="0" w:space="0" w:color="auto"/>
      </w:divBdr>
    </w:div>
    <w:div w:id="1948805694">
      <w:bodyDiv w:val="1"/>
      <w:marLeft w:val="0"/>
      <w:marRight w:val="0"/>
      <w:marTop w:val="0"/>
      <w:marBottom w:val="0"/>
      <w:divBdr>
        <w:top w:val="none" w:sz="0" w:space="0" w:color="auto"/>
        <w:left w:val="none" w:sz="0" w:space="0" w:color="auto"/>
        <w:bottom w:val="none" w:sz="0" w:space="0" w:color="auto"/>
        <w:right w:val="none" w:sz="0" w:space="0" w:color="auto"/>
      </w:divBdr>
    </w:div>
    <w:div w:id="1962108862">
      <w:bodyDiv w:val="1"/>
      <w:marLeft w:val="0"/>
      <w:marRight w:val="0"/>
      <w:marTop w:val="0"/>
      <w:marBottom w:val="0"/>
      <w:divBdr>
        <w:top w:val="none" w:sz="0" w:space="0" w:color="auto"/>
        <w:left w:val="none" w:sz="0" w:space="0" w:color="auto"/>
        <w:bottom w:val="none" w:sz="0" w:space="0" w:color="auto"/>
        <w:right w:val="none" w:sz="0" w:space="0" w:color="auto"/>
      </w:divBdr>
      <w:divsChild>
        <w:div w:id="1308631404">
          <w:marLeft w:val="0"/>
          <w:marRight w:val="0"/>
          <w:marTop w:val="0"/>
          <w:marBottom w:val="600"/>
          <w:divBdr>
            <w:top w:val="none" w:sz="0" w:space="0" w:color="auto"/>
            <w:left w:val="none" w:sz="0" w:space="0" w:color="auto"/>
            <w:bottom w:val="none" w:sz="0" w:space="0" w:color="auto"/>
            <w:right w:val="none" w:sz="0" w:space="0" w:color="auto"/>
          </w:divBdr>
          <w:divsChild>
            <w:div w:id="1951812558">
              <w:marLeft w:val="0"/>
              <w:marRight w:val="0"/>
              <w:marTop w:val="0"/>
              <w:marBottom w:val="0"/>
              <w:divBdr>
                <w:top w:val="none" w:sz="0" w:space="0" w:color="auto"/>
                <w:left w:val="none" w:sz="0" w:space="0" w:color="auto"/>
                <w:bottom w:val="none" w:sz="0" w:space="0" w:color="auto"/>
                <w:right w:val="none" w:sz="0" w:space="0" w:color="auto"/>
              </w:divBdr>
              <w:divsChild>
                <w:div w:id="926499150">
                  <w:marLeft w:val="0"/>
                  <w:marRight w:val="0"/>
                  <w:marTop w:val="0"/>
                  <w:marBottom w:val="0"/>
                  <w:divBdr>
                    <w:top w:val="none" w:sz="0" w:space="0" w:color="auto"/>
                    <w:left w:val="none" w:sz="0" w:space="0" w:color="auto"/>
                    <w:bottom w:val="none" w:sz="0" w:space="0" w:color="auto"/>
                    <w:right w:val="none" w:sz="0" w:space="0" w:color="auto"/>
                  </w:divBdr>
                  <w:divsChild>
                    <w:div w:id="16487844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1523493">
          <w:marLeft w:val="0"/>
          <w:marRight w:val="0"/>
          <w:marTop w:val="0"/>
          <w:marBottom w:val="0"/>
          <w:divBdr>
            <w:top w:val="none" w:sz="0" w:space="0" w:color="auto"/>
            <w:left w:val="none" w:sz="0" w:space="0" w:color="auto"/>
            <w:bottom w:val="none" w:sz="0" w:space="0" w:color="auto"/>
            <w:right w:val="none" w:sz="0" w:space="0" w:color="auto"/>
          </w:divBdr>
          <w:divsChild>
            <w:div w:id="298265422">
              <w:marLeft w:val="0"/>
              <w:marRight w:val="0"/>
              <w:marTop w:val="0"/>
              <w:marBottom w:val="0"/>
              <w:divBdr>
                <w:top w:val="none" w:sz="0" w:space="0" w:color="auto"/>
                <w:left w:val="none" w:sz="0" w:space="0" w:color="auto"/>
                <w:bottom w:val="none" w:sz="0" w:space="0" w:color="auto"/>
                <w:right w:val="none" w:sz="0" w:space="0" w:color="auto"/>
              </w:divBdr>
              <w:divsChild>
                <w:div w:id="99125438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968316269">
      <w:bodyDiv w:val="1"/>
      <w:marLeft w:val="0"/>
      <w:marRight w:val="0"/>
      <w:marTop w:val="0"/>
      <w:marBottom w:val="0"/>
      <w:divBdr>
        <w:top w:val="none" w:sz="0" w:space="0" w:color="auto"/>
        <w:left w:val="none" w:sz="0" w:space="0" w:color="auto"/>
        <w:bottom w:val="none" w:sz="0" w:space="0" w:color="auto"/>
        <w:right w:val="none" w:sz="0" w:space="0" w:color="auto"/>
      </w:divBdr>
    </w:div>
    <w:div w:id="2062554069">
      <w:bodyDiv w:val="1"/>
      <w:marLeft w:val="0"/>
      <w:marRight w:val="0"/>
      <w:marTop w:val="0"/>
      <w:marBottom w:val="0"/>
      <w:divBdr>
        <w:top w:val="none" w:sz="0" w:space="0" w:color="auto"/>
        <w:left w:val="none" w:sz="0" w:space="0" w:color="auto"/>
        <w:bottom w:val="none" w:sz="0" w:space="0" w:color="auto"/>
        <w:right w:val="none" w:sz="0" w:space="0" w:color="auto"/>
      </w:divBdr>
    </w:div>
    <w:div w:id="2063630279">
      <w:bodyDiv w:val="1"/>
      <w:marLeft w:val="0"/>
      <w:marRight w:val="0"/>
      <w:marTop w:val="0"/>
      <w:marBottom w:val="0"/>
      <w:divBdr>
        <w:top w:val="none" w:sz="0" w:space="0" w:color="auto"/>
        <w:left w:val="none" w:sz="0" w:space="0" w:color="auto"/>
        <w:bottom w:val="none" w:sz="0" w:space="0" w:color="auto"/>
        <w:right w:val="none" w:sz="0" w:space="0" w:color="auto"/>
      </w:divBdr>
    </w:div>
    <w:div w:id="2131507104">
      <w:bodyDiv w:val="1"/>
      <w:marLeft w:val="0"/>
      <w:marRight w:val="0"/>
      <w:marTop w:val="0"/>
      <w:marBottom w:val="0"/>
      <w:divBdr>
        <w:top w:val="none" w:sz="0" w:space="0" w:color="auto"/>
        <w:left w:val="none" w:sz="0" w:space="0" w:color="auto"/>
        <w:bottom w:val="none" w:sz="0" w:space="0" w:color="auto"/>
        <w:right w:val="none" w:sz="0" w:space="0" w:color="auto"/>
      </w:divBdr>
      <w:divsChild>
        <w:div w:id="1323194838">
          <w:marLeft w:val="0"/>
          <w:marRight w:val="0"/>
          <w:marTop w:val="0"/>
          <w:marBottom w:val="75"/>
          <w:divBdr>
            <w:top w:val="none" w:sz="0" w:space="0" w:color="auto"/>
            <w:left w:val="none" w:sz="0" w:space="0" w:color="auto"/>
            <w:bottom w:val="none" w:sz="0" w:space="0" w:color="auto"/>
            <w:right w:val="none" w:sz="0" w:space="0" w:color="auto"/>
          </w:divBdr>
        </w:div>
      </w:divsChild>
    </w:div>
    <w:div w:id="21451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ocialmetricscommission.org.uk/" TargetMode="External"/><Relationship Id="rId21" Type="http://schemas.openxmlformats.org/officeDocument/2006/relationships/hyperlink" Target="https://socialmetricscommission.org.uk/" TargetMode="External"/><Relationship Id="rId42" Type="http://schemas.openxmlformats.org/officeDocument/2006/relationships/image" Target="media/image8.png"/><Relationship Id="rId47" Type="http://schemas.openxmlformats.org/officeDocument/2006/relationships/image" Target="media/image12.png"/><Relationship Id="rId63" Type="http://schemas.openxmlformats.org/officeDocument/2006/relationships/image" Target="media/image27.png"/><Relationship Id="rId68" Type="http://schemas.openxmlformats.org/officeDocument/2006/relationships/image" Target="media/image31.png"/><Relationship Id="rId84" Type="http://schemas.openxmlformats.org/officeDocument/2006/relationships/hyperlink" Target="https://doi.org/10.1787/ee9f2f16-en" TargetMode="External"/><Relationship Id="rId89" Type="http://schemas.openxmlformats.org/officeDocument/2006/relationships/hyperlink" Target="https://www.msd.govt.nz/documents/about-msd-and-our-work/publications-resources/evaluation/families-package-reports/summaries-of-findings/families-package-final-report.pdf" TargetMode="External"/><Relationship Id="rId112" Type="http://schemas.openxmlformats.org/officeDocument/2006/relationships/header" Target="header2.xml"/><Relationship Id="rId16" Type="http://schemas.openxmlformats.org/officeDocument/2006/relationships/hyperlink" Target="https://www.treasury.govt.nz/sites/default/files/2023-05/b23-wellbeing-budget.pdf" TargetMode="External"/><Relationship Id="rId107" Type="http://schemas.openxmlformats.org/officeDocument/2006/relationships/hyperlink" Target="https://www.stats.govt.nz/information-releases/child-poverty-statistics-year-ended-june-2025/" TargetMode="External"/><Relationship Id="rId11" Type="http://schemas.openxmlformats.org/officeDocument/2006/relationships/hyperlink" Target="https://www.stats.govt.nz/assets/Uploads/Child-poverty-statistics/Child-poverty-statistics-Year-ended-June-2025/Download-data/child-poverty-statistics-year-ended-june-2025-summary-table.xlsx" TargetMode="External"/><Relationship Id="rId24" Type="http://schemas.openxmlformats.org/officeDocument/2006/relationships/hyperlink" Target="https://www.msd.govt.nz/about-msd-and-our-work/publications-resources/monitoring/household-incomes/household-incomes-1982-to-2018.html" TargetMode="External"/><Relationship Id="rId32" Type="http://schemas.openxmlformats.org/officeDocument/2006/relationships/hyperlink" Target="https://www.gov.uk/government/statistics/below-average-resources-developing-a-new-poverty-measure/below-average-resources-developing-a-new-poverty-measure" TargetMode="External"/><Relationship Id="rId37" Type="http://schemas.openxmlformats.org/officeDocument/2006/relationships/hyperlink" Target="https://www.msd.govt.nz/about-msd-and-our-work/publications-resources/working-papers/index.html" TargetMode="External"/><Relationship Id="rId40" Type="http://schemas.openxmlformats.org/officeDocument/2006/relationships/image" Target="media/image7.png"/><Relationship Id="rId45" Type="http://schemas.openxmlformats.org/officeDocument/2006/relationships/image" Target="media/image10.png"/><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74" Type="http://schemas.openxmlformats.org/officeDocument/2006/relationships/image" Target="media/image36.png"/><Relationship Id="rId79" Type="http://schemas.openxmlformats.org/officeDocument/2006/relationships/hyperlink" Target="https://cdn-assets-cloud.aucklandcitymission.org.nz/acm/wp-content/uploads/2021/09/16101511/Demonstrating-the-Complexities-of-Being-Poor-An-Empathy-Tool.pdf" TargetMode="External"/><Relationship Id="rId87" Type="http://schemas.openxmlformats.org/officeDocument/2006/relationships/hyperlink" Target="https://ssrn.com/abstract=3531002" TargetMode="External"/><Relationship Id="rId102" Type="http://schemas.openxmlformats.org/officeDocument/2006/relationships/hyperlink" Target="https://www.msd.govt.nz/about-msd-and-our-work/publications-resources/research/findings/material-hardship-of-children-in-households-with-a-disabled-person.html" TargetMode="External"/><Relationship Id="rId110" Type="http://schemas.openxmlformats.org/officeDocument/2006/relationships/image" Target="media/image43.pn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5.png"/><Relationship Id="rId82" Type="http://schemas.openxmlformats.org/officeDocument/2006/relationships/hyperlink" Target="https://doi.org/10.1111/1467-8462.70019" TargetMode="External"/><Relationship Id="rId90" Type="http://schemas.openxmlformats.org/officeDocument/2006/relationships/hyperlink" Target="https://doi.org/10.1007/s11205-021-02817-1" TargetMode="External"/><Relationship Id="rId95" Type="http://schemas.openxmlformats.org/officeDocument/2006/relationships/hyperlink" Target="https://www.msd.govt.nz/about-msd-and-our-work/publications-resources/research/household-incomes-material-wellbeing-poverty-inequality-and-hardship.html" TargetMode="External"/><Relationship Id="rId19" Type="http://schemas.openxmlformats.org/officeDocument/2006/relationships/hyperlink" Target="https://www.treasury.govt.nz/sites/default/files/2022-09/an22-04.pdf" TargetMode="External"/><Relationship Id="rId14" Type="http://schemas.openxmlformats.org/officeDocument/2006/relationships/hyperlink" Target="https://budget.govt.nz/budget/2026/child-poverty-report/index.htm" TargetMode="External"/><Relationship Id="rId22" Type="http://schemas.openxmlformats.org/officeDocument/2006/relationships/hyperlink" Target="https://povertystrategycommission.org.uk/" TargetMode="External"/><Relationship Id="rId27" Type="http://schemas.openxmlformats.org/officeDocument/2006/relationships/hyperlink" Target="https://www.gov.uk/government/statistics/below-average-resources-developing-a-new-poverty-measure/below-average-resources-developing-a-new-poverty-measure" TargetMode="External"/><Relationship Id="rId30" Type="http://schemas.openxmlformats.org/officeDocument/2006/relationships/hyperlink" Target="https://ec.europa.eu/social/BlobServlet?docId=19263&amp;langId=en" TargetMode="External"/><Relationship Id="rId35" Type="http://schemas.openxmlformats.org/officeDocument/2006/relationships/image" Target="media/image4.png"/><Relationship Id="rId43" Type="http://schemas.openxmlformats.org/officeDocument/2006/relationships/hyperlink" Target="https://www.aucklandcouncil.govt.nz/about-auckland-council/how-auckland-council-works/governing-body-wards-committees/wards/Pages/find-your-ward.aspx" TargetMode="External"/><Relationship Id="rId48" Type="http://schemas.openxmlformats.org/officeDocument/2006/relationships/image" Target="media/image13.png"/><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image" Target="media/image32.png"/><Relationship Id="rId77" Type="http://schemas.openxmlformats.org/officeDocument/2006/relationships/image" Target="media/image39.png"/><Relationship Id="rId100" Type="http://schemas.openxmlformats.org/officeDocument/2006/relationships/hyperlink" Target="http://dx.doi.org/10.1177/0958928710374378" TargetMode="External"/><Relationship Id="rId105" Type="http://schemas.openxmlformats.org/officeDocument/2006/relationships/hyperlink" Target="https://www.stats.govt.nz/methods/child-poverty-statistics-year-ended-june-2025-technical-appendix/" TargetMode="External"/><Relationship Id="rId113" Type="http://schemas.openxmlformats.org/officeDocument/2006/relationships/header" Target="header3.xml"/><Relationship Id="rId8" Type="http://schemas.openxmlformats.org/officeDocument/2006/relationships/hyperlink" Target="https://www.msd.govt.nz/about-msd-and-our-work/publications-resources/research/child-poverty-in-nz/index.html" TargetMode="External"/><Relationship Id="rId51" Type="http://schemas.openxmlformats.org/officeDocument/2006/relationships/image" Target="media/image16.png"/><Relationship Id="rId72" Type="http://schemas.openxmlformats.org/officeDocument/2006/relationships/hyperlink" Target="https://www.stats.govt.nz/information-releases/child-poverty-statistics-year-ended-june-2025/" TargetMode="External"/><Relationship Id="rId80" Type="http://schemas.openxmlformats.org/officeDocument/2006/relationships/hyperlink" Target="https://aifs.gov.au/research/research-reports/employment-patterns-and-trends-families-children" TargetMode="External"/><Relationship Id="rId85" Type="http://schemas.openxmlformats.org/officeDocument/2006/relationships/hyperlink" Target="https://www.msd.govt.nz/documents/about-msd-and-our-work/publications-resources/evaluation/families-package-reports/incomes-and-costs-for-example-families-in-2022.pdf" TargetMode="External"/><Relationship Id="rId93" Type="http://schemas.openxmlformats.org/officeDocument/2006/relationships/hyperlink" Target="https://www.msd.govt.nz/about-msd-and-our-work/publications-resources/monitoring/household-incomes/index.html" TargetMode="External"/><Relationship Id="rId98" Type="http://schemas.openxmlformats.org/officeDocument/2006/relationships/hyperlink" Target="https://www.stats.govt.nz/information-releases/child-poverty-statistics-year-ended-june-2024/" TargetMode="External"/><Relationship Id="rId3" Type="http://schemas.openxmlformats.org/officeDocument/2006/relationships/styles" Target="styles.xml"/><Relationship Id="rId12" Type="http://schemas.openxmlformats.org/officeDocument/2006/relationships/hyperlink" Target="https://www.stats.govt.nz/methods/child-poverty-statistics-year-ended-june-2025-technical-appendix/" TargetMode="External"/><Relationship Id="rId17" Type="http://schemas.openxmlformats.org/officeDocument/2006/relationships/hyperlink" Target="https://www.msd.govt.nz/about-msd-and-our-work/child-wellbeing-and-poverty-reduction/index.html" TargetMode="External"/><Relationship Id="rId25" Type="http://schemas.openxmlformats.org/officeDocument/2006/relationships/hyperlink" Target="https://ec.europa.eu/social/BlobServlet?docId=19263&amp;langId=en" TargetMode="External"/><Relationship Id="rId33" Type="http://schemas.openxmlformats.org/officeDocument/2006/relationships/hyperlink" Target="https://www.gov.uk/government/statistics/below-average-resources-for-financial-year-2022-to-2023/below-average-resources-for-financial-year-2022-to-2023" TargetMode="External"/><Relationship Id="rId38" Type="http://schemas.openxmlformats.org/officeDocument/2006/relationships/hyperlink" Target="https://www.msd.govt.nz/about-msd-and-our-work/publications-resources/working-papers/index.html" TargetMode="External"/><Relationship Id="rId46" Type="http://schemas.openxmlformats.org/officeDocument/2006/relationships/image" Target="media/image11.png"/><Relationship Id="rId59" Type="http://schemas.openxmlformats.org/officeDocument/2006/relationships/image" Target="media/image23.png"/><Relationship Id="rId67" Type="http://schemas.openxmlformats.org/officeDocument/2006/relationships/hyperlink" Target="https://www.msd.govt.nz/about-msd-and-our-work/publications-resources/research/benefit-system/total-incomes-annual-report-2024.html.%20(2025" TargetMode="External"/><Relationship Id="rId103" Type="http://schemas.openxmlformats.org/officeDocument/2006/relationships/hyperlink" Target="https://ojs.victoria.ac.nz/pq/issue/view/1018/109" TargetMode="External"/><Relationship Id="rId108" Type="http://schemas.openxmlformats.org/officeDocument/2006/relationships/image" Target="media/image41.png"/><Relationship Id="rId20" Type="http://schemas.openxmlformats.org/officeDocument/2006/relationships/hyperlink" Target="https://www.gov.uk/government/statistics/below-average-resources-developing-a-new-poverty-measure/below-average-resources-developing-a-new-poverty-measure" TargetMode="External"/><Relationship Id="rId41" Type="http://schemas.openxmlformats.org/officeDocument/2006/relationships/hyperlink" Target="https://www.whaikaha.govt.nz/news/news/disabled-children-still-more-likely-to-live-in-material-hardship"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3.png"/><Relationship Id="rId75" Type="http://schemas.openxmlformats.org/officeDocument/2006/relationships/image" Target="media/image37.png"/><Relationship Id="rId83" Type="http://schemas.openxmlformats.org/officeDocument/2006/relationships/hyperlink" Target="https://www.gov.uk/government/statistics/income-dynamics-2010-to-2021" TargetMode="External"/><Relationship Id="rId88" Type="http://schemas.openxmlformats.org/officeDocument/2006/relationships/hyperlink" Target="http://www.thehub.swa.govt.nz/assets/Uploads/Multiple-disadvantagesole-parents-report-FINAL.pdf" TargetMode="External"/><Relationship Id="rId91" Type="http://schemas.openxmlformats.org/officeDocument/2006/relationships/hyperlink" Target="https://environicsinstitute.org/wp-content/uploads/2025/11/FBC_2024_MeasuringPovertywithMDI_v20240327_FINAL-June-17-002.pdf" TargetMode="External"/><Relationship Id="rId96" Type="http://schemas.openxmlformats.org/officeDocument/2006/relationships/hyperlink" Target="https://www.msd.govt.nz/about-msd-and-our-work/publications-resources/research/household-incomes-material-wellbeing-poverty-inequality-and-hardship.html"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sd.govt.nz/documents/about-msd-and-our-work/child-youth-wellbeing/advice-to-ministers/bim-2023-child-poverty-reduction.pdf" TargetMode="External"/><Relationship Id="rId23" Type="http://schemas.openxmlformats.org/officeDocument/2006/relationships/image" Target="media/image3.png"/><Relationship Id="rId28" Type="http://schemas.openxmlformats.org/officeDocument/2006/relationships/hyperlink" Target="https://www.gov.uk/government/statistics/below-average-resources-for-financial-year-2022-to-2023/below-average-resources-for-financial-year-2022-to-2023" TargetMode="External"/><Relationship Id="rId36" Type="http://schemas.openxmlformats.org/officeDocument/2006/relationships/image" Target="media/image5.png"/><Relationship Id="rId49" Type="http://schemas.openxmlformats.org/officeDocument/2006/relationships/image" Target="media/image14.png"/><Relationship Id="rId57" Type="http://schemas.openxmlformats.org/officeDocument/2006/relationships/image" Target="media/image21.png"/><Relationship Id="rId106" Type="http://schemas.openxmlformats.org/officeDocument/2006/relationships/image" Target="media/image40.png"/><Relationship Id="rId114"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socialmetricscommission.org.uk/" TargetMode="External"/><Relationship Id="rId44" Type="http://schemas.openxmlformats.org/officeDocument/2006/relationships/image" Target="media/image9.png"/><Relationship Id="rId52" Type="http://schemas.openxmlformats.org/officeDocument/2006/relationships/hyperlink" Target="https://ec.europa.eu/eurostat/databrowser/view/LFSI_JHH_A/default/table?lang=en" TargetMode="External"/><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5.png"/><Relationship Id="rId78" Type="http://schemas.openxmlformats.org/officeDocument/2006/relationships/hyperlink" Target="https://cdn-assets-cloud.aucklandcitymission.org.nz/acm/wp-content/uploads/2021/09/15153121/Auckland-City-Mission-Family100-Speaking-for-Ourselves.pdf" TargetMode="External"/><Relationship Id="rId81" Type="http://schemas.openxmlformats.org/officeDocument/2006/relationships/hyperlink" Target="https://ifs.org.uk/sites/default/files/2024-07/Living-standards-poverty-and-inequality-in-the-UK-2024-IFS-Report-R329.pdf" TargetMode="External"/><Relationship Id="rId86" Type="http://schemas.openxmlformats.org/officeDocument/2006/relationships/hyperlink" Target="http://www.growingup.co.nz" TargetMode="External"/><Relationship Id="rId94" Type="http://schemas.openxmlformats.org/officeDocument/2006/relationships/hyperlink" Target="https://www.msd.govt.nz/about-msd-and-our-work/publications-resources/monitoring/household-incomes/index.html" TargetMode="External"/><Relationship Id="rId99" Type="http://schemas.openxmlformats.org/officeDocument/2006/relationships/hyperlink" Target="https://www.treasury.govt.nz/sites/default/files/2022-09/an22-04.pdf" TargetMode="External"/><Relationship Id="rId101" Type="http://schemas.openxmlformats.org/officeDocument/2006/relationships/hyperlink" Target="https://www.sciencedirect.com/science/article/abs/pii/S0276562412000261?via%3Dihub"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stats.govt.nz/information-releases/child-poverty-statistics-year-ended-june-2025/" TargetMode="External"/><Relationship Id="rId18" Type="http://schemas.openxmlformats.org/officeDocument/2006/relationships/hyperlink" Target="https://www.msd.govt.nz/about-msd-and-our-work/publications-resources/research/child-poverty-in-nz/index.html" TargetMode="External"/><Relationship Id="rId39" Type="http://schemas.openxmlformats.org/officeDocument/2006/relationships/image" Target="media/image6.png"/><Relationship Id="rId109" Type="http://schemas.openxmlformats.org/officeDocument/2006/relationships/image" Target="media/image42.png"/><Relationship Id="rId34" Type="http://schemas.openxmlformats.org/officeDocument/2006/relationships/hyperlink" Target="https://povertystrategycommission.org.uk/" TargetMode="External"/><Relationship Id="rId50" Type="http://schemas.openxmlformats.org/officeDocument/2006/relationships/image" Target="media/image15.png"/><Relationship Id="rId55" Type="http://schemas.openxmlformats.org/officeDocument/2006/relationships/image" Target="media/image19.png"/><Relationship Id="rId76" Type="http://schemas.openxmlformats.org/officeDocument/2006/relationships/image" Target="media/image38.png"/><Relationship Id="rId97" Type="http://schemas.openxmlformats.org/officeDocument/2006/relationships/hyperlink" Target="https://www.msd.govt.nz/documents/about-msd-and-our-work/publications-resources/research/impact-of-multiple-disadvantage/the-impact-of-multiple-disadvantage-on-subjective-wellbeing.pdf" TargetMode="External"/><Relationship Id="rId104" Type="http://schemas.openxmlformats.org/officeDocument/2006/relationships/hyperlink" Target="https://www.stats.govt.nz/assets/Uploads/Child-poverty-statistics/Child-poverty-statistics-Year-ended-June-2025/Download-data/child-poverty-statistics-year-ended-june-2025-summary-table.xlsx" TargetMode="External"/><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hyperlink" Target="https://doi.org/10.1787/603809f2-en" TargetMode="External"/><Relationship Id="rId2" Type="http://schemas.openxmlformats.org/officeDocument/2006/relationships/numbering" Target="numbering.xml"/><Relationship Id="rId29" Type="http://schemas.openxmlformats.org/officeDocument/2006/relationships/hyperlink" Target="https://povertystrategycommission.org.u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tats.govt.nz/methods/about-the-transition-from-the-household-economic-survey-to-the-household-income-and-living-survey/" TargetMode="External"/><Relationship Id="rId13" Type="http://schemas.openxmlformats.org/officeDocument/2006/relationships/hyperlink" Target="https://www.stats.govt.nz/methods/child-poverty-statistics-year-ended-june-2022-technical-appendix/" TargetMode="External"/><Relationship Id="rId18" Type="http://schemas.openxmlformats.org/officeDocument/2006/relationships/hyperlink" Target="https://www.stats.govt.nz/information-releases/child-poverty-statistics-year-ended-june-2025/" TargetMode="External"/><Relationship Id="rId26" Type="http://schemas.openxmlformats.org/officeDocument/2006/relationships/hyperlink" Target="https://www.stats.govt.nz/information-releases/household-income-and-housing-cost-statistics-year-ended-june-2025/" TargetMode="External"/><Relationship Id="rId3" Type="http://schemas.openxmlformats.org/officeDocument/2006/relationships/hyperlink" Target="https://www.msd.govt.nz/about-msd-and-our-work/publications-resources/working-papers/index.html" TargetMode="External"/><Relationship Id="rId21" Type="http://schemas.openxmlformats.org/officeDocument/2006/relationships/hyperlink" Target="https://www.washingtongroup-disability.com/" TargetMode="External"/><Relationship Id="rId34" Type="http://schemas.openxmlformats.org/officeDocument/2006/relationships/hyperlink" Target="https://www.stats.govt.nz/methods/child-poverty-statistics-year-ended-june-2025-technical-appendix/" TargetMode="External"/><Relationship Id="rId7" Type="http://schemas.openxmlformats.org/officeDocument/2006/relationships/hyperlink" Target="https://www.jrf.org.uk/what-drives-poverty-and-inequality-and-how-can-governments-tackle-them" TargetMode="External"/><Relationship Id="rId12" Type="http://schemas.openxmlformats.org/officeDocument/2006/relationships/hyperlink" Target="https://www.hud.govt.nz/stats-and-insight/2018-severe-housing-deprivation-estimate/" TargetMode="External"/><Relationship Id="rId17" Type="http://schemas.openxmlformats.org/officeDocument/2006/relationships/hyperlink" Target="https://www.msd.govt.nz/about-msd-and-our-work/publications-resources/working-papers/index.html" TargetMode="External"/><Relationship Id="rId25" Type="http://schemas.openxmlformats.org/officeDocument/2006/relationships/hyperlink" Target="https://www.msd.govt.nz/about-msd-and-our-work/publications-resources/working-papers/index.html" TargetMode="External"/><Relationship Id="rId33" Type="http://schemas.openxmlformats.org/officeDocument/2006/relationships/hyperlink" Target="https://www.hud.govt.nz/stats-and-insight/2018-severe-housing-deprivation-estimate/" TargetMode="External"/><Relationship Id="rId38" Type="http://schemas.openxmlformats.org/officeDocument/2006/relationships/hyperlink" Target="https://www.stats.govt.nz/methods/child-poverty-statistics-year-ended-june-2025-technical-appendix/" TargetMode="External"/><Relationship Id="rId2" Type="http://schemas.openxmlformats.org/officeDocument/2006/relationships/hyperlink" Target="https://www.stats.govt.nz/methods/measuring-child-poverty-concepts-and-definitions-fourth-edition/" TargetMode="External"/><Relationship Id="rId16" Type="http://schemas.openxmlformats.org/officeDocument/2006/relationships/hyperlink" Target="https://melbourneinstitute.unimelb.edu.au/hilda/publications/hilda-statistical-reports" TargetMode="External"/><Relationship Id="rId20" Type="http://schemas.openxmlformats.org/officeDocument/2006/relationships/hyperlink" Target="https://www.stats.govt.nz/information-releases/child-poverty-statistics-year-ended-june-2024/" TargetMode="External"/><Relationship Id="rId29" Type="http://schemas.openxmlformats.org/officeDocument/2006/relationships/hyperlink" Target="https://www.treasury.govt.nz/publications/child-poverty-report/child-poverty-report-2026" TargetMode="External"/><Relationship Id="rId1" Type="http://schemas.openxmlformats.org/officeDocument/2006/relationships/hyperlink" Target="https://www.stats.govt.nz/methods/about-the-transition-from-the-household-economic-survey-to-the-household-income-and-living-survey/" TargetMode="External"/><Relationship Id="rId6" Type="http://schemas.openxmlformats.org/officeDocument/2006/relationships/hyperlink" Target="https://www.stats.govt.nz/news/stats-nz-delivers-on-its-commitment-to-measure-persistent-child-poverty/" TargetMode="External"/><Relationship Id="rId11" Type="http://schemas.openxmlformats.org/officeDocument/2006/relationships/hyperlink" Target="https://www.msd.govt.nz/about-msd-and-our-work/publications-resources/statistics/housing/housing-monthly-archive/index.html" TargetMode="External"/><Relationship Id="rId24" Type="http://schemas.openxmlformats.org/officeDocument/2006/relationships/hyperlink" Target="https://www.msd.govt.nz/about-msd-and-our-work/publications-resources/research/child-poverty-in-nz/child-poverty-2022-report.html" TargetMode="External"/><Relationship Id="rId32" Type="http://schemas.openxmlformats.org/officeDocument/2006/relationships/hyperlink" Target="https://www.msd.govt.nz/about-msd-and-our-work/publications-resources/statistics/housing/housing-monthly-archive/index.html" TargetMode="External"/><Relationship Id="rId37" Type="http://schemas.openxmlformats.org/officeDocument/2006/relationships/hyperlink" Target="https://www.msd.govt.nz/about-msd-and-our-work/publications-resources/research/child-poverty-in-nz/child-poverty-2022-report.html" TargetMode="External"/><Relationship Id="rId5" Type="http://schemas.openxmlformats.org/officeDocument/2006/relationships/hyperlink" Target="https://www150.statcan.gc.ca/n1/en/pub/75f0002m/75f0002m2023007-eng.pdf?st=rS8MUnl6" TargetMode="External"/><Relationship Id="rId15" Type="http://schemas.openxmlformats.org/officeDocument/2006/relationships/hyperlink" Target="https://www.msd.govt.nz/about-msd-and-our-work/publications-resources/research/child-poverty-in-nz/index.html" TargetMode="External"/><Relationship Id="rId23" Type="http://schemas.openxmlformats.org/officeDocument/2006/relationships/hyperlink" Target="https://www.msd.govt.nz/about-msd-and-our-work/publications-resources/monitoring/living-standards/" TargetMode="External"/><Relationship Id="rId28" Type="http://schemas.openxmlformats.org/officeDocument/2006/relationships/hyperlink" Target="https://www.stats.govt.nz/information-releases/child-poverty-statistics-year-ended-june-2025/" TargetMode="External"/><Relationship Id="rId36" Type="http://schemas.openxmlformats.org/officeDocument/2006/relationships/hyperlink" Target="https://www.stats.govt.nz/methods/child-poverty-statistics-year-ended-june-2025-technical-appendix/" TargetMode="External"/><Relationship Id="rId10" Type="http://schemas.openxmlformats.org/officeDocument/2006/relationships/hyperlink" Target="https://www.msd.govt.nz/about-msd-and-our-work/publications-resources/working-papers/index.html" TargetMode="External"/><Relationship Id="rId19" Type="http://schemas.openxmlformats.org/officeDocument/2006/relationships/hyperlink" Target="https://www.stats.govt.nz/information-releases/child-poverty-statistics-year-ended-june-2025/" TargetMode="External"/><Relationship Id="rId31" Type="http://schemas.openxmlformats.org/officeDocument/2006/relationships/hyperlink" Target="https://www.msd.govt.nz/documents/about-msd-and-our-work/publications-resources/evaluation/families-package-reports/summaries-of-findings/families-package-final-report.pdf" TargetMode="External"/><Relationship Id="rId4" Type="http://schemas.openxmlformats.org/officeDocument/2006/relationships/hyperlink" Target="https://www.stats.govt.nz/methods/child-poverty-statistics-year-ended-june-2025-technical-appendix/" TargetMode="External"/><Relationship Id="rId9" Type="http://schemas.openxmlformats.org/officeDocument/2006/relationships/hyperlink" Target="https://www.stats.govt.nz/methods/measuring-child-poverty-concepts-and-definitions-fourth-edition/" TargetMode="External"/><Relationship Id="rId14" Type="http://schemas.openxmlformats.org/officeDocument/2006/relationships/hyperlink" Target="https://www.stats.govt.nz/methods/child-poverty-statistics-year-ended-june-2025-technical-appendix/" TargetMode="External"/><Relationship Id="rId22" Type="http://schemas.openxmlformats.org/officeDocument/2006/relationships/hyperlink" Target="https://www.stats.govt.nz/methods/about-the-transition-from-the-household-economic-survey-to-the-household-income-and-living-survey/" TargetMode="External"/><Relationship Id="rId27" Type="http://schemas.openxmlformats.org/officeDocument/2006/relationships/hyperlink" Target="https://www.msd.govt.nz/about-msd-and-our-work/publications-resources/information-releases/2025/material-hardship-lead-indicators-dashboard.html" TargetMode="External"/><Relationship Id="rId30" Type="http://schemas.openxmlformats.org/officeDocument/2006/relationships/hyperlink" Target="https://www.msd.govt.nz/about-msd-and-our-work/publications-resources/information-releases/2025/material-hardship-lead-indicators-dashboard.html" TargetMode="External"/><Relationship Id="rId35" Type="http://schemas.openxmlformats.org/officeDocument/2006/relationships/hyperlink" Target="https://www.stats.govt.nz/information-releases/child-poverty-statistics-year-ended-june-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9729E-BF08-4283-A610-23920336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45164</Words>
  <Characters>257440</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Child Poverty in New Zealand</vt:lpstr>
    </vt:vector>
  </TitlesOfParts>
  <Company/>
  <LinksUpToDate>false</LinksUpToDate>
  <CharactersWithSpaces>302001</CharactersWithSpaces>
  <SharedDoc>false</SharedDoc>
  <HLinks>
    <vt:vector size="84" baseType="variant">
      <vt:variant>
        <vt:i4>3801141</vt:i4>
      </vt:variant>
      <vt:variant>
        <vt:i4>27</vt:i4>
      </vt:variant>
      <vt:variant>
        <vt:i4>0</vt:i4>
      </vt:variant>
      <vt:variant>
        <vt:i4>5</vt:i4>
      </vt:variant>
      <vt:variant>
        <vt:lpwstr>https://dinglefoundation.org.nz/wp-content/uploads/2019/08/Office-of-Chldrens-Commission-What-makes-a-good-life.pdf</vt:lpwstr>
      </vt:variant>
      <vt:variant>
        <vt:lpwstr/>
      </vt:variant>
      <vt:variant>
        <vt:i4>5439557</vt:i4>
      </vt:variant>
      <vt:variant>
        <vt:i4>24</vt:i4>
      </vt:variant>
      <vt:variant>
        <vt:i4>0</vt:i4>
      </vt:variant>
      <vt:variant>
        <vt:i4>5</vt:i4>
      </vt:variant>
      <vt:variant>
        <vt:lpwstr>https://www.orangatamariki.govt.nz/assets/Uploads/Media/what-makes-a-good-life/What-makes-a-good-life-report-OCC-OT-2019.pdf</vt:lpwstr>
      </vt:variant>
      <vt:variant>
        <vt:lpwstr/>
      </vt:variant>
      <vt:variant>
        <vt:i4>3670125</vt:i4>
      </vt:variant>
      <vt:variant>
        <vt:i4>21</vt:i4>
      </vt:variant>
      <vt:variant>
        <vt:i4>0</vt:i4>
      </vt:variant>
      <vt:variant>
        <vt:i4>5</vt:i4>
      </vt:variant>
      <vt:variant>
        <vt:lpwstr>https://statsnz.contentdm.oclc.org/digital/collection/p20045coll2/id/1000/rec/4</vt:lpwstr>
      </vt:variant>
      <vt:variant>
        <vt:lpwstr/>
      </vt:variant>
      <vt:variant>
        <vt:i4>2490431</vt:i4>
      </vt:variant>
      <vt:variant>
        <vt:i4>18</vt:i4>
      </vt:variant>
      <vt:variant>
        <vt:i4>0</vt:i4>
      </vt:variant>
      <vt:variant>
        <vt:i4>5</vt:i4>
      </vt:variant>
      <vt:variant>
        <vt:lpwstr>https://www.stats.govt.nz/methods/measuring-child-poverty-material-hardship</vt:lpwstr>
      </vt:variant>
      <vt:variant>
        <vt:lpwstr/>
      </vt:variant>
      <vt:variant>
        <vt:i4>6029385</vt:i4>
      </vt:variant>
      <vt:variant>
        <vt:i4>15</vt:i4>
      </vt:variant>
      <vt:variant>
        <vt:i4>0</vt:i4>
      </vt:variant>
      <vt:variant>
        <vt:i4>5</vt:i4>
      </vt:variant>
      <vt:variant>
        <vt:lpwstr>https://www.msd.govt.nz/about-msd-and-our-work/publications-resources/working-papers/index.html</vt:lpwstr>
      </vt:variant>
      <vt:variant>
        <vt:lpwstr>WorkingPapers20191</vt:lpwstr>
      </vt:variant>
      <vt:variant>
        <vt:i4>6029385</vt:i4>
      </vt:variant>
      <vt:variant>
        <vt:i4>12</vt:i4>
      </vt:variant>
      <vt:variant>
        <vt:i4>0</vt:i4>
      </vt:variant>
      <vt:variant>
        <vt:i4>5</vt:i4>
      </vt:variant>
      <vt:variant>
        <vt:lpwstr>https://www.msd.govt.nz/about-msd-and-our-work/publications-resources/working-papers/index.html</vt:lpwstr>
      </vt:variant>
      <vt:variant>
        <vt:lpwstr>WorkingPapers20191</vt:lpwstr>
      </vt:variant>
      <vt:variant>
        <vt:i4>5767190</vt:i4>
      </vt:variant>
      <vt:variant>
        <vt:i4>9</vt:i4>
      </vt:variant>
      <vt:variant>
        <vt:i4>0</vt:i4>
      </vt:variant>
      <vt:variant>
        <vt:i4>5</vt:i4>
      </vt:variant>
      <vt:variant>
        <vt:lpwstr>https://ideas.repec.org/s/spr/soinre.html</vt:lpwstr>
      </vt:variant>
      <vt:variant>
        <vt:lpwstr/>
      </vt:variant>
      <vt:variant>
        <vt:i4>5832729</vt:i4>
      </vt:variant>
      <vt:variant>
        <vt:i4>6</vt:i4>
      </vt:variant>
      <vt:variant>
        <vt:i4>0</vt:i4>
      </vt:variant>
      <vt:variant>
        <vt:i4>5</vt:i4>
      </vt:variant>
      <vt:variant>
        <vt:lpwstr>https://ideas.repec.org/a/spr/soinre/v116y2014i2p611-638.html</vt:lpwstr>
      </vt:variant>
      <vt:variant>
        <vt:lpwstr/>
      </vt:variant>
      <vt:variant>
        <vt:i4>8126574</vt:i4>
      </vt:variant>
      <vt:variant>
        <vt:i4>3</vt:i4>
      </vt:variant>
      <vt:variant>
        <vt:i4>0</vt:i4>
      </vt:variant>
      <vt:variant>
        <vt:i4>5</vt:i4>
      </vt:variant>
      <vt:variant>
        <vt:lpwstr>http://appsso.eurostat.ec.europa.eu/nui/show.do?dataset=lfsi_jhh_a&amp;lang=en</vt:lpwstr>
      </vt:variant>
      <vt:variant>
        <vt:lpwstr/>
      </vt:variant>
      <vt:variant>
        <vt:i4>1441881</vt:i4>
      </vt:variant>
      <vt:variant>
        <vt:i4>0</vt:i4>
      </vt:variant>
      <vt:variant>
        <vt:i4>0</vt:i4>
      </vt:variant>
      <vt:variant>
        <vt:i4>5</vt:i4>
      </vt:variant>
      <vt:variant>
        <vt:lpwstr>https://www.stats.govt.nz/information-releases/child-poverty-statistics-year-ended-june-2019</vt:lpwstr>
      </vt:variant>
      <vt:variant>
        <vt:lpwstr/>
      </vt:variant>
      <vt:variant>
        <vt:i4>6619223</vt:i4>
      </vt:variant>
      <vt:variant>
        <vt:i4>9</vt:i4>
      </vt:variant>
      <vt:variant>
        <vt:i4>0</vt:i4>
      </vt:variant>
      <vt:variant>
        <vt:i4>5</vt:i4>
      </vt:variant>
      <vt:variant>
        <vt:lpwstr>https://ec.europa.eu/eurostat/statistics-explained/index.php?title=Glossary:At-risk-of-poverty_rate</vt:lpwstr>
      </vt:variant>
      <vt:variant>
        <vt:lpwstr/>
      </vt:variant>
      <vt:variant>
        <vt:i4>2097263</vt:i4>
      </vt:variant>
      <vt:variant>
        <vt:i4>6</vt:i4>
      </vt:variant>
      <vt:variant>
        <vt:i4>0</vt:i4>
      </vt:variant>
      <vt:variant>
        <vt:i4>5</vt:i4>
      </vt:variant>
      <vt:variant>
        <vt:lpwstr>http://www.weag.govt.nz/weag-report/background-papers/</vt:lpwstr>
      </vt:variant>
      <vt:variant>
        <vt:lpwstr/>
      </vt:variant>
      <vt:variant>
        <vt:i4>6619223</vt:i4>
      </vt:variant>
      <vt:variant>
        <vt:i4>3</vt:i4>
      </vt:variant>
      <vt:variant>
        <vt:i4>0</vt:i4>
      </vt:variant>
      <vt:variant>
        <vt:i4>5</vt:i4>
      </vt:variant>
      <vt:variant>
        <vt:lpwstr>https://ec.europa.eu/eurostat/statistics-explained/index.php?title=Glossary:At-risk-of-poverty_rate</vt:lpwstr>
      </vt:variant>
      <vt:variant>
        <vt:lpwstr/>
      </vt:variant>
      <vt:variant>
        <vt:i4>7143534</vt:i4>
      </vt:variant>
      <vt:variant>
        <vt:i4>0</vt:i4>
      </vt:variant>
      <vt:variant>
        <vt:i4>0</vt:i4>
      </vt:variant>
      <vt:variant>
        <vt:i4>5</vt:i4>
      </vt:variant>
      <vt:variant>
        <vt:lpwstr>https://dpmc.govt.nz/our-programmes/reducing-child-poverty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Poverty in New Zealand</dc:title>
  <dc:subject/>
  <dc:creator>Bryan Perry</dc:creator>
  <cp:keywords/>
  <dc:description/>
  <cp:lastModifiedBy>Bryan Perry</cp:lastModifiedBy>
  <cp:revision>4</cp:revision>
  <cp:lastPrinted>2026-07-19T23:26:00Z</cp:lastPrinted>
  <dcterms:created xsi:type="dcterms:W3CDTF">2026-07-19T23:24:00Z</dcterms:created>
  <dcterms:modified xsi:type="dcterms:W3CDTF">2026-07-19T23:28:00Z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1,2,3,4,6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5a96e5af-8d67-4c00-8226-9513c2a2e5a4_Enabled">
    <vt:lpwstr>true</vt:lpwstr>
  </property>
  <property fmtid="{D5CDD505-2E9C-101B-9397-08002B2CF9AE}" pid="6" name="MSIP_Label_5a96e5af-8d67-4c00-8226-9513c2a2e5a4_SetDate">
    <vt:lpwstr>2026-07-19T23:26:24Z</vt:lpwstr>
  </property>
  <property fmtid="{D5CDD505-2E9C-101B-9397-08002B2CF9AE}" pid="7" name="MSIP_Label_5a96e5af-8d67-4c00-8226-9513c2a2e5a4_Method">
    <vt:lpwstr>Privileged</vt:lpwstr>
  </property>
  <property fmtid="{D5CDD505-2E9C-101B-9397-08002B2CF9AE}" pid="8" name="MSIP_Label_5a96e5af-8d67-4c00-8226-9513c2a2e5a4_Name">
    <vt:lpwstr>Unclassified</vt:lpwstr>
  </property>
  <property fmtid="{D5CDD505-2E9C-101B-9397-08002B2CF9AE}" pid="9" name="MSIP_Label_5a96e5af-8d67-4c00-8226-9513c2a2e5a4_SiteId">
    <vt:lpwstr>e40c4f52-99bd-4d4f-bf7e-d001a2ca6556</vt:lpwstr>
  </property>
  <property fmtid="{D5CDD505-2E9C-101B-9397-08002B2CF9AE}" pid="10" name="MSIP_Label_5a96e5af-8d67-4c00-8226-9513c2a2e5a4_ActionId">
    <vt:lpwstr>8f719a54-63a6-45cc-90a1-0a2d59276db8</vt:lpwstr>
  </property>
  <property fmtid="{D5CDD505-2E9C-101B-9397-08002B2CF9AE}" pid="11" name="MSIP_Label_5a96e5af-8d67-4c00-8226-9513c2a2e5a4_ContentBits">
    <vt:lpwstr>0</vt:lpwstr>
  </property>
  <property fmtid="{D5CDD505-2E9C-101B-9397-08002B2CF9AE}" pid="12" name="MSIP_Label_5a96e5af-8d67-4c00-8226-9513c2a2e5a4_Tag">
    <vt:lpwstr>10, 0, 1, 1</vt:lpwstr>
  </property>
</Properties>
</file>