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8B4AB" w14:textId="5D458D30" w:rsidR="00EF50FD" w:rsidRPr="00A864A5" w:rsidRDefault="000F6451" w:rsidP="00EF50FD">
      <w:pPr>
        <w:pStyle w:val="Heading1"/>
        <w:spacing w:before="0" w:after="120" w:line="276" w:lineRule="auto"/>
        <w:rPr>
          <w:color w:val="0082AB"/>
          <w:lang w:val="en-NZ"/>
        </w:rPr>
      </w:pPr>
      <w:bookmarkStart w:id="0" w:name="_Hlk155946803"/>
      <w:r>
        <w:rPr>
          <w:color w:val="0082AB"/>
          <w:lang w:val="en-NZ"/>
        </w:rPr>
        <w:t>Supplementary Analysis Report</w:t>
      </w:r>
      <w:r w:rsidR="00EF50FD" w:rsidRPr="00A864A5">
        <w:rPr>
          <w:color w:val="0082AB"/>
          <w:lang w:val="en-NZ"/>
        </w:rPr>
        <w:t xml:space="preserve">: </w:t>
      </w:r>
      <w:r w:rsidR="00BC65E3">
        <w:rPr>
          <w:color w:val="0082AB"/>
          <w:lang w:val="en-NZ"/>
        </w:rPr>
        <w:t>Indexing Main Benefits to Inflation</w:t>
      </w:r>
    </w:p>
    <w:bookmarkEnd w:id="0"/>
    <w:p w14:paraId="3BD94C32" w14:textId="2F835BE6" w:rsidR="0062657E" w:rsidRPr="00A864A5" w:rsidRDefault="0017116F" w:rsidP="00F63B97">
      <w:pPr>
        <w:pStyle w:val="Heading2"/>
        <w:rPr>
          <w:lang w:val="en-NZ"/>
        </w:rPr>
      </w:pPr>
      <w:r w:rsidRPr="00A864A5">
        <w:rPr>
          <w:lang w:val="en-NZ"/>
        </w:rPr>
        <w:t>Covershee</w:t>
      </w:r>
      <w:r w:rsidR="00EF50FD" w:rsidRPr="00A864A5">
        <w:rPr>
          <w:lang w:val="en-NZ"/>
        </w:rPr>
        <w:t>t</w:t>
      </w:r>
    </w:p>
    <w:p w14:paraId="6DD276F7" w14:textId="7DC5C400" w:rsidR="0062657E" w:rsidRPr="00A864A5" w:rsidRDefault="0062657E" w:rsidP="00743278">
      <w:pPr>
        <w:pStyle w:val="spacer"/>
        <w:rPr>
          <w:lang w:val="en-NZ"/>
        </w:rPr>
      </w:pPr>
    </w:p>
    <w:tbl>
      <w:tblPr>
        <w:tblW w:w="5000" w:type="pct"/>
        <w:tblInd w:w="-5"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ook w:val="0600" w:firstRow="0" w:lastRow="0" w:firstColumn="0" w:lastColumn="0" w:noHBand="1" w:noVBand="1"/>
      </w:tblPr>
      <w:tblGrid>
        <w:gridCol w:w="2406"/>
        <w:gridCol w:w="6654"/>
      </w:tblGrid>
      <w:tr w:rsidR="001F29E6" w:rsidRPr="00A864A5" w14:paraId="24CAC5A8" w14:textId="77777777" w:rsidTr="445BF07F">
        <w:tc>
          <w:tcPr>
            <w:tcW w:w="5000" w:type="pct"/>
            <w:gridSpan w:val="2"/>
            <w:tcBorders>
              <w:bottom w:val="single" w:sz="4" w:space="0" w:color="DDDDDD"/>
            </w:tcBorders>
            <w:shd w:val="clear" w:color="auto" w:fill="99CDDD"/>
            <w:hideMark/>
          </w:tcPr>
          <w:p w14:paraId="3273EFFF" w14:textId="48C848C9" w:rsidR="001F29E6" w:rsidRPr="00A864A5" w:rsidRDefault="001F29E6">
            <w:pPr>
              <w:pStyle w:val="TableHeadings"/>
              <w:rPr>
                <w:color w:val="002060"/>
                <w:szCs w:val="22"/>
                <w:lang w:val="en-NZ"/>
              </w:rPr>
            </w:pPr>
            <w:bookmarkStart w:id="1" w:name="_Hlk47357107"/>
            <w:r w:rsidRPr="00A864A5">
              <w:rPr>
                <w:szCs w:val="22"/>
                <w:lang w:val="en-NZ"/>
              </w:rPr>
              <w:t>Purpose</w:t>
            </w:r>
            <w:r w:rsidR="002C0E77">
              <w:rPr>
                <w:szCs w:val="22"/>
                <w:lang w:val="en-NZ"/>
              </w:rPr>
              <w:t xml:space="preserve"> of Document</w:t>
            </w:r>
          </w:p>
        </w:tc>
      </w:tr>
      <w:tr w:rsidR="001F29E6" w:rsidRPr="00A864A5" w14:paraId="24C44C49" w14:textId="77777777" w:rsidTr="445BF07F">
        <w:trPr>
          <w:trHeight w:val="414"/>
        </w:trPr>
        <w:tc>
          <w:tcPr>
            <w:tcW w:w="1328" w:type="pct"/>
            <w:tcBorders>
              <w:top w:val="nil"/>
            </w:tcBorders>
            <w:shd w:val="clear" w:color="auto" w:fill="EBF5F8"/>
          </w:tcPr>
          <w:p w14:paraId="120D8478" w14:textId="2B08DCFD" w:rsidR="001F29E6" w:rsidRPr="00A864A5" w:rsidRDefault="001F29E6" w:rsidP="445BF07F">
            <w:pPr>
              <w:rPr>
                <w:rFonts w:cs="Arial"/>
                <w:color w:val="000000"/>
                <w:lang w:val="en-NZ"/>
              </w:rPr>
            </w:pPr>
            <w:r w:rsidRPr="445BF07F">
              <w:rPr>
                <w:rFonts w:cs="Arial"/>
                <w:color w:val="000000" w:themeColor="text1"/>
                <w:lang w:val="en-NZ"/>
              </w:rPr>
              <w:t xml:space="preserve">Decision </w:t>
            </w:r>
            <w:r w:rsidR="009E27A7" w:rsidRPr="445BF07F">
              <w:rPr>
                <w:rFonts w:cs="Arial"/>
                <w:color w:val="000000" w:themeColor="text1"/>
                <w:lang w:val="en-NZ"/>
              </w:rPr>
              <w:t>taken</w:t>
            </w:r>
            <w:r w:rsidRPr="445BF07F">
              <w:rPr>
                <w:rFonts w:cs="Arial"/>
                <w:color w:val="000000" w:themeColor="text1"/>
                <w:lang w:val="en-NZ"/>
              </w:rPr>
              <w:t>:</w:t>
            </w:r>
          </w:p>
        </w:tc>
        <w:tc>
          <w:tcPr>
            <w:tcW w:w="3672" w:type="pct"/>
            <w:tcBorders>
              <w:top w:val="nil"/>
            </w:tcBorders>
            <w:shd w:val="clear" w:color="auto" w:fill="auto"/>
          </w:tcPr>
          <w:p w14:paraId="2B9F992E" w14:textId="6047D2D5" w:rsidR="001F29E6" w:rsidRPr="008064C0" w:rsidRDefault="00BC65E3">
            <w:pPr>
              <w:rPr>
                <w:rFonts w:cs="Arial"/>
                <w:i/>
                <w:color w:val="000000"/>
                <w:lang w:val="en-NZ"/>
              </w:rPr>
            </w:pPr>
            <w:r w:rsidRPr="43A19F92">
              <w:rPr>
                <w:rFonts w:cs="Arial"/>
                <w:color w:val="000000" w:themeColor="text1"/>
                <w:lang w:val="en-NZ"/>
              </w:rPr>
              <w:t xml:space="preserve">This analysis has been developed in response to the Government’s </w:t>
            </w:r>
            <w:r w:rsidR="004C6862">
              <w:rPr>
                <w:rFonts w:cs="Arial"/>
                <w:color w:val="000000" w:themeColor="text1"/>
                <w:lang w:val="en-NZ"/>
              </w:rPr>
              <w:t>agreement</w:t>
            </w:r>
            <w:r w:rsidR="004C6862" w:rsidRPr="43A19F92">
              <w:rPr>
                <w:rFonts w:cs="Arial"/>
                <w:color w:val="000000" w:themeColor="text1"/>
                <w:lang w:val="en-NZ"/>
              </w:rPr>
              <w:t xml:space="preserve"> </w:t>
            </w:r>
            <w:r w:rsidRPr="43A19F92">
              <w:rPr>
                <w:rFonts w:cs="Arial"/>
                <w:color w:val="000000" w:themeColor="text1"/>
                <w:lang w:val="en-NZ"/>
              </w:rPr>
              <w:t>to index</w:t>
            </w:r>
            <w:r w:rsidR="00EE4609">
              <w:rPr>
                <w:rFonts w:cs="Arial"/>
                <w:color w:val="000000" w:themeColor="text1"/>
                <w:lang w:val="en-NZ"/>
              </w:rPr>
              <w:t xml:space="preserve"> main</w:t>
            </w:r>
            <w:r w:rsidRPr="43A19F92">
              <w:rPr>
                <w:rFonts w:cs="Arial"/>
                <w:color w:val="000000" w:themeColor="text1"/>
                <w:lang w:val="en-NZ"/>
              </w:rPr>
              <w:t xml:space="preserve"> benefits to </w:t>
            </w:r>
            <w:r w:rsidR="00892E65" w:rsidRPr="43A19F92">
              <w:rPr>
                <w:rFonts w:cs="Arial"/>
                <w:color w:val="000000" w:themeColor="text1"/>
                <w:lang w:val="en-NZ"/>
              </w:rPr>
              <w:t>inflation</w:t>
            </w:r>
            <w:r w:rsidR="00892E65" w:rsidRPr="005049D5">
              <w:t xml:space="preserve"> (</w:t>
            </w:r>
            <w:r w:rsidR="00F4690A" w:rsidRPr="005049D5">
              <w:t>upwards movement in the Consumers Price Index</w:t>
            </w:r>
            <w:r w:rsidR="00F4690A">
              <w:t>)</w:t>
            </w:r>
            <w:r w:rsidRPr="43A19F92">
              <w:rPr>
                <w:rFonts w:cs="Arial"/>
                <w:color w:val="000000" w:themeColor="text1"/>
                <w:lang w:val="en-NZ"/>
              </w:rPr>
              <w:t>. This will require making a change to</w:t>
            </w:r>
            <w:r>
              <w:t xml:space="preserve"> </w:t>
            </w:r>
            <w:r w:rsidRPr="43A19F92">
              <w:rPr>
                <w:rFonts w:cs="Arial"/>
                <w:color w:val="000000" w:themeColor="text1"/>
                <w:lang w:val="en-NZ"/>
              </w:rPr>
              <w:t xml:space="preserve">the Social Security </w:t>
            </w:r>
            <w:r w:rsidR="00907988" w:rsidRPr="43A19F92">
              <w:rPr>
                <w:rFonts w:cs="Arial"/>
                <w:color w:val="000000" w:themeColor="text1"/>
                <w:lang w:val="en-NZ"/>
              </w:rPr>
              <w:t>A</w:t>
            </w:r>
            <w:r w:rsidRPr="43A19F92">
              <w:rPr>
                <w:rFonts w:cs="Arial"/>
                <w:color w:val="000000" w:themeColor="text1"/>
                <w:lang w:val="en-NZ"/>
              </w:rPr>
              <w:t>ct</w:t>
            </w:r>
            <w:r w:rsidR="00907988" w:rsidRPr="43A19F92">
              <w:rPr>
                <w:rFonts w:cs="Arial"/>
                <w:color w:val="000000" w:themeColor="text1"/>
                <w:lang w:val="en-NZ"/>
              </w:rPr>
              <w:t xml:space="preserve"> 2018</w:t>
            </w:r>
            <w:r w:rsidR="00142AF4">
              <w:rPr>
                <w:rFonts w:cs="Arial"/>
                <w:color w:val="000000" w:themeColor="text1"/>
                <w:lang w:val="en-NZ"/>
              </w:rPr>
              <w:t>,</w:t>
            </w:r>
            <w:r w:rsidRPr="43A19F92">
              <w:rPr>
                <w:rFonts w:cs="Arial"/>
                <w:color w:val="000000" w:themeColor="text1"/>
                <w:lang w:val="en-NZ"/>
              </w:rPr>
              <w:t xml:space="preserve"> </w:t>
            </w:r>
            <w:r w:rsidR="00907988" w:rsidRPr="43A19F92">
              <w:rPr>
                <w:rFonts w:cs="Arial"/>
                <w:color w:val="000000" w:themeColor="text1"/>
                <w:lang w:val="en-NZ"/>
              </w:rPr>
              <w:t>which</w:t>
            </w:r>
            <w:r w:rsidRPr="43A19F92">
              <w:rPr>
                <w:rFonts w:cs="Arial"/>
                <w:color w:val="000000" w:themeColor="text1"/>
                <w:lang w:val="en-NZ"/>
              </w:rPr>
              <w:t xml:space="preserve"> currently requires main benefits to be indexed to net average wage growth.</w:t>
            </w:r>
          </w:p>
        </w:tc>
      </w:tr>
      <w:tr w:rsidR="001F29E6" w:rsidRPr="00A864A5" w14:paraId="2895A1B0" w14:textId="77777777" w:rsidTr="445BF07F">
        <w:trPr>
          <w:trHeight w:val="506"/>
        </w:trPr>
        <w:tc>
          <w:tcPr>
            <w:tcW w:w="1328" w:type="pct"/>
            <w:tcBorders>
              <w:top w:val="nil"/>
            </w:tcBorders>
            <w:shd w:val="clear" w:color="auto" w:fill="EBF5F8"/>
          </w:tcPr>
          <w:p w14:paraId="19AF4671" w14:textId="697D59E7" w:rsidR="001F29E6" w:rsidRPr="00A864A5" w:rsidRDefault="002C0E77">
            <w:pPr>
              <w:rPr>
                <w:rFonts w:cs="Arial"/>
                <w:iCs/>
                <w:color w:val="000000"/>
                <w:szCs w:val="22"/>
                <w:lang w:val="en-NZ"/>
              </w:rPr>
            </w:pPr>
            <w:r>
              <w:rPr>
                <w:rFonts w:cs="Arial"/>
                <w:iCs/>
                <w:color w:val="000000"/>
                <w:szCs w:val="22"/>
                <w:lang w:val="en-NZ"/>
              </w:rPr>
              <w:t>Advising agencies</w:t>
            </w:r>
            <w:r w:rsidR="007F3B1C">
              <w:rPr>
                <w:rFonts w:cs="Arial"/>
                <w:iCs/>
                <w:color w:val="000000"/>
                <w:szCs w:val="22"/>
                <w:lang w:val="en-NZ"/>
              </w:rPr>
              <w:t>:</w:t>
            </w:r>
          </w:p>
        </w:tc>
        <w:tc>
          <w:tcPr>
            <w:tcW w:w="3672" w:type="pct"/>
            <w:tcBorders>
              <w:top w:val="nil"/>
            </w:tcBorders>
            <w:shd w:val="clear" w:color="auto" w:fill="auto"/>
          </w:tcPr>
          <w:p w14:paraId="742E202F" w14:textId="75AE8277" w:rsidR="001F29E6" w:rsidRPr="008064C0" w:rsidRDefault="00BC65E3">
            <w:pPr>
              <w:rPr>
                <w:rFonts w:cs="Arial"/>
                <w:i/>
                <w:color w:val="000000"/>
                <w:szCs w:val="22"/>
                <w:lang w:val="en-NZ"/>
              </w:rPr>
            </w:pPr>
            <w:r>
              <w:rPr>
                <w:rFonts w:cs="Arial"/>
                <w:iCs/>
                <w:color w:val="000000"/>
                <w:szCs w:val="22"/>
                <w:lang w:val="en-NZ"/>
              </w:rPr>
              <w:t>Ministry of Social Development</w:t>
            </w:r>
          </w:p>
        </w:tc>
      </w:tr>
      <w:tr w:rsidR="00BC65E3" w:rsidRPr="00A864A5" w14:paraId="568C5BEC" w14:textId="77777777" w:rsidTr="445BF07F">
        <w:trPr>
          <w:trHeight w:val="317"/>
        </w:trPr>
        <w:tc>
          <w:tcPr>
            <w:tcW w:w="1328" w:type="pct"/>
            <w:tcBorders>
              <w:top w:val="nil"/>
            </w:tcBorders>
            <w:shd w:val="clear" w:color="auto" w:fill="EBF5F8"/>
          </w:tcPr>
          <w:p w14:paraId="0F68A519" w14:textId="4F678206" w:rsidR="00BC65E3" w:rsidRPr="00A864A5" w:rsidRDefault="00BC65E3" w:rsidP="00BC65E3">
            <w:pPr>
              <w:rPr>
                <w:rFonts w:cs="Arial"/>
                <w:iCs/>
                <w:color w:val="000000"/>
                <w:szCs w:val="22"/>
                <w:lang w:val="en-NZ"/>
              </w:rPr>
            </w:pPr>
            <w:r w:rsidRPr="00A864A5">
              <w:rPr>
                <w:rFonts w:cs="Arial"/>
                <w:iCs/>
                <w:color w:val="000000"/>
                <w:szCs w:val="22"/>
                <w:lang w:val="en-NZ"/>
              </w:rPr>
              <w:t>Proposing Minister</w:t>
            </w:r>
            <w:r>
              <w:rPr>
                <w:rFonts w:cs="Arial"/>
                <w:iCs/>
                <w:color w:val="000000"/>
                <w:szCs w:val="22"/>
                <w:lang w:val="en-NZ"/>
              </w:rPr>
              <w:t>s:</w:t>
            </w:r>
          </w:p>
        </w:tc>
        <w:tc>
          <w:tcPr>
            <w:tcW w:w="3672" w:type="pct"/>
            <w:tcBorders>
              <w:top w:val="nil"/>
            </w:tcBorders>
            <w:shd w:val="clear" w:color="auto" w:fill="auto"/>
          </w:tcPr>
          <w:p w14:paraId="3C92607C" w14:textId="05351AA7" w:rsidR="00BC65E3" w:rsidRPr="008064C0" w:rsidRDefault="00BC65E3" w:rsidP="00BC65E3">
            <w:pPr>
              <w:rPr>
                <w:rFonts w:cs="Arial"/>
                <w:i/>
                <w:color w:val="000000"/>
                <w:szCs w:val="22"/>
                <w:lang w:val="en-NZ"/>
              </w:rPr>
            </w:pPr>
            <w:r>
              <w:rPr>
                <w:rFonts w:cs="Arial"/>
                <w:iCs/>
                <w:color w:val="000000"/>
                <w:szCs w:val="22"/>
                <w:lang w:val="en-NZ"/>
              </w:rPr>
              <w:t>Minister for Social Development and Employment</w:t>
            </w:r>
          </w:p>
        </w:tc>
      </w:tr>
      <w:tr w:rsidR="00C11B3B" w:rsidRPr="00A864A5" w14:paraId="73C7C7FD" w14:textId="77777777" w:rsidTr="445BF07F">
        <w:trPr>
          <w:trHeight w:val="202"/>
        </w:trPr>
        <w:tc>
          <w:tcPr>
            <w:tcW w:w="1328" w:type="pct"/>
            <w:tcBorders>
              <w:top w:val="nil"/>
            </w:tcBorders>
            <w:shd w:val="clear" w:color="auto" w:fill="EBF5F8"/>
          </w:tcPr>
          <w:p w14:paraId="5B57759D" w14:textId="6F936C83" w:rsidR="00C11B3B" w:rsidRPr="00A864A5" w:rsidRDefault="00C11B3B">
            <w:pPr>
              <w:rPr>
                <w:rFonts w:cs="Arial"/>
                <w:iCs/>
                <w:color w:val="000000"/>
                <w:szCs w:val="22"/>
                <w:lang w:val="en-NZ"/>
              </w:rPr>
            </w:pPr>
            <w:r w:rsidRPr="00A864A5">
              <w:rPr>
                <w:rFonts w:cs="Arial"/>
                <w:iCs/>
                <w:color w:val="000000"/>
                <w:szCs w:val="22"/>
                <w:lang w:val="en-NZ"/>
              </w:rPr>
              <w:t>Date</w:t>
            </w:r>
            <w:r w:rsidR="002C0E77">
              <w:rPr>
                <w:rFonts w:cs="Arial"/>
                <w:iCs/>
                <w:color w:val="000000"/>
                <w:szCs w:val="22"/>
                <w:lang w:val="en-NZ"/>
              </w:rPr>
              <w:t xml:space="preserve"> finalised</w:t>
            </w:r>
            <w:r w:rsidRPr="00A864A5">
              <w:rPr>
                <w:rFonts w:cs="Arial"/>
                <w:iCs/>
                <w:color w:val="000000"/>
                <w:szCs w:val="22"/>
                <w:lang w:val="en-NZ"/>
              </w:rPr>
              <w:t>:</w:t>
            </w:r>
          </w:p>
        </w:tc>
        <w:tc>
          <w:tcPr>
            <w:tcW w:w="3672" w:type="pct"/>
            <w:tcBorders>
              <w:top w:val="nil"/>
            </w:tcBorders>
            <w:shd w:val="clear" w:color="auto" w:fill="auto"/>
          </w:tcPr>
          <w:p w14:paraId="4547EFD0" w14:textId="4F82CD3A" w:rsidR="00C11B3B" w:rsidRPr="00596D8A" w:rsidRDefault="00596D8A">
            <w:pPr>
              <w:rPr>
                <w:rFonts w:cs="Arial"/>
                <w:iCs/>
                <w:color w:val="000000"/>
                <w:szCs w:val="22"/>
                <w:highlight w:val="lightGray"/>
                <w:lang w:val="en-NZ"/>
              </w:rPr>
            </w:pPr>
            <w:r w:rsidRPr="00596D8A">
              <w:rPr>
                <w:rFonts w:cs="Arial"/>
                <w:iCs/>
                <w:color w:val="000000"/>
                <w:szCs w:val="22"/>
                <w:lang w:val="en-NZ"/>
              </w:rPr>
              <w:t>1</w:t>
            </w:r>
            <w:r w:rsidR="00CF70DE">
              <w:rPr>
                <w:rFonts w:cs="Arial"/>
                <w:iCs/>
                <w:color w:val="000000"/>
                <w:szCs w:val="22"/>
                <w:lang w:val="en-NZ"/>
              </w:rPr>
              <w:t>8</w:t>
            </w:r>
            <w:r w:rsidRPr="00596D8A">
              <w:rPr>
                <w:rFonts w:cs="Arial"/>
                <w:iCs/>
                <w:color w:val="000000"/>
                <w:szCs w:val="22"/>
                <w:lang w:val="en-NZ"/>
              </w:rPr>
              <w:t xml:space="preserve"> January 2024</w:t>
            </w:r>
          </w:p>
        </w:tc>
      </w:tr>
      <w:tr w:rsidR="0079435C" w:rsidRPr="00A864A5" w14:paraId="7F643A0E" w14:textId="77777777" w:rsidTr="445BF07F">
        <w:tc>
          <w:tcPr>
            <w:tcW w:w="5000" w:type="pct"/>
            <w:gridSpan w:val="2"/>
            <w:tcBorders>
              <w:bottom w:val="single" w:sz="4" w:space="0" w:color="DDDDDD"/>
            </w:tcBorders>
            <w:shd w:val="clear" w:color="auto" w:fill="99CDDD"/>
            <w:hideMark/>
          </w:tcPr>
          <w:p w14:paraId="7F446F06" w14:textId="570ED786" w:rsidR="0079435C" w:rsidRPr="00A864A5" w:rsidRDefault="0079435C">
            <w:pPr>
              <w:pStyle w:val="TableHeadings"/>
              <w:rPr>
                <w:color w:val="002060"/>
                <w:szCs w:val="22"/>
                <w:lang w:val="en-NZ"/>
              </w:rPr>
            </w:pPr>
            <w:r w:rsidRPr="00A864A5">
              <w:rPr>
                <w:szCs w:val="22"/>
                <w:lang w:val="en-NZ"/>
              </w:rPr>
              <w:t>Problem Definition</w:t>
            </w:r>
          </w:p>
        </w:tc>
      </w:tr>
      <w:tr w:rsidR="0079435C" w:rsidRPr="00A864A5" w14:paraId="058C86B2" w14:textId="77777777" w:rsidTr="445BF07F">
        <w:trPr>
          <w:trHeight w:val="824"/>
        </w:trPr>
        <w:tc>
          <w:tcPr>
            <w:tcW w:w="5000" w:type="pct"/>
            <w:gridSpan w:val="2"/>
            <w:tcBorders>
              <w:top w:val="nil"/>
            </w:tcBorders>
            <w:shd w:val="clear" w:color="auto" w:fill="auto"/>
          </w:tcPr>
          <w:p w14:paraId="4EBB6131" w14:textId="1AAC5665" w:rsidR="0079435C" w:rsidRPr="00A864A5" w:rsidRDefault="00BC65E3">
            <w:pPr>
              <w:tabs>
                <w:tab w:val="left" w:pos="7424"/>
                <w:tab w:val="right" w:pos="8636"/>
              </w:tabs>
              <w:rPr>
                <w:rFonts w:cs="Arial"/>
                <w:lang w:val="en-NZ"/>
              </w:rPr>
            </w:pPr>
            <w:r w:rsidRPr="004D71CF">
              <w:t xml:space="preserve">The </w:t>
            </w:r>
            <w:r>
              <w:t>Government</w:t>
            </w:r>
            <w:r w:rsidRPr="004D71CF">
              <w:t xml:space="preserve"> has </w:t>
            </w:r>
            <w:r w:rsidR="00E247D4">
              <w:t>decided</w:t>
            </w:r>
            <w:r w:rsidR="00E247D4" w:rsidRPr="004D71CF">
              <w:t xml:space="preserve"> </w:t>
            </w:r>
            <w:r w:rsidRPr="004D71CF">
              <w:t>to index main benefits to inflation</w:t>
            </w:r>
            <w:r w:rsidR="00ED0E6F">
              <w:t>, where inflation is defined as</w:t>
            </w:r>
            <w:r w:rsidRPr="004D71CF">
              <w:t xml:space="preserve"> upwards movement in the Consumers Price Index</w:t>
            </w:r>
            <w:r w:rsidR="00ED0E6F">
              <w:t xml:space="preserve"> (</w:t>
            </w:r>
            <w:r w:rsidRPr="004D71CF">
              <w:t>CPI)</w:t>
            </w:r>
            <w:r w:rsidR="00983F99">
              <w:t xml:space="preserve"> over the immediately preceding year to 31 December</w:t>
            </w:r>
            <w:r w:rsidR="00ED0E6F">
              <w:t>, from 1 April 2024</w:t>
            </w:r>
            <w:r w:rsidRPr="004D71CF">
              <w:t>.</w:t>
            </w:r>
            <w:r>
              <w:t xml:space="preserve"> This </w:t>
            </w:r>
            <w:r w:rsidR="00711C88">
              <w:t>Supplementary Analysis Report</w:t>
            </w:r>
            <w:r>
              <w:t xml:space="preserve"> considers </w:t>
            </w:r>
            <w:r w:rsidR="00756237">
              <w:t xml:space="preserve">the impacts, risks and </w:t>
            </w:r>
            <w:r>
              <w:t xml:space="preserve">options </w:t>
            </w:r>
            <w:r w:rsidR="00756237">
              <w:t xml:space="preserve">and elements of the </w:t>
            </w:r>
            <w:r w:rsidR="00E247D4">
              <w:t xml:space="preserve">decision </w:t>
            </w:r>
            <w:r w:rsidR="00756237">
              <w:t>to index main benefits to inflation from 1 April 2024</w:t>
            </w:r>
            <w:r>
              <w:t>.</w:t>
            </w:r>
            <w:r w:rsidR="00D72E2F">
              <w:t xml:space="preserve"> </w:t>
            </w:r>
            <w:r w:rsidR="00D72E2F" w:rsidRPr="00D72E2F">
              <w:t xml:space="preserve">The SAR covers the policy change to index main benefits to inflation and </w:t>
            </w:r>
            <w:r w:rsidR="00D72E2F">
              <w:t xml:space="preserve">the scope </w:t>
            </w:r>
            <w:r w:rsidR="00D72E2F" w:rsidRPr="00D72E2F">
              <w:t>does not extend to the MFTC. This is because the adjustment to the MFTC reflects existing Cabinet policy.</w:t>
            </w:r>
            <w:r>
              <w:tab/>
            </w:r>
          </w:p>
        </w:tc>
      </w:tr>
      <w:tr w:rsidR="00C93549" w:rsidRPr="00A864A5" w14:paraId="7CED8916" w14:textId="77777777" w:rsidTr="445BF07F">
        <w:tc>
          <w:tcPr>
            <w:tcW w:w="5000" w:type="pct"/>
            <w:gridSpan w:val="2"/>
            <w:tcBorders>
              <w:bottom w:val="single" w:sz="4" w:space="0" w:color="DDDDDD"/>
            </w:tcBorders>
            <w:shd w:val="clear" w:color="auto" w:fill="99CDDD"/>
            <w:hideMark/>
          </w:tcPr>
          <w:p w14:paraId="163B530B" w14:textId="0ACEE607" w:rsidR="00C93549" w:rsidRPr="00A864A5" w:rsidRDefault="00063943">
            <w:pPr>
              <w:pStyle w:val="TableHeadings"/>
              <w:rPr>
                <w:color w:val="002060"/>
                <w:szCs w:val="22"/>
                <w:lang w:val="en-NZ"/>
              </w:rPr>
            </w:pPr>
            <w:bookmarkStart w:id="2" w:name="_Hlk57202117"/>
            <w:r w:rsidRPr="00A864A5">
              <w:rPr>
                <w:szCs w:val="22"/>
                <w:lang w:val="en-NZ"/>
              </w:rPr>
              <w:t>Exe</w:t>
            </w:r>
            <w:r w:rsidR="0079435C" w:rsidRPr="00A864A5">
              <w:rPr>
                <w:szCs w:val="22"/>
                <w:lang w:val="en-NZ"/>
              </w:rPr>
              <w:t>cutive Summary</w:t>
            </w:r>
          </w:p>
        </w:tc>
      </w:tr>
      <w:tr w:rsidR="00FE3199" w:rsidRPr="00A864A5" w14:paraId="6B25993E" w14:textId="77777777" w:rsidTr="445BF07F">
        <w:trPr>
          <w:trHeight w:val="944"/>
        </w:trPr>
        <w:tc>
          <w:tcPr>
            <w:tcW w:w="5000" w:type="pct"/>
            <w:gridSpan w:val="2"/>
            <w:tcBorders>
              <w:top w:val="nil"/>
            </w:tcBorders>
            <w:shd w:val="clear" w:color="auto" w:fill="auto"/>
          </w:tcPr>
          <w:p w14:paraId="06C9094C" w14:textId="77777777" w:rsidR="00F72781" w:rsidRDefault="00711C88" w:rsidP="00A60AD3">
            <w:bookmarkStart w:id="3" w:name="_Hlk155704544"/>
            <w:bookmarkStart w:id="4" w:name="_Hlk155709634"/>
            <w:r>
              <w:t>C</w:t>
            </w:r>
            <w:r w:rsidR="00A60AD3">
              <w:t xml:space="preserve">abinet </w:t>
            </w:r>
            <w:r w:rsidR="00DA152D">
              <w:t xml:space="preserve">has </w:t>
            </w:r>
            <w:r w:rsidR="000A09B3">
              <w:t xml:space="preserve">agreed </w:t>
            </w:r>
            <w:r w:rsidR="00AC06CA">
              <w:t xml:space="preserve">to </w:t>
            </w:r>
            <w:r w:rsidR="00A60AD3">
              <w:t>index</w:t>
            </w:r>
            <w:r w:rsidR="00AC06CA">
              <w:t xml:space="preserve"> main benefits</w:t>
            </w:r>
            <w:r w:rsidR="00A60AD3">
              <w:t xml:space="preserve"> to inflation from 1 April 2024</w:t>
            </w:r>
            <w:bookmarkEnd w:id="3"/>
            <w:r w:rsidR="00A60AD3">
              <w:t xml:space="preserve"> </w:t>
            </w:r>
            <w:r w:rsidR="0002264E">
              <w:t xml:space="preserve">and </w:t>
            </w:r>
            <w:r w:rsidR="00C36120">
              <w:t xml:space="preserve">has </w:t>
            </w:r>
            <w:r w:rsidR="0002264E">
              <w:t xml:space="preserve">agreed to amend the </w:t>
            </w:r>
            <w:r w:rsidR="00831772">
              <w:t xml:space="preserve">Act </w:t>
            </w:r>
            <w:r w:rsidR="0002264E">
              <w:t xml:space="preserve">to </w:t>
            </w:r>
            <w:r w:rsidR="00756237">
              <w:t>give effect to this change</w:t>
            </w:r>
            <w:r w:rsidR="00EE4609">
              <w:t xml:space="preserve"> </w:t>
            </w:r>
            <w:r w:rsidR="00EE4609" w:rsidRPr="00AC06CA">
              <w:t>[</w:t>
            </w:r>
            <w:r w:rsidR="00EE4609">
              <w:t>CAB-23-MIN-0490 refers]</w:t>
            </w:r>
            <w:r w:rsidR="00A60AD3">
              <w:t>.</w:t>
            </w:r>
          </w:p>
          <w:p w14:paraId="6FB2CA39" w14:textId="0AAC4B31" w:rsidR="00391D16" w:rsidRDefault="00FB424C" w:rsidP="00391D16">
            <w:r>
              <w:t xml:space="preserve">This approach prioritises a 2024 </w:t>
            </w:r>
            <w:r w:rsidR="00FD10FA" w:rsidRPr="00FB424C">
              <w:t>implementation but</w:t>
            </w:r>
            <w:r w:rsidR="00FD10FA">
              <w:t xml:space="preserve"> is expected to </w:t>
            </w:r>
            <w:r w:rsidR="00391D16">
              <w:t xml:space="preserve">result in an </w:t>
            </w:r>
            <w:r w:rsidR="00391D16" w:rsidRPr="00C36120">
              <w:t>initial additional cost of $36.049 million</w:t>
            </w:r>
            <w:r w:rsidR="00C96165">
              <w:t xml:space="preserve"> over the 2023/2024 and 2024/2025 financial years</w:t>
            </w:r>
            <w:r w:rsidR="007D116C">
              <w:t xml:space="preserve">. This </w:t>
            </w:r>
            <w:r w:rsidR="00C96165">
              <w:t>cost will</w:t>
            </w:r>
            <w:r w:rsidR="007D116C">
              <w:t xml:space="preserve"> be</w:t>
            </w:r>
            <w:r w:rsidR="00391D16" w:rsidRPr="00C36120">
              <w:t xml:space="preserve"> </w:t>
            </w:r>
            <w:r w:rsidR="00391D16">
              <w:t>incurred</w:t>
            </w:r>
            <w:r w:rsidR="00C96165">
              <w:t xml:space="preserve"> as</w:t>
            </w:r>
            <w:r w:rsidR="001947EB" w:rsidRPr="00C96165">
              <w:t xml:space="preserve"> the</w:t>
            </w:r>
            <w:r w:rsidR="00C96165" w:rsidRPr="00C96165">
              <w:t xml:space="preserve"> preliminary</w:t>
            </w:r>
            <w:r w:rsidR="00FD10FA" w:rsidRPr="00C96165">
              <w:t xml:space="preserve"> Half Year Economic and Fiscal Update (HYEFU)</w:t>
            </w:r>
            <w:r w:rsidR="00DF7B1B" w:rsidRPr="00C96165">
              <w:t xml:space="preserve"> forecast</w:t>
            </w:r>
            <w:r w:rsidR="00DF7B1B">
              <w:t xml:space="preserve"> indicates</w:t>
            </w:r>
            <w:r w:rsidR="00C96165">
              <w:t xml:space="preserve"> that</w:t>
            </w:r>
            <w:r w:rsidR="00FD10FA">
              <w:t xml:space="preserve"> </w:t>
            </w:r>
            <w:r w:rsidR="00F555FB">
              <w:t>inflation is</w:t>
            </w:r>
            <w:r w:rsidR="001947EB">
              <w:t xml:space="preserve"> </w:t>
            </w:r>
            <w:r w:rsidR="00F555FB">
              <w:t>expected to be higher than wage growth</w:t>
            </w:r>
            <w:r w:rsidR="007D116C">
              <w:t xml:space="preserve"> in 2024. </w:t>
            </w:r>
            <w:r w:rsidR="00391D16">
              <w:t>However,</w:t>
            </w:r>
            <w:r w:rsidR="00391D16" w:rsidRPr="00C36120">
              <w:t xml:space="preserve"> projected savings of $669.527 million</w:t>
            </w:r>
            <w:r w:rsidR="00391D16">
              <w:t xml:space="preserve"> are expected across the forecast period, </w:t>
            </w:r>
            <w:r w:rsidR="00391D16" w:rsidRPr="00C36120">
              <w:t>as</w:t>
            </w:r>
            <w:r w:rsidR="00DF7B1B">
              <w:t xml:space="preserve"> HYEFU forecast</w:t>
            </w:r>
            <w:r w:rsidR="00205BD0">
              <w:t>s</w:t>
            </w:r>
            <w:r w:rsidR="00DF7B1B">
              <w:t xml:space="preserve"> indicate</w:t>
            </w:r>
            <w:r w:rsidR="00391D16">
              <w:t xml:space="preserve"> </w:t>
            </w:r>
            <w:r w:rsidR="00C96165">
              <w:t xml:space="preserve">inflation </w:t>
            </w:r>
            <w:r w:rsidR="00391D16">
              <w:t xml:space="preserve">is expected to be </w:t>
            </w:r>
            <w:r w:rsidR="00C96165">
              <w:t>lower</w:t>
            </w:r>
            <w:r w:rsidR="00391D16">
              <w:t xml:space="preserve"> than </w:t>
            </w:r>
            <w:r w:rsidR="00C96165">
              <w:t>wage growth</w:t>
            </w:r>
            <w:r w:rsidR="00205BD0">
              <w:t xml:space="preserve"> in the long</w:t>
            </w:r>
            <w:r w:rsidR="00C96165">
              <w:t>-</w:t>
            </w:r>
            <w:r w:rsidR="00205BD0">
              <w:t>term</w:t>
            </w:r>
            <w:r w:rsidR="00391D16" w:rsidRPr="00C36120">
              <w:t>.</w:t>
            </w:r>
          </w:p>
          <w:bookmarkEnd w:id="4"/>
          <w:p w14:paraId="5E709FDA" w14:textId="2572B295" w:rsidR="00C37F97" w:rsidRDefault="00B727BA" w:rsidP="00B727BA">
            <w:r w:rsidRPr="00B727BA">
              <w:t xml:space="preserve">Officials expect that indexing main benefits </w:t>
            </w:r>
            <w:r w:rsidR="00F4690A">
              <w:t xml:space="preserve">to </w:t>
            </w:r>
            <w:r w:rsidRPr="00B727BA">
              <w:t xml:space="preserve">inflation will result in main benefit rates being increased more </w:t>
            </w:r>
            <w:r w:rsidR="00314A35">
              <w:t>through the</w:t>
            </w:r>
            <w:r w:rsidR="00963E58">
              <w:t xml:space="preserve"> 1 April 2024 adjustment </w:t>
            </w:r>
            <w:r w:rsidRPr="00B727BA">
              <w:t xml:space="preserve">than </w:t>
            </w:r>
            <w:r w:rsidR="00756237">
              <w:t>i</w:t>
            </w:r>
            <w:r w:rsidR="00DB500B">
              <w:t xml:space="preserve">f they remained </w:t>
            </w:r>
            <w:r w:rsidRPr="00B727BA">
              <w:t>indexed to net average wage growth</w:t>
            </w:r>
            <w:r w:rsidR="00756237">
              <w:t xml:space="preserve">. </w:t>
            </w:r>
            <w:r w:rsidR="009E55E8">
              <w:t>However</w:t>
            </w:r>
            <w:r w:rsidR="00756237">
              <w:t>,</w:t>
            </w:r>
            <w:r w:rsidRPr="00B727BA">
              <w:t xml:space="preserve"> </w:t>
            </w:r>
            <w:r w:rsidR="00DB500B">
              <w:t>main benefit rates will be lower</w:t>
            </w:r>
            <w:r w:rsidRPr="00B727BA">
              <w:t xml:space="preserve"> in the long</w:t>
            </w:r>
            <w:r w:rsidR="00C96165">
              <w:t>-</w:t>
            </w:r>
            <w:r w:rsidRPr="00B727BA">
              <w:t>term</w:t>
            </w:r>
            <w:r w:rsidR="00DB500B">
              <w:t>,</w:t>
            </w:r>
            <w:r w:rsidRPr="00B727BA">
              <w:t xml:space="preserve"> </w:t>
            </w:r>
            <w:r w:rsidR="00963E58">
              <w:t xml:space="preserve">with smaller increases expected from 1 April 2025 adjustment </w:t>
            </w:r>
            <w:r w:rsidR="00DB500B">
              <w:t>onwards</w:t>
            </w:r>
            <w:r w:rsidRPr="00B727BA">
              <w:t>.</w:t>
            </w:r>
            <w:r w:rsidR="007F14F4">
              <w:t xml:space="preserve"> </w:t>
            </w:r>
            <w:r w:rsidR="00EA3716" w:rsidRPr="00EA3716">
              <w:rPr>
                <w:lang w:val="en-NZ"/>
              </w:rPr>
              <w:t>For example, the rate for Jobseeker 25 years and over</w:t>
            </w:r>
            <w:r w:rsidR="00EB69C2">
              <w:rPr>
                <w:lang w:val="en-NZ"/>
              </w:rPr>
              <w:t xml:space="preserve"> </w:t>
            </w:r>
            <w:r w:rsidR="00EA3716" w:rsidRPr="00EA3716">
              <w:rPr>
                <w:lang w:val="en-NZ"/>
              </w:rPr>
              <w:t>is expected to increase</w:t>
            </w:r>
            <w:r w:rsidR="009A00CD">
              <w:rPr>
                <w:lang w:val="en-NZ"/>
              </w:rPr>
              <w:t xml:space="preserve"> by an additional</w:t>
            </w:r>
            <w:r w:rsidR="00EA3716" w:rsidRPr="00EA3716">
              <w:rPr>
                <w:lang w:val="en-NZ"/>
              </w:rPr>
              <w:t xml:space="preserve"> $</w:t>
            </w:r>
            <w:r w:rsidR="00EB69C2">
              <w:rPr>
                <w:lang w:val="en-NZ"/>
              </w:rPr>
              <w:t>2.60</w:t>
            </w:r>
            <w:r w:rsidR="00EA3716" w:rsidRPr="00EA3716">
              <w:rPr>
                <w:lang w:val="en-NZ"/>
              </w:rPr>
              <w:t xml:space="preserve"> per week for the 1 April 2024 adjustment</w:t>
            </w:r>
            <w:r w:rsidR="009A00CD">
              <w:rPr>
                <w:lang w:val="en-NZ"/>
              </w:rPr>
              <w:t>, under CPI indexation</w:t>
            </w:r>
            <w:r w:rsidR="00EB69C2">
              <w:rPr>
                <w:lang w:val="en-NZ"/>
              </w:rPr>
              <w:t>.</w:t>
            </w:r>
            <w:r w:rsidR="00EA3716" w:rsidRPr="00EA3716">
              <w:rPr>
                <w:lang w:val="en-NZ"/>
              </w:rPr>
              <w:t xml:space="preserve"> </w:t>
            </w:r>
            <w:r w:rsidR="00EB69C2">
              <w:rPr>
                <w:lang w:val="en-NZ"/>
              </w:rPr>
              <w:t>H</w:t>
            </w:r>
            <w:r w:rsidR="00EA3716" w:rsidRPr="00EA3716">
              <w:rPr>
                <w:lang w:val="en-NZ"/>
              </w:rPr>
              <w:t>owever</w:t>
            </w:r>
            <w:r w:rsidR="00EB69C2">
              <w:rPr>
                <w:lang w:val="en-NZ"/>
              </w:rPr>
              <w:t>,</w:t>
            </w:r>
            <w:r w:rsidR="00EA3716" w:rsidRPr="00EA3716">
              <w:rPr>
                <w:lang w:val="en-NZ"/>
              </w:rPr>
              <w:t xml:space="preserve"> </w:t>
            </w:r>
            <w:r w:rsidR="00EB69C2">
              <w:rPr>
                <w:lang w:val="en-NZ"/>
              </w:rPr>
              <w:t>by the</w:t>
            </w:r>
            <w:r w:rsidR="00EA3716" w:rsidRPr="00EA3716">
              <w:rPr>
                <w:lang w:val="en-NZ"/>
              </w:rPr>
              <w:t xml:space="preserve"> end of the forecast period in 20</w:t>
            </w:r>
            <w:r w:rsidR="006D7CAB">
              <w:rPr>
                <w:lang w:val="en-NZ"/>
              </w:rPr>
              <w:t>28</w:t>
            </w:r>
            <w:r w:rsidR="00EA3716" w:rsidRPr="00EA3716">
              <w:rPr>
                <w:lang w:val="en-NZ"/>
              </w:rPr>
              <w:t xml:space="preserve"> the rate is expected to be $1</w:t>
            </w:r>
            <w:r w:rsidR="006D7CAB">
              <w:rPr>
                <w:lang w:val="en-NZ"/>
              </w:rPr>
              <w:t>8</w:t>
            </w:r>
            <w:r w:rsidR="00EA3716" w:rsidRPr="00EA3716">
              <w:rPr>
                <w:lang w:val="en-NZ"/>
              </w:rPr>
              <w:t>.</w:t>
            </w:r>
            <w:r w:rsidR="006D7CAB">
              <w:rPr>
                <w:lang w:val="en-NZ"/>
              </w:rPr>
              <w:t>15</w:t>
            </w:r>
            <w:r w:rsidR="00EA3716" w:rsidRPr="00EA3716">
              <w:rPr>
                <w:lang w:val="en-NZ"/>
              </w:rPr>
              <w:t xml:space="preserve"> less per week </w:t>
            </w:r>
            <w:r w:rsidR="00EB69C2">
              <w:rPr>
                <w:lang w:val="en-NZ"/>
              </w:rPr>
              <w:t>than if it was indexed to net average wage growth.</w:t>
            </w:r>
          </w:p>
          <w:p w14:paraId="4226EADF" w14:textId="2F738644" w:rsidR="00B727BA" w:rsidRPr="00B727BA" w:rsidRDefault="00B727BA" w:rsidP="00B727BA">
            <w:r w:rsidRPr="00B727BA">
              <w:lastRenderedPageBreak/>
              <w:t xml:space="preserve">These changes </w:t>
            </w:r>
            <w:r w:rsidR="00E247D4">
              <w:t>will</w:t>
            </w:r>
            <w:r w:rsidRPr="00B727BA">
              <w:t xml:space="preserve"> impact people receiving a main benefit</w:t>
            </w:r>
            <w:r w:rsidR="00B97FE3">
              <w:t xml:space="preserve"> and </w:t>
            </w:r>
            <w:r w:rsidR="00963E58">
              <w:t>will</w:t>
            </w:r>
            <w:r w:rsidR="00C36120">
              <w:t xml:space="preserve"> </w:t>
            </w:r>
            <w:r w:rsidR="00B97FE3">
              <w:t xml:space="preserve">have flow on </w:t>
            </w:r>
            <w:r w:rsidR="00C36120">
              <w:t>e</w:t>
            </w:r>
            <w:r w:rsidR="00B97FE3">
              <w:t>ffects to New Zealanders receiving</w:t>
            </w:r>
            <w:r w:rsidRPr="00B727BA">
              <w:t xml:space="preserve"> </w:t>
            </w:r>
            <w:r w:rsidR="00F92E28">
              <w:t>A</w:t>
            </w:r>
            <w:r w:rsidRPr="00B727BA">
              <w:t xml:space="preserve">ccommodation </w:t>
            </w:r>
            <w:r w:rsidR="00F92E28">
              <w:t>S</w:t>
            </w:r>
            <w:r w:rsidRPr="00B727BA">
              <w:t>upplement</w:t>
            </w:r>
            <w:r w:rsidR="00F92E28">
              <w:t xml:space="preserve"> (AS)</w:t>
            </w:r>
            <w:r w:rsidRPr="00B727BA">
              <w:t xml:space="preserve">, </w:t>
            </w:r>
            <w:r w:rsidR="00F92E28">
              <w:t>M</w:t>
            </w:r>
            <w:r w:rsidRPr="00B727BA">
              <w:t xml:space="preserve">inimum </w:t>
            </w:r>
            <w:r w:rsidR="00F92E28">
              <w:t>F</w:t>
            </w:r>
            <w:r w:rsidRPr="00B727BA">
              <w:t xml:space="preserve">amily </w:t>
            </w:r>
            <w:r w:rsidR="00F92E28">
              <w:t>T</w:t>
            </w:r>
            <w:r w:rsidRPr="00B727BA">
              <w:t xml:space="preserve">ax </w:t>
            </w:r>
            <w:r w:rsidR="00F92E28">
              <w:t>C</w:t>
            </w:r>
            <w:r w:rsidRPr="00B727BA">
              <w:t xml:space="preserve">redit </w:t>
            </w:r>
            <w:r w:rsidR="00F92E28">
              <w:t>(MFTC)</w:t>
            </w:r>
            <w:r w:rsidR="004D3AC9">
              <w:t>,</w:t>
            </w:r>
            <w:r w:rsidR="00F92E28">
              <w:t xml:space="preserve"> </w:t>
            </w:r>
            <w:r w:rsidRPr="00B727BA">
              <w:t>or</w:t>
            </w:r>
            <w:r w:rsidR="00F92E28">
              <w:t xml:space="preserve"> </w:t>
            </w:r>
            <w:r w:rsidR="00756237">
              <w:t>s</w:t>
            </w:r>
            <w:r w:rsidR="00F92E28">
              <w:t>ocial</w:t>
            </w:r>
            <w:r w:rsidR="00675CAA">
              <w:t xml:space="preserve"> housing</w:t>
            </w:r>
            <w:r w:rsidR="00B97FE3">
              <w:t xml:space="preserve"> tenants paying income related rent</w:t>
            </w:r>
            <w:r w:rsidRPr="00B727BA">
              <w:t>.</w:t>
            </w:r>
          </w:p>
          <w:p w14:paraId="6A0D34CA" w14:textId="6D8025A1" w:rsidR="00B727BA" w:rsidRPr="00B727BA" w:rsidRDefault="00B727BA" w:rsidP="00B727BA">
            <w:pPr>
              <w:rPr>
                <w:lang w:val="en-NZ"/>
              </w:rPr>
            </w:pPr>
            <w:r w:rsidRPr="00B727BA">
              <w:t xml:space="preserve">Main benefits increasing </w:t>
            </w:r>
            <w:r w:rsidR="00205BD0">
              <w:t>in line with</w:t>
            </w:r>
            <w:r w:rsidR="00F4690A">
              <w:t xml:space="preserve"> </w:t>
            </w:r>
            <w:r w:rsidR="00EE4609">
              <w:t xml:space="preserve">inflation </w:t>
            </w:r>
            <w:r w:rsidRPr="00B727BA">
              <w:t>in 2024 will likely result in</w:t>
            </w:r>
            <w:r w:rsidR="00EB69C2">
              <w:t xml:space="preserve"> minor</w:t>
            </w:r>
            <w:r w:rsidRPr="00B727BA">
              <w:t xml:space="preserve"> improvements in income adequacy and security for clients</w:t>
            </w:r>
            <w:r w:rsidR="00226AC8">
              <w:t xml:space="preserve"> </w:t>
            </w:r>
            <w:r w:rsidR="00B00AA6">
              <w:t>from</w:t>
            </w:r>
            <w:r w:rsidR="00BD39D1">
              <w:t xml:space="preserve"> </w:t>
            </w:r>
            <w:r w:rsidR="00166043">
              <w:t xml:space="preserve">April 2024 to </w:t>
            </w:r>
            <w:r w:rsidR="00983F99">
              <w:t xml:space="preserve">March </w:t>
            </w:r>
            <w:r w:rsidR="00166043">
              <w:t>2025</w:t>
            </w:r>
            <w:r w:rsidR="00EB69C2">
              <w:t>, along with better maintaining their value relative to the cost of living</w:t>
            </w:r>
            <w:r w:rsidR="00166043">
              <w:t xml:space="preserve">. </w:t>
            </w:r>
          </w:p>
          <w:p w14:paraId="32A1256D" w14:textId="4AB22CC2" w:rsidR="000132F6" w:rsidRPr="00BD39D1" w:rsidRDefault="000C7F96" w:rsidP="00B727BA">
            <w:r>
              <w:t>S</w:t>
            </w:r>
            <w:r w:rsidR="00A97192">
              <w:t xml:space="preserve">maller increases to </w:t>
            </w:r>
            <w:r w:rsidR="00B727BA" w:rsidRPr="00B727BA">
              <w:t>main benefit rates</w:t>
            </w:r>
            <w:r w:rsidR="00205BD0">
              <w:t xml:space="preserve"> are expected</w:t>
            </w:r>
            <w:r w:rsidR="00B727BA" w:rsidRPr="00B727BA">
              <w:t xml:space="preserve"> in the long</w:t>
            </w:r>
            <w:r w:rsidR="00756237">
              <w:t>er</w:t>
            </w:r>
            <w:r w:rsidR="00B727BA" w:rsidRPr="00B727BA">
              <w:t xml:space="preserve"> term</w:t>
            </w:r>
            <w:r>
              <w:t xml:space="preserve"> from </w:t>
            </w:r>
            <w:r w:rsidR="00AE3209">
              <w:t>the 2025 adjustment</w:t>
            </w:r>
            <w:r w:rsidR="00B727BA" w:rsidRPr="00B727BA">
              <w:t>. This will</w:t>
            </w:r>
            <w:r w:rsidR="00E41F49">
              <w:t xml:space="preserve"> lead to </w:t>
            </w:r>
            <w:r w:rsidR="0045251B">
              <w:t xml:space="preserve">clients receiving less income than </w:t>
            </w:r>
            <w:r w:rsidR="004D3AC9">
              <w:t xml:space="preserve">if main benefits were </w:t>
            </w:r>
            <w:r w:rsidR="0045251B">
              <w:t>index</w:t>
            </w:r>
            <w:r w:rsidR="004D3AC9">
              <w:t>ed</w:t>
            </w:r>
            <w:r w:rsidR="0045251B">
              <w:t xml:space="preserve"> to wage growth</w:t>
            </w:r>
            <w:r w:rsidR="004D3AC9">
              <w:t>,</w:t>
            </w:r>
            <w:r w:rsidR="00B727BA" w:rsidRPr="00B727BA">
              <w:t xml:space="preserve"> and </w:t>
            </w:r>
            <w:r w:rsidR="003134CF">
              <w:t xml:space="preserve">in isolation may result in </w:t>
            </w:r>
            <w:r w:rsidR="00B727BA" w:rsidRPr="00B727BA">
              <w:t xml:space="preserve">slower progress in achieving child poverty targets as set by the Child Poverty Reduction Act 2018. </w:t>
            </w:r>
            <w:r w:rsidR="00756237">
              <w:t xml:space="preserve">As </w:t>
            </w:r>
            <w:r w:rsidR="00B727BA" w:rsidRPr="00B727BA">
              <w:t>main benefit rates</w:t>
            </w:r>
            <w:r w:rsidR="000343AE">
              <w:t xml:space="preserve"> will differ from</w:t>
            </w:r>
            <w:r w:rsidR="00B727BA" w:rsidRPr="00B727BA">
              <w:t xml:space="preserve"> the growth in employment income</w:t>
            </w:r>
            <w:r w:rsidR="00756237">
              <w:t xml:space="preserve"> this </w:t>
            </w:r>
            <w:r w:rsidR="00EB69C2">
              <w:t>may</w:t>
            </w:r>
            <w:r w:rsidR="000343AE">
              <w:t xml:space="preserve"> increas</w:t>
            </w:r>
            <w:r w:rsidR="00756237">
              <w:t>e</w:t>
            </w:r>
            <w:r w:rsidR="000343AE">
              <w:t xml:space="preserve"> the</w:t>
            </w:r>
            <w:r w:rsidR="00B97FE3">
              <w:t xml:space="preserve"> </w:t>
            </w:r>
            <w:r w:rsidR="00B727BA" w:rsidRPr="00B727BA">
              <w:t>financial incentive to work</w:t>
            </w:r>
            <w:r w:rsidR="00EB69C2">
              <w:t xml:space="preserve"> for some clients</w:t>
            </w:r>
            <w:r w:rsidR="00B727BA" w:rsidRPr="00B727BA">
              <w:t xml:space="preserve">. </w:t>
            </w:r>
          </w:p>
        </w:tc>
      </w:tr>
      <w:tr w:rsidR="00E8143E" w:rsidRPr="00A864A5" w14:paraId="42ED5650" w14:textId="77777777" w:rsidTr="445BF07F">
        <w:tc>
          <w:tcPr>
            <w:tcW w:w="5000" w:type="pct"/>
            <w:gridSpan w:val="2"/>
            <w:tcBorders>
              <w:bottom w:val="single" w:sz="4" w:space="0" w:color="DDDDDD"/>
            </w:tcBorders>
            <w:shd w:val="clear" w:color="auto" w:fill="99CDDD"/>
            <w:hideMark/>
          </w:tcPr>
          <w:p w14:paraId="195A9405" w14:textId="74F1F41C" w:rsidR="00E8143E" w:rsidRPr="00A864A5" w:rsidRDefault="00E8143E">
            <w:pPr>
              <w:pStyle w:val="TableHeadings"/>
              <w:rPr>
                <w:color w:val="002060"/>
                <w:szCs w:val="22"/>
                <w:lang w:val="en-NZ"/>
              </w:rPr>
            </w:pPr>
            <w:bookmarkStart w:id="5" w:name="_Hlk57203483"/>
            <w:bookmarkEnd w:id="1"/>
            <w:bookmarkEnd w:id="2"/>
            <w:r w:rsidRPr="00A864A5">
              <w:rPr>
                <w:szCs w:val="22"/>
                <w:lang w:val="en-NZ"/>
              </w:rPr>
              <w:lastRenderedPageBreak/>
              <w:t xml:space="preserve">Limitations </w:t>
            </w:r>
            <w:r w:rsidR="003F775E">
              <w:rPr>
                <w:szCs w:val="22"/>
                <w:lang w:val="en-NZ"/>
              </w:rPr>
              <w:t>and</w:t>
            </w:r>
            <w:r w:rsidRPr="00A864A5">
              <w:rPr>
                <w:szCs w:val="22"/>
                <w:lang w:val="en-NZ"/>
              </w:rPr>
              <w:t xml:space="preserve"> Constraints on Analysis</w:t>
            </w:r>
          </w:p>
        </w:tc>
      </w:tr>
      <w:tr w:rsidR="00B727BA" w:rsidRPr="00A864A5" w14:paraId="2E89EDEC" w14:textId="77777777" w:rsidTr="445BF07F">
        <w:trPr>
          <w:trHeight w:val="978"/>
        </w:trPr>
        <w:tc>
          <w:tcPr>
            <w:tcW w:w="5000" w:type="pct"/>
            <w:gridSpan w:val="2"/>
            <w:tcBorders>
              <w:top w:val="nil"/>
            </w:tcBorders>
            <w:shd w:val="clear" w:color="auto" w:fill="auto"/>
          </w:tcPr>
          <w:p w14:paraId="2D7EF32B" w14:textId="0A944F57" w:rsidR="00B727BA" w:rsidRDefault="00B727BA" w:rsidP="00B727BA">
            <w:r>
              <w:rPr>
                <w:iCs/>
                <w:color w:val="000000"/>
                <w:lang w:val="en-NZ"/>
              </w:rPr>
              <w:t xml:space="preserve">Indexing main benefits to inflation was </w:t>
            </w:r>
            <w:r w:rsidR="00E247D4">
              <w:rPr>
                <w:iCs/>
                <w:color w:val="000000"/>
                <w:lang w:val="en-NZ"/>
              </w:rPr>
              <w:t xml:space="preserve">a </w:t>
            </w:r>
            <w:r>
              <w:rPr>
                <w:iCs/>
                <w:color w:val="000000"/>
                <w:lang w:val="en-NZ"/>
              </w:rPr>
              <w:t>manifesto commitment of the National Party</w:t>
            </w:r>
            <w:r w:rsidR="004D3AC9">
              <w:rPr>
                <w:iCs/>
                <w:color w:val="000000"/>
                <w:lang w:val="en-NZ"/>
              </w:rPr>
              <w:t xml:space="preserve"> for the 2023 General Election</w:t>
            </w:r>
            <w:r>
              <w:rPr>
                <w:iCs/>
                <w:color w:val="000000"/>
                <w:lang w:val="en-NZ"/>
              </w:rPr>
              <w:t>.</w:t>
            </w:r>
            <w:r>
              <w:t xml:space="preserve"> </w:t>
            </w:r>
            <w:r w:rsidR="007E7D42">
              <w:t xml:space="preserve">Upon formation of the </w:t>
            </w:r>
            <w:r w:rsidR="00627B31">
              <w:t>G</w:t>
            </w:r>
            <w:r w:rsidR="007E7D42">
              <w:t>overnment,</w:t>
            </w:r>
            <w:r>
              <w:t xml:space="preserve"> officials provided advice on options, implementation dates and costings to implement this change in indexation settings. </w:t>
            </w:r>
          </w:p>
          <w:p w14:paraId="7A4377C8" w14:textId="655DFD4B" w:rsidR="00B727BA" w:rsidRDefault="00B727BA" w:rsidP="00B727BA">
            <w:pPr>
              <w:rPr>
                <w:iCs/>
                <w:color w:val="000000"/>
              </w:rPr>
            </w:pPr>
            <w:bookmarkStart w:id="6" w:name="_Hlk155604046"/>
            <w:r>
              <w:rPr>
                <w:iCs/>
                <w:color w:val="000000"/>
              </w:rPr>
              <w:t>Because of the time sensitive nature of the proposal</w:t>
            </w:r>
            <w:r w:rsidR="00D05497">
              <w:rPr>
                <w:iCs/>
                <w:color w:val="000000"/>
              </w:rPr>
              <w:t>,</w:t>
            </w:r>
            <w:r>
              <w:rPr>
                <w:iCs/>
                <w:color w:val="000000"/>
              </w:rPr>
              <w:t xml:space="preserve"> it was progressed through the </w:t>
            </w:r>
            <w:r w:rsidR="00015ED4">
              <w:rPr>
                <w:iCs/>
                <w:color w:val="000000"/>
              </w:rPr>
              <w:t>mini budget</w:t>
            </w:r>
            <w:r>
              <w:rPr>
                <w:iCs/>
                <w:color w:val="000000"/>
              </w:rPr>
              <w:t xml:space="preserve"> in December 2023</w:t>
            </w:r>
            <w:r w:rsidR="00505043">
              <w:rPr>
                <w:iCs/>
                <w:color w:val="000000"/>
              </w:rPr>
              <w:t xml:space="preserve">. </w:t>
            </w:r>
            <w:r w:rsidR="00446566">
              <w:rPr>
                <w:iCs/>
                <w:color w:val="000000"/>
              </w:rPr>
              <w:t>Cabinet agree</w:t>
            </w:r>
            <w:r w:rsidR="00505043">
              <w:rPr>
                <w:iCs/>
                <w:color w:val="000000"/>
              </w:rPr>
              <w:t>d</w:t>
            </w:r>
            <w:r w:rsidR="00446566">
              <w:rPr>
                <w:iCs/>
                <w:color w:val="000000"/>
              </w:rPr>
              <w:t xml:space="preserve"> to proceed with indexing </w:t>
            </w:r>
            <w:r w:rsidR="00E247D4">
              <w:rPr>
                <w:iCs/>
                <w:color w:val="000000"/>
              </w:rPr>
              <w:t xml:space="preserve">main </w:t>
            </w:r>
            <w:r w:rsidR="00446566">
              <w:rPr>
                <w:iCs/>
                <w:color w:val="000000"/>
              </w:rPr>
              <w:t>benefits to inflation and</w:t>
            </w:r>
            <w:r w:rsidR="009A7F66">
              <w:rPr>
                <w:iCs/>
                <w:color w:val="000000"/>
              </w:rPr>
              <w:t xml:space="preserve"> to</w:t>
            </w:r>
            <w:r w:rsidR="00446566">
              <w:rPr>
                <w:iCs/>
                <w:color w:val="000000"/>
              </w:rPr>
              <w:t xml:space="preserve"> </w:t>
            </w:r>
            <w:r w:rsidR="008E569D">
              <w:t xml:space="preserve">amend the Social Security Act </w:t>
            </w:r>
            <w:r w:rsidR="00756237">
              <w:t xml:space="preserve">2018 </w:t>
            </w:r>
            <w:r w:rsidR="008E569D">
              <w:t xml:space="preserve">to </w:t>
            </w:r>
            <w:r w:rsidR="00756237">
              <w:t>give effect to this change [CAB-23-MIN-0490 refers]</w:t>
            </w:r>
            <w:r w:rsidRPr="00C839AF">
              <w:rPr>
                <w:iCs/>
                <w:color w:val="000000"/>
              </w:rPr>
              <w:t>.</w:t>
            </w:r>
            <w:r>
              <w:rPr>
                <w:iCs/>
                <w:color w:val="000000"/>
              </w:rPr>
              <w:t xml:space="preserve"> </w:t>
            </w:r>
            <w:r w:rsidRPr="00C839AF">
              <w:rPr>
                <w:iCs/>
                <w:color w:val="000000"/>
              </w:rPr>
              <w:t>Th</w:t>
            </w:r>
            <w:r>
              <w:rPr>
                <w:iCs/>
                <w:color w:val="000000"/>
              </w:rPr>
              <w:t>e required</w:t>
            </w:r>
            <w:r w:rsidRPr="00C839AF">
              <w:rPr>
                <w:iCs/>
                <w:color w:val="000000"/>
              </w:rPr>
              <w:t xml:space="preserve"> legislative amendment must be passed by 8 March 2024 at the latest to meet</w:t>
            </w:r>
            <w:r w:rsidR="00756237">
              <w:rPr>
                <w:iCs/>
                <w:color w:val="000000"/>
              </w:rPr>
              <w:t xml:space="preserve"> the </w:t>
            </w:r>
            <w:r w:rsidR="00332C0B">
              <w:rPr>
                <w:iCs/>
                <w:color w:val="000000"/>
              </w:rPr>
              <w:t xml:space="preserve">Ministry of Social Development </w:t>
            </w:r>
            <w:r w:rsidR="00E91AC5">
              <w:rPr>
                <w:iCs/>
                <w:color w:val="000000"/>
              </w:rPr>
              <w:t>annual adjustment</w:t>
            </w:r>
            <w:r w:rsidR="00756237">
              <w:rPr>
                <w:iCs/>
                <w:color w:val="000000"/>
              </w:rPr>
              <w:t xml:space="preserve"> process</w:t>
            </w:r>
            <w:r w:rsidRPr="00C839AF">
              <w:rPr>
                <w:iCs/>
                <w:color w:val="000000"/>
              </w:rPr>
              <w:t xml:space="preserve"> deadlines</w:t>
            </w:r>
            <w:r w:rsidR="00CC09D5">
              <w:rPr>
                <w:iCs/>
                <w:color w:val="000000"/>
              </w:rPr>
              <w:t xml:space="preserve"> for implementation on 1 April 2024</w:t>
            </w:r>
            <w:r w:rsidRPr="00C839AF">
              <w:rPr>
                <w:iCs/>
                <w:color w:val="000000"/>
              </w:rPr>
              <w:t>.</w:t>
            </w:r>
            <w:r>
              <w:rPr>
                <w:iCs/>
                <w:color w:val="000000"/>
              </w:rPr>
              <w:t xml:space="preserve"> </w:t>
            </w:r>
          </w:p>
          <w:bookmarkEnd w:id="6"/>
          <w:p w14:paraId="53A80C1F" w14:textId="4342A666" w:rsidR="00E247D4" w:rsidRDefault="00B727BA" w:rsidP="00B727BA">
            <w:pPr>
              <w:rPr>
                <w:iCs/>
                <w:color w:val="000000"/>
                <w:lang w:val="en-NZ"/>
              </w:rPr>
            </w:pPr>
            <w:r w:rsidRPr="00A449DC">
              <w:rPr>
                <w:iCs/>
                <w:color w:val="000000"/>
                <w:lang w:val="en-NZ"/>
              </w:rPr>
              <w:t xml:space="preserve">Due to </w:t>
            </w:r>
            <w:r>
              <w:rPr>
                <w:iCs/>
                <w:color w:val="000000"/>
                <w:lang w:val="en-NZ"/>
              </w:rPr>
              <w:t xml:space="preserve">these </w:t>
            </w:r>
            <w:r w:rsidRPr="00A449DC">
              <w:rPr>
                <w:iCs/>
                <w:color w:val="000000"/>
                <w:lang w:val="en-NZ"/>
              </w:rPr>
              <w:t>tight timeframes,</w:t>
            </w:r>
            <w:r>
              <w:rPr>
                <w:iCs/>
                <w:color w:val="000000"/>
                <w:lang w:val="en-NZ"/>
              </w:rPr>
              <w:t xml:space="preserve"> it has not been possible to conduct</w:t>
            </w:r>
            <w:r w:rsidRPr="00A449DC">
              <w:rPr>
                <w:iCs/>
                <w:color w:val="000000"/>
                <w:lang w:val="en-NZ"/>
              </w:rPr>
              <w:t xml:space="preserve"> external consultation</w:t>
            </w:r>
            <w:r>
              <w:rPr>
                <w:iCs/>
                <w:color w:val="000000"/>
                <w:lang w:val="en-NZ"/>
              </w:rPr>
              <w:t xml:space="preserve"> on this proposal</w:t>
            </w:r>
            <w:r w:rsidR="00D01748">
              <w:rPr>
                <w:iCs/>
                <w:color w:val="000000"/>
                <w:lang w:val="en-NZ"/>
              </w:rPr>
              <w:t>. However, this policy</w:t>
            </w:r>
            <w:r w:rsidR="007F14F4">
              <w:rPr>
                <w:iCs/>
                <w:color w:val="000000"/>
                <w:lang w:val="en-NZ"/>
              </w:rPr>
              <w:t xml:space="preserve"> was a manifesto commitment of the National Party and was publicly signalled throughout the 2023 General Election. </w:t>
            </w:r>
          </w:p>
          <w:p w14:paraId="28DA441E" w14:textId="1F05A494" w:rsidR="00804237" w:rsidRDefault="00804237" w:rsidP="00B727BA">
            <w:pPr>
              <w:rPr>
                <w:iCs/>
                <w:color w:val="000000"/>
                <w:lang w:val="en-NZ"/>
              </w:rPr>
            </w:pPr>
            <w:r>
              <w:rPr>
                <w:iCs/>
                <w:color w:val="000000"/>
                <w:lang w:val="en-NZ"/>
              </w:rPr>
              <w:t xml:space="preserve">The scope of </w:t>
            </w:r>
            <w:r w:rsidR="00EA3716">
              <w:rPr>
                <w:iCs/>
                <w:color w:val="000000"/>
                <w:lang w:val="en-NZ"/>
              </w:rPr>
              <w:t xml:space="preserve">analysis in </w:t>
            </w:r>
            <w:r>
              <w:rPr>
                <w:iCs/>
                <w:color w:val="000000"/>
                <w:lang w:val="en-NZ"/>
              </w:rPr>
              <w:t xml:space="preserve">this Supplementary Analysis Report </w:t>
            </w:r>
            <w:r w:rsidR="00EA3716">
              <w:rPr>
                <w:iCs/>
                <w:color w:val="000000"/>
                <w:lang w:val="en-NZ"/>
              </w:rPr>
              <w:t xml:space="preserve">has been restricted in the commissioning where </w:t>
            </w:r>
            <w:r w:rsidR="00EA3716" w:rsidRPr="00EA3716">
              <w:rPr>
                <w:iCs/>
                <w:color w:val="000000"/>
                <w:lang w:val="en-NZ"/>
              </w:rPr>
              <w:t xml:space="preserve">Treasury advised to only analyse the impacts, risks, and other elements of the Government's chosen way forward for this legislative proposal. </w:t>
            </w:r>
            <w:r w:rsidR="00D01748">
              <w:rPr>
                <w:iCs/>
                <w:color w:val="000000"/>
                <w:lang w:val="en-NZ"/>
              </w:rPr>
              <w:t>O</w:t>
            </w:r>
            <w:r w:rsidR="00EA3716" w:rsidRPr="00EA3716">
              <w:rPr>
                <w:iCs/>
                <w:color w:val="000000"/>
                <w:lang w:val="en-NZ"/>
              </w:rPr>
              <w:t xml:space="preserve">ptions </w:t>
            </w:r>
            <w:r w:rsidR="00D01748">
              <w:rPr>
                <w:iCs/>
                <w:color w:val="000000"/>
                <w:lang w:val="en-NZ"/>
              </w:rPr>
              <w:t>other than those</w:t>
            </w:r>
            <w:r w:rsidR="00D01748" w:rsidRPr="00EA3716">
              <w:rPr>
                <w:iCs/>
                <w:color w:val="000000"/>
                <w:lang w:val="en-NZ"/>
              </w:rPr>
              <w:t xml:space="preserve"> </w:t>
            </w:r>
            <w:r w:rsidR="00EA3716" w:rsidRPr="00EA3716">
              <w:rPr>
                <w:iCs/>
                <w:color w:val="000000"/>
                <w:lang w:val="en-NZ"/>
              </w:rPr>
              <w:t>chosen by Cabinet are not analysed</w:t>
            </w:r>
            <w:r w:rsidR="00EA3716">
              <w:rPr>
                <w:iCs/>
                <w:color w:val="000000"/>
                <w:lang w:val="en-NZ"/>
              </w:rPr>
              <w:t xml:space="preserve"> in-depth. </w:t>
            </w:r>
          </w:p>
          <w:p w14:paraId="3DBA48DC" w14:textId="054259FF" w:rsidR="00B727BA" w:rsidRPr="00A864A5" w:rsidRDefault="00DD1A77" w:rsidP="00B727BA">
            <w:pPr>
              <w:rPr>
                <w:iCs/>
                <w:color w:val="000000"/>
                <w:lang w:val="en-NZ"/>
              </w:rPr>
            </w:pPr>
            <w:r>
              <w:rPr>
                <w:iCs/>
                <w:color w:val="000000"/>
                <w:lang w:val="en-NZ"/>
              </w:rPr>
              <w:t xml:space="preserve">Officials have developed </w:t>
            </w:r>
            <w:r w:rsidR="0095750A">
              <w:rPr>
                <w:iCs/>
                <w:color w:val="000000"/>
                <w:lang w:val="en-NZ"/>
              </w:rPr>
              <w:t>this proposal</w:t>
            </w:r>
            <w:r>
              <w:rPr>
                <w:iCs/>
                <w:color w:val="000000"/>
                <w:lang w:val="en-NZ"/>
              </w:rPr>
              <w:t xml:space="preserve"> relying on the preliminary</w:t>
            </w:r>
            <w:r w:rsidR="00A97192">
              <w:rPr>
                <w:iCs/>
                <w:color w:val="000000"/>
                <w:lang w:val="en-NZ"/>
              </w:rPr>
              <w:t xml:space="preserve"> </w:t>
            </w:r>
            <w:r w:rsidR="00A64991">
              <w:rPr>
                <w:iCs/>
                <w:color w:val="000000"/>
                <w:lang w:val="en-NZ"/>
              </w:rPr>
              <w:t>HYEFU</w:t>
            </w:r>
            <w:r>
              <w:rPr>
                <w:iCs/>
                <w:color w:val="000000"/>
                <w:lang w:val="en-NZ"/>
              </w:rPr>
              <w:t xml:space="preserve"> forecasts of</w:t>
            </w:r>
            <w:r w:rsidR="0095750A">
              <w:rPr>
                <w:iCs/>
                <w:color w:val="000000"/>
                <w:lang w:val="en-NZ"/>
              </w:rPr>
              <w:t xml:space="preserve"> net </w:t>
            </w:r>
            <w:r w:rsidR="005469ED">
              <w:rPr>
                <w:iCs/>
                <w:color w:val="000000"/>
                <w:lang w:val="en-NZ"/>
              </w:rPr>
              <w:t>average wage</w:t>
            </w:r>
            <w:r>
              <w:rPr>
                <w:iCs/>
                <w:color w:val="000000"/>
                <w:lang w:val="en-NZ"/>
              </w:rPr>
              <w:t xml:space="preserve"> and </w:t>
            </w:r>
            <w:r w:rsidR="0095750A">
              <w:rPr>
                <w:iCs/>
                <w:color w:val="000000"/>
                <w:lang w:val="en-NZ"/>
              </w:rPr>
              <w:t>inflation (</w:t>
            </w:r>
            <w:r w:rsidR="00CC09D5">
              <w:rPr>
                <w:iCs/>
                <w:color w:val="000000"/>
                <w:lang w:val="en-NZ"/>
              </w:rPr>
              <w:t>CPI</w:t>
            </w:r>
            <w:r w:rsidR="0095750A">
              <w:rPr>
                <w:iCs/>
                <w:color w:val="000000"/>
                <w:lang w:val="en-NZ"/>
              </w:rPr>
              <w:t>)</w:t>
            </w:r>
            <w:r w:rsidR="000E3879">
              <w:rPr>
                <w:iCs/>
                <w:color w:val="000000"/>
                <w:lang w:val="en-NZ"/>
              </w:rPr>
              <w:t xml:space="preserve">, of </w:t>
            </w:r>
            <w:r w:rsidR="0095750A">
              <w:rPr>
                <w:iCs/>
                <w:color w:val="000000"/>
                <w:lang w:val="en-NZ"/>
              </w:rPr>
              <w:t>which there is considerable uncertainty.</w:t>
            </w:r>
            <w:r w:rsidR="00983F99">
              <w:rPr>
                <w:iCs/>
                <w:color w:val="000000"/>
                <w:lang w:val="en-NZ"/>
              </w:rPr>
              <w:t xml:space="preserve"> All costs or savings amounts quoted in this report use the preliminary HYEFU forecasts and CPI/wage outlook assumptions</w:t>
            </w:r>
            <w:r w:rsidR="00D01748">
              <w:rPr>
                <w:iCs/>
                <w:color w:val="000000"/>
                <w:lang w:val="en-NZ"/>
              </w:rPr>
              <w:t>.</w:t>
            </w:r>
            <w:r w:rsidR="0095750A">
              <w:rPr>
                <w:iCs/>
                <w:color w:val="000000"/>
                <w:lang w:val="en-NZ"/>
              </w:rPr>
              <w:t xml:space="preserve"> </w:t>
            </w:r>
            <w:r w:rsidR="00B727BA" w:rsidRPr="00A449DC">
              <w:rPr>
                <w:iCs/>
                <w:color w:val="000000"/>
                <w:lang w:val="en-NZ"/>
              </w:rPr>
              <w:t xml:space="preserve">Stats NZ releases the actual figures on 24 January 2024 for CPI and 7 February 2024 for </w:t>
            </w:r>
            <w:r w:rsidR="00983F99">
              <w:rPr>
                <w:iCs/>
                <w:color w:val="000000"/>
                <w:lang w:val="en-NZ"/>
              </w:rPr>
              <w:t>w</w:t>
            </w:r>
            <w:r w:rsidR="00B727BA" w:rsidRPr="00A449DC">
              <w:rPr>
                <w:iCs/>
                <w:color w:val="000000"/>
                <w:lang w:val="en-NZ"/>
              </w:rPr>
              <w:t xml:space="preserve">age </w:t>
            </w:r>
            <w:r w:rsidR="00983F99">
              <w:rPr>
                <w:iCs/>
                <w:color w:val="000000"/>
                <w:lang w:val="en-NZ"/>
              </w:rPr>
              <w:t>g</w:t>
            </w:r>
            <w:r w:rsidR="00B727BA" w:rsidRPr="00A449DC">
              <w:rPr>
                <w:iCs/>
                <w:color w:val="000000"/>
                <w:lang w:val="en-NZ"/>
              </w:rPr>
              <w:t>rowth</w:t>
            </w:r>
            <w:r w:rsidR="00B727BA">
              <w:rPr>
                <w:iCs/>
                <w:color w:val="000000"/>
                <w:lang w:val="en-NZ"/>
              </w:rPr>
              <w:t xml:space="preserve"> which will be used for the </w:t>
            </w:r>
            <w:r w:rsidR="00F62F11" w:rsidRPr="00F62F11">
              <w:rPr>
                <w:iCs/>
                <w:color w:val="000000"/>
                <w:lang w:val="en-NZ"/>
              </w:rPr>
              <w:t xml:space="preserve">1 April 2024 </w:t>
            </w:r>
            <w:r w:rsidR="00FE32E5">
              <w:rPr>
                <w:iCs/>
                <w:color w:val="000000"/>
                <w:lang w:val="en-NZ"/>
              </w:rPr>
              <w:t>a</w:t>
            </w:r>
            <w:r w:rsidR="00F62F11" w:rsidRPr="00F62F11">
              <w:rPr>
                <w:iCs/>
                <w:color w:val="000000"/>
                <w:lang w:val="en-NZ"/>
              </w:rPr>
              <w:t>djustment</w:t>
            </w:r>
            <w:r w:rsidR="00B727BA">
              <w:rPr>
                <w:iCs/>
                <w:color w:val="000000"/>
                <w:lang w:val="en-NZ"/>
              </w:rPr>
              <w:t xml:space="preserve">. These numbers will indicate the true effects of indexing main benefits to CPI for 2024. </w:t>
            </w:r>
          </w:p>
        </w:tc>
      </w:tr>
      <w:tr w:rsidR="00413FD8" w:rsidRPr="00A864A5" w14:paraId="0EA0047F" w14:textId="77777777" w:rsidTr="445BF07F">
        <w:tc>
          <w:tcPr>
            <w:tcW w:w="5000" w:type="pct"/>
            <w:gridSpan w:val="2"/>
            <w:tcBorders>
              <w:bottom w:val="single" w:sz="4" w:space="0" w:color="DDDDDD"/>
            </w:tcBorders>
            <w:shd w:val="clear" w:color="auto" w:fill="99CDDD"/>
            <w:hideMark/>
          </w:tcPr>
          <w:p w14:paraId="7A579FF2" w14:textId="77777777" w:rsidR="00413FD8" w:rsidRPr="00A864A5" w:rsidRDefault="00413FD8">
            <w:pPr>
              <w:pStyle w:val="TableHeadings"/>
              <w:rPr>
                <w:color w:val="002060"/>
                <w:szCs w:val="22"/>
                <w:lang w:val="en-NZ"/>
              </w:rPr>
            </w:pPr>
            <w:bookmarkStart w:id="7" w:name="_Hlk47608084"/>
            <w:bookmarkEnd w:id="5"/>
            <w:r w:rsidRPr="00A864A5">
              <w:rPr>
                <w:szCs w:val="22"/>
                <w:lang w:val="en-NZ"/>
              </w:rPr>
              <w:t>Responsible Manager(s) (completed by relevant manager)</w:t>
            </w:r>
          </w:p>
        </w:tc>
      </w:tr>
      <w:tr w:rsidR="00413FD8" w:rsidRPr="00A864A5" w14:paraId="091E60B6" w14:textId="77777777" w:rsidTr="445BF07F">
        <w:trPr>
          <w:trHeight w:val="1761"/>
        </w:trPr>
        <w:tc>
          <w:tcPr>
            <w:tcW w:w="5000" w:type="pct"/>
            <w:gridSpan w:val="2"/>
            <w:tcBorders>
              <w:top w:val="nil"/>
            </w:tcBorders>
            <w:shd w:val="clear" w:color="auto" w:fill="auto"/>
          </w:tcPr>
          <w:p w14:paraId="2BD94019" w14:textId="5CC220EB" w:rsidR="00413FD8" w:rsidRPr="008C021B" w:rsidRDefault="008C021B" w:rsidP="00560FED">
            <w:pPr>
              <w:spacing w:before="60" w:after="0" w:line="276" w:lineRule="auto"/>
              <w:ind w:left="284" w:hanging="284"/>
              <w:jc w:val="both"/>
              <w:rPr>
                <w:rFonts w:cs="Arial"/>
                <w:szCs w:val="22"/>
                <w:lang w:val="en-NZ"/>
              </w:rPr>
            </w:pPr>
            <w:r>
              <w:rPr>
                <w:rFonts w:cs="Arial"/>
                <w:szCs w:val="22"/>
                <w:lang w:val="en-NZ"/>
              </w:rPr>
              <w:t>Bede Hogan</w:t>
            </w:r>
          </w:p>
          <w:p w14:paraId="14C17A55" w14:textId="4A4A0D50" w:rsidR="00560FED" w:rsidRPr="008C021B" w:rsidRDefault="008C021B" w:rsidP="00560FED">
            <w:pPr>
              <w:spacing w:before="60" w:after="0" w:line="276" w:lineRule="auto"/>
              <w:ind w:left="284" w:hanging="284"/>
              <w:jc w:val="both"/>
              <w:rPr>
                <w:rFonts w:cs="Arial"/>
                <w:szCs w:val="22"/>
                <w:lang w:val="en-NZ"/>
              </w:rPr>
            </w:pPr>
            <w:r w:rsidRPr="008C021B">
              <w:rPr>
                <w:rFonts w:cs="Arial"/>
                <w:szCs w:val="22"/>
                <w:lang w:val="en-NZ"/>
              </w:rPr>
              <w:t>Policy Manager</w:t>
            </w:r>
          </w:p>
          <w:p w14:paraId="487CCF41" w14:textId="7B140C89" w:rsidR="00413FD8" w:rsidRPr="008C021B" w:rsidRDefault="008C021B" w:rsidP="00560FED">
            <w:pPr>
              <w:spacing w:before="60" w:after="0" w:line="276" w:lineRule="auto"/>
              <w:ind w:left="284" w:hanging="284"/>
              <w:jc w:val="both"/>
              <w:rPr>
                <w:rFonts w:cs="Arial"/>
                <w:szCs w:val="22"/>
                <w:lang w:val="en-NZ"/>
              </w:rPr>
            </w:pPr>
            <w:r w:rsidRPr="008C021B">
              <w:rPr>
                <w:rFonts w:cs="Arial"/>
                <w:szCs w:val="22"/>
                <w:lang w:val="en-NZ"/>
              </w:rPr>
              <w:t xml:space="preserve">Income Support Policy </w:t>
            </w:r>
          </w:p>
          <w:p w14:paraId="4E99BE46" w14:textId="15CAE680" w:rsidR="00413FD8" w:rsidRPr="008C021B" w:rsidRDefault="008C021B" w:rsidP="00560FED">
            <w:pPr>
              <w:spacing w:before="60" w:after="0" w:line="276" w:lineRule="auto"/>
              <w:ind w:left="284" w:hanging="284"/>
              <w:jc w:val="both"/>
              <w:rPr>
                <w:rFonts w:cs="Arial"/>
                <w:szCs w:val="22"/>
                <w:lang w:val="en-NZ"/>
              </w:rPr>
            </w:pPr>
            <w:r w:rsidRPr="008C021B">
              <w:rPr>
                <w:rFonts w:cs="Arial"/>
                <w:szCs w:val="22"/>
                <w:lang w:val="en-NZ"/>
              </w:rPr>
              <w:t>Ministry of Social Development</w:t>
            </w:r>
          </w:p>
          <w:p w14:paraId="50C19AFD" w14:textId="77777777" w:rsidR="007A20DD" w:rsidRDefault="007A20DD" w:rsidP="00596D8A">
            <w:pPr>
              <w:spacing w:before="60" w:after="0" w:line="276" w:lineRule="auto"/>
              <w:ind w:left="284" w:hanging="284"/>
              <w:jc w:val="both"/>
              <w:rPr>
                <w:rFonts w:cs="Arial"/>
                <w:iCs/>
                <w:color w:val="000000"/>
                <w:szCs w:val="14"/>
                <w:lang w:val="en-NZ"/>
              </w:rPr>
            </w:pPr>
          </w:p>
          <w:p w14:paraId="65FBD4C4" w14:textId="2E63C63C" w:rsidR="00596D8A" w:rsidRPr="00A864A5" w:rsidRDefault="00596D8A" w:rsidP="00596D8A">
            <w:pPr>
              <w:spacing w:before="60" w:after="0" w:line="276" w:lineRule="auto"/>
              <w:jc w:val="both"/>
              <w:rPr>
                <w:rFonts w:cs="Arial"/>
                <w:iCs/>
                <w:color w:val="000000"/>
                <w:sz w:val="14"/>
                <w:szCs w:val="14"/>
                <w:lang w:val="en-NZ"/>
              </w:rPr>
            </w:pPr>
          </w:p>
        </w:tc>
      </w:tr>
      <w:tr w:rsidR="00EB2157" w:rsidRPr="00A864A5" w14:paraId="5FCD62D5" w14:textId="77777777" w:rsidTr="445BF07F">
        <w:tc>
          <w:tcPr>
            <w:tcW w:w="5000" w:type="pct"/>
            <w:gridSpan w:val="2"/>
            <w:tcBorders>
              <w:bottom w:val="single" w:sz="4" w:space="0" w:color="DDDDDD"/>
            </w:tcBorders>
            <w:shd w:val="clear" w:color="auto" w:fill="99CDDD"/>
            <w:hideMark/>
          </w:tcPr>
          <w:p w14:paraId="55C0C834" w14:textId="0B23483F" w:rsidR="00EB2157" w:rsidRPr="00A864A5" w:rsidRDefault="00EB2157">
            <w:pPr>
              <w:pStyle w:val="TableHeadings"/>
              <w:rPr>
                <w:color w:val="002060"/>
                <w:szCs w:val="22"/>
                <w:lang w:val="en-NZ"/>
              </w:rPr>
            </w:pPr>
            <w:r w:rsidRPr="00A864A5">
              <w:rPr>
                <w:szCs w:val="22"/>
                <w:lang w:val="en-NZ"/>
              </w:rPr>
              <w:t xml:space="preserve">Quality </w:t>
            </w:r>
            <w:r w:rsidR="009F6501" w:rsidRPr="00A864A5">
              <w:rPr>
                <w:szCs w:val="22"/>
                <w:lang w:val="en-NZ"/>
              </w:rPr>
              <w:t>A</w:t>
            </w:r>
            <w:r w:rsidRPr="00A864A5">
              <w:rPr>
                <w:szCs w:val="22"/>
                <w:lang w:val="en-NZ"/>
              </w:rPr>
              <w:t xml:space="preserve">ssurance </w:t>
            </w:r>
            <w:r w:rsidR="00076368" w:rsidRPr="00A864A5">
              <w:rPr>
                <w:szCs w:val="22"/>
                <w:lang w:val="en-NZ"/>
              </w:rPr>
              <w:t>(completed by QA panel)</w:t>
            </w:r>
          </w:p>
        </w:tc>
      </w:tr>
      <w:tr w:rsidR="00EB2157" w:rsidRPr="00A864A5" w14:paraId="6F7BACA2" w14:textId="77777777" w:rsidTr="445BF07F">
        <w:trPr>
          <w:trHeight w:val="141"/>
        </w:trPr>
        <w:tc>
          <w:tcPr>
            <w:tcW w:w="1328" w:type="pct"/>
            <w:tcBorders>
              <w:top w:val="nil"/>
            </w:tcBorders>
            <w:shd w:val="clear" w:color="auto" w:fill="EBF5F8"/>
          </w:tcPr>
          <w:p w14:paraId="22AF1207" w14:textId="7EA6C592" w:rsidR="00EB2157" w:rsidRPr="00A864A5" w:rsidRDefault="00EB2157">
            <w:pPr>
              <w:rPr>
                <w:rFonts w:cs="Arial"/>
                <w:iCs/>
                <w:color w:val="000000"/>
                <w:szCs w:val="22"/>
                <w:lang w:val="en-NZ"/>
              </w:rPr>
            </w:pPr>
            <w:r w:rsidRPr="00A864A5">
              <w:rPr>
                <w:rFonts w:cs="Arial"/>
                <w:iCs/>
                <w:color w:val="000000"/>
                <w:szCs w:val="22"/>
                <w:lang w:val="en-NZ"/>
              </w:rPr>
              <w:lastRenderedPageBreak/>
              <w:t xml:space="preserve">Reviewing </w:t>
            </w:r>
            <w:r w:rsidR="00575FF9" w:rsidRPr="00A864A5">
              <w:rPr>
                <w:rFonts w:cs="Arial"/>
                <w:iCs/>
                <w:color w:val="000000"/>
                <w:szCs w:val="22"/>
                <w:lang w:val="en-NZ"/>
              </w:rPr>
              <w:t>A</w:t>
            </w:r>
            <w:r w:rsidRPr="00A864A5">
              <w:rPr>
                <w:rFonts w:cs="Arial"/>
                <w:iCs/>
                <w:color w:val="000000"/>
                <w:szCs w:val="22"/>
                <w:lang w:val="en-NZ"/>
              </w:rPr>
              <w:t>gency:</w:t>
            </w:r>
          </w:p>
        </w:tc>
        <w:tc>
          <w:tcPr>
            <w:tcW w:w="3672" w:type="pct"/>
            <w:tcBorders>
              <w:top w:val="nil"/>
            </w:tcBorders>
            <w:shd w:val="clear" w:color="auto" w:fill="auto"/>
          </w:tcPr>
          <w:p w14:paraId="402BE84D" w14:textId="0403D036" w:rsidR="00945731" w:rsidRPr="00945731" w:rsidRDefault="00945731">
            <w:pPr>
              <w:rPr>
                <w:rFonts w:cs="Arial"/>
                <w:szCs w:val="22"/>
                <w:lang w:val="en-NZ"/>
              </w:rPr>
            </w:pPr>
            <w:r>
              <w:rPr>
                <w:rFonts w:cs="Arial"/>
                <w:szCs w:val="22"/>
                <w:lang w:val="en-NZ"/>
              </w:rPr>
              <w:t>Ministry of Social Development</w:t>
            </w:r>
            <w:r w:rsidR="00C720ED">
              <w:rPr>
                <w:rFonts w:cs="Arial"/>
                <w:szCs w:val="22"/>
                <w:lang w:val="en-NZ"/>
              </w:rPr>
              <w:t xml:space="preserve"> and the Treasury</w:t>
            </w:r>
          </w:p>
        </w:tc>
      </w:tr>
      <w:tr w:rsidR="00EB2157" w:rsidRPr="00A864A5" w14:paraId="228C68D7" w14:textId="77777777" w:rsidTr="445BF07F">
        <w:trPr>
          <w:trHeight w:val="1639"/>
        </w:trPr>
        <w:tc>
          <w:tcPr>
            <w:tcW w:w="1328" w:type="pct"/>
            <w:tcBorders>
              <w:top w:val="nil"/>
            </w:tcBorders>
            <w:shd w:val="clear" w:color="auto" w:fill="EBF5F8"/>
          </w:tcPr>
          <w:p w14:paraId="4DF0990E" w14:textId="00252464" w:rsidR="00EB2157" w:rsidRPr="00A864A5" w:rsidRDefault="00F321A6">
            <w:pPr>
              <w:rPr>
                <w:rFonts w:cs="Arial"/>
                <w:iCs/>
                <w:color w:val="000000"/>
                <w:szCs w:val="22"/>
                <w:lang w:val="en-NZ"/>
              </w:rPr>
            </w:pPr>
            <w:r w:rsidRPr="00A864A5">
              <w:rPr>
                <w:rFonts w:cs="Arial"/>
                <w:iCs/>
                <w:color w:val="000000"/>
                <w:szCs w:val="22"/>
                <w:lang w:val="en-NZ"/>
              </w:rPr>
              <w:t xml:space="preserve">Panel </w:t>
            </w:r>
            <w:r w:rsidR="00EB2157" w:rsidRPr="00A864A5">
              <w:rPr>
                <w:rFonts w:cs="Arial"/>
                <w:iCs/>
                <w:color w:val="000000"/>
                <w:szCs w:val="22"/>
                <w:lang w:val="en-NZ"/>
              </w:rPr>
              <w:t>Assessment</w:t>
            </w:r>
            <w:r w:rsidRPr="00A864A5">
              <w:rPr>
                <w:rFonts w:cs="Arial"/>
                <w:iCs/>
                <w:color w:val="000000"/>
                <w:szCs w:val="22"/>
                <w:lang w:val="en-NZ"/>
              </w:rPr>
              <w:t xml:space="preserve"> &amp; </w:t>
            </w:r>
            <w:r w:rsidR="0085441F" w:rsidRPr="00A864A5">
              <w:rPr>
                <w:rFonts w:cs="Arial"/>
                <w:iCs/>
                <w:color w:val="000000"/>
                <w:szCs w:val="22"/>
                <w:lang w:val="en-NZ"/>
              </w:rPr>
              <w:t>Comment</w:t>
            </w:r>
            <w:r w:rsidR="00EB2157" w:rsidRPr="00A864A5">
              <w:rPr>
                <w:rFonts w:cs="Arial"/>
                <w:iCs/>
                <w:color w:val="000000"/>
                <w:szCs w:val="22"/>
                <w:lang w:val="en-NZ"/>
              </w:rPr>
              <w:t>:</w:t>
            </w:r>
          </w:p>
        </w:tc>
        <w:tc>
          <w:tcPr>
            <w:tcW w:w="3672" w:type="pct"/>
            <w:tcBorders>
              <w:top w:val="nil"/>
            </w:tcBorders>
            <w:shd w:val="clear" w:color="auto" w:fill="auto"/>
          </w:tcPr>
          <w:p w14:paraId="6B77D414" w14:textId="77777777" w:rsidR="00596D8A" w:rsidRPr="00596D8A" w:rsidRDefault="00596D8A" w:rsidP="00596D8A">
            <w:pPr>
              <w:rPr>
                <w:rFonts w:cs="Arial"/>
                <w:szCs w:val="22"/>
                <w:lang w:val="en-NZ"/>
              </w:rPr>
            </w:pPr>
            <w:r w:rsidRPr="00596D8A">
              <w:rPr>
                <w:rFonts w:cs="Arial"/>
                <w:szCs w:val="22"/>
                <w:lang w:val="en-NZ"/>
              </w:rPr>
              <w:t xml:space="preserve">A Quality Assurance Panel including membership from the Ministry of Social Development and The Treasury has reviewed the Supplementary Analysis Report: Indexing Main Benefits to Inflation prepared by the Ministry of Social Development and considers that the information and analysis summarised in the SAR </w:t>
            </w:r>
            <w:r w:rsidRPr="00596D8A">
              <w:rPr>
                <w:rFonts w:cs="Arial"/>
                <w:b/>
                <w:bCs/>
                <w:szCs w:val="22"/>
                <w:lang w:val="en-NZ"/>
              </w:rPr>
              <w:t>partially meets</w:t>
            </w:r>
            <w:r w:rsidRPr="00596D8A">
              <w:rPr>
                <w:rFonts w:cs="Arial"/>
                <w:szCs w:val="22"/>
                <w:lang w:val="en-NZ"/>
              </w:rPr>
              <w:t xml:space="preserve"> the quality assurance criteria.</w:t>
            </w:r>
          </w:p>
          <w:p w14:paraId="6F0FE74B" w14:textId="77777777" w:rsidR="00596D8A" w:rsidRPr="00596D8A" w:rsidRDefault="00596D8A" w:rsidP="00596D8A">
            <w:pPr>
              <w:rPr>
                <w:rFonts w:cs="Arial"/>
                <w:szCs w:val="22"/>
                <w:lang w:val="en-NZ"/>
              </w:rPr>
            </w:pPr>
          </w:p>
          <w:p w14:paraId="28FD900F" w14:textId="52EE48DB" w:rsidR="000E7F9B" w:rsidRPr="00596D8A" w:rsidRDefault="00596D8A" w:rsidP="00596D8A">
            <w:pPr>
              <w:rPr>
                <w:rFonts w:cs="Arial"/>
                <w:szCs w:val="22"/>
                <w:lang w:val="en-NZ"/>
              </w:rPr>
            </w:pPr>
            <w:r w:rsidRPr="00596D8A">
              <w:rPr>
                <w:rFonts w:cs="Arial"/>
                <w:szCs w:val="22"/>
                <w:lang w:val="en-NZ"/>
              </w:rPr>
              <w:t xml:space="preserve">The analysis of options in the SAR has been constrained to the option chosen by Cabinet. Given this, the panel considers that the information in the SAR is as complete as could reasonably be expected in the timeframes and it identifies the main benefits and impacts of the options given the stated policy objectives. The SAR notes that consultation has not been possible given time constraints. </w:t>
            </w:r>
          </w:p>
        </w:tc>
      </w:tr>
    </w:tbl>
    <w:p w14:paraId="3E327532" w14:textId="328270D7" w:rsidR="00C53DAC" w:rsidRDefault="00F16C50" w:rsidP="00F63B97">
      <w:pPr>
        <w:pStyle w:val="Heading2"/>
        <w:rPr>
          <w:lang w:val="en-NZ"/>
        </w:rPr>
      </w:pPr>
      <w:bookmarkStart w:id="8" w:name="_Toc363047038"/>
      <w:bookmarkStart w:id="9" w:name="_Toc362940530"/>
      <w:bookmarkStart w:id="10" w:name="_Toc362618966"/>
      <w:bookmarkStart w:id="11" w:name="_Toc362434720"/>
      <w:bookmarkStart w:id="12" w:name="_Toc362368098"/>
      <w:bookmarkEnd w:id="7"/>
      <w:r w:rsidRPr="00A864A5">
        <w:rPr>
          <w:lang w:val="en-NZ"/>
        </w:rPr>
        <w:t xml:space="preserve">Section 1: </w:t>
      </w:r>
      <w:r w:rsidR="0022201B">
        <w:rPr>
          <w:lang w:val="en-NZ"/>
        </w:rPr>
        <w:t>Diagnos</w:t>
      </w:r>
      <w:r w:rsidR="001C4A82">
        <w:rPr>
          <w:lang w:val="en-NZ"/>
        </w:rPr>
        <w:t>ing</w:t>
      </w:r>
      <w:r w:rsidR="0022201B">
        <w:rPr>
          <w:lang w:val="en-NZ"/>
        </w:rPr>
        <w:t xml:space="preserve"> the policy problem</w:t>
      </w:r>
    </w:p>
    <w:p w14:paraId="188555CA" w14:textId="56639606" w:rsidR="00CA25A3" w:rsidRPr="00CA25A3" w:rsidRDefault="007E4F5A" w:rsidP="00F63B97">
      <w:pPr>
        <w:pStyle w:val="Heading3"/>
        <w:rPr>
          <w:lang w:val="en-NZ"/>
        </w:rPr>
      </w:pPr>
      <w:r>
        <w:rPr>
          <w:lang w:val="en-NZ"/>
        </w:rPr>
        <w:t xml:space="preserve">What is the context behind the </w:t>
      </w:r>
      <w:r w:rsidR="008E4014">
        <w:rPr>
          <w:lang w:val="en-NZ"/>
        </w:rPr>
        <w:t xml:space="preserve">policy </w:t>
      </w:r>
      <w:r>
        <w:rPr>
          <w:lang w:val="en-NZ"/>
        </w:rPr>
        <w:t>problem</w:t>
      </w:r>
      <w:r w:rsidR="000F740F">
        <w:rPr>
          <w:lang w:val="en-NZ"/>
        </w:rPr>
        <w:t xml:space="preserve"> and </w:t>
      </w:r>
      <w:r w:rsidR="00E0257A">
        <w:rPr>
          <w:lang w:val="en-NZ"/>
        </w:rPr>
        <w:t>how is the s</w:t>
      </w:r>
      <w:r w:rsidR="000F740F">
        <w:rPr>
          <w:lang w:val="en-NZ"/>
        </w:rPr>
        <w:t>tatus quo</w:t>
      </w:r>
      <w:r w:rsidR="00E0257A">
        <w:rPr>
          <w:lang w:val="en-NZ"/>
        </w:rPr>
        <w:t xml:space="preserve"> expected to develop</w:t>
      </w:r>
      <w:r>
        <w:rPr>
          <w:lang w:val="en-NZ"/>
        </w:rPr>
        <w:t>?</w:t>
      </w:r>
    </w:p>
    <w:p w14:paraId="3F51160C" w14:textId="3FC65D43" w:rsidR="007D78A1" w:rsidRPr="00240A81" w:rsidRDefault="009E1D38" w:rsidP="00240A81">
      <w:pPr>
        <w:pStyle w:val="Heading4"/>
        <w:numPr>
          <w:ilvl w:val="0"/>
          <w:numId w:val="0"/>
        </w:numPr>
        <w:rPr>
          <w:rFonts w:cs="Arial"/>
          <w:lang w:val="en-NZ"/>
        </w:rPr>
      </w:pPr>
      <w:r>
        <w:rPr>
          <w:rFonts w:cs="Arial"/>
          <w:lang w:val="en-NZ"/>
        </w:rPr>
        <w:t xml:space="preserve">The Social Security Act 2018 </w:t>
      </w:r>
      <w:r w:rsidR="002D3C4E">
        <w:rPr>
          <w:rFonts w:cs="Arial"/>
          <w:lang w:val="en-NZ"/>
        </w:rPr>
        <w:t xml:space="preserve">has </w:t>
      </w:r>
      <w:r>
        <w:rPr>
          <w:rFonts w:cs="Arial"/>
          <w:lang w:val="en-NZ"/>
        </w:rPr>
        <w:t>require</w:t>
      </w:r>
      <w:r w:rsidR="002D3C4E">
        <w:rPr>
          <w:rFonts w:cs="Arial"/>
          <w:lang w:val="en-NZ"/>
        </w:rPr>
        <w:t>d</w:t>
      </w:r>
      <w:r>
        <w:rPr>
          <w:rFonts w:cs="Arial"/>
          <w:lang w:val="en-NZ"/>
        </w:rPr>
        <w:t xml:space="preserve"> main benefits to be adjusted by net average wage growth</w:t>
      </w:r>
      <w:r w:rsidR="002D3C4E">
        <w:rPr>
          <w:rFonts w:cs="Arial"/>
          <w:lang w:val="en-NZ"/>
        </w:rPr>
        <w:t xml:space="preserve"> since 2020 </w:t>
      </w:r>
    </w:p>
    <w:p w14:paraId="49385F02" w14:textId="11767DEE" w:rsidR="00AB679F" w:rsidRDefault="00AB679F" w:rsidP="00AB679F">
      <w:pPr>
        <w:pStyle w:val="BodyText-Numbered"/>
      </w:pPr>
      <w:r w:rsidRPr="00AB679F">
        <w:t xml:space="preserve">Indexation settings for main benefits are an important tool for determining the rates of main benefits. </w:t>
      </w:r>
    </w:p>
    <w:p w14:paraId="292C7093" w14:textId="499DC98B" w:rsidR="00BA3726" w:rsidRDefault="007F14F4" w:rsidP="00166043">
      <w:pPr>
        <w:pStyle w:val="BodyText-Numbered"/>
      </w:pPr>
      <w:r>
        <w:t xml:space="preserve">Historically, from 1989 to 2010, main benefits were adjusted by Cabinet agreement each year (except in 1991) without any legislative requirement. In 2010, the Government legislated for annual adjustments of main benefits to inflation. </w:t>
      </w:r>
      <w:r w:rsidR="00620448">
        <w:t>Since 2020,</w:t>
      </w:r>
      <w:r w:rsidR="002A3931" w:rsidRPr="002A3931">
        <w:t xml:space="preserve"> </w:t>
      </w:r>
      <w:r w:rsidR="00620448">
        <w:t>main benefits have been indexed to net average wage growth</w:t>
      </w:r>
      <w:r w:rsidR="00CE5E61">
        <w:t xml:space="preserve"> as required by primary legislation</w:t>
      </w:r>
      <w:r>
        <w:t xml:space="preserve">. </w:t>
      </w:r>
      <w:r w:rsidR="00620448">
        <w:t>Section 452A</w:t>
      </w:r>
      <w:r w:rsidR="002A3931">
        <w:t xml:space="preserve"> of the</w:t>
      </w:r>
      <w:r w:rsidR="00F92DF7">
        <w:t xml:space="preserve"> Social Security</w:t>
      </w:r>
      <w:r w:rsidR="002A3931">
        <w:t xml:space="preserve"> Act</w:t>
      </w:r>
      <w:r w:rsidR="00F92DF7">
        <w:t>, 2018</w:t>
      </w:r>
      <w:r w:rsidR="00620448" w:rsidRPr="00A55BF7">
        <w:t xml:space="preserve"> </w:t>
      </w:r>
      <w:r w:rsidR="00F92DF7">
        <w:t xml:space="preserve">(the Act) </w:t>
      </w:r>
      <w:r w:rsidR="00620448">
        <w:t>states</w:t>
      </w:r>
      <w:r w:rsidR="00620448" w:rsidRPr="00A55BF7">
        <w:t xml:space="preserve"> that MSD</w:t>
      </w:r>
      <w:r w:rsidR="00620448">
        <w:t xml:space="preserve"> is</w:t>
      </w:r>
      <w:r w:rsidR="00620448" w:rsidRPr="00A55BF7">
        <w:t xml:space="preserve"> </w:t>
      </w:r>
      <w:r w:rsidR="00F92DF7">
        <w:t xml:space="preserve">to </w:t>
      </w:r>
      <w:r w:rsidR="00620448" w:rsidRPr="00A55BF7">
        <w:t>adjust the specified main benefit rates</w:t>
      </w:r>
      <w:r w:rsidR="00620448" w:rsidRPr="00A55BF7">
        <w:rPr>
          <w:rStyle w:val="FootnoteReference"/>
        </w:rPr>
        <w:footnoteReference w:id="2"/>
      </w:r>
      <w:r w:rsidR="00620448" w:rsidRPr="00A55BF7">
        <w:t xml:space="preserve"> annually according to </w:t>
      </w:r>
      <w:r w:rsidR="00620448">
        <w:t xml:space="preserve">upwards </w:t>
      </w:r>
      <w:r w:rsidR="00620448" w:rsidRPr="00A55BF7">
        <w:t>changes in the net average wage.</w:t>
      </w:r>
      <w:r w:rsidR="00F60946">
        <w:t xml:space="preserve"> Th</w:t>
      </w:r>
      <w:r w:rsidR="00F92DF7">
        <w:t xml:space="preserve">e annual </w:t>
      </w:r>
      <w:r w:rsidR="00F62F11">
        <w:t>adjust</w:t>
      </w:r>
      <w:r w:rsidR="00F92DF7">
        <w:t xml:space="preserve">ment occurs </w:t>
      </w:r>
      <w:r w:rsidR="00F60946">
        <w:t xml:space="preserve">on </w:t>
      </w:r>
      <w:r w:rsidR="00F62F11" w:rsidRPr="00F62F11">
        <w:t>1 April</w:t>
      </w:r>
      <w:r w:rsidR="00D01748">
        <w:t xml:space="preserve"> each year</w:t>
      </w:r>
      <w:r w:rsidR="00F62F11">
        <w:t>.</w:t>
      </w:r>
    </w:p>
    <w:p w14:paraId="5AAFC49D" w14:textId="16027E0B" w:rsidR="00C04EAC" w:rsidRDefault="00756237" w:rsidP="00E40A89">
      <w:pPr>
        <w:pStyle w:val="BodyText-Numbered"/>
      </w:pPr>
      <w:r>
        <w:t>Main benefit rates</w:t>
      </w:r>
      <w:r w:rsidR="00C04EAC">
        <w:t xml:space="preserve"> have a significant impact on clients in terms of providing</w:t>
      </w:r>
      <w:r w:rsidR="007C5816">
        <w:t xml:space="preserve"> an</w:t>
      </w:r>
      <w:r w:rsidR="00C04EAC">
        <w:t xml:space="preserve"> adequate income </w:t>
      </w:r>
      <w:r w:rsidR="007C5816">
        <w:t>to meet</w:t>
      </w:r>
      <w:r w:rsidR="00C04EAC">
        <w:t xml:space="preserve"> </w:t>
      </w:r>
      <w:r w:rsidR="007C5816">
        <w:t xml:space="preserve">the </w:t>
      </w:r>
      <w:r w:rsidR="00C04EAC">
        <w:t xml:space="preserve">cost of living. </w:t>
      </w:r>
      <w:r w:rsidR="00110FC2">
        <w:t>Whilst it is not the sole factor affecting work incentives, m</w:t>
      </w:r>
      <w:r w:rsidR="00C04EAC">
        <w:t>ain benefit rates ca</w:t>
      </w:r>
      <w:r w:rsidR="00E40A89">
        <w:t xml:space="preserve">n affect </w:t>
      </w:r>
      <w:r w:rsidR="00C04EAC">
        <w:t>financial incentive</w:t>
      </w:r>
      <w:r w:rsidR="00E40A89">
        <w:t>s</w:t>
      </w:r>
      <w:r w:rsidR="00C04EAC">
        <w:t xml:space="preserve"> to engage in work</w:t>
      </w:r>
      <w:r w:rsidR="00D01748">
        <w:t>.</w:t>
      </w:r>
      <w:r w:rsidR="00E40A89">
        <w:t xml:space="preserve"> </w:t>
      </w:r>
      <w:r w:rsidR="00D01748">
        <w:t>I</w:t>
      </w:r>
      <w:r w:rsidR="00E40A89">
        <w:t>f rates do not keep pace with employment income</w:t>
      </w:r>
      <w:r w:rsidR="00D01748">
        <w:t>,</w:t>
      </w:r>
      <w:r w:rsidR="00E40A89">
        <w:t xml:space="preserve"> </w:t>
      </w:r>
      <w:r w:rsidR="00804237">
        <w:t xml:space="preserve">there can be greater incentives to work. </w:t>
      </w:r>
    </w:p>
    <w:p w14:paraId="5CFE6A4A" w14:textId="5F33AA10" w:rsidR="00A53B85" w:rsidRPr="00166043" w:rsidRDefault="00225B8B" w:rsidP="00166043">
      <w:pPr>
        <w:pStyle w:val="BodyText-Numbered"/>
      </w:pPr>
      <w:r>
        <w:t>In</w:t>
      </w:r>
      <w:r w:rsidR="00620448">
        <w:t xml:space="preserve"> 2022 the increase in CPI was higher than the increase in</w:t>
      </w:r>
      <w:r w:rsidR="00983F99">
        <w:t xml:space="preserve"> the</w:t>
      </w:r>
      <w:r w:rsidR="00620448">
        <w:t xml:space="preserve"> net average wage. In response, the previous </w:t>
      </w:r>
      <w:r w:rsidR="009449F8">
        <w:t>G</w:t>
      </w:r>
      <w:r w:rsidR="00620448">
        <w:t>overnment decided to provide a one-off discretiona</w:t>
      </w:r>
      <w:r w:rsidR="00983F99">
        <w:t>ry</w:t>
      </w:r>
      <w:r w:rsidR="00620448">
        <w:t xml:space="preserve"> top-up to increase main benefit rates to meet the percentage increase </w:t>
      </w:r>
      <w:r w:rsidR="00983F99">
        <w:t>in the</w:t>
      </w:r>
      <w:r w:rsidR="00620448">
        <w:t xml:space="preserve"> CPI for the</w:t>
      </w:r>
      <w:r w:rsidR="00983F99">
        <w:t xml:space="preserve"> April</w:t>
      </w:r>
      <w:r w:rsidR="00620448">
        <w:t xml:space="preserve"> 2023 </w:t>
      </w:r>
      <w:bookmarkStart w:id="13" w:name="_Hlk155357435"/>
      <w:r w:rsidR="00167A6A">
        <w:t>adjustment</w:t>
      </w:r>
      <w:r w:rsidR="00A53B85">
        <w:t xml:space="preserve">. </w:t>
      </w:r>
    </w:p>
    <w:p w14:paraId="0332882E" w14:textId="0CFCD97A" w:rsidR="00166043" w:rsidRPr="00166043" w:rsidRDefault="00982D6D" w:rsidP="00166043">
      <w:pPr>
        <w:pStyle w:val="BodyText-Numbered"/>
        <w:numPr>
          <w:ilvl w:val="0"/>
          <w:numId w:val="0"/>
        </w:numPr>
        <w:rPr>
          <w:b/>
          <w:bCs/>
          <w:color w:val="595959" w:themeColor="text1" w:themeTint="A6"/>
          <w:lang w:val="en-NZ"/>
        </w:rPr>
      </w:pPr>
      <w:r w:rsidRPr="00166043">
        <w:rPr>
          <w:b/>
          <w:bCs/>
          <w:color w:val="595959" w:themeColor="text1" w:themeTint="A6"/>
          <w:lang w:val="en-NZ"/>
        </w:rPr>
        <w:t xml:space="preserve">Forecasting indicates that </w:t>
      </w:r>
      <w:r w:rsidR="00E03B6D" w:rsidRPr="00166043">
        <w:rPr>
          <w:b/>
          <w:bCs/>
          <w:color w:val="595959" w:themeColor="text1" w:themeTint="A6"/>
          <w:lang w:val="en-NZ"/>
        </w:rPr>
        <w:t>wage</w:t>
      </w:r>
      <w:r w:rsidRPr="00166043">
        <w:rPr>
          <w:b/>
          <w:bCs/>
          <w:color w:val="595959" w:themeColor="text1" w:themeTint="A6"/>
          <w:lang w:val="en-NZ"/>
        </w:rPr>
        <w:t xml:space="preserve"> </w:t>
      </w:r>
      <w:r w:rsidR="00E03B6D" w:rsidRPr="00166043">
        <w:rPr>
          <w:b/>
          <w:bCs/>
          <w:color w:val="595959" w:themeColor="text1" w:themeTint="A6"/>
          <w:lang w:val="en-NZ"/>
        </w:rPr>
        <w:t xml:space="preserve">growth </w:t>
      </w:r>
      <w:r w:rsidRPr="00166043">
        <w:rPr>
          <w:b/>
          <w:bCs/>
          <w:color w:val="595959" w:themeColor="text1" w:themeTint="A6"/>
          <w:lang w:val="en-NZ"/>
        </w:rPr>
        <w:t xml:space="preserve">will be </w:t>
      </w:r>
      <w:r w:rsidR="00BC2CD0">
        <w:rPr>
          <w:b/>
          <w:bCs/>
          <w:color w:val="595959" w:themeColor="text1" w:themeTint="A6"/>
          <w:lang w:val="en-NZ"/>
        </w:rPr>
        <w:t>lower</w:t>
      </w:r>
      <w:r w:rsidR="00BC2CD0" w:rsidRPr="00166043">
        <w:rPr>
          <w:b/>
          <w:bCs/>
          <w:color w:val="595959" w:themeColor="text1" w:themeTint="A6"/>
          <w:lang w:val="en-NZ"/>
        </w:rPr>
        <w:t xml:space="preserve"> </w:t>
      </w:r>
      <w:r w:rsidRPr="00166043">
        <w:rPr>
          <w:b/>
          <w:bCs/>
          <w:color w:val="595959" w:themeColor="text1" w:themeTint="A6"/>
          <w:lang w:val="en-NZ"/>
        </w:rPr>
        <w:t xml:space="preserve">than </w:t>
      </w:r>
      <w:r w:rsidR="00E03B6D" w:rsidRPr="00166043">
        <w:rPr>
          <w:b/>
          <w:bCs/>
          <w:color w:val="595959" w:themeColor="text1" w:themeTint="A6"/>
          <w:lang w:val="en-NZ"/>
        </w:rPr>
        <w:t xml:space="preserve">inflation </w:t>
      </w:r>
      <w:r w:rsidR="006B5991" w:rsidRPr="00166043">
        <w:rPr>
          <w:b/>
          <w:bCs/>
          <w:color w:val="595959" w:themeColor="text1" w:themeTint="A6"/>
          <w:lang w:val="en-NZ"/>
        </w:rPr>
        <w:t>for</w:t>
      </w:r>
      <w:r w:rsidRPr="00166043">
        <w:rPr>
          <w:b/>
          <w:bCs/>
          <w:color w:val="595959" w:themeColor="text1" w:themeTint="A6"/>
          <w:lang w:val="en-NZ"/>
        </w:rPr>
        <w:t xml:space="preserve"> the 2024 Annual Adjustment, but </w:t>
      </w:r>
      <w:r w:rsidR="006B5991" w:rsidRPr="00166043">
        <w:rPr>
          <w:b/>
          <w:bCs/>
          <w:color w:val="595959" w:themeColor="text1" w:themeTint="A6"/>
          <w:lang w:val="en-NZ"/>
        </w:rPr>
        <w:t xml:space="preserve">higher </w:t>
      </w:r>
      <w:r w:rsidRPr="00166043">
        <w:rPr>
          <w:b/>
          <w:bCs/>
          <w:color w:val="595959" w:themeColor="text1" w:themeTint="A6"/>
          <w:lang w:val="en-NZ"/>
        </w:rPr>
        <w:t>over the</w:t>
      </w:r>
      <w:r w:rsidR="00983F99">
        <w:rPr>
          <w:b/>
          <w:bCs/>
          <w:color w:val="595959" w:themeColor="text1" w:themeTint="A6"/>
          <w:lang w:val="en-NZ"/>
        </w:rPr>
        <w:t xml:space="preserve"> remaining</w:t>
      </w:r>
      <w:r w:rsidRPr="00166043">
        <w:rPr>
          <w:b/>
          <w:bCs/>
          <w:color w:val="595959" w:themeColor="text1" w:themeTint="A6"/>
          <w:lang w:val="en-NZ"/>
        </w:rPr>
        <w:t xml:space="preserve"> forecast </w:t>
      </w:r>
      <w:r w:rsidR="00B97603" w:rsidRPr="00166043">
        <w:rPr>
          <w:b/>
          <w:bCs/>
          <w:color w:val="595959" w:themeColor="text1" w:themeTint="A6"/>
          <w:lang w:val="en-NZ"/>
        </w:rPr>
        <w:t>period</w:t>
      </w:r>
      <w:r w:rsidR="00A53B85" w:rsidRPr="00166043">
        <w:rPr>
          <w:b/>
          <w:bCs/>
          <w:color w:val="595959" w:themeColor="text1" w:themeTint="A6"/>
          <w:lang w:val="en-NZ"/>
        </w:rPr>
        <w:t xml:space="preserve"> </w:t>
      </w:r>
    </w:p>
    <w:bookmarkEnd w:id="13"/>
    <w:p w14:paraId="5578B290" w14:textId="325D91BD" w:rsidR="00C24E70" w:rsidRDefault="002F0674" w:rsidP="00487566">
      <w:pPr>
        <w:pStyle w:val="BodyText-Numbered"/>
      </w:pPr>
      <w:r>
        <w:t xml:space="preserve">The Treasury’s </w:t>
      </w:r>
      <w:r w:rsidR="00166043">
        <w:t>Half Year</w:t>
      </w:r>
      <w:r w:rsidR="00620448">
        <w:t xml:space="preserve"> </w:t>
      </w:r>
      <w:r>
        <w:t xml:space="preserve">Economic and Fiscal Update </w:t>
      </w:r>
      <w:r w:rsidR="00166043">
        <w:t xml:space="preserve">(HYEFU) </w:t>
      </w:r>
      <w:r w:rsidR="00760D75">
        <w:t xml:space="preserve">shown in Table 1 </w:t>
      </w:r>
      <w:r w:rsidR="00620448" w:rsidRPr="004D71CF">
        <w:t>indicat</w:t>
      </w:r>
      <w:r w:rsidR="00620448">
        <w:t>e</w:t>
      </w:r>
      <w:r>
        <w:t>s</w:t>
      </w:r>
      <w:r w:rsidR="00620448" w:rsidRPr="004D71CF">
        <w:t xml:space="preserve"> that inflation </w:t>
      </w:r>
      <w:r w:rsidR="00F4690A" w:rsidRPr="005049D5">
        <w:t>(upwards movement in CPI</w:t>
      </w:r>
      <w:r w:rsidR="00313B2D">
        <w:t>) is</w:t>
      </w:r>
      <w:r w:rsidR="00DF38D3">
        <w:t xml:space="preserve"> likely to</w:t>
      </w:r>
      <w:r w:rsidR="00DA5C8D">
        <w:t xml:space="preserve"> </w:t>
      </w:r>
      <w:r w:rsidR="00620448" w:rsidRPr="004D71CF">
        <w:t xml:space="preserve">be higher than wage </w:t>
      </w:r>
      <w:r w:rsidR="00620448" w:rsidRPr="004D71CF">
        <w:lastRenderedPageBreak/>
        <w:t xml:space="preserve">growth for the </w:t>
      </w:r>
      <w:r w:rsidR="00167A6A" w:rsidRPr="00167A6A">
        <w:t xml:space="preserve">1 April 2024 </w:t>
      </w:r>
      <w:r w:rsidR="00167A6A">
        <w:t>a</w:t>
      </w:r>
      <w:r w:rsidR="00167A6A" w:rsidRPr="00167A6A">
        <w:t>djustment</w:t>
      </w:r>
      <w:r w:rsidR="00620448">
        <w:t>.</w:t>
      </w:r>
      <w:r w:rsidR="003F5E55">
        <w:t xml:space="preserve"> </w:t>
      </w:r>
      <w:r w:rsidR="00AB3231">
        <w:t>HYEFU</w:t>
      </w:r>
      <w:r w:rsidR="00AB3231" w:rsidRPr="00541FCF">
        <w:t xml:space="preserve"> </w:t>
      </w:r>
      <w:r w:rsidR="003F5E55" w:rsidRPr="00541FCF">
        <w:t>modelling estimates a notable difference in rates if main benefits are indexed to inflation, compared to net average wage.</w:t>
      </w:r>
      <w:r w:rsidR="00620448">
        <w:t xml:space="preserve"> </w:t>
      </w:r>
      <w:r w:rsidR="00201051">
        <w:t xml:space="preserve">However, </w:t>
      </w:r>
      <w:r w:rsidR="00620448">
        <w:t xml:space="preserve">we will not know for certain until Stats NZ releases the </w:t>
      </w:r>
      <w:r w:rsidR="00B97603">
        <w:t>official</w:t>
      </w:r>
      <w:r w:rsidR="00620448">
        <w:t xml:space="preserve"> figures on the 24 January 2024 for CPI and 7 February 2024 for </w:t>
      </w:r>
      <w:r w:rsidR="006B1D47">
        <w:t xml:space="preserve">net average </w:t>
      </w:r>
      <w:r w:rsidR="00B97603">
        <w:t>w</w:t>
      </w:r>
      <w:r w:rsidR="00620448">
        <w:t xml:space="preserve">age. </w:t>
      </w:r>
    </w:p>
    <w:p w14:paraId="4AACCC89" w14:textId="77777777" w:rsidR="00487566" w:rsidRDefault="00487566" w:rsidP="00487566">
      <w:pPr>
        <w:pStyle w:val="BodyText-Numbered"/>
        <w:numPr>
          <w:ilvl w:val="0"/>
          <w:numId w:val="0"/>
        </w:numPr>
        <w:ind w:left="567"/>
      </w:pPr>
    </w:p>
    <w:p w14:paraId="60FA2FEE" w14:textId="3982269F" w:rsidR="00BC4C8D" w:rsidRDefault="00BC4C8D" w:rsidP="00C24E70">
      <w:pPr>
        <w:pStyle w:val="BodyText-Numbered"/>
        <w:numPr>
          <w:ilvl w:val="0"/>
          <w:numId w:val="0"/>
        </w:numPr>
      </w:pPr>
      <w:r>
        <w:t>Table 1. Half Year Economic and Fiscal Update forecast of CPI and net average wage growth from April 2024 to April 202</w:t>
      </w:r>
      <w:r w:rsidR="00983F99">
        <w:t>8</w:t>
      </w:r>
      <w:r>
        <w:t xml:space="preserve">. </w:t>
      </w:r>
    </w:p>
    <w:tbl>
      <w:tblPr>
        <w:tblStyle w:val="TableGrid"/>
        <w:tblW w:w="10123" w:type="dxa"/>
        <w:tblLook w:val="04A0" w:firstRow="1" w:lastRow="0" w:firstColumn="1" w:lastColumn="0" w:noHBand="0" w:noVBand="1"/>
      </w:tblPr>
      <w:tblGrid>
        <w:gridCol w:w="3292"/>
        <w:gridCol w:w="1418"/>
        <w:gridCol w:w="1417"/>
        <w:gridCol w:w="1418"/>
        <w:gridCol w:w="1289"/>
        <w:gridCol w:w="1289"/>
      </w:tblGrid>
      <w:tr w:rsidR="00983F99" w14:paraId="1209797C" w14:textId="77777777" w:rsidTr="00BA552B">
        <w:tc>
          <w:tcPr>
            <w:tcW w:w="3292" w:type="dxa"/>
          </w:tcPr>
          <w:p w14:paraId="51106B7E" w14:textId="77777777" w:rsidR="00983F99" w:rsidRPr="006444C8" w:rsidRDefault="00983F99" w:rsidP="00BA552B">
            <w:pPr>
              <w:rPr>
                <w:rFonts w:cs="Arial"/>
                <w:b/>
                <w:bCs/>
                <w:sz w:val="20"/>
              </w:rPr>
            </w:pPr>
            <w:r w:rsidRPr="006444C8">
              <w:rPr>
                <w:rFonts w:cs="Arial"/>
                <w:b/>
                <w:bCs/>
                <w:sz w:val="20"/>
              </w:rPr>
              <w:t>Inflator</w:t>
            </w:r>
          </w:p>
        </w:tc>
        <w:tc>
          <w:tcPr>
            <w:tcW w:w="1418" w:type="dxa"/>
          </w:tcPr>
          <w:p w14:paraId="7DF8906B" w14:textId="77777777" w:rsidR="00983F99" w:rsidRPr="006444C8" w:rsidRDefault="00983F99" w:rsidP="00BA552B">
            <w:pPr>
              <w:rPr>
                <w:rFonts w:cs="Arial"/>
                <w:b/>
                <w:bCs/>
                <w:sz w:val="20"/>
              </w:rPr>
            </w:pPr>
            <w:r w:rsidRPr="006444C8">
              <w:rPr>
                <w:rFonts w:cs="Arial"/>
                <w:b/>
                <w:bCs/>
                <w:sz w:val="20"/>
              </w:rPr>
              <w:t>April 2024</w:t>
            </w:r>
          </w:p>
        </w:tc>
        <w:tc>
          <w:tcPr>
            <w:tcW w:w="1417" w:type="dxa"/>
          </w:tcPr>
          <w:p w14:paraId="43C95C4C" w14:textId="77777777" w:rsidR="00983F99" w:rsidRPr="006444C8" w:rsidRDefault="00983F99" w:rsidP="00BA552B">
            <w:pPr>
              <w:rPr>
                <w:rFonts w:cs="Arial"/>
                <w:b/>
                <w:bCs/>
                <w:sz w:val="20"/>
              </w:rPr>
            </w:pPr>
            <w:r w:rsidRPr="006444C8">
              <w:rPr>
                <w:rFonts w:cs="Arial"/>
                <w:b/>
                <w:bCs/>
                <w:sz w:val="20"/>
              </w:rPr>
              <w:t>April 2025</w:t>
            </w:r>
          </w:p>
        </w:tc>
        <w:tc>
          <w:tcPr>
            <w:tcW w:w="1418" w:type="dxa"/>
          </w:tcPr>
          <w:p w14:paraId="1EE69A2A" w14:textId="77777777" w:rsidR="00983F99" w:rsidRPr="006444C8" w:rsidRDefault="00983F99" w:rsidP="00BA552B">
            <w:pPr>
              <w:rPr>
                <w:rFonts w:cs="Arial"/>
                <w:b/>
                <w:bCs/>
                <w:sz w:val="20"/>
              </w:rPr>
            </w:pPr>
            <w:r w:rsidRPr="006444C8">
              <w:rPr>
                <w:rFonts w:cs="Arial"/>
                <w:b/>
                <w:bCs/>
                <w:sz w:val="20"/>
              </w:rPr>
              <w:t>April 2026</w:t>
            </w:r>
          </w:p>
        </w:tc>
        <w:tc>
          <w:tcPr>
            <w:tcW w:w="1289" w:type="dxa"/>
          </w:tcPr>
          <w:p w14:paraId="0FB50CD6" w14:textId="77777777" w:rsidR="00983F99" w:rsidRPr="006444C8" w:rsidRDefault="00983F99" w:rsidP="00BA552B">
            <w:pPr>
              <w:rPr>
                <w:rFonts w:cs="Arial"/>
                <w:b/>
                <w:bCs/>
                <w:sz w:val="20"/>
              </w:rPr>
            </w:pPr>
            <w:r w:rsidRPr="006444C8">
              <w:rPr>
                <w:rFonts w:cs="Arial"/>
                <w:b/>
                <w:bCs/>
                <w:sz w:val="20"/>
              </w:rPr>
              <w:t>April 2027</w:t>
            </w:r>
          </w:p>
        </w:tc>
        <w:tc>
          <w:tcPr>
            <w:tcW w:w="1289" w:type="dxa"/>
          </w:tcPr>
          <w:p w14:paraId="2FBA1D79" w14:textId="77777777" w:rsidR="00983F99" w:rsidRPr="006444C8" w:rsidRDefault="00983F99" w:rsidP="00BA552B">
            <w:pPr>
              <w:rPr>
                <w:rFonts w:cs="Arial"/>
                <w:b/>
                <w:bCs/>
                <w:sz w:val="20"/>
              </w:rPr>
            </w:pPr>
            <w:r w:rsidRPr="006444C8">
              <w:rPr>
                <w:rFonts w:cs="Arial"/>
                <w:b/>
                <w:bCs/>
                <w:sz w:val="20"/>
              </w:rPr>
              <w:t>April 202</w:t>
            </w:r>
            <w:r>
              <w:rPr>
                <w:rFonts w:cs="Arial"/>
                <w:b/>
                <w:bCs/>
                <w:sz w:val="20"/>
              </w:rPr>
              <w:t>8</w:t>
            </w:r>
          </w:p>
        </w:tc>
      </w:tr>
      <w:tr w:rsidR="00983F99" w14:paraId="107406C1" w14:textId="77777777" w:rsidTr="00BA552B">
        <w:tc>
          <w:tcPr>
            <w:tcW w:w="3292" w:type="dxa"/>
          </w:tcPr>
          <w:p w14:paraId="10864B50" w14:textId="77777777" w:rsidR="00983F99" w:rsidRPr="006444C8" w:rsidRDefault="00983F99" w:rsidP="00BA552B">
            <w:pPr>
              <w:rPr>
                <w:rFonts w:cs="Arial"/>
                <w:b/>
                <w:bCs/>
                <w:sz w:val="20"/>
              </w:rPr>
            </w:pPr>
            <w:r w:rsidRPr="006444C8">
              <w:rPr>
                <w:rFonts w:cs="Arial"/>
                <w:b/>
                <w:bCs/>
                <w:sz w:val="20"/>
              </w:rPr>
              <w:t>CPI</w:t>
            </w:r>
          </w:p>
        </w:tc>
        <w:tc>
          <w:tcPr>
            <w:tcW w:w="1418" w:type="dxa"/>
          </w:tcPr>
          <w:p w14:paraId="0B03F78F" w14:textId="77777777" w:rsidR="00983F99" w:rsidRPr="006444C8" w:rsidRDefault="00983F99" w:rsidP="00BA552B">
            <w:pPr>
              <w:rPr>
                <w:rFonts w:cs="Arial"/>
                <w:sz w:val="20"/>
              </w:rPr>
            </w:pPr>
            <w:r w:rsidRPr="006444C8">
              <w:rPr>
                <w:rFonts w:cs="Arial"/>
                <w:sz w:val="20"/>
              </w:rPr>
              <w:t>5.13%</w:t>
            </w:r>
          </w:p>
        </w:tc>
        <w:tc>
          <w:tcPr>
            <w:tcW w:w="1417" w:type="dxa"/>
          </w:tcPr>
          <w:p w14:paraId="323CE4F8" w14:textId="77777777" w:rsidR="00983F99" w:rsidRPr="006444C8" w:rsidRDefault="00983F99" w:rsidP="00BA552B">
            <w:pPr>
              <w:rPr>
                <w:rFonts w:cs="Arial"/>
                <w:sz w:val="20"/>
              </w:rPr>
            </w:pPr>
            <w:r w:rsidRPr="006444C8">
              <w:rPr>
                <w:rFonts w:cs="Arial"/>
                <w:sz w:val="20"/>
              </w:rPr>
              <w:t>2.89%</w:t>
            </w:r>
          </w:p>
        </w:tc>
        <w:tc>
          <w:tcPr>
            <w:tcW w:w="1418" w:type="dxa"/>
          </w:tcPr>
          <w:p w14:paraId="6528C486" w14:textId="77777777" w:rsidR="00983F99" w:rsidRPr="006444C8" w:rsidRDefault="00983F99" w:rsidP="00BA552B">
            <w:pPr>
              <w:rPr>
                <w:rFonts w:cs="Arial"/>
                <w:sz w:val="20"/>
              </w:rPr>
            </w:pPr>
            <w:r w:rsidRPr="006444C8">
              <w:rPr>
                <w:rFonts w:cs="Arial"/>
                <w:sz w:val="20"/>
              </w:rPr>
              <w:t>2.25%</w:t>
            </w:r>
          </w:p>
        </w:tc>
        <w:tc>
          <w:tcPr>
            <w:tcW w:w="1289" w:type="dxa"/>
          </w:tcPr>
          <w:p w14:paraId="68083EFD" w14:textId="77777777" w:rsidR="00983F99" w:rsidRPr="006444C8" w:rsidRDefault="00983F99" w:rsidP="00BA552B">
            <w:pPr>
              <w:rPr>
                <w:rFonts w:cs="Arial"/>
                <w:sz w:val="20"/>
              </w:rPr>
            </w:pPr>
            <w:r w:rsidRPr="006444C8">
              <w:rPr>
                <w:rFonts w:cs="Arial"/>
                <w:sz w:val="20"/>
              </w:rPr>
              <w:t>2.09%</w:t>
            </w:r>
          </w:p>
        </w:tc>
        <w:tc>
          <w:tcPr>
            <w:tcW w:w="1289" w:type="dxa"/>
          </w:tcPr>
          <w:p w14:paraId="1F6568D9" w14:textId="77777777" w:rsidR="00983F99" w:rsidRPr="006444C8" w:rsidRDefault="00983F99" w:rsidP="00BA552B">
            <w:pPr>
              <w:rPr>
                <w:rFonts w:cs="Arial"/>
                <w:sz w:val="20"/>
              </w:rPr>
            </w:pPr>
            <w:r w:rsidRPr="006444C8">
              <w:rPr>
                <w:rFonts w:cs="Arial"/>
                <w:sz w:val="20"/>
              </w:rPr>
              <w:t>2.0</w:t>
            </w:r>
            <w:r>
              <w:rPr>
                <w:rFonts w:cs="Arial"/>
                <w:sz w:val="20"/>
              </w:rPr>
              <w:t>2</w:t>
            </w:r>
            <w:r w:rsidRPr="006444C8">
              <w:rPr>
                <w:rFonts w:cs="Arial"/>
                <w:sz w:val="20"/>
              </w:rPr>
              <w:t>%</w:t>
            </w:r>
          </w:p>
        </w:tc>
      </w:tr>
      <w:tr w:rsidR="00983F99" w14:paraId="0550AC47" w14:textId="77777777" w:rsidTr="00BA552B">
        <w:tc>
          <w:tcPr>
            <w:tcW w:w="3292" w:type="dxa"/>
          </w:tcPr>
          <w:p w14:paraId="4E33DD40" w14:textId="77777777" w:rsidR="00983F99" w:rsidRPr="006444C8" w:rsidRDefault="00983F99" w:rsidP="00BA552B">
            <w:pPr>
              <w:rPr>
                <w:rFonts w:cs="Arial"/>
                <w:b/>
                <w:bCs/>
                <w:sz w:val="20"/>
              </w:rPr>
            </w:pPr>
            <w:r w:rsidRPr="006444C8">
              <w:rPr>
                <w:rFonts w:cs="Arial"/>
                <w:b/>
                <w:bCs/>
                <w:sz w:val="20"/>
              </w:rPr>
              <w:t xml:space="preserve">Net average wage growth </w:t>
            </w:r>
          </w:p>
        </w:tc>
        <w:tc>
          <w:tcPr>
            <w:tcW w:w="1418" w:type="dxa"/>
          </w:tcPr>
          <w:p w14:paraId="36BBB080" w14:textId="77777777" w:rsidR="00983F99" w:rsidRPr="006444C8" w:rsidRDefault="00983F99" w:rsidP="00BA552B">
            <w:pPr>
              <w:rPr>
                <w:rFonts w:cs="Arial"/>
                <w:sz w:val="20"/>
              </w:rPr>
            </w:pPr>
            <w:r w:rsidRPr="006444C8">
              <w:rPr>
                <w:rFonts w:cs="Arial"/>
                <w:sz w:val="20"/>
              </w:rPr>
              <w:t>4.74%</w:t>
            </w:r>
          </w:p>
        </w:tc>
        <w:tc>
          <w:tcPr>
            <w:tcW w:w="1417" w:type="dxa"/>
          </w:tcPr>
          <w:p w14:paraId="596EE694" w14:textId="77777777" w:rsidR="00983F99" w:rsidRPr="006444C8" w:rsidRDefault="00983F99" w:rsidP="00BA552B">
            <w:pPr>
              <w:rPr>
                <w:rFonts w:cs="Arial"/>
                <w:sz w:val="20"/>
              </w:rPr>
            </w:pPr>
            <w:r w:rsidRPr="006444C8">
              <w:rPr>
                <w:rFonts w:cs="Arial"/>
                <w:sz w:val="20"/>
              </w:rPr>
              <w:t>4.59%</w:t>
            </w:r>
          </w:p>
        </w:tc>
        <w:tc>
          <w:tcPr>
            <w:tcW w:w="1418" w:type="dxa"/>
          </w:tcPr>
          <w:p w14:paraId="0E90B1EE" w14:textId="77777777" w:rsidR="00983F99" w:rsidRPr="006444C8" w:rsidRDefault="00983F99" w:rsidP="00BA552B">
            <w:pPr>
              <w:rPr>
                <w:rFonts w:cs="Arial"/>
                <w:sz w:val="20"/>
              </w:rPr>
            </w:pPr>
            <w:r w:rsidRPr="006444C8">
              <w:rPr>
                <w:rFonts w:cs="Arial"/>
                <w:sz w:val="20"/>
              </w:rPr>
              <w:t>3.77%</w:t>
            </w:r>
          </w:p>
        </w:tc>
        <w:tc>
          <w:tcPr>
            <w:tcW w:w="1289" w:type="dxa"/>
          </w:tcPr>
          <w:p w14:paraId="6006BC18" w14:textId="77777777" w:rsidR="00983F99" w:rsidRPr="006444C8" w:rsidRDefault="00983F99" w:rsidP="00BA552B">
            <w:pPr>
              <w:rPr>
                <w:rFonts w:cs="Arial"/>
                <w:sz w:val="20"/>
              </w:rPr>
            </w:pPr>
            <w:r w:rsidRPr="006444C8">
              <w:rPr>
                <w:rFonts w:cs="Arial"/>
                <w:sz w:val="20"/>
              </w:rPr>
              <w:t>3.15%</w:t>
            </w:r>
          </w:p>
        </w:tc>
        <w:tc>
          <w:tcPr>
            <w:tcW w:w="1289" w:type="dxa"/>
          </w:tcPr>
          <w:p w14:paraId="7D6ACD3E" w14:textId="77777777" w:rsidR="00983F99" w:rsidRPr="006444C8" w:rsidRDefault="00983F99" w:rsidP="00BA552B">
            <w:pPr>
              <w:rPr>
                <w:rFonts w:cs="Arial"/>
                <w:sz w:val="20"/>
              </w:rPr>
            </w:pPr>
            <w:r>
              <w:rPr>
                <w:rFonts w:cs="Arial"/>
                <w:sz w:val="20"/>
              </w:rPr>
              <w:t>2</w:t>
            </w:r>
            <w:r w:rsidRPr="006444C8">
              <w:rPr>
                <w:rFonts w:cs="Arial"/>
                <w:sz w:val="20"/>
              </w:rPr>
              <w:t>.</w:t>
            </w:r>
            <w:r>
              <w:rPr>
                <w:rFonts w:cs="Arial"/>
                <w:sz w:val="20"/>
              </w:rPr>
              <w:t>9</w:t>
            </w:r>
            <w:r w:rsidRPr="006444C8">
              <w:rPr>
                <w:rFonts w:cs="Arial"/>
                <w:sz w:val="20"/>
              </w:rPr>
              <w:t>1%</w:t>
            </w:r>
          </w:p>
        </w:tc>
      </w:tr>
    </w:tbl>
    <w:p w14:paraId="4613006B" w14:textId="48570639" w:rsidR="00C24E70" w:rsidRPr="00BC4C8D" w:rsidRDefault="00C24E70" w:rsidP="00BC4C8D">
      <w:pPr>
        <w:pStyle w:val="BodyText-Numbered"/>
        <w:numPr>
          <w:ilvl w:val="0"/>
          <w:numId w:val="0"/>
        </w:numPr>
      </w:pPr>
    </w:p>
    <w:p w14:paraId="41398C56" w14:textId="00B6E93B" w:rsidR="00225B8B" w:rsidRPr="00225B8B" w:rsidRDefault="002652B8" w:rsidP="00166043">
      <w:pPr>
        <w:pStyle w:val="BodyText-Numbered"/>
        <w:rPr>
          <w:lang w:val="en-NZ"/>
        </w:rPr>
      </w:pPr>
      <w:r>
        <w:t>If</w:t>
      </w:r>
      <w:r w:rsidR="00225B8B">
        <w:t xml:space="preserve"> indexation settings remain </w:t>
      </w:r>
      <w:r w:rsidR="00D16574">
        <w:t>linked to</w:t>
      </w:r>
      <w:r>
        <w:t xml:space="preserve"> wage growth </w:t>
      </w:r>
      <w:r w:rsidR="00006659">
        <w:t>for the</w:t>
      </w:r>
      <w:r>
        <w:t xml:space="preserve"> </w:t>
      </w:r>
      <w:bookmarkStart w:id="14" w:name="_Hlk155965641"/>
      <w:r w:rsidR="00167A6A" w:rsidRPr="00167A6A">
        <w:t xml:space="preserve">1 April 2024 </w:t>
      </w:r>
      <w:r w:rsidR="00167A6A">
        <w:t>a</w:t>
      </w:r>
      <w:r w:rsidR="00167A6A" w:rsidRPr="00167A6A">
        <w:t>djustment</w:t>
      </w:r>
      <w:bookmarkEnd w:id="14"/>
      <w:r>
        <w:t xml:space="preserve">, clients </w:t>
      </w:r>
      <w:r w:rsidR="00D16574">
        <w:t>are likely to</w:t>
      </w:r>
      <w:r>
        <w:t xml:space="preserve"> receive a lower increase in</w:t>
      </w:r>
      <w:r w:rsidR="00EF71AD">
        <w:t xml:space="preserve"> their main benefit rate in</w:t>
      </w:r>
      <w:r>
        <w:t xml:space="preserve"> comparison to indexing main benefits to CPI. </w:t>
      </w:r>
      <w:r w:rsidR="007340F7">
        <w:t xml:space="preserve">This </w:t>
      </w:r>
      <w:r w:rsidR="003D3C86">
        <w:t>would</w:t>
      </w:r>
      <w:r w:rsidR="003D3C86" w:rsidRPr="003F10F4">
        <w:t xml:space="preserve"> </w:t>
      </w:r>
      <w:r w:rsidR="003F10F4" w:rsidRPr="003F10F4">
        <w:t>lead to</w:t>
      </w:r>
      <w:r w:rsidR="003F10F4">
        <w:t xml:space="preserve"> savings for the </w:t>
      </w:r>
      <w:r w:rsidR="00167A6A" w:rsidRPr="00167A6A">
        <w:t xml:space="preserve">1 April 2024 </w:t>
      </w:r>
      <w:r w:rsidR="00167A6A">
        <w:t>a</w:t>
      </w:r>
      <w:r w:rsidR="00167A6A" w:rsidRPr="00167A6A">
        <w:t>djustment</w:t>
      </w:r>
      <w:r w:rsidR="00167A6A">
        <w:t xml:space="preserve"> </w:t>
      </w:r>
      <w:r w:rsidR="001D577C">
        <w:t>in comparison to indexation to inflation</w:t>
      </w:r>
      <w:r w:rsidR="003F10F4">
        <w:t xml:space="preserve">. </w:t>
      </w:r>
    </w:p>
    <w:p w14:paraId="0F9FBC80" w14:textId="6B68814D" w:rsidR="005D64F3" w:rsidRPr="005D64F3" w:rsidRDefault="00515A3D" w:rsidP="00166043">
      <w:pPr>
        <w:pStyle w:val="BodyText-Numbered"/>
        <w:rPr>
          <w:lang w:val="en-NZ"/>
        </w:rPr>
      </w:pPr>
      <w:r>
        <w:t>However</w:t>
      </w:r>
      <w:r w:rsidR="00E27703">
        <w:t>, the forecast</w:t>
      </w:r>
      <w:r w:rsidR="00870019">
        <w:t xml:space="preserve"> </w:t>
      </w:r>
      <w:r w:rsidR="00E27703">
        <w:t>indicates</w:t>
      </w:r>
      <w:r w:rsidR="00870019">
        <w:t xml:space="preserve"> </w:t>
      </w:r>
      <w:r w:rsidR="00983F99">
        <w:t>that</w:t>
      </w:r>
      <w:r w:rsidR="0088540E">
        <w:t>,</w:t>
      </w:r>
      <w:r w:rsidR="00983F99">
        <w:t xml:space="preserve"> </w:t>
      </w:r>
      <w:r w:rsidR="00870019">
        <w:t>from</w:t>
      </w:r>
      <w:r w:rsidR="00881500">
        <w:t xml:space="preserve"> the</w:t>
      </w:r>
      <w:r w:rsidR="00870019">
        <w:t xml:space="preserve"> </w:t>
      </w:r>
      <w:r w:rsidR="00167A6A" w:rsidRPr="00167A6A">
        <w:t>1 April 202</w:t>
      </w:r>
      <w:r w:rsidR="00167A6A">
        <w:t>5</w:t>
      </w:r>
      <w:r w:rsidR="00167A6A" w:rsidRPr="00167A6A">
        <w:t xml:space="preserve"> </w:t>
      </w:r>
      <w:r w:rsidR="00167A6A">
        <w:t>a</w:t>
      </w:r>
      <w:r w:rsidR="00167A6A" w:rsidRPr="00167A6A">
        <w:t>djustment</w:t>
      </w:r>
      <w:r w:rsidR="00167A6A">
        <w:t xml:space="preserve"> </w:t>
      </w:r>
      <w:r w:rsidR="005E06C0">
        <w:t>onwards</w:t>
      </w:r>
      <w:r w:rsidR="0088540E">
        <w:t>,</w:t>
      </w:r>
      <w:r w:rsidR="00870019">
        <w:t xml:space="preserve"> </w:t>
      </w:r>
      <w:r w:rsidR="0088540E">
        <w:t>average</w:t>
      </w:r>
      <w:r w:rsidR="002B6026">
        <w:t xml:space="preserve"> </w:t>
      </w:r>
      <w:r w:rsidR="002C2C86" w:rsidRPr="002C2C86">
        <w:t>wage growth</w:t>
      </w:r>
      <w:r w:rsidR="005E06C0">
        <w:t xml:space="preserve"> </w:t>
      </w:r>
      <w:r w:rsidR="002B6026">
        <w:t>will be</w:t>
      </w:r>
      <w:r w:rsidR="00EE1688">
        <w:t xml:space="preserve"> </w:t>
      </w:r>
      <w:r w:rsidR="002C2C86">
        <w:t>higher</w:t>
      </w:r>
      <w:r w:rsidR="00EE1688">
        <w:t xml:space="preserve"> than </w:t>
      </w:r>
      <w:r w:rsidR="002C2C86">
        <w:t>CPI</w:t>
      </w:r>
      <w:r w:rsidR="005E06C0">
        <w:t xml:space="preserve">. </w:t>
      </w:r>
      <w:r w:rsidR="00225B8B">
        <w:t xml:space="preserve">Therefore, </w:t>
      </w:r>
      <w:r w:rsidR="00E27703">
        <w:t xml:space="preserve">if </w:t>
      </w:r>
      <w:r w:rsidR="00F53BA1">
        <w:t xml:space="preserve">the </w:t>
      </w:r>
      <w:r w:rsidR="00E27703">
        <w:t>status quo is maintained</w:t>
      </w:r>
      <w:r w:rsidR="00313B2D">
        <w:t>,</w:t>
      </w:r>
      <w:r w:rsidR="00E27703">
        <w:t xml:space="preserve"> it is </w:t>
      </w:r>
      <w:r w:rsidR="002C2C86">
        <w:t xml:space="preserve">expected to result in </w:t>
      </w:r>
      <w:r w:rsidR="00225B8B" w:rsidRPr="00541FCF">
        <w:t>beneficiary incomes be</w:t>
      </w:r>
      <w:r w:rsidR="00614D6A">
        <w:t>ing</w:t>
      </w:r>
      <w:r w:rsidR="00225B8B" w:rsidRPr="00541FCF">
        <w:t xml:space="preserve"> </w:t>
      </w:r>
      <w:r w:rsidR="004479A5">
        <w:t>higher</w:t>
      </w:r>
      <w:r w:rsidR="004479A5" w:rsidRPr="00541FCF">
        <w:t xml:space="preserve"> </w:t>
      </w:r>
      <w:r w:rsidR="00225B8B" w:rsidRPr="00541FCF">
        <w:t>in the long-term</w:t>
      </w:r>
      <w:r w:rsidR="00313B2D">
        <w:t xml:space="preserve">, </w:t>
      </w:r>
      <w:r w:rsidR="003F10F4">
        <w:rPr>
          <w:lang w:val="en-NZ"/>
        </w:rPr>
        <w:t xml:space="preserve">increased benefit </w:t>
      </w:r>
      <w:r w:rsidR="001D577C">
        <w:rPr>
          <w:lang w:val="en-NZ"/>
        </w:rPr>
        <w:t>expenditure</w:t>
      </w:r>
      <w:r w:rsidR="003F10F4">
        <w:rPr>
          <w:lang w:val="en-NZ"/>
        </w:rPr>
        <w:t xml:space="preserve"> an</w:t>
      </w:r>
      <w:r w:rsidR="00FB0D8A">
        <w:rPr>
          <w:lang w:val="en-NZ"/>
        </w:rPr>
        <w:t xml:space="preserve">d less government savings </w:t>
      </w:r>
      <w:r w:rsidR="001D577C">
        <w:t>in comparison to indexation to inflation</w:t>
      </w:r>
      <w:r w:rsidR="001D577C">
        <w:rPr>
          <w:lang w:val="en-NZ"/>
        </w:rPr>
        <w:t xml:space="preserve">. </w:t>
      </w:r>
    </w:p>
    <w:p w14:paraId="478EFC4A" w14:textId="6D142314" w:rsidR="00E901E5" w:rsidRDefault="007D78A1" w:rsidP="00F63B97">
      <w:pPr>
        <w:pStyle w:val="Heading3"/>
        <w:rPr>
          <w:lang w:val="en-NZ"/>
        </w:rPr>
      </w:pPr>
      <w:r w:rsidRPr="00A864A5">
        <w:rPr>
          <w:lang w:val="en-NZ"/>
        </w:rPr>
        <w:t>What is the policy problem</w:t>
      </w:r>
      <w:r w:rsidR="002352C4">
        <w:rPr>
          <w:lang w:val="en-NZ"/>
        </w:rPr>
        <w:t xml:space="preserve"> or opportunity</w:t>
      </w:r>
      <w:r w:rsidRPr="00A864A5">
        <w:rPr>
          <w:lang w:val="en-NZ"/>
        </w:rPr>
        <w:t>?</w:t>
      </w:r>
    </w:p>
    <w:p w14:paraId="38929B1F" w14:textId="1474E2B5" w:rsidR="00C61EF7" w:rsidRPr="00C61EF7" w:rsidRDefault="00E3792E" w:rsidP="00C61EF7">
      <w:pPr>
        <w:pStyle w:val="Heading4"/>
        <w:numPr>
          <w:ilvl w:val="0"/>
          <w:numId w:val="0"/>
        </w:numPr>
        <w:rPr>
          <w:rFonts w:cs="Arial"/>
          <w:lang w:val="en-NZ"/>
        </w:rPr>
      </w:pPr>
      <w:r>
        <w:rPr>
          <w:rFonts w:cs="Arial"/>
          <w:lang w:val="en-NZ"/>
        </w:rPr>
        <w:t xml:space="preserve">Cabinet has agreed to </w:t>
      </w:r>
      <w:r w:rsidR="002E6100">
        <w:rPr>
          <w:rFonts w:cs="Arial"/>
          <w:lang w:val="en-NZ"/>
        </w:rPr>
        <w:t>fulfil</w:t>
      </w:r>
      <w:r>
        <w:rPr>
          <w:rFonts w:cs="Arial"/>
          <w:lang w:val="en-NZ"/>
        </w:rPr>
        <w:t xml:space="preserve"> the National Party’s manifesto </w:t>
      </w:r>
      <w:r w:rsidR="002E6100">
        <w:rPr>
          <w:rFonts w:cs="Arial"/>
          <w:lang w:val="en-NZ"/>
        </w:rPr>
        <w:t xml:space="preserve">commitment to change main benefit indexation settings in 2024 </w:t>
      </w:r>
    </w:p>
    <w:p w14:paraId="5A174213" w14:textId="77777777" w:rsidR="00F63B97" w:rsidRDefault="00526807" w:rsidP="00F63B97">
      <w:pPr>
        <w:pStyle w:val="BodyText-Numbered"/>
        <w:rPr>
          <w:lang w:val="en-NZ"/>
        </w:rPr>
      </w:pPr>
      <w:r w:rsidRPr="00526807">
        <w:t>Indexing main benefits to inflation, through the CPI, maintains benefit rates relative to the cost of living</w:t>
      </w:r>
      <w:r w:rsidR="00922C8B">
        <w:t>. This</w:t>
      </w:r>
      <w:r w:rsidRPr="00526807">
        <w:t xml:space="preserve"> </w:t>
      </w:r>
      <w:r w:rsidR="00FE713C">
        <w:t xml:space="preserve">will </w:t>
      </w:r>
      <w:r w:rsidRPr="00526807">
        <w:t>allow beneficiaries to</w:t>
      </w:r>
      <w:r w:rsidR="00F4690A">
        <w:t xml:space="preserve"> </w:t>
      </w:r>
      <w:r w:rsidR="00AB3231">
        <w:t>maintain their purchasing power relative to the growth in costs</w:t>
      </w:r>
      <w:r w:rsidRPr="00526807">
        <w:t xml:space="preserve">. </w:t>
      </w:r>
      <w:r>
        <w:t xml:space="preserve">Indexing main benefits to wage growth, through net average wage growth, </w:t>
      </w:r>
      <w:r w:rsidR="00B97603">
        <w:t>allows main</w:t>
      </w:r>
      <w:r>
        <w:t xml:space="preserve"> benefit rates</w:t>
      </w:r>
      <w:r w:rsidRPr="00526807">
        <w:rPr>
          <w:lang w:val="en-NZ"/>
        </w:rPr>
        <w:t xml:space="preserve"> </w:t>
      </w:r>
      <w:r w:rsidR="00B97603">
        <w:rPr>
          <w:lang w:val="en-NZ"/>
        </w:rPr>
        <w:t xml:space="preserve">to </w:t>
      </w:r>
      <w:r w:rsidRPr="00526807">
        <w:rPr>
          <w:lang w:val="en-NZ"/>
        </w:rPr>
        <w:t>keep relative pace with</w:t>
      </w:r>
      <w:r>
        <w:rPr>
          <w:lang w:val="en-NZ"/>
        </w:rPr>
        <w:t xml:space="preserve"> the income of</w:t>
      </w:r>
      <w:r w:rsidRPr="00526807">
        <w:rPr>
          <w:lang w:val="en-NZ"/>
        </w:rPr>
        <w:t xml:space="preserve"> </w:t>
      </w:r>
      <w:r w:rsidR="00B14787">
        <w:rPr>
          <w:lang w:val="en-NZ"/>
        </w:rPr>
        <w:t>wage-earning</w:t>
      </w:r>
      <w:r w:rsidRPr="00526807">
        <w:rPr>
          <w:lang w:val="en-NZ"/>
        </w:rPr>
        <w:t xml:space="preserve"> New Zealanders</w:t>
      </w:r>
      <w:r>
        <w:rPr>
          <w:lang w:val="en-NZ"/>
        </w:rPr>
        <w:t>.</w:t>
      </w:r>
    </w:p>
    <w:p w14:paraId="048610FA" w14:textId="7C295E65" w:rsidR="00F63B97" w:rsidRPr="00F63B97" w:rsidRDefault="00B14787" w:rsidP="00F63B97">
      <w:pPr>
        <w:pStyle w:val="BodyText-Numbered"/>
        <w:rPr>
          <w:lang w:val="en-NZ"/>
        </w:rPr>
      </w:pPr>
      <w:r w:rsidRPr="00B14787">
        <w:t>The appropriate approach to indexation depends on wh</w:t>
      </w:r>
      <w:r w:rsidR="00812FBB">
        <w:t>ich objective</w:t>
      </w:r>
      <w:r w:rsidRPr="00B14787">
        <w:t xml:space="preserve"> the government wants to </w:t>
      </w:r>
      <w:r w:rsidR="00E8382D">
        <w:t>prioritise</w:t>
      </w:r>
      <w:r w:rsidR="00812FBB">
        <w:t xml:space="preserve"> whilst</w:t>
      </w:r>
      <w:r w:rsidRPr="00B14787">
        <w:t xml:space="preserve"> balancing overall cost</w:t>
      </w:r>
      <w:r>
        <w:t xml:space="preserve">. </w:t>
      </w:r>
      <w:r w:rsidR="003B3A57">
        <w:t>In 2019</w:t>
      </w:r>
      <w:r w:rsidR="00F92DF7">
        <w:t xml:space="preserve">, </w:t>
      </w:r>
      <w:r w:rsidR="003B3A57">
        <w:t xml:space="preserve">indexation settings of </w:t>
      </w:r>
      <w:r w:rsidR="00F92DF7">
        <w:t xml:space="preserve">main benefits were </w:t>
      </w:r>
      <w:r w:rsidR="003B3A57">
        <w:t xml:space="preserve">changed to be </w:t>
      </w:r>
      <w:r w:rsidR="00F92DF7">
        <w:t xml:space="preserve">indexed to wage growth as the percentage increase was historically greater than that of the Consumer Price Index (CPI). </w:t>
      </w:r>
      <w:r w:rsidR="00CE5E61">
        <w:t>Therefore,</w:t>
      </w:r>
      <w:r w:rsidR="00CE5E61" w:rsidRPr="0023437C">
        <w:t xml:space="preserve"> it was </w:t>
      </w:r>
      <w:r w:rsidR="00CE5E61">
        <w:t xml:space="preserve">expected </w:t>
      </w:r>
      <w:r w:rsidR="00CE5E61" w:rsidRPr="0023437C">
        <w:t xml:space="preserve">that indexation to wage growth would </w:t>
      </w:r>
      <w:r w:rsidR="00CE5E61" w:rsidRPr="00B2163C">
        <w:t>ensure that the living standards of beneficiaries broadly keep pace with other New Zealanders</w:t>
      </w:r>
      <w:r w:rsidR="00CE5E61">
        <w:t>, to a</w:t>
      </w:r>
      <w:r w:rsidR="00CE5E61" w:rsidRPr="0023437C">
        <w:t xml:space="preserve"> </w:t>
      </w:r>
      <w:r w:rsidR="00CE5E61">
        <w:t>greater degree</w:t>
      </w:r>
      <w:r w:rsidR="00CE5E61" w:rsidRPr="0023437C">
        <w:t xml:space="preserve"> than</w:t>
      </w:r>
      <w:r w:rsidR="00CE5E61">
        <w:t xml:space="preserve"> indexation to</w:t>
      </w:r>
      <w:r w:rsidR="00CE5E61" w:rsidRPr="0023437C">
        <w:t xml:space="preserve"> CPI. </w:t>
      </w:r>
      <w:r w:rsidR="00CE5E61" w:rsidRPr="00FA34E3">
        <w:t>It was also intended to deliver additional support for beneficiaries</w:t>
      </w:r>
      <w:r w:rsidR="00CE5E61">
        <w:t xml:space="preserve"> </w:t>
      </w:r>
      <w:r w:rsidR="00CE5E61" w:rsidRPr="00FA34E3">
        <w:t>relative to in</w:t>
      </w:r>
      <w:r w:rsidR="00CE5E61">
        <w:t>dexing to</w:t>
      </w:r>
      <w:r w:rsidR="00CE5E61" w:rsidRPr="00FA34E3">
        <w:t xml:space="preserve"> CPI</w:t>
      </w:r>
      <w:r w:rsidR="00CE5E61">
        <w:t xml:space="preserve">, including by achieving </w:t>
      </w:r>
      <w:r w:rsidR="00CE5E61" w:rsidRPr="008F4B71">
        <w:t>greater progress in meeting child poverty targets as set by the Child Poverty Reduction Act 2018</w:t>
      </w:r>
      <w:r w:rsidR="00CE5E61">
        <w:t>.</w:t>
      </w:r>
      <w:r w:rsidR="0088540E">
        <w:t xml:space="preserve"> </w:t>
      </w:r>
      <w:r>
        <w:t>D</w:t>
      </w:r>
      <w:r w:rsidR="00526807" w:rsidRPr="00526807">
        <w:t xml:space="preserve">ue to the </w:t>
      </w:r>
      <w:r w:rsidR="00812FBB">
        <w:t>size</w:t>
      </w:r>
      <w:r w:rsidR="00812FBB" w:rsidRPr="00526807">
        <w:t xml:space="preserve"> of</w:t>
      </w:r>
      <w:r w:rsidR="00526807" w:rsidRPr="00526807">
        <w:t xml:space="preserve"> the population</w:t>
      </w:r>
      <w:r w:rsidR="00526807">
        <w:t xml:space="preserve"> receiving a main benefit</w:t>
      </w:r>
      <w:r w:rsidR="00AB3231">
        <w:t xml:space="preserve"> </w:t>
      </w:r>
      <w:r w:rsidR="00BA04A9">
        <w:t>(</w:t>
      </w:r>
      <w:r w:rsidR="00AB3231">
        <w:t xml:space="preserve">approximately </w:t>
      </w:r>
      <w:r w:rsidR="00812FBB" w:rsidRPr="00812FBB">
        <w:t>362,0</w:t>
      </w:r>
      <w:r w:rsidR="00812FBB">
        <w:t>00</w:t>
      </w:r>
      <w:r w:rsidR="00812FBB" w:rsidRPr="00812FBB">
        <w:t xml:space="preserve"> people</w:t>
      </w:r>
      <w:r w:rsidR="00D72A20">
        <w:t xml:space="preserve"> as of September 2023</w:t>
      </w:r>
      <w:r w:rsidR="00BA04A9">
        <w:t>)</w:t>
      </w:r>
      <w:r w:rsidR="00812FBB">
        <w:t xml:space="preserve">, </w:t>
      </w:r>
      <w:r w:rsidR="00F21BA6">
        <w:t xml:space="preserve">a </w:t>
      </w:r>
      <w:r w:rsidR="00526807" w:rsidRPr="00526807">
        <w:t xml:space="preserve">small change in main benefit rates through the </w:t>
      </w:r>
      <w:r w:rsidR="00614CBD" w:rsidRPr="00614CBD">
        <w:t>1 April 2024 adjustment</w:t>
      </w:r>
      <w:r w:rsidR="00526807" w:rsidRPr="00526807">
        <w:t xml:space="preserve"> can have a large fiscal impact. </w:t>
      </w:r>
      <w:r w:rsidR="0076768B">
        <w:t xml:space="preserve">Indexing main benefits to inflation presents an opportunity to generate fiscal savings in the longer term, leading to a more sustainable cost to the government. </w:t>
      </w:r>
    </w:p>
    <w:p w14:paraId="3D185E1D" w14:textId="33442CE0" w:rsidR="00CE5E61" w:rsidRDefault="00CE5E61" w:rsidP="00F63B97">
      <w:pPr>
        <w:pStyle w:val="BodyText-Numbered"/>
      </w:pPr>
      <w:r w:rsidRPr="00CE5E61">
        <w:t>However,</w:t>
      </w:r>
      <w:r>
        <w:t xml:space="preserve"> d</w:t>
      </w:r>
      <w:r w:rsidR="002C2C86" w:rsidRPr="002C2C86">
        <w:t>uring periods of high inflatio</w:t>
      </w:r>
      <w:r w:rsidR="00CA5959">
        <w:t xml:space="preserve">n, </w:t>
      </w:r>
      <w:r w:rsidR="0076768B">
        <w:t xml:space="preserve">the status quo setting of </w:t>
      </w:r>
      <w:r w:rsidR="002C2C86" w:rsidRPr="002C2C86">
        <w:t>indexing main benefits to net average wage growth is not guaranteed to maintain the living standards</w:t>
      </w:r>
      <w:r w:rsidR="00E90E5E">
        <w:t xml:space="preserve"> </w:t>
      </w:r>
      <w:r w:rsidR="002C2C86" w:rsidRPr="002C2C86">
        <w:lastRenderedPageBreak/>
        <w:t>of beneficiarie</w:t>
      </w:r>
      <w:r w:rsidR="00526807">
        <w:t>s</w:t>
      </w:r>
      <w:r w:rsidR="002C2C86" w:rsidRPr="002C2C86">
        <w:t xml:space="preserve"> </w:t>
      </w:r>
      <w:r w:rsidR="002E792D">
        <w:t xml:space="preserve">relative </w:t>
      </w:r>
      <w:r w:rsidR="002C2C86" w:rsidRPr="002C2C86">
        <w:t>to the</w:t>
      </w:r>
      <w:r w:rsidR="00EE7151">
        <w:t xml:space="preserve"> cost of living</w:t>
      </w:r>
      <w:r w:rsidR="00CA5959">
        <w:t>. This</w:t>
      </w:r>
      <w:r w:rsidR="00EE7151">
        <w:t xml:space="preserve"> </w:t>
      </w:r>
      <w:r w:rsidR="002E792D">
        <w:t xml:space="preserve">may </w:t>
      </w:r>
      <w:r w:rsidR="00EE7151">
        <w:t>provide</w:t>
      </w:r>
      <w:r w:rsidR="002E792D">
        <w:t xml:space="preserve"> less</w:t>
      </w:r>
      <w:r w:rsidR="00EE7151">
        <w:t xml:space="preserve"> income adequacy</w:t>
      </w:r>
      <w:r w:rsidR="002E792D">
        <w:t xml:space="preserve"> to low-income New Zealanders</w:t>
      </w:r>
      <w:r w:rsidR="002C2C86" w:rsidRPr="002C2C86">
        <w:t>.</w:t>
      </w:r>
    </w:p>
    <w:p w14:paraId="59BB5BCF" w14:textId="0119110B" w:rsidR="007037C4" w:rsidRPr="00847E6E" w:rsidRDefault="007037C4" w:rsidP="00F63B97">
      <w:pPr>
        <w:pStyle w:val="Heading3"/>
        <w:rPr>
          <w:lang w:val="en-NZ"/>
        </w:rPr>
      </w:pPr>
      <w:r w:rsidRPr="00A864A5">
        <w:rPr>
          <w:lang w:val="en-NZ"/>
        </w:rPr>
        <w:t xml:space="preserve">What objectives </w:t>
      </w:r>
      <w:r w:rsidR="00CB08AA">
        <w:rPr>
          <w:lang w:val="en-NZ"/>
        </w:rPr>
        <w:t xml:space="preserve">are </w:t>
      </w:r>
      <w:r w:rsidR="00D6670E">
        <w:rPr>
          <w:lang w:val="en-NZ"/>
        </w:rPr>
        <w:t>sought</w:t>
      </w:r>
      <w:r w:rsidRPr="00A864A5">
        <w:rPr>
          <w:lang w:val="en-NZ"/>
        </w:rPr>
        <w:t xml:space="preserve"> in relation to th</w:t>
      </w:r>
      <w:r w:rsidR="0052670F">
        <w:rPr>
          <w:lang w:val="en-NZ"/>
        </w:rPr>
        <w:t>e</w:t>
      </w:r>
      <w:r w:rsidRPr="00A864A5">
        <w:rPr>
          <w:lang w:val="en-NZ"/>
        </w:rPr>
        <w:t xml:space="preserve"> policy problem?</w:t>
      </w:r>
    </w:p>
    <w:bookmarkEnd w:id="8"/>
    <w:bookmarkEnd w:id="9"/>
    <w:bookmarkEnd w:id="10"/>
    <w:bookmarkEnd w:id="11"/>
    <w:bookmarkEnd w:id="12"/>
    <w:p w14:paraId="3DA00218" w14:textId="5F185A0F" w:rsidR="009324E1" w:rsidRDefault="009324E1" w:rsidP="00166043">
      <w:pPr>
        <w:pStyle w:val="BodyText-Numbered"/>
        <w:rPr>
          <w:lang w:val="en-NZ"/>
        </w:rPr>
      </w:pPr>
      <w:r>
        <w:rPr>
          <w:lang w:val="en-NZ"/>
        </w:rPr>
        <w:t>The objectives sought are to:</w:t>
      </w:r>
    </w:p>
    <w:p w14:paraId="4443E18B" w14:textId="28AE18CD" w:rsidR="00F63B97" w:rsidRDefault="00F63B97" w:rsidP="00F63B97">
      <w:pPr>
        <w:pStyle w:val="Bullet-list"/>
      </w:pPr>
      <w:r>
        <w:t>fulfil the manifesto commitment to change indexation settings of main benefits to inflation</w:t>
      </w:r>
      <w:r w:rsidR="0082157D">
        <w:t xml:space="preserve"> from 1 April</w:t>
      </w:r>
      <w:r>
        <w:t xml:space="preserve"> 2024</w:t>
      </w:r>
    </w:p>
    <w:p w14:paraId="187567C0" w14:textId="3790ED9A" w:rsidR="00F63B97" w:rsidRDefault="00F63B97" w:rsidP="00F63B97">
      <w:pPr>
        <w:pStyle w:val="Bullet-list"/>
      </w:pPr>
      <w:r>
        <w:t>generate savings over the forecast period.</w:t>
      </w:r>
    </w:p>
    <w:p w14:paraId="2B635B3D" w14:textId="3A2FE88B" w:rsidR="008321F8" w:rsidRPr="0036677B" w:rsidRDefault="00F402DF" w:rsidP="00F63B97">
      <w:pPr>
        <w:pStyle w:val="Heading2"/>
        <w:rPr>
          <w:lang w:val="en-NZ"/>
        </w:rPr>
      </w:pPr>
      <w:r w:rsidRPr="0036677B">
        <w:rPr>
          <w:lang w:val="en-NZ"/>
        </w:rPr>
        <w:t xml:space="preserve">Section 2: </w:t>
      </w:r>
      <w:r w:rsidR="001C4A82" w:rsidRPr="0036677B">
        <w:rPr>
          <w:lang w:val="en-NZ"/>
        </w:rPr>
        <w:t xml:space="preserve">Deciding </w:t>
      </w:r>
      <w:r w:rsidR="005275ED" w:rsidRPr="0036677B">
        <w:rPr>
          <w:lang w:val="en-NZ"/>
        </w:rPr>
        <w:t>upon an option</w:t>
      </w:r>
      <w:r w:rsidR="007336C9" w:rsidRPr="0036677B">
        <w:rPr>
          <w:lang w:val="en-NZ"/>
        </w:rPr>
        <w:t xml:space="preserve"> </w:t>
      </w:r>
      <w:r w:rsidR="005C38A2" w:rsidRPr="0036677B">
        <w:rPr>
          <w:lang w:val="en-NZ"/>
        </w:rPr>
        <w:t>to address the policy problem</w:t>
      </w:r>
    </w:p>
    <w:p w14:paraId="3252D892" w14:textId="3D4E0246" w:rsidR="00E52B84" w:rsidRDefault="007D78A1" w:rsidP="00F63B97">
      <w:pPr>
        <w:pStyle w:val="Heading3"/>
        <w:rPr>
          <w:lang w:val="en-NZ"/>
        </w:rPr>
      </w:pPr>
      <w:r w:rsidRPr="00A864A5">
        <w:rPr>
          <w:lang w:val="en-NZ"/>
        </w:rPr>
        <w:t xml:space="preserve">What scope </w:t>
      </w:r>
      <w:r w:rsidR="008B3364">
        <w:rPr>
          <w:lang w:val="en-NZ"/>
        </w:rPr>
        <w:t>are</w:t>
      </w:r>
      <w:r w:rsidR="008B3364" w:rsidRPr="00A864A5">
        <w:rPr>
          <w:lang w:val="en-NZ"/>
        </w:rPr>
        <w:t xml:space="preserve"> </w:t>
      </w:r>
      <w:r w:rsidR="007336C9">
        <w:rPr>
          <w:lang w:val="en-NZ"/>
        </w:rPr>
        <w:t>options be</w:t>
      </w:r>
      <w:r w:rsidR="008B3364">
        <w:rPr>
          <w:lang w:val="en-NZ"/>
        </w:rPr>
        <w:t>ing</w:t>
      </w:r>
      <w:r w:rsidR="007336C9">
        <w:rPr>
          <w:lang w:val="en-NZ"/>
        </w:rPr>
        <w:t xml:space="preserve"> considered</w:t>
      </w:r>
      <w:r w:rsidRPr="00A864A5">
        <w:rPr>
          <w:lang w:val="en-NZ"/>
        </w:rPr>
        <w:t xml:space="preserve"> within?</w:t>
      </w:r>
    </w:p>
    <w:p w14:paraId="205E2E7C" w14:textId="11E42CAA" w:rsidR="00A35B78" w:rsidRDefault="00A35B78" w:rsidP="00166043">
      <w:pPr>
        <w:pStyle w:val="BodyText-Numbered"/>
        <w:rPr>
          <w:lang w:val="en-NZ"/>
        </w:rPr>
      </w:pPr>
      <w:r w:rsidRPr="00A35B78">
        <w:rPr>
          <w:lang w:val="en-NZ"/>
        </w:rPr>
        <w:t>Officials developed t</w:t>
      </w:r>
      <w:r w:rsidR="009474CE">
        <w:rPr>
          <w:lang w:val="en-NZ"/>
        </w:rPr>
        <w:t>he</w:t>
      </w:r>
      <w:r w:rsidRPr="00A35B78">
        <w:rPr>
          <w:lang w:val="en-NZ"/>
        </w:rPr>
        <w:t xml:space="preserve"> options</w:t>
      </w:r>
      <w:r w:rsidR="0088540E">
        <w:rPr>
          <w:lang w:val="en-NZ"/>
        </w:rPr>
        <w:t xml:space="preserve"> while</w:t>
      </w:r>
      <w:r w:rsidRPr="00A35B78">
        <w:rPr>
          <w:lang w:val="en-NZ"/>
        </w:rPr>
        <w:t xml:space="preserve"> balanc</w:t>
      </w:r>
      <w:r w:rsidR="009474CE">
        <w:rPr>
          <w:lang w:val="en-NZ"/>
        </w:rPr>
        <w:t>ing</w:t>
      </w:r>
      <w:r w:rsidRPr="00A35B78">
        <w:rPr>
          <w:lang w:val="en-NZ"/>
        </w:rPr>
        <w:t xml:space="preserve"> </w:t>
      </w:r>
      <w:r w:rsidR="0088540E">
        <w:rPr>
          <w:lang w:val="en-NZ"/>
        </w:rPr>
        <w:t xml:space="preserve">both </w:t>
      </w:r>
      <w:r w:rsidRPr="00A35B78">
        <w:rPr>
          <w:lang w:val="en-NZ"/>
        </w:rPr>
        <w:t>the commitment to a 2024 implementation</w:t>
      </w:r>
      <w:r w:rsidR="009474CE">
        <w:rPr>
          <w:lang w:val="en-NZ"/>
        </w:rPr>
        <w:t xml:space="preserve"> with</w:t>
      </w:r>
      <w:r w:rsidRPr="00A35B78">
        <w:rPr>
          <w:lang w:val="en-NZ"/>
        </w:rPr>
        <w:t xml:space="preserve"> maximising savings over the forecast period</w:t>
      </w:r>
      <w:r w:rsidR="0088540E">
        <w:rPr>
          <w:lang w:val="en-NZ"/>
        </w:rPr>
        <w:t>, in order</w:t>
      </w:r>
      <w:r w:rsidR="009474CE">
        <w:rPr>
          <w:lang w:val="en-NZ"/>
        </w:rPr>
        <w:t xml:space="preserve"> </w:t>
      </w:r>
      <w:r w:rsidR="009474CE" w:rsidRPr="00A35B78">
        <w:rPr>
          <w:lang w:val="en-NZ"/>
        </w:rPr>
        <w:t xml:space="preserve">to achieve the objectives of the manifesto commitment. </w:t>
      </w:r>
    </w:p>
    <w:p w14:paraId="18F5895E" w14:textId="5D1C64E5" w:rsidR="00804237" w:rsidRPr="00A35B78" w:rsidRDefault="00804237" w:rsidP="00166043">
      <w:pPr>
        <w:pStyle w:val="BodyText-Numbered"/>
        <w:rPr>
          <w:lang w:val="en-NZ"/>
        </w:rPr>
      </w:pPr>
      <w:bookmarkStart w:id="15" w:name="_Hlk156317409"/>
      <w:bookmarkStart w:id="16" w:name="_Hlk156317309"/>
      <w:r>
        <w:rPr>
          <w:lang w:val="en-NZ"/>
        </w:rPr>
        <w:t xml:space="preserve">The scope of the analysis of the options was restricted in the commissioning for this Supplementary Analysis Report. Treasury advised to only </w:t>
      </w:r>
      <w:r>
        <w:rPr>
          <w:szCs w:val="22"/>
        </w:rPr>
        <w:t xml:space="preserve">analyse the impacts, risks, and other elements of the Government's chosen way forward for this legislative proposal. Therefore, </w:t>
      </w:r>
      <w:r w:rsidR="0088540E">
        <w:rPr>
          <w:szCs w:val="22"/>
        </w:rPr>
        <w:t>other</w:t>
      </w:r>
      <w:r>
        <w:rPr>
          <w:szCs w:val="22"/>
        </w:rPr>
        <w:t xml:space="preserve"> options not chosen by Cabinet are not analysed</w:t>
      </w:r>
      <w:bookmarkEnd w:id="15"/>
      <w:r w:rsidR="00EA3716">
        <w:rPr>
          <w:szCs w:val="22"/>
        </w:rPr>
        <w:t xml:space="preserve"> in-depth</w:t>
      </w:r>
      <w:r>
        <w:rPr>
          <w:szCs w:val="22"/>
        </w:rPr>
        <w:t>.</w:t>
      </w:r>
    </w:p>
    <w:bookmarkEnd w:id="16"/>
    <w:p w14:paraId="066AF7F9" w14:textId="77777777" w:rsidR="00B97FE3" w:rsidRPr="00857D63" w:rsidRDefault="00B97FE3" w:rsidP="00F63B97">
      <w:pPr>
        <w:pStyle w:val="Heading3"/>
        <w:rPr>
          <w:lang w:val="en-NZ"/>
        </w:rPr>
      </w:pPr>
      <w:r w:rsidRPr="00857D63">
        <w:rPr>
          <w:lang w:val="en-NZ"/>
        </w:rPr>
        <w:t>What options were considered by Cabinet?</w:t>
      </w:r>
    </w:p>
    <w:p w14:paraId="4F00DE67" w14:textId="54104F3A" w:rsidR="00B97FE3" w:rsidRPr="00B97FE3" w:rsidRDefault="009324E1" w:rsidP="00B97FE3">
      <w:pPr>
        <w:pStyle w:val="Heading4"/>
        <w:numPr>
          <w:ilvl w:val="0"/>
          <w:numId w:val="0"/>
        </w:numPr>
        <w:rPr>
          <w:rFonts w:cs="Arial"/>
          <w:lang w:val="en-NZ"/>
        </w:rPr>
      </w:pPr>
      <w:bookmarkStart w:id="17" w:name="_Hlk155353425"/>
      <w:r>
        <w:rPr>
          <w:rFonts w:cs="Arial"/>
          <w:lang w:val="en-NZ"/>
        </w:rPr>
        <w:t xml:space="preserve">Option 1: </w:t>
      </w:r>
      <w:r w:rsidR="00EE00E2">
        <w:rPr>
          <w:rFonts w:cs="Arial"/>
          <w:lang w:val="en-NZ"/>
        </w:rPr>
        <w:t xml:space="preserve">to </w:t>
      </w:r>
      <w:r w:rsidR="00B97FE3" w:rsidRPr="00F04B16">
        <w:rPr>
          <w:rFonts w:cs="Arial"/>
          <w:lang w:val="en-NZ"/>
        </w:rPr>
        <w:t>index main benefits to inflation from 1 April 2024</w:t>
      </w:r>
      <w:bookmarkEnd w:id="17"/>
    </w:p>
    <w:p w14:paraId="24F8BFCF" w14:textId="7CCFC85D" w:rsidR="00610F4C" w:rsidRPr="00B97FE3" w:rsidRDefault="000B2371" w:rsidP="00166043">
      <w:pPr>
        <w:pStyle w:val="BodyText-Numbered"/>
        <w:rPr>
          <w:lang w:val="en-NZ"/>
        </w:rPr>
      </w:pPr>
      <w:r w:rsidRPr="00B97FE3">
        <w:t>This option reflect</w:t>
      </w:r>
      <w:r w:rsidR="00FD3C51">
        <w:t>s</w:t>
      </w:r>
      <w:r w:rsidR="00B25881">
        <w:t xml:space="preserve"> </w:t>
      </w:r>
      <w:r w:rsidR="00B514D5">
        <w:t>the National</w:t>
      </w:r>
      <w:r w:rsidR="00B25881">
        <w:t xml:space="preserve"> Party’s</w:t>
      </w:r>
      <w:r w:rsidRPr="00B97FE3">
        <w:t xml:space="preserve"> fiscal plan</w:t>
      </w:r>
      <w:r w:rsidR="0088540E">
        <w:t>,</w:t>
      </w:r>
      <w:r w:rsidRPr="00B97FE3">
        <w:t xml:space="preserve"> </w:t>
      </w:r>
      <w:r w:rsidR="00EE00E2">
        <w:t>which commit</w:t>
      </w:r>
      <w:r w:rsidR="00B25881">
        <w:t>ted</w:t>
      </w:r>
      <w:r w:rsidR="00EE00E2">
        <w:t xml:space="preserve"> to</w:t>
      </w:r>
      <w:r w:rsidRPr="00B97FE3">
        <w:t xml:space="preserve"> indexing main benefits to inflation by</w:t>
      </w:r>
      <w:r w:rsidR="00B25881">
        <w:t xml:space="preserve"> 1 April</w:t>
      </w:r>
      <w:r w:rsidRPr="00B97FE3">
        <w:t xml:space="preserve"> 2024. </w:t>
      </w:r>
      <w:r w:rsidR="00644947">
        <w:t>T</w:t>
      </w:r>
      <w:r w:rsidR="00B727E9">
        <w:t>his</w:t>
      </w:r>
      <w:r w:rsidR="00610F4C">
        <w:t xml:space="preserve"> requires</w:t>
      </w:r>
      <w:r w:rsidR="00610F4C" w:rsidRPr="00B97FE3">
        <w:t xml:space="preserve"> repeal</w:t>
      </w:r>
      <w:r w:rsidR="00610F4C">
        <w:t>ing</w:t>
      </w:r>
      <w:r w:rsidR="00610F4C" w:rsidRPr="00B97FE3">
        <w:t xml:space="preserve"> the current requirement to adjust </w:t>
      </w:r>
      <w:r w:rsidR="00667511">
        <w:t xml:space="preserve">main benefits </w:t>
      </w:r>
      <w:r w:rsidR="00610F4C" w:rsidRPr="00B97FE3">
        <w:t>by net average wage growth and insert main benefits into section 453</w:t>
      </w:r>
      <w:r w:rsidR="00610F4C">
        <w:t xml:space="preserve"> </w:t>
      </w:r>
      <w:r w:rsidR="007823C1">
        <w:t xml:space="preserve">of the Social Security Act 2018, </w:t>
      </w:r>
      <w:r w:rsidR="00610F4C">
        <w:t>which will index main benefits to CPI</w:t>
      </w:r>
      <w:r w:rsidR="00667511">
        <w:t>.</w:t>
      </w:r>
      <w:r w:rsidR="00610F4C" w:rsidRPr="00B97FE3">
        <w:t xml:space="preserve"> Cabinet must agree to </w:t>
      </w:r>
      <w:r w:rsidR="007823C1">
        <w:t xml:space="preserve">make this amendment </w:t>
      </w:r>
      <w:r w:rsidR="00610F4C" w:rsidRPr="00B97FE3">
        <w:t xml:space="preserve">under urgency to meet the </w:t>
      </w:r>
      <w:r w:rsidR="006B66A1" w:rsidRPr="006B66A1">
        <w:t xml:space="preserve">1 April 2024 adjustment </w:t>
      </w:r>
      <w:r w:rsidR="00610F4C" w:rsidRPr="00B97FE3">
        <w:t xml:space="preserve">timeframes. </w:t>
      </w:r>
      <w:bookmarkStart w:id="18" w:name="_Hlk151637043"/>
    </w:p>
    <w:bookmarkEnd w:id="18"/>
    <w:p w14:paraId="55EEA03C" w14:textId="5C86704A" w:rsidR="00B97FE3" w:rsidRPr="00B97FE3" w:rsidRDefault="000B2371" w:rsidP="00166043">
      <w:pPr>
        <w:pStyle w:val="BodyText-Numbered"/>
        <w:rPr>
          <w:lang w:val="en-NZ"/>
        </w:rPr>
      </w:pPr>
      <w:r w:rsidRPr="00B97FE3">
        <w:t>Th</w:t>
      </w:r>
      <w:r w:rsidR="006938E8">
        <w:t>is</w:t>
      </w:r>
      <w:r w:rsidRPr="00B97FE3">
        <w:t xml:space="preserve"> approach </w:t>
      </w:r>
      <w:r w:rsidR="00AB6589">
        <w:t>will</w:t>
      </w:r>
      <w:r w:rsidRPr="00B97FE3">
        <w:t xml:space="preserve"> fulfil the </w:t>
      </w:r>
      <w:r w:rsidR="00CD423A">
        <w:t xml:space="preserve">manifesto </w:t>
      </w:r>
      <w:r w:rsidRPr="00B97FE3">
        <w:t xml:space="preserve">commitment </w:t>
      </w:r>
      <w:r w:rsidR="00644947">
        <w:t>by changing</w:t>
      </w:r>
      <w:r w:rsidR="00B514D5">
        <w:t xml:space="preserve"> </w:t>
      </w:r>
      <w:r w:rsidR="00EE7151" w:rsidRPr="00B97FE3">
        <w:t>the</w:t>
      </w:r>
      <w:r w:rsidRPr="00B97FE3">
        <w:t xml:space="preserve"> </w:t>
      </w:r>
      <w:r w:rsidR="00B25881">
        <w:t>indexation mechanism for main benefits from wage growth to inflation</w:t>
      </w:r>
      <w:r w:rsidRPr="00B97FE3">
        <w:t xml:space="preserve">. </w:t>
      </w:r>
      <w:r w:rsidR="00433FD8">
        <w:t>T</w:t>
      </w:r>
      <w:r w:rsidR="00433FD8" w:rsidRPr="00433FD8">
        <w:t xml:space="preserve">his option incurs an initial cost of $36.049 million in the first two fiscal years and higher base rates for main benefits for future adjustments (compared to a net average wage growth adjustment in 2024). The total net savings over the forecast period </w:t>
      </w:r>
      <w:r w:rsidR="00983F99">
        <w:t>comes to</w:t>
      </w:r>
      <w:r w:rsidR="00433FD8" w:rsidRPr="00433FD8">
        <w:t xml:space="preserve"> $669.527 million</w:t>
      </w:r>
      <w:r w:rsidR="00433FD8">
        <w:t xml:space="preserve">. </w:t>
      </w:r>
    </w:p>
    <w:p w14:paraId="33A04FE7" w14:textId="5FCD4762" w:rsidR="00CE2B1B" w:rsidRPr="00CE2B1B" w:rsidRDefault="009324E1" w:rsidP="00CE2B1B">
      <w:pPr>
        <w:pStyle w:val="Heading4"/>
        <w:numPr>
          <w:ilvl w:val="0"/>
          <w:numId w:val="0"/>
        </w:numPr>
        <w:rPr>
          <w:rFonts w:cs="Arial"/>
          <w:lang w:val="en-NZ"/>
        </w:rPr>
      </w:pPr>
      <w:r>
        <w:rPr>
          <w:rFonts w:cs="Arial"/>
          <w:lang w:val="en-NZ"/>
        </w:rPr>
        <w:t xml:space="preserve">Option 2: </w:t>
      </w:r>
      <w:r w:rsidR="009A7AC1">
        <w:rPr>
          <w:rFonts w:cs="Arial"/>
          <w:lang w:val="en-NZ"/>
        </w:rPr>
        <w:t xml:space="preserve">to </w:t>
      </w:r>
      <w:r w:rsidR="00CE2B1B">
        <w:rPr>
          <w:rFonts w:cs="Arial"/>
          <w:lang w:val="en-NZ"/>
        </w:rPr>
        <w:t xml:space="preserve">maintain the status quo setting of main benefits being indexed to net average wage growth </w:t>
      </w:r>
    </w:p>
    <w:p w14:paraId="020C81D5" w14:textId="412F863C" w:rsidR="00EE00E2" w:rsidRPr="003673FA" w:rsidRDefault="006C558B" w:rsidP="00166043">
      <w:pPr>
        <w:pStyle w:val="BodyText-Numbered"/>
        <w:rPr>
          <w:lang w:val="en-NZ"/>
        </w:rPr>
      </w:pPr>
      <w:r>
        <w:t xml:space="preserve">This option would retain the status quo </w:t>
      </w:r>
      <w:r w:rsidR="00F907A4">
        <w:t xml:space="preserve">of indexing benefits to </w:t>
      </w:r>
      <w:r w:rsidR="002D3C94">
        <w:t xml:space="preserve">wage </w:t>
      </w:r>
      <w:r w:rsidR="00EA3716">
        <w:t>growth but</w:t>
      </w:r>
      <w:r>
        <w:t xml:space="preserve"> would not fulfil the manifesto commitment made by the National Party </w:t>
      </w:r>
      <w:r w:rsidR="009D4871">
        <w:t>to index benefits to inflation</w:t>
      </w:r>
      <w:r w:rsidR="002D3C94">
        <w:t xml:space="preserve">. </w:t>
      </w:r>
      <w:r w:rsidR="009D4871">
        <w:t>This option</w:t>
      </w:r>
      <w:r w:rsidR="00C0671B">
        <w:t xml:space="preserve"> </w:t>
      </w:r>
      <w:r w:rsidR="00F907A4">
        <w:t xml:space="preserve">is already in place in legislation under section 452A of the </w:t>
      </w:r>
      <w:r w:rsidR="009A7AC1">
        <w:t>S</w:t>
      </w:r>
      <w:r w:rsidR="00F907A4">
        <w:t xml:space="preserve">ocial </w:t>
      </w:r>
      <w:r w:rsidR="009A7AC1">
        <w:t>S</w:t>
      </w:r>
      <w:r w:rsidR="00F907A4">
        <w:t xml:space="preserve">ecurity </w:t>
      </w:r>
      <w:r w:rsidR="009A7AC1">
        <w:t>A</w:t>
      </w:r>
      <w:r w:rsidR="00F907A4">
        <w:t>ct</w:t>
      </w:r>
      <w:r w:rsidR="009A7AC1">
        <w:t xml:space="preserve"> 2018</w:t>
      </w:r>
      <w:r w:rsidR="001078B8">
        <w:t xml:space="preserve">. </w:t>
      </w:r>
    </w:p>
    <w:p w14:paraId="382BDFF6" w14:textId="4B63B9F0" w:rsidR="000B2371" w:rsidRPr="00F04B16" w:rsidRDefault="007D633F" w:rsidP="000B2371">
      <w:pPr>
        <w:pStyle w:val="Heading4"/>
        <w:numPr>
          <w:ilvl w:val="0"/>
          <w:numId w:val="0"/>
        </w:numPr>
        <w:rPr>
          <w:rFonts w:cs="Arial"/>
          <w:lang w:val="en-NZ"/>
        </w:rPr>
      </w:pPr>
      <w:bookmarkStart w:id="19" w:name="_Hlk155346613"/>
      <w:r>
        <w:rPr>
          <w:rFonts w:cs="Arial"/>
          <w:lang w:val="en-NZ"/>
        </w:rPr>
        <w:t>A further option to</w:t>
      </w:r>
      <w:r w:rsidR="00610F4C">
        <w:rPr>
          <w:rFonts w:cs="Arial"/>
          <w:lang w:val="en-NZ"/>
        </w:rPr>
        <w:t xml:space="preserve"> </w:t>
      </w:r>
      <w:r w:rsidR="000B2371" w:rsidRPr="00F04B16">
        <w:rPr>
          <w:rFonts w:cs="Arial"/>
          <w:lang w:val="en-NZ"/>
        </w:rPr>
        <w:t>index main benefits to inflation from 1 April 2025</w:t>
      </w:r>
      <w:r w:rsidR="006C6F74">
        <w:rPr>
          <w:rFonts w:cs="Arial"/>
          <w:lang w:val="en-NZ"/>
        </w:rPr>
        <w:t xml:space="preserve"> was proposed</w:t>
      </w:r>
      <w:r w:rsidR="00AB4EA2">
        <w:rPr>
          <w:rFonts w:cs="Arial"/>
          <w:lang w:val="en-NZ"/>
        </w:rPr>
        <w:t xml:space="preserve"> by officials</w:t>
      </w:r>
      <w:r w:rsidR="006C6F74">
        <w:rPr>
          <w:rFonts w:cs="Arial"/>
          <w:lang w:val="en-NZ"/>
        </w:rPr>
        <w:t xml:space="preserve"> but </w:t>
      </w:r>
      <w:r>
        <w:rPr>
          <w:rFonts w:cs="Arial"/>
          <w:lang w:val="en-NZ"/>
        </w:rPr>
        <w:t>was not considered by Cabinet</w:t>
      </w:r>
      <w:r w:rsidR="006C6F74">
        <w:rPr>
          <w:rFonts w:cs="Arial"/>
          <w:lang w:val="en-NZ"/>
        </w:rPr>
        <w:t xml:space="preserve"> </w:t>
      </w:r>
    </w:p>
    <w:bookmarkEnd w:id="19"/>
    <w:p w14:paraId="0F84FBEA" w14:textId="7191E152" w:rsidR="006C6F74" w:rsidRPr="006C6F74" w:rsidRDefault="000B2371" w:rsidP="00166043">
      <w:pPr>
        <w:pStyle w:val="BodyText-Numbered"/>
      </w:pPr>
      <w:r w:rsidRPr="00B97FE3">
        <w:t xml:space="preserve">Indexing main benefits to inflation from </w:t>
      </w:r>
      <w:r w:rsidR="007D633F">
        <w:t xml:space="preserve">1 April </w:t>
      </w:r>
      <w:r w:rsidRPr="00B97FE3">
        <w:t xml:space="preserve">2025 </w:t>
      </w:r>
      <w:r w:rsidR="008B3364">
        <w:t xml:space="preserve">would have fulfilled </w:t>
      </w:r>
      <w:r w:rsidR="00FD3C51">
        <w:t>the</w:t>
      </w:r>
      <w:r w:rsidRPr="00B97FE3">
        <w:t xml:space="preserve"> commitment a year later than </w:t>
      </w:r>
      <w:r w:rsidR="009E7C32">
        <w:t xml:space="preserve">the manifesto commitment intended. This option avoided the need to </w:t>
      </w:r>
      <w:r w:rsidR="006C6F74" w:rsidRPr="006C6F74">
        <w:t>pass legislation under urgency</w:t>
      </w:r>
      <w:r w:rsidR="00B72476">
        <w:t>,</w:t>
      </w:r>
      <w:r w:rsidR="009E7C32">
        <w:t xml:space="preserve"> however,</w:t>
      </w:r>
      <w:r w:rsidR="006C6F74" w:rsidRPr="006C6F74">
        <w:t xml:space="preserve"> the legislative process would </w:t>
      </w:r>
      <w:r w:rsidR="009E7C32">
        <w:t>likely have</w:t>
      </w:r>
      <w:r w:rsidR="008B3364">
        <w:t xml:space="preserve"> </w:t>
      </w:r>
      <w:r w:rsidR="0088540E">
        <w:t xml:space="preserve">still </w:t>
      </w:r>
      <w:r w:rsidR="009E7C32">
        <w:t>been</w:t>
      </w:r>
      <w:r w:rsidR="006C6F74" w:rsidRPr="006C6F74">
        <w:t xml:space="preserve"> truncated</w:t>
      </w:r>
      <w:r w:rsidR="0022371F">
        <w:t>.</w:t>
      </w:r>
    </w:p>
    <w:p w14:paraId="063BC0BB" w14:textId="3F9BC27C" w:rsidR="000B2371" w:rsidRPr="00B97FE3" w:rsidRDefault="0022371F" w:rsidP="00166043">
      <w:pPr>
        <w:pStyle w:val="BodyText-Numbered"/>
      </w:pPr>
      <w:r>
        <w:t>I</w:t>
      </w:r>
      <w:r w:rsidR="000B2371" w:rsidRPr="00B97FE3">
        <w:t xml:space="preserve">mplementation on 1 April 2025 </w:t>
      </w:r>
      <w:r w:rsidR="009E7C32">
        <w:t>would have been</w:t>
      </w:r>
      <w:r w:rsidR="000B2371" w:rsidRPr="00B97FE3">
        <w:t xml:space="preserve"> expected to achieve greater savings</w:t>
      </w:r>
      <w:r w:rsidR="00963F5E">
        <w:t xml:space="preserve"> </w:t>
      </w:r>
      <w:r w:rsidR="00D5212F">
        <w:t xml:space="preserve">of </w:t>
      </w:r>
      <w:r w:rsidR="006D7D0F" w:rsidRPr="00D5212F">
        <w:rPr>
          <w:lang w:val="en-NZ"/>
        </w:rPr>
        <w:t>$925.019 million</w:t>
      </w:r>
      <w:r w:rsidR="000B2371" w:rsidRPr="00B97FE3">
        <w:t xml:space="preserve"> over the forecast period</w:t>
      </w:r>
      <w:r w:rsidR="009A7AC1">
        <w:t>,</w:t>
      </w:r>
      <w:r w:rsidR="00963F5E">
        <w:t xml:space="preserve"> as inflation is expected to track lower than </w:t>
      </w:r>
      <w:r w:rsidR="00963F5E">
        <w:lastRenderedPageBreak/>
        <w:t xml:space="preserve">wages from </w:t>
      </w:r>
      <w:r w:rsidR="00812FBB">
        <w:t>2025</w:t>
      </w:r>
      <w:r w:rsidR="0088540E">
        <w:t xml:space="preserve"> only</w:t>
      </w:r>
      <w:r w:rsidR="009A7AC1">
        <w:t>.</w:t>
      </w:r>
      <w:r w:rsidR="00812FBB">
        <w:t xml:space="preserve"> </w:t>
      </w:r>
      <w:r w:rsidR="009A7AC1">
        <w:t>However, this option</w:t>
      </w:r>
      <w:r>
        <w:t xml:space="preserve"> was not progress</w:t>
      </w:r>
      <w:r w:rsidR="00CB1D6D">
        <w:t xml:space="preserve">ed </w:t>
      </w:r>
      <w:r>
        <w:t xml:space="preserve">to </w:t>
      </w:r>
      <w:r w:rsidR="00A716C3">
        <w:t>C</w:t>
      </w:r>
      <w:r>
        <w:t>abinet as it did not align with the manifesto commitment</w:t>
      </w:r>
      <w:r w:rsidR="00FD7221">
        <w:t xml:space="preserve"> of implementation in 2024. </w:t>
      </w:r>
    </w:p>
    <w:p w14:paraId="77032A94" w14:textId="701215F3" w:rsidR="00886EE8" w:rsidRDefault="00886EE8" w:rsidP="00F63B97">
      <w:pPr>
        <w:pStyle w:val="Heading3"/>
        <w:rPr>
          <w:lang w:val="en-NZ"/>
        </w:rPr>
      </w:pPr>
      <w:r>
        <w:rPr>
          <w:lang w:val="en-NZ"/>
        </w:rPr>
        <w:t>W</w:t>
      </w:r>
      <w:r w:rsidR="00B00A7E">
        <w:rPr>
          <w:lang w:val="en-NZ"/>
        </w:rPr>
        <w:t>hat</w:t>
      </w:r>
      <w:r w:rsidR="00FB237A">
        <w:rPr>
          <w:lang w:val="en-NZ"/>
        </w:rPr>
        <w:t xml:space="preserve"> was the Government’s pre</w:t>
      </w:r>
      <w:r w:rsidR="00FB237A" w:rsidRPr="445BF07F">
        <w:rPr>
          <w:lang w:val="en-NZ"/>
        </w:rPr>
        <w:t xml:space="preserve">ferred </w:t>
      </w:r>
      <w:r w:rsidR="00FB237A">
        <w:rPr>
          <w:lang w:val="en-NZ"/>
        </w:rPr>
        <w:t>option</w:t>
      </w:r>
      <w:r w:rsidR="00932B8C">
        <w:rPr>
          <w:lang w:val="en-NZ"/>
        </w:rPr>
        <w:t>, and what impacts will it have</w:t>
      </w:r>
      <w:r w:rsidR="00FB237A">
        <w:rPr>
          <w:lang w:val="en-NZ"/>
        </w:rPr>
        <w:t>?</w:t>
      </w:r>
      <w:r w:rsidR="00B00A7E">
        <w:rPr>
          <w:lang w:val="en-NZ"/>
        </w:rPr>
        <w:t xml:space="preserve"> </w:t>
      </w:r>
    </w:p>
    <w:p w14:paraId="18E2FB34" w14:textId="0DA5092B" w:rsidR="00797B3D" w:rsidRPr="00797B3D" w:rsidRDefault="00797B3D" w:rsidP="00797B3D">
      <w:pPr>
        <w:pStyle w:val="Heading4"/>
        <w:numPr>
          <w:ilvl w:val="0"/>
          <w:numId w:val="0"/>
        </w:numPr>
        <w:rPr>
          <w:rFonts w:cs="Arial"/>
          <w:lang w:val="en-NZ"/>
        </w:rPr>
      </w:pPr>
      <w:r>
        <w:rPr>
          <w:rFonts w:cs="Arial"/>
          <w:lang w:val="en-NZ"/>
        </w:rPr>
        <w:t xml:space="preserve">Cabinet </w:t>
      </w:r>
      <w:r w:rsidR="00FD7221">
        <w:t xml:space="preserve">has agreed </w:t>
      </w:r>
      <w:r w:rsidR="00166AF1">
        <w:t xml:space="preserve">to option 1: </w:t>
      </w:r>
      <w:r w:rsidR="00FD7221">
        <w:t>for main benefits to be indexed to inflation from 1 April 2024</w:t>
      </w:r>
    </w:p>
    <w:p w14:paraId="153B3715" w14:textId="186F3F46" w:rsidR="00FD3C51" w:rsidRDefault="00B97FE3" w:rsidP="00166043">
      <w:pPr>
        <w:pStyle w:val="BodyText-Numbered"/>
      </w:pPr>
      <w:r w:rsidRPr="00B97FE3">
        <w:t xml:space="preserve">This </w:t>
      </w:r>
      <w:r w:rsidR="0064453A">
        <w:t xml:space="preserve">approach </w:t>
      </w:r>
      <w:r w:rsidR="00FD3C51">
        <w:t xml:space="preserve">will maintain main benefit rates relative to the cost of living and </w:t>
      </w:r>
      <w:r w:rsidRPr="00B97FE3">
        <w:t>prioritises a 2024 implementation</w:t>
      </w:r>
      <w:r w:rsidR="007823C1">
        <w:t>,</w:t>
      </w:r>
      <w:r w:rsidR="00FD3C51">
        <w:t xml:space="preserve"> </w:t>
      </w:r>
      <w:r w:rsidR="007823C1">
        <w:t>which</w:t>
      </w:r>
      <w:r w:rsidRPr="00B97FE3">
        <w:t xml:space="preserve"> incurs an initial cost </w:t>
      </w:r>
      <w:r w:rsidR="007823C1">
        <w:t>and</w:t>
      </w:r>
      <w:r w:rsidR="009A7AC1">
        <w:t xml:space="preserve"> achieves</w:t>
      </w:r>
      <w:r w:rsidR="00107117">
        <w:t xml:space="preserve"> savings in the long</w:t>
      </w:r>
      <w:r w:rsidR="00C96165">
        <w:t>-</w:t>
      </w:r>
      <w:r w:rsidR="00107117">
        <w:t xml:space="preserve">term. A </w:t>
      </w:r>
      <w:r w:rsidR="003F4991" w:rsidRPr="00B97FE3">
        <w:t>legislative</w:t>
      </w:r>
      <w:r w:rsidRPr="00B97FE3">
        <w:t xml:space="preserve"> amendment </w:t>
      </w:r>
      <w:r w:rsidR="00107117" w:rsidRPr="00B97FE3">
        <w:t>w</w:t>
      </w:r>
      <w:r w:rsidR="00107117">
        <w:t>ill</w:t>
      </w:r>
      <w:r w:rsidRPr="00B97FE3">
        <w:t xml:space="preserve"> </w:t>
      </w:r>
      <w:r w:rsidR="00107117">
        <w:t>need</w:t>
      </w:r>
      <w:r w:rsidRPr="00B97FE3">
        <w:t xml:space="preserve"> to be passed under urgency to meet </w:t>
      </w:r>
      <w:r w:rsidR="006B66A1" w:rsidRPr="006B66A1">
        <w:t>1 April 2024 adjustment</w:t>
      </w:r>
      <w:r w:rsidR="00E91AC5">
        <w:t xml:space="preserve"> process</w:t>
      </w:r>
      <w:r w:rsidR="006B66A1" w:rsidRPr="006B66A1">
        <w:t xml:space="preserve"> </w:t>
      </w:r>
      <w:r w:rsidR="00433FD8">
        <w:t>de</w:t>
      </w:r>
      <w:r w:rsidRPr="00B97FE3">
        <w:t xml:space="preserve">adlines. </w:t>
      </w:r>
    </w:p>
    <w:p w14:paraId="37974E7E" w14:textId="77777777" w:rsidR="00596D8A" w:rsidRDefault="00596D8A" w:rsidP="00596D8A">
      <w:pPr>
        <w:pStyle w:val="BodyText-Numbered"/>
        <w:numPr>
          <w:ilvl w:val="0"/>
          <w:numId w:val="0"/>
        </w:numPr>
        <w:ind w:left="567"/>
      </w:pPr>
    </w:p>
    <w:p w14:paraId="6968753E" w14:textId="77777777" w:rsidR="00596D8A" w:rsidRPr="00B97603" w:rsidRDefault="00596D8A" w:rsidP="00596D8A">
      <w:pPr>
        <w:pStyle w:val="BodyText-Numbered"/>
        <w:numPr>
          <w:ilvl w:val="0"/>
          <w:numId w:val="0"/>
        </w:numPr>
      </w:pPr>
      <w:r>
        <w:rPr>
          <w:lang w:eastAsia="en-US"/>
        </w:rPr>
        <w:t xml:space="preserve">Table 2. Preliminary </w:t>
      </w:r>
      <w:r>
        <w:t xml:space="preserve">Half Year Economic and Fiscal Update forecast of main benefit rates under indexation to CPI or Net average wage growth from April 2024 to April 2028. </w:t>
      </w:r>
    </w:p>
    <w:tbl>
      <w:tblPr>
        <w:tblW w:w="8931" w:type="dxa"/>
        <w:tblLook w:val="04A0" w:firstRow="1" w:lastRow="0" w:firstColumn="1" w:lastColumn="0" w:noHBand="0" w:noVBand="1"/>
      </w:tblPr>
      <w:tblGrid>
        <w:gridCol w:w="2199"/>
        <w:gridCol w:w="939"/>
        <w:gridCol w:w="982"/>
        <w:gridCol w:w="988"/>
        <w:gridCol w:w="989"/>
        <w:gridCol w:w="956"/>
        <w:gridCol w:w="939"/>
        <w:gridCol w:w="939"/>
      </w:tblGrid>
      <w:tr w:rsidR="00596D8A" w:rsidRPr="00232A31" w14:paraId="610CFC55" w14:textId="77777777" w:rsidTr="002378E9">
        <w:trPr>
          <w:trHeight w:val="570"/>
        </w:trPr>
        <w:tc>
          <w:tcPr>
            <w:tcW w:w="2268" w:type="dxa"/>
            <w:tcBorders>
              <w:top w:val="nil"/>
              <w:left w:val="nil"/>
              <w:bottom w:val="single" w:sz="8" w:space="0" w:color="auto"/>
              <w:right w:val="single" w:sz="8" w:space="0" w:color="auto"/>
            </w:tcBorders>
            <w:shd w:val="clear" w:color="auto" w:fill="auto"/>
            <w:vAlign w:val="center"/>
            <w:hideMark/>
          </w:tcPr>
          <w:p w14:paraId="64AA03A0" w14:textId="77777777" w:rsidR="00596D8A" w:rsidRPr="00232A31" w:rsidRDefault="00596D8A" w:rsidP="002378E9">
            <w:pPr>
              <w:spacing w:after="0" w:line="240" w:lineRule="auto"/>
              <w:jc w:val="both"/>
              <w:rPr>
                <w:rFonts w:cs="Arial"/>
                <w:b/>
                <w:bCs/>
                <w:sz w:val="20"/>
                <w:lang w:val="en-NZ" w:eastAsia="en-NZ"/>
              </w:rPr>
            </w:pP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695A0B55" w14:textId="77777777" w:rsidR="00596D8A" w:rsidRPr="00232A31" w:rsidRDefault="00596D8A" w:rsidP="002378E9">
            <w:pPr>
              <w:spacing w:after="0" w:line="240" w:lineRule="auto"/>
              <w:jc w:val="both"/>
              <w:rPr>
                <w:rFonts w:cs="Arial"/>
                <w:b/>
                <w:bCs/>
                <w:sz w:val="20"/>
                <w:lang w:val="en-NZ" w:eastAsia="en-NZ"/>
              </w:rPr>
            </w:pPr>
            <w:r w:rsidRPr="00232A31">
              <w:rPr>
                <w:rFonts w:cs="Arial"/>
                <w:b/>
                <w:bCs/>
                <w:sz w:val="20"/>
                <w:lang w:eastAsia="en-NZ"/>
              </w:rPr>
              <w:t>Apr-23</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3E719F89" w14:textId="77777777" w:rsidR="00596D8A" w:rsidRPr="00232A31" w:rsidRDefault="00596D8A" w:rsidP="002378E9">
            <w:pPr>
              <w:spacing w:after="0" w:line="240" w:lineRule="auto"/>
              <w:jc w:val="both"/>
              <w:rPr>
                <w:rFonts w:cs="Arial"/>
                <w:b/>
                <w:bCs/>
                <w:sz w:val="20"/>
                <w:lang w:val="en-NZ" w:eastAsia="en-NZ"/>
              </w:rPr>
            </w:pPr>
            <w:r w:rsidRPr="00232A31">
              <w:rPr>
                <w:rFonts w:cs="Arial"/>
                <w:b/>
                <w:bCs/>
                <w:sz w:val="20"/>
                <w:lang w:eastAsia="en-NZ"/>
              </w:rPr>
              <w:t>Index</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28021493" w14:textId="77777777" w:rsidR="00596D8A" w:rsidRPr="00232A31" w:rsidRDefault="00596D8A" w:rsidP="002378E9">
            <w:pPr>
              <w:spacing w:after="0" w:line="240" w:lineRule="auto"/>
              <w:jc w:val="both"/>
              <w:rPr>
                <w:rFonts w:cs="Arial"/>
                <w:b/>
                <w:bCs/>
                <w:sz w:val="20"/>
                <w:lang w:val="en-NZ" w:eastAsia="en-NZ"/>
              </w:rPr>
            </w:pPr>
            <w:r w:rsidRPr="00232A31">
              <w:rPr>
                <w:rFonts w:cs="Arial"/>
                <w:b/>
                <w:bCs/>
                <w:sz w:val="20"/>
                <w:lang w:eastAsia="en-NZ"/>
              </w:rPr>
              <w:t>Apr-24</w:t>
            </w:r>
          </w:p>
        </w:tc>
        <w:tc>
          <w:tcPr>
            <w:tcW w:w="993" w:type="dxa"/>
            <w:tcBorders>
              <w:top w:val="single" w:sz="8" w:space="0" w:color="auto"/>
              <w:left w:val="nil"/>
              <w:bottom w:val="single" w:sz="8" w:space="0" w:color="auto"/>
              <w:right w:val="single" w:sz="8" w:space="0" w:color="auto"/>
            </w:tcBorders>
            <w:shd w:val="clear" w:color="auto" w:fill="auto"/>
            <w:vAlign w:val="center"/>
            <w:hideMark/>
          </w:tcPr>
          <w:p w14:paraId="72DC2204" w14:textId="77777777" w:rsidR="00596D8A" w:rsidRPr="00232A31" w:rsidRDefault="00596D8A" w:rsidP="002378E9">
            <w:pPr>
              <w:spacing w:after="0" w:line="240" w:lineRule="auto"/>
              <w:jc w:val="both"/>
              <w:rPr>
                <w:rFonts w:cs="Arial"/>
                <w:b/>
                <w:bCs/>
                <w:sz w:val="20"/>
                <w:lang w:val="en-NZ" w:eastAsia="en-NZ"/>
              </w:rPr>
            </w:pPr>
            <w:r w:rsidRPr="00232A31">
              <w:rPr>
                <w:rFonts w:cs="Arial"/>
                <w:b/>
                <w:bCs/>
                <w:sz w:val="20"/>
                <w:lang w:eastAsia="en-NZ"/>
              </w:rPr>
              <w:t>Apr-25</w:t>
            </w:r>
          </w:p>
        </w:tc>
        <w:tc>
          <w:tcPr>
            <w:tcW w:w="957" w:type="dxa"/>
            <w:tcBorders>
              <w:top w:val="single" w:sz="8" w:space="0" w:color="auto"/>
              <w:left w:val="nil"/>
              <w:bottom w:val="single" w:sz="8" w:space="0" w:color="auto"/>
              <w:right w:val="single" w:sz="8" w:space="0" w:color="auto"/>
            </w:tcBorders>
            <w:shd w:val="clear" w:color="auto" w:fill="auto"/>
            <w:vAlign w:val="center"/>
            <w:hideMark/>
          </w:tcPr>
          <w:p w14:paraId="0211F2C3" w14:textId="77777777" w:rsidR="00596D8A" w:rsidRPr="00232A31" w:rsidRDefault="00596D8A" w:rsidP="002378E9">
            <w:pPr>
              <w:spacing w:after="0" w:line="240" w:lineRule="auto"/>
              <w:jc w:val="both"/>
              <w:rPr>
                <w:rFonts w:cs="Arial"/>
                <w:b/>
                <w:bCs/>
                <w:sz w:val="20"/>
                <w:lang w:val="en-NZ" w:eastAsia="en-NZ"/>
              </w:rPr>
            </w:pPr>
            <w:r w:rsidRPr="00232A31">
              <w:rPr>
                <w:rFonts w:cs="Arial"/>
                <w:b/>
                <w:bCs/>
                <w:sz w:val="20"/>
                <w:lang w:eastAsia="en-NZ"/>
              </w:rPr>
              <w:t>Apr-26</w:t>
            </w:r>
          </w:p>
        </w:tc>
        <w:tc>
          <w:tcPr>
            <w:tcW w:w="939" w:type="dxa"/>
            <w:tcBorders>
              <w:top w:val="single" w:sz="8" w:space="0" w:color="auto"/>
              <w:left w:val="nil"/>
              <w:bottom w:val="single" w:sz="8" w:space="0" w:color="auto"/>
              <w:right w:val="single" w:sz="8" w:space="0" w:color="auto"/>
            </w:tcBorders>
            <w:shd w:val="clear" w:color="auto" w:fill="auto"/>
            <w:vAlign w:val="center"/>
            <w:hideMark/>
          </w:tcPr>
          <w:p w14:paraId="059AC755" w14:textId="77777777" w:rsidR="00596D8A" w:rsidRPr="00232A31" w:rsidRDefault="00596D8A" w:rsidP="002378E9">
            <w:pPr>
              <w:spacing w:after="0" w:line="240" w:lineRule="auto"/>
              <w:jc w:val="both"/>
              <w:rPr>
                <w:rFonts w:cs="Arial"/>
                <w:b/>
                <w:bCs/>
                <w:sz w:val="20"/>
                <w:lang w:val="en-NZ" w:eastAsia="en-NZ"/>
              </w:rPr>
            </w:pPr>
            <w:r w:rsidRPr="00232A31">
              <w:rPr>
                <w:rFonts w:cs="Arial"/>
                <w:b/>
                <w:bCs/>
                <w:sz w:val="20"/>
                <w:lang w:eastAsia="en-NZ"/>
              </w:rPr>
              <w:t>Apr-27</w:t>
            </w:r>
          </w:p>
        </w:tc>
        <w:tc>
          <w:tcPr>
            <w:tcW w:w="939" w:type="dxa"/>
            <w:tcBorders>
              <w:top w:val="single" w:sz="8" w:space="0" w:color="auto"/>
              <w:left w:val="nil"/>
              <w:bottom w:val="single" w:sz="8" w:space="0" w:color="auto"/>
              <w:right w:val="single" w:sz="8" w:space="0" w:color="auto"/>
            </w:tcBorders>
            <w:shd w:val="clear" w:color="auto" w:fill="auto"/>
            <w:vAlign w:val="center"/>
            <w:hideMark/>
          </w:tcPr>
          <w:p w14:paraId="1DDDCCF8" w14:textId="77777777" w:rsidR="00596D8A" w:rsidRPr="00232A31" w:rsidRDefault="00596D8A" w:rsidP="002378E9">
            <w:pPr>
              <w:spacing w:after="0" w:line="240" w:lineRule="auto"/>
              <w:jc w:val="both"/>
              <w:rPr>
                <w:rFonts w:cs="Arial"/>
                <w:b/>
                <w:bCs/>
                <w:sz w:val="20"/>
                <w:lang w:val="en-NZ" w:eastAsia="en-NZ"/>
              </w:rPr>
            </w:pPr>
            <w:r w:rsidRPr="00232A31">
              <w:rPr>
                <w:rFonts w:cs="Arial"/>
                <w:b/>
                <w:bCs/>
                <w:sz w:val="20"/>
                <w:lang w:eastAsia="en-NZ"/>
              </w:rPr>
              <w:t>Apr-28</w:t>
            </w:r>
          </w:p>
        </w:tc>
      </w:tr>
      <w:tr w:rsidR="00596D8A" w:rsidRPr="00232A31" w14:paraId="29820B77" w14:textId="77777777" w:rsidTr="002378E9">
        <w:trPr>
          <w:trHeight w:val="401"/>
        </w:trPr>
        <w:tc>
          <w:tcPr>
            <w:tcW w:w="2268" w:type="dxa"/>
            <w:tcBorders>
              <w:top w:val="nil"/>
              <w:left w:val="single" w:sz="8" w:space="0" w:color="auto"/>
              <w:bottom w:val="nil"/>
              <w:right w:val="single" w:sz="8" w:space="0" w:color="auto"/>
            </w:tcBorders>
            <w:shd w:val="clear" w:color="auto" w:fill="auto"/>
            <w:vAlign w:val="center"/>
            <w:hideMark/>
          </w:tcPr>
          <w:p w14:paraId="4A3926F3" w14:textId="77777777" w:rsidR="00596D8A" w:rsidRPr="00232A31" w:rsidRDefault="00596D8A" w:rsidP="002378E9">
            <w:pPr>
              <w:spacing w:after="0" w:line="240" w:lineRule="auto"/>
              <w:rPr>
                <w:rFonts w:cs="Arial"/>
                <w:b/>
                <w:bCs/>
                <w:sz w:val="20"/>
                <w:lang w:val="en-NZ" w:eastAsia="en-NZ"/>
              </w:rPr>
            </w:pPr>
            <w:r w:rsidRPr="00232A31">
              <w:rPr>
                <w:rFonts w:cs="Arial"/>
                <w:b/>
                <w:bCs/>
                <w:sz w:val="20"/>
                <w:lang w:eastAsia="en-NZ"/>
              </w:rPr>
              <w:t>Jobseeker Support</w:t>
            </w:r>
          </w:p>
        </w:tc>
        <w:tc>
          <w:tcPr>
            <w:tcW w:w="851"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0D98272D" w14:textId="77777777" w:rsidR="00596D8A" w:rsidRPr="00232A31" w:rsidRDefault="00596D8A" w:rsidP="002378E9">
            <w:pPr>
              <w:spacing w:after="0" w:line="240" w:lineRule="auto"/>
              <w:jc w:val="both"/>
              <w:rPr>
                <w:rFonts w:cs="Arial"/>
                <w:color w:val="000000"/>
                <w:sz w:val="20"/>
                <w:lang w:val="en-NZ" w:eastAsia="en-NZ"/>
              </w:rPr>
            </w:pPr>
            <w:r w:rsidRPr="00232A31">
              <w:rPr>
                <w:rFonts w:cs="Arial"/>
                <w:sz w:val="20"/>
                <w:lang w:eastAsia="en-NZ"/>
              </w:rPr>
              <w:t>$337.74</w:t>
            </w:r>
          </w:p>
        </w:tc>
        <w:tc>
          <w:tcPr>
            <w:tcW w:w="992" w:type="dxa"/>
            <w:tcBorders>
              <w:top w:val="nil"/>
              <w:left w:val="nil"/>
              <w:bottom w:val="single" w:sz="8" w:space="0" w:color="auto"/>
              <w:right w:val="single" w:sz="8" w:space="0" w:color="auto"/>
            </w:tcBorders>
            <w:shd w:val="clear" w:color="000000" w:fill="F2F2F2"/>
            <w:vAlign w:val="center"/>
            <w:hideMark/>
          </w:tcPr>
          <w:p w14:paraId="2123963B" w14:textId="77777777" w:rsidR="00596D8A" w:rsidRPr="00232A31" w:rsidRDefault="00596D8A" w:rsidP="002378E9">
            <w:pPr>
              <w:spacing w:after="0" w:line="240" w:lineRule="auto"/>
              <w:jc w:val="both"/>
              <w:rPr>
                <w:rFonts w:cs="Arial"/>
                <w:color w:val="000000"/>
                <w:sz w:val="20"/>
                <w:lang w:val="en-NZ" w:eastAsia="en-NZ"/>
              </w:rPr>
            </w:pPr>
            <w:r w:rsidRPr="00232A31">
              <w:rPr>
                <w:rFonts w:cs="Arial"/>
                <w:sz w:val="20"/>
                <w:lang w:eastAsia="en-NZ"/>
              </w:rPr>
              <w:t>Wages</w:t>
            </w:r>
          </w:p>
        </w:tc>
        <w:tc>
          <w:tcPr>
            <w:tcW w:w="992" w:type="dxa"/>
            <w:tcBorders>
              <w:top w:val="nil"/>
              <w:left w:val="nil"/>
              <w:bottom w:val="single" w:sz="8" w:space="0" w:color="auto"/>
              <w:right w:val="single" w:sz="8" w:space="0" w:color="auto"/>
            </w:tcBorders>
            <w:shd w:val="clear" w:color="000000" w:fill="F2F2F2"/>
            <w:vAlign w:val="center"/>
            <w:hideMark/>
          </w:tcPr>
          <w:p w14:paraId="6D4727B4" w14:textId="77777777" w:rsidR="00596D8A" w:rsidRPr="00232A31" w:rsidRDefault="00596D8A" w:rsidP="002378E9">
            <w:pPr>
              <w:spacing w:after="0" w:line="240" w:lineRule="auto"/>
              <w:jc w:val="both"/>
              <w:rPr>
                <w:rFonts w:cs="Arial"/>
                <w:color w:val="000000"/>
                <w:sz w:val="20"/>
                <w:lang w:val="en-NZ" w:eastAsia="en-NZ"/>
              </w:rPr>
            </w:pPr>
            <w:r w:rsidRPr="00232A31">
              <w:rPr>
                <w:rFonts w:cs="Arial"/>
                <w:sz w:val="20"/>
                <w:lang w:eastAsia="en-NZ"/>
              </w:rPr>
              <w:t>$353.73</w:t>
            </w:r>
          </w:p>
        </w:tc>
        <w:tc>
          <w:tcPr>
            <w:tcW w:w="993" w:type="dxa"/>
            <w:tcBorders>
              <w:top w:val="nil"/>
              <w:left w:val="nil"/>
              <w:bottom w:val="single" w:sz="8" w:space="0" w:color="auto"/>
              <w:right w:val="single" w:sz="8" w:space="0" w:color="auto"/>
            </w:tcBorders>
            <w:shd w:val="clear" w:color="000000" w:fill="F2F2F2"/>
            <w:vAlign w:val="center"/>
            <w:hideMark/>
          </w:tcPr>
          <w:p w14:paraId="5DCB0F29" w14:textId="77777777" w:rsidR="00596D8A" w:rsidRPr="00232A31" w:rsidRDefault="00596D8A" w:rsidP="002378E9">
            <w:pPr>
              <w:spacing w:after="0" w:line="240" w:lineRule="auto"/>
              <w:jc w:val="both"/>
              <w:rPr>
                <w:rFonts w:cs="Arial"/>
                <w:color w:val="000000"/>
                <w:sz w:val="20"/>
                <w:lang w:val="en-NZ" w:eastAsia="en-NZ"/>
              </w:rPr>
            </w:pPr>
            <w:r w:rsidRPr="00232A31">
              <w:rPr>
                <w:rFonts w:cs="Arial"/>
                <w:sz w:val="20"/>
                <w:lang w:eastAsia="en-NZ"/>
              </w:rPr>
              <w:t>$369.77</w:t>
            </w:r>
          </w:p>
        </w:tc>
        <w:tc>
          <w:tcPr>
            <w:tcW w:w="957" w:type="dxa"/>
            <w:tcBorders>
              <w:top w:val="nil"/>
              <w:left w:val="nil"/>
              <w:bottom w:val="single" w:sz="8" w:space="0" w:color="auto"/>
              <w:right w:val="single" w:sz="8" w:space="0" w:color="auto"/>
            </w:tcBorders>
            <w:shd w:val="clear" w:color="000000" w:fill="F2F2F2"/>
            <w:vAlign w:val="center"/>
            <w:hideMark/>
          </w:tcPr>
          <w:p w14:paraId="521191F4" w14:textId="77777777" w:rsidR="00596D8A" w:rsidRPr="00232A31" w:rsidRDefault="00596D8A" w:rsidP="002378E9">
            <w:pPr>
              <w:spacing w:after="0" w:line="240" w:lineRule="auto"/>
              <w:jc w:val="both"/>
              <w:rPr>
                <w:rFonts w:cs="Arial"/>
                <w:color w:val="000000"/>
                <w:sz w:val="20"/>
                <w:lang w:val="en-NZ" w:eastAsia="en-NZ"/>
              </w:rPr>
            </w:pPr>
            <w:r w:rsidRPr="00232A31">
              <w:rPr>
                <w:rFonts w:cs="Arial"/>
                <w:sz w:val="20"/>
                <w:lang w:eastAsia="en-NZ"/>
              </w:rPr>
              <w:t>$383.74</w:t>
            </w:r>
          </w:p>
        </w:tc>
        <w:tc>
          <w:tcPr>
            <w:tcW w:w="939" w:type="dxa"/>
            <w:tcBorders>
              <w:top w:val="nil"/>
              <w:left w:val="nil"/>
              <w:bottom w:val="single" w:sz="8" w:space="0" w:color="auto"/>
              <w:right w:val="single" w:sz="8" w:space="0" w:color="auto"/>
            </w:tcBorders>
            <w:shd w:val="clear" w:color="000000" w:fill="F2F2F2"/>
            <w:vAlign w:val="center"/>
            <w:hideMark/>
          </w:tcPr>
          <w:p w14:paraId="0719135D" w14:textId="77777777" w:rsidR="00596D8A" w:rsidRPr="00232A31" w:rsidRDefault="00596D8A" w:rsidP="002378E9">
            <w:pPr>
              <w:spacing w:after="0" w:line="240" w:lineRule="auto"/>
              <w:jc w:val="both"/>
              <w:rPr>
                <w:rFonts w:cs="Arial"/>
                <w:color w:val="000000"/>
                <w:sz w:val="20"/>
                <w:lang w:val="en-NZ" w:eastAsia="en-NZ"/>
              </w:rPr>
            </w:pPr>
            <w:r w:rsidRPr="00232A31">
              <w:rPr>
                <w:rFonts w:cs="Arial"/>
                <w:sz w:val="20"/>
                <w:lang w:eastAsia="en-NZ"/>
              </w:rPr>
              <w:t>$396.00</w:t>
            </w:r>
          </w:p>
        </w:tc>
        <w:tc>
          <w:tcPr>
            <w:tcW w:w="939" w:type="dxa"/>
            <w:tcBorders>
              <w:top w:val="nil"/>
              <w:left w:val="nil"/>
              <w:bottom w:val="single" w:sz="8" w:space="0" w:color="auto"/>
              <w:right w:val="single" w:sz="8" w:space="0" w:color="auto"/>
            </w:tcBorders>
            <w:shd w:val="clear" w:color="000000" w:fill="F2F2F2"/>
            <w:vAlign w:val="center"/>
            <w:hideMark/>
          </w:tcPr>
          <w:p w14:paraId="68088277" w14:textId="77777777" w:rsidR="00596D8A" w:rsidRPr="00232A31" w:rsidRDefault="00596D8A" w:rsidP="002378E9">
            <w:pPr>
              <w:spacing w:after="0" w:line="240" w:lineRule="auto"/>
              <w:jc w:val="both"/>
              <w:rPr>
                <w:rFonts w:cs="Arial"/>
                <w:color w:val="000000"/>
                <w:sz w:val="20"/>
                <w:lang w:val="en-NZ" w:eastAsia="en-NZ"/>
              </w:rPr>
            </w:pPr>
            <w:r w:rsidRPr="00232A31">
              <w:rPr>
                <w:rFonts w:cs="Arial"/>
                <w:sz w:val="20"/>
                <w:lang w:eastAsia="en-NZ"/>
              </w:rPr>
              <w:t>$407.72</w:t>
            </w:r>
          </w:p>
        </w:tc>
      </w:tr>
      <w:tr w:rsidR="00596D8A" w:rsidRPr="00232A31" w14:paraId="1D1BF333" w14:textId="77777777" w:rsidTr="002378E9">
        <w:trPr>
          <w:trHeight w:val="363"/>
        </w:trPr>
        <w:tc>
          <w:tcPr>
            <w:tcW w:w="2268" w:type="dxa"/>
            <w:tcBorders>
              <w:top w:val="nil"/>
              <w:left w:val="single" w:sz="8" w:space="0" w:color="auto"/>
              <w:bottom w:val="single" w:sz="8" w:space="0" w:color="auto"/>
              <w:right w:val="single" w:sz="8" w:space="0" w:color="auto"/>
            </w:tcBorders>
            <w:shd w:val="clear" w:color="auto" w:fill="auto"/>
            <w:vAlign w:val="center"/>
            <w:hideMark/>
          </w:tcPr>
          <w:p w14:paraId="7CFE8DD9" w14:textId="77777777" w:rsidR="00596D8A" w:rsidRPr="00232A31" w:rsidRDefault="00596D8A" w:rsidP="002378E9">
            <w:pPr>
              <w:spacing w:after="0" w:line="240" w:lineRule="auto"/>
              <w:rPr>
                <w:rFonts w:cs="Arial"/>
                <w:sz w:val="20"/>
                <w:lang w:val="en-NZ" w:eastAsia="en-NZ"/>
              </w:rPr>
            </w:pPr>
            <w:r w:rsidRPr="00232A31">
              <w:rPr>
                <w:rFonts w:cs="Arial"/>
                <w:sz w:val="20"/>
                <w:lang w:eastAsia="en-NZ"/>
              </w:rPr>
              <w:t>Single, 25+ years</w:t>
            </w:r>
          </w:p>
        </w:tc>
        <w:tc>
          <w:tcPr>
            <w:tcW w:w="851" w:type="dxa"/>
            <w:vMerge/>
            <w:tcBorders>
              <w:top w:val="nil"/>
              <w:left w:val="single" w:sz="8" w:space="0" w:color="auto"/>
              <w:bottom w:val="single" w:sz="8" w:space="0" w:color="000000"/>
              <w:right w:val="single" w:sz="8" w:space="0" w:color="auto"/>
            </w:tcBorders>
            <w:vAlign w:val="center"/>
            <w:hideMark/>
          </w:tcPr>
          <w:p w14:paraId="4C94B1D2" w14:textId="77777777" w:rsidR="00596D8A" w:rsidRPr="00232A31" w:rsidRDefault="00596D8A" w:rsidP="002378E9">
            <w:pPr>
              <w:spacing w:after="0" w:line="240" w:lineRule="auto"/>
              <w:rPr>
                <w:rFonts w:cs="Arial"/>
                <w:color w:val="000000"/>
                <w:sz w:val="20"/>
                <w:lang w:val="en-NZ" w:eastAsia="en-NZ"/>
              </w:rPr>
            </w:pPr>
          </w:p>
        </w:tc>
        <w:tc>
          <w:tcPr>
            <w:tcW w:w="992" w:type="dxa"/>
            <w:tcBorders>
              <w:top w:val="nil"/>
              <w:left w:val="nil"/>
              <w:bottom w:val="single" w:sz="8" w:space="0" w:color="auto"/>
              <w:right w:val="single" w:sz="8" w:space="0" w:color="auto"/>
            </w:tcBorders>
            <w:shd w:val="clear" w:color="auto" w:fill="auto"/>
            <w:vAlign w:val="center"/>
            <w:hideMark/>
          </w:tcPr>
          <w:p w14:paraId="7F76A605" w14:textId="77777777" w:rsidR="00596D8A" w:rsidRPr="00232A31" w:rsidRDefault="00596D8A" w:rsidP="002378E9">
            <w:pPr>
              <w:spacing w:after="0" w:line="240" w:lineRule="auto"/>
              <w:jc w:val="both"/>
              <w:rPr>
                <w:rFonts w:cs="Arial"/>
                <w:sz w:val="20"/>
                <w:lang w:val="en-NZ" w:eastAsia="en-NZ"/>
              </w:rPr>
            </w:pPr>
            <w:r w:rsidRPr="00232A31">
              <w:rPr>
                <w:rFonts w:cs="Arial"/>
                <w:sz w:val="20"/>
                <w:lang w:eastAsia="en-NZ"/>
              </w:rPr>
              <w:t>CPI</w:t>
            </w:r>
          </w:p>
        </w:tc>
        <w:tc>
          <w:tcPr>
            <w:tcW w:w="992" w:type="dxa"/>
            <w:tcBorders>
              <w:top w:val="nil"/>
              <w:left w:val="nil"/>
              <w:bottom w:val="single" w:sz="8" w:space="0" w:color="auto"/>
              <w:right w:val="single" w:sz="8" w:space="0" w:color="auto"/>
            </w:tcBorders>
            <w:shd w:val="clear" w:color="000000" w:fill="F2F2F2"/>
            <w:vAlign w:val="center"/>
            <w:hideMark/>
          </w:tcPr>
          <w:p w14:paraId="05CBFAC4" w14:textId="77777777" w:rsidR="00596D8A" w:rsidRPr="00232A31" w:rsidRDefault="00596D8A" w:rsidP="002378E9">
            <w:pPr>
              <w:spacing w:after="0" w:line="240" w:lineRule="auto"/>
              <w:jc w:val="both"/>
              <w:rPr>
                <w:rFonts w:cs="Arial"/>
                <w:color w:val="000000"/>
                <w:sz w:val="20"/>
                <w:lang w:val="en-NZ" w:eastAsia="en-NZ"/>
              </w:rPr>
            </w:pPr>
            <w:r w:rsidRPr="00232A31">
              <w:rPr>
                <w:rFonts w:cs="Arial"/>
                <w:color w:val="000000"/>
                <w:sz w:val="20"/>
                <w:lang w:val="en-NZ" w:eastAsia="en-NZ"/>
              </w:rPr>
              <w:t>$356.33</w:t>
            </w:r>
          </w:p>
        </w:tc>
        <w:tc>
          <w:tcPr>
            <w:tcW w:w="993" w:type="dxa"/>
            <w:tcBorders>
              <w:top w:val="nil"/>
              <w:left w:val="nil"/>
              <w:bottom w:val="single" w:sz="8" w:space="0" w:color="auto"/>
              <w:right w:val="single" w:sz="8" w:space="0" w:color="auto"/>
            </w:tcBorders>
            <w:shd w:val="clear" w:color="000000" w:fill="F2F2F2"/>
            <w:vAlign w:val="center"/>
            <w:hideMark/>
          </w:tcPr>
          <w:p w14:paraId="7D5FE8DF" w14:textId="77777777" w:rsidR="00596D8A" w:rsidRPr="00232A31" w:rsidRDefault="00596D8A" w:rsidP="002378E9">
            <w:pPr>
              <w:spacing w:after="0" w:line="240" w:lineRule="auto"/>
              <w:jc w:val="both"/>
              <w:rPr>
                <w:rFonts w:cs="Arial"/>
                <w:color w:val="000000"/>
                <w:sz w:val="20"/>
                <w:lang w:val="en-NZ" w:eastAsia="en-NZ"/>
              </w:rPr>
            </w:pPr>
            <w:r w:rsidRPr="00232A31">
              <w:rPr>
                <w:rFonts w:cs="Arial"/>
                <w:color w:val="000000"/>
                <w:sz w:val="20"/>
                <w:lang w:val="en-NZ" w:eastAsia="en-NZ"/>
              </w:rPr>
              <w:t>$366.32</w:t>
            </w:r>
          </w:p>
        </w:tc>
        <w:tc>
          <w:tcPr>
            <w:tcW w:w="957" w:type="dxa"/>
            <w:tcBorders>
              <w:top w:val="nil"/>
              <w:left w:val="nil"/>
              <w:bottom w:val="single" w:sz="8" w:space="0" w:color="auto"/>
              <w:right w:val="single" w:sz="8" w:space="0" w:color="auto"/>
            </w:tcBorders>
            <w:shd w:val="clear" w:color="000000" w:fill="F2F2F2"/>
            <w:vAlign w:val="center"/>
            <w:hideMark/>
          </w:tcPr>
          <w:p w14:paraId="6375B1A4" w14:textId="77777777" w:rsidR="00596D8A" w:rsidRPr="00232A31" w:rsidRDefault="00596D8A" w:rsidP="002378E9">
            <w:pPr>
              <w:spacing w:after="0" w:line="240" w:lineRule="auto"/>
              <w:jc w:val="both"/>
              <w:rPr>
                <w:rFonts w:cs="Arial"/>
                <w:color w:val="000000"/>
                <w:sz w:val="20"/>
                <w:lang w:val="en-NZ" w:eastAsia="en-NZ"/>
              </w:rPr>
            </w:pPr>
            <w:r w:rsidRPr="00232A31">
              <w:rPr>
                <w:rFonts w:cs="Arial"/>
                <w:color w:val="000000"/>
                <w:sz w:val="20"/>
                <w:lang w:val="en-NZ" w:eastAsia="en-NZ"/>
              </w:rPr>
              <w:t>$374.32</w:t>
            </w:r>
          </w:p>
        </w:tc>
        <w:tc>
          <w:tcPr>
            <w:tcW w:w="939" w:type="dxa"/>
            <w:tcBorders>
              <w:top w:val="nil"/>
              <w:left w:val="nil"/>
              <w:bottom w:val="single" w:sz="8" w:space="0" w:color="auto"/>
              <w:right w:val="single" w:sz="8" w:space="0" w:color="auto"/>
            </w:tcBorders>
            <w:shd w:val="clear" w:color="000000" w:fill="F2F2F2"/>
            <w:vAlign w:val="center"/>
            <w:hideMark/>
          </w:tcPr>
          <w:p w14:paraId="352CB985" w14:textId="77777777" w:rsidR="00596D8A" w:rsidRPr="00232A31" w:rsidRDefault="00596D8A" w:rsidP="002378E9">
            <w:pPr>
              <w:spacing w:after="0" w:line="240" w:lineRule="auto"/>
              <w:jc w:val="both"/>
              <w:rPr>
                <w:rFonts w:cs="Arial"/>
                <w:color w:val="000000"/>
                <w:sz w:val="20"/>
                <w:lang w:val="en-NZ" w:eastAsia="en-NZ"/>
              </w:rPr>
            </w:pPr>
            <w:r w:rsidRPr="00232A31">
              <w:rPr>
                <w:rFonts w:cs="Arial"/>
                <w:color w:val="000000"/>
                <w:sz w:val="20"/>
                <w:lang w:val="en-NZ" w:eastAsia="en-NZ"/>
              </w:rPr>
              <w:t>$381.96</w:t>
            </w:r>
          </w:p>
        </w:tc>
        <w:tc>
          <w:tcPr>
            <w:tcW w:w="939" w:type="dxa"/>
            <w:tcBorders>
              <w:top w:val="nil"/>
              <w:left w:val="nil"/>
              <w:bottom w:val="single" w:sz="8" w:space="0" w:color="auto"/>
              <w:right w:val="single" w:sz="8" w:space="0" w:color="auto"/>
            </w:tcBorders>
            <w:shd w:val="clear" w:color="000000" w:fill="F2F2F2"/>
            <w:vAlign w:val="center"/>
            <w:hideMark/>
          </w:tcPr>
          <w:p w14:paraId="0FD5EE19" w14:textId="77777777" w:rsidR="00596D8A" w:rsidRPr="00232A31" w:rsidRDefault="00596D8A" w:rsidP="002378E9">
            <w:pPr>
              <w:spacing w:after="0" w:line="240" w:lineRule="auto"/>
              <w:jc w:val="both"/>
              <w:rPr>
                <w:rFonts w:cs="Arial"/>
                <w:color w:val="000000"/>
                <w:sz w:val="20"/>
                <w:lang w:val="en-NZ" w:eastAsia="en-NZ"/>
              </w:rPr>
            </w:pPr>
            <w:r w:rsidRPr="00232A31">
              <w:rPr>
                <w:rFonts w:cs="Arial"/>
                <w:color w:val="000000"/>
                <w:sz w:val="20"/>
                <w:lang w:val="en-NZ" w:eastAsia="en-NZ"/>
              </w:rPr>
              <w:t>$389.57</w:t>
            </w:r>
          </w:p>
        </w:tc>
      </w:tr>
      <w:tr w:rsidR="00596D8A" w:rsidRPr="00232A31" w14:paraId="21C50D61" w14:textId="77777777" w:rsidTr="002378E9">
        <w:trPr>
          <w:trHeight w:val="441"/>
        </w:trPr>
        <w:tc>
          <w:tcPr>
            <w:tcW w:w="2268" w:type="dxa"/>
            <w:tcBorders>
              <w:top w:val="nil"/>
              <w:left w:val="single" w:sz="8" w:space="0" w:color="auto"/>
              <w:bottom w:val="nil"/>
              <w:right w:val="single" w:sz="8" w:space="0" w:color="auto"/>
            </w:tcBorders>
            <w:shd w:val="clear" w:color="auto" w:fill="auto"/>
            <w:vAlign w:val="center"/>
            <w:hideMark/>
          </w:tcPr>
          <w:p w14:paraId="544DB542" w14:textId="77777777" w:rsidR="00596D8A" w:rsidRPr="00232A31" w:rsidRDefault="00596D8A" w:rsidP="002378E9">
            <w:pPr>
              <w:spacing w:after="0" w:line="240" w:lineRule="auto"/>
              <w:rPr>
                <w:rFonts w:cs="Arial"/>
                <w:b/>
                <w:bCs/>
                <w:sz w:val="20"/>
                <w:lang w:val="en-NZ" w:eastAsia="en-NZ"/>
              </w:rPr>
            </w:pPr>
            <w:r w:rsidRPr="00232A31">
              <w:rPr>
                <w:rFonts w:cs="Arial"/>
                <w:b/>
                <w:bCs/>
                <w:sz w:val="20"/>
                <w:lang w:eastAsia="en-NZ"/>
              </w:rPr>
              <w:t>Jobseeker Support</w:t>
            </w:r>
          </w:p>
        </w:tc>
        <w:tc>
          <w:tcPr>
            <w:tcW w:w="851"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442F74A0" w14:textId="77777777" w:rsidR="00596D8A" w:rsidRPr="00232A31" w:rsidRDefault="00596D8A" w:rsidP="002378E9">
            <w:pPr>
              <w:spacing w:after="0" w:line="240" w:lineRule="auto"/>
              <w:jc w:val="both"/>
              <w:rPr>
                <w:rFonts w:cs="Arial"/>
                <w:color w:val="000000"/>
                <w:sz w:val="20"/>
                <w:lang w:val="en-NZ" w:eastAsia="en-NZ"/>
              </w:rPr>
            </w:pPr>
            <w:r w:rsidRPr="00232A31">
              <w:rPr>
                <w:rFonts w:cs="Arial"/>
                <w:sz w:val="20"/>
                <w:lang w:eastAsia="en-NZ"/>
              </w:rPr>
              <w:t>$574.70</w:t>
            </w:r>
          </w:p>
        </w:tc>
        <w:tc>
          <w:tcPr>
            <w:tcW w:w="992" w:type="dxa"/>
            <w:tcBorders>
              <w:top w:val="nil"/>
              <w:left w:val="nil"/>
              <w:bottom w:val="single" w:sz="8" w:space="0" w:color="auto"/>
              <w:right w:val="single" w:sz="8" w:space="0" w:color="auto"/>
            </w:tcBorders>
            <w:shd w:val="clear" w:color="000000" w:fill="F2F2F2"/>
            <w:vAlign w:val="center"/>
            <w:hideMark/>
          </w:tcPr>
          <w:p w14:paraId="6B99FB2F" w14:textId="77777777" w:rsidR="00596D8A" w:rsidRPr="00232A31" w:rsidRDefault="00596D8A" w:rsidP="002378E9">
            <w:pPr>
              <w:spacing w:after="0" w:line="240" w:lineRule="auto"/>
              <w:jc w:val="both"/>
              <w:rPr>
                <w:rFonts w:cs="Arial"/>
                <w:color w:val="000000"/>
                <w:sz w:val="20"/>
                <w:lang w:val="en-NZ" w:eastAsia="en-NZ"/>
              </w:rPr>
            </w:pPr>
            <w:r w:rsidRPr="00232A31">
              <w:rPr>
                <w:rFonts w:cs="Arial"/>
                <w:sz w:val="20"/>
                <w:lang w:eastAsia="en-NZ"/>
              </w:rPr>
              <w:t>Wages</w:t>
            </w:r>
          </w:p>
        </w:tc>
        <w:tc>
          <w:tcPr>
            <w:tcW w:w="992" w:type="dxa"/>
            <w:tcBorders>
              <w:top w:val="nil"/>
              <w:left w:val="nil"/>
              <w:bottom w:val="single" w:sz="8" w:space="0" w:color="auto"/>
              <w:right w:val="single" w:sz="8" w:space="0" w:color="auto"/>
            </w:tcBorders>
            <w:shd w:val="clear" w:color="000000" w:fill="F2F2F2"/>
            <w:vAlign w:val="center"/>
            <w:hideMark/>
          </w:tcPr>
          <w:p w14:paraId="0D462AD8" w14:textId="77777777" w:rsidR="00596D8A" w:rsidRPr="00232A31" w:rsidRDefault="00596D8A" w:rsidP="002378E9">
            <w:pPr>
              <w:spacing w:after="0" w:line="240" w:lineRule="auto"/>
              <w:jc w:val="both"/>
              <w:rPr>
                <w:rFonts w:cs="Arial"/>
                <w:color w:val="000000"/>
                <w:sz w:val="20"/>
                <w:lang w:val="en-NZ" w:eastAsia="en-NZ"/>
              </w:rPr>
            </w:pPr>
            <w:r w:rsidRPr="00232A31">
              <w:rPr>
                <w:rFonts w:cs="Arial"/>
                <w:sz w:val="20"/>
                <w:lang w:eastAsia="en-NZ"/>
              </w:rPr>
              <w:t>$601.92</w:t>
            </w:r>
          </w:p>
        </w:tc>
        <w:tc>
          <w:tcPr>
            <w:tcW w:w="993" w:type="dxa"/>
            <w:tcBorders>
              <w:top w:val="nil"/>
              <w:left w:val="nil"/>
              <w:bottom w:val="single" w:sz="8" w:space="0" w:color="auto"/>
              <w:right w:val="single" w:sz="8" w:space="0" w:color="auto"/>
            </w:tcBorders>
            <w:shd w:val="clear" w:color="000000" w:fill="F2F2F2"/>
            <w:vAlign w:val="center"/>
            <w:hideMark/>
          </w:tcPr>
          <w:p w14:paraId="57E6622E" w14:textId="77777777" w:rsidR="00596D8A" w:rsidRPr="00232A31" w:rsidRDefault="00596D8A" w:rsidP="002378E9">
            <w:pPr>
              <w:spacing w:after="0" w:line="240" w:lineRule="auto"/>
              <w:jc w:val="both"/>
              <w:rPr>
                <w:rFonts w:cs="Arial"/>
                <w:color w:val="000000"/>
                <w:sz w:val="20"/>
                <w:lang w:val="en-NZ" w:eastAsia="en-NZ"/>
              </w:rPr>
            </w:pPr>
            <w:r w:rsidRPr="00232A31">
              <w:rPr>
                <w:rFonts w:cs="Arial"/>
                <w:sz w:val="20"/>
                <w:lang w:eastAsia="en-NZ"/>
              </w:rPr>
              <w:t>$629.22</w:t>
            </w:r>
          </w:p>
        </w:tc>
        <w:tc>
          <w:tcPr>
            <w:tcW w:w="957" w:type="dxa"/>
            <w:tcBorders>
              <w:top w:val="nil"/>
              <w:left w:val="nil"/>
              <w:bottom w:val="single" w:sz="8" w:space="0" w:color="auto"/>
              <w:right w:val="single" w:sz="8" w:space="0" w:color="auto"/>
            </w:tcBorders>
            <w:shd w:val="clear" w:color="000000" w:fill="F2F2F2"/>
            <w:vAlign w:val="center"/>
            <w:hideMark/>
          </w:tcPr>
          <w:p w14:paraId="3C516404" w14:textId="77777777" w:rsidR="00596D8A" w:rsidRPr="00232A31" w:rsidRDefault="00596D8A" w:rsidP="002378E9">
            <w:pPr>
              <w:spacing w:after="0" w:line="240" w:lineRule="auto"/>
              <w:jc w:val="both"/>
              <w:rPr>
                <w:rFonts w:cs="Arial"/>
                <w:color w:val="000000"/>
                <w:sz w:val="20"/>
                <w:lang w:val="en-NZ" w:eastAsia="en-NZ"/>
              </w:rPr>
            </w:pPr>
            <w:r w:rsidRPr="00232A31">
              <w:rPr>
                <w:rFonts w:cs="Arial"/>
                <w:sz w:val="20"/>
                <w:lang w:eastAsia="en-NZ"/>
              </w:rPr>
              <w:t>$652.98</w:t>
            </w:r>
          </w:p>
        </w:tc>
        <w:tc>
          <w:tcPr>
            <w:tcW w:w="939" w:type="dxa"/>
            <w:tcBorders>
              <w:top w:val="nil"/>
              <w:left w:val="nil"/>
              <w:bottom w:val="single" w:sz="8" w:space="0" w:color="auto"/>
              <w:right w:val="single" w:sz="8" w:space="0" w:color="auto"/>
            </w:tcBorders>
            <w:shd w:val="clear" w:color="000000" w:fill="F2F2F2"/>
            <w:vAlign w:val="center"/>
            <w:hideMark/>
          </w:tcPr>
          <w:p w14:paraId="1976B71C" w14:textId="77777777" w:rsidR="00596D8A" w:rsidRPr="00232A31" w:rsidRDefault="00596D8A" w:rsidP="002378E9">
            <w:pPr>
              <w:spacing w:after="0" w:line="240" w:lineRule="auto"/>
              <w:jc w:val="both"/>
              <w:rPr>
                <w:rFonts w:cs="Arial"/>
                <w:color w:val="000000"/>
                <w:sz w:val="20"/>
                <w:lang w:val="en-NZ" w:eastAsia="en-NZ"/>
              </w:rPr>
            </w:pPr>
            <w:r w:rsidRPr="00232A31">
              <w:rPr>
                <w:rFonts w:cs="Arial"/>
                <w:sz w:val="20"/>
                <w:lang w:eastAsia="en-NZ"/>
              </w:rPr>
              <w:t>$673.84</w:t>
            </w:r>
          </w:p>
        </w:tc>
        <w:tc>
          <w:tcPr>
            <w:tcW w:w="939" w:type="dxa"/>
            <w:tcBorders>
              <w:top w:val="nil"/>
              <w:left w:val="nil"/>
              <w:bottom w:val="single" w:sz="8" w:space="0" w:color="auto"/>
              <w:right w:val="single" w:sz="8" w:space="0" w:color="auto"/>
            </w:tcBorders>
            <w:shd w:val="clear" w:color="000000" w:fill="F2F2F2"/>
            <w:vAlign w:val="center"/>
            <w:hideMark/>
          </w:tcPr>
          <w:p w14:paraId="7A5B75D9" w14:textId="77777777" w:rsidR="00596D8A" w:rsidRPr="00232A31" w:rsidRDefault="00596D8A" w:rsidP="002378E9">
            <w:pPr>
              <w:spacing w:after="0" w:line="240" w:lineRule="auto"/>
              <w:jc w:val="both"/>
              <w:rPr>
                <w:rFonts w:cs="Arial"/>
                <w:color w:val="000000"/>
                <w:sz w:val="20"/>
                <w:lang w:val="en-NZ" w:eastAsia="en-NZ"/>
              </w:rPr>
            </w:pPr>
            <w:r w:rsidRPr="00232A31">
              <w:rPr>
                <w:rFonts w:cs="Arial"/>
                <w:sz w:val="20"/>
                <w:lang w:eastAsia="en-NZ"/>
              </w:rPr>
              <w:t>$693.78</w:t>
            </w:r>
          </w:p>
        </w:tc>
      </w:tr>
      <w:tr w:rsidR="00596D8A" w:rsidRPr="00232A31" w14:paraId="2656639A" w14:textId="77777777" w:rsidTr="002378E9">
        <w:trPr>
          <w:trHeight w:val="255"/>
        </w:trPr>
        <w:tc>
          <w:tcPr>
            <w:tcW w:w="2268" w:type="dxa"/>
            <w:tcBorders>
              <w:top w:val="nil"/>
              <w:left w:val="single" w:sz="8" w:space="0" w:color="auto"/>
              <w:bottom w:val="single" w:sz="8" w:space="0" w:color="auto"/>
              <w:right w:val="single" w:sz="8" w:space="0" w:color="auto"/>
            </w:tcBorders>
            <w:shd w:val="clear" w:color="auto" w:fill="auto"/>
            <w:vAlign w:val="center"/>
            <w:hideMark/>
          </w:tcPr>
          <w:p w14:paraId="1F9F0C58" w14:textId="77777777" w:rsidR="00596D8A" w:rsidRPr="00232A31" w:rsidRDefault="00596D8A" w:rsidP="002378E9">
            <w:pPr>
              <w:spacing w:after="0" w:line="240" w:lineRule="auto"/>
              <w:rPr>
                <w:rFonts w:cs="Arial"/>
                <w:sz w:val="20"/>
                <w:lang w:val="en-NZ" w:eastAsia="en-NZ"/>
              </w:rPr>
            </w:pPr>
            <w:r w:rsidRPr="00232A31">
              <w:rPr>
                <w:rFonts w:cs="Arial"/>
                <w:sz w:val="20"/>
                <w:lang w:eastAsia="en-NZ"/>
              </w:rPr>
              <w:t>Married, civil union or de facto couple without children (Total)</w:t>
            </w:r>
          </w:p>
        </w:tc>
        <w:tc>
          <w:tcPr>
            <w:tcW w:w="851" w:type="dxa"/>
            <w:vMerge/>
            <w:tcBorders>
              <w:top w:val="nil"/>
              <w:left w:val="single" w:sz="8" w:space="0" w:color="auto"/>
              <w:bottom w:val="single" w:sz="8" w:space="0" w:color="000000"/>
              <w:right w:val="single" w:sz="8" w:space="0" w:color="auto"/>
            </w:tcBorders>
            <w:vAlign w:val="center"/>
            <w:hideMark/>
          </w:tcPr>
          <w:p w14:paraId="33A95819" w14:textId="77777777" w:rsidR="00596D8A" w:rsidRPr="00232A31" w:rsidRDefault="00596D8A" w:rsidP="002378E9">
            <w:pPr>
              <w:spacing w:after="0" w:line="240" w:lineRule="auto"/>
              <w:rPr>
                <w:rFonts w:cs="Arial"/>
                <w:color w:val="000000"/>
                <w:sz w:val="20"/>
                <w:lang w:val="en-NZ" w:eastAsia="en-NZ"/>
              </w:rPr>
            </w:pPr>
          </w:p>
        </w:tc>
        <w:tc>
          <w:tcPr>
            <w:tcW w:w="992" w:type="dxa"/>
            <w:tcBorders>
              <w:top w:val="nil"/>
              <w:left w:val="nil"/>
              <w:bottom w:val="single" w:sz="8" w:space="0" w:color="auto"/>
              <w:right w:val="single" w:sz="8" w:space="0" w:color="auto"/>
            </w:tcBorders>
            <w:shd w:val="clear" w:color="auto" w:fill="auto"/>
            <w:vAlign w:val="center"/>
            <w:hideMark/>
          </w:tcPr>
          <w:p w14:paraId="02A57F8B" w14:textId="77777777" w:rsidR="00596D8A" w:rsidRPr="00232A31" w:rsidRDefault="00596D8A" w:rsidP="002378E9">
            <w:pPr>
              <w:spacing w:after="0" w:line="240" w:lineRule="auto"/>
              <w:jc w:val="both"/>
              <w:rPr>
                <w:rFonts w:cs="Arial"/>
                <w:sz w:val="20"/>
                <w:lang w:val="en-NZ" w:eastAsia="en-NZ"/>
              </w:rPr>
            </w:pPr>
            <w:r w:rsidRPr="00232A31">
              <w:rPr>
                <w:rFonts w:cs="Arial"/>
                <w:sz w:val="20"/>
                <w:lang w:eastAsia="en-NZ"/>
              </w:rPr>
              <w:t>CPI</w:t>
            </w:r>
          </w:p>
        </w:tc>
        <w:tc>
          <w:tcPr>
            <w:tcW w:w="992" w:type="dxa"/>
            <w:tcBorders>
              <w:top w:val="nil"/>
              <w:left w:val="nil"/>
              <w:bottom w:val="single" w:sz="8" w:space="0" w:color="auto"/>
              <w:right w:val="single" w:sz="8" w:space="0" w:color="auto"/>
            </w:tcBorders>
            <w:shd w:val="clear" w:color="000000" w:fill="F2F2F2"/>
            <w:vAlign w:val="center"/>
            <w:hideMark/>
          </w:tcPr>
          <w:p w14:paraId="221A9D69" w14:textId="77777777" w:rsidR="00596D8A" w:rsidRPr="00232A31" w:rsidRDefault="00596D8A" w:rsidP="002378E9">
            <w:pPr>
              <w:spacing w:after="0" w:line="240" w:lineRule="auto"/>
              <w:jc w:val="both"/>
              <w:rPr>
                <w:rFonts w:cs="Arial"/>
                <w:color w:val="000000"/>
                <w:sz w:val="20"/>
                <w:lang w:val="en-NZ" w:eastAsia="en-NZ"/>
              </w:rPr>
            </w:pPr>
            <w:r w:rsidRPr="00232A31">
              <w:rPr>
                <w:rFonts w:cs="Arial"/>
                <w:sz w:val="20"/>
                <w:lang w:eastAsia="en-NZ"/>
              </w:rPr>
              <w:t>$606.32</w:t>
            </w:r>
          </w:p>
        </w:tc>
        <w:tc>
          <w:tcPr>
            <w:tcW w:w="993" w:type="dxa"/>
            <w:tcBorders>
              <w:top w:val="nil"/>
              <w:left w:val="nil"/>
              <w:bottom w:val="single" w:sz="8" w:space="0" w:color="auto"/>
              <w:right w:val="single" w:sz="8" w:space="0" w:color="auto"/>
            </w:tcBorders>
            <w:shd w:val="clear" w:color="000000" w:fill="F2F2F2"/>
            <w:vAlign w:val="center"/>
            <w:hideMark/>
          </w:tcPr>
          <w:p w14:paraId="72159B89" w14:textId="77777777" w:rsidR="00596D8A" w:rsidRPr="00232A31" w:rsidRDefault="00596D8A" w:rsidP="002378E9">
            <w:pPr>
              <w:spacing w:after="0" w:line="240" w:lineRule="auto"/>
              <w:jc w:val="both"/>
              <w:rPr>
                <w:rFonts w:cs="Arial"/>
                <w:color w:val="000000"/>
                <w:sz w:val="20"/>
                <w:lang w:val="en-NZ" w:eastAsia="en-NZ"/>
              </w:rPr>
            </w:pPr>
            <w:r w:rsidRPr="00232A31">
              <w:rPr>
                <w:rFonts w:cs="Arial"/>
                <w:sz w:val="20"/>
                <w:lang w:eastAsia="en-NZ"/>
              </w:rPr>
              <w:t>$623.32</w:t>
            </w:r>
          </w:p>
        </w:tc>
        <w:tc>
          <w:tcPr>
            <w:tcW w:w="957" w:type="dxa"/>
            <w:tcBorders>
              <w:top w:val="nil"/>
              <w:left w:val="nil"/>
              <w:bottom w:val="single" w:sz="8" w:space="0" w:color="auto"/>
              <w:right w:val="single" w:sz="8" w:space="0" w:color="auto"/>
            </w:tcBorders>
            <w:shd w:val="clear" w:color="000000" w:fill="F2F2F2"/>
            <w:vAlign w:val="center"/>
            <w:hideMark/>
          </w:tcPr>
          <w:p w14:paraId="41FCD82C" w14:textId="77777777" w:rsidR="00596D8A" w:rsidRPr="00232A31" w:rsidRDefault="00596D8A" w:rsidP="002378E9">
            <w:pPr>
              <w:spacing w:after="0" w:line="240" w:lineRule="auto"/>
              <w:jc w:val="both"/>
              <w:rPr>
                <w:rFonts w:cs="Arial"/>
                <w:color w:val="000000"/>
                <w:sz w:val="20"/>
                <w:lang w:val="en-NZ" w:eastAsia="en-NZ"/>
              </w:rPr>
            </w:pPr>
            <w:r w:rsidRPr="00232A31">
              <w:rPr>
                <w:rFonts w:cs="Arial"/>
                <w:sz w:val="20"/>
                <w:lang w:eastAsia="en-NZ"/>
              </w:rPr>
              <w:t>$636.94</w:t>
            </w:r>
          </w:p>
        </w:tc>
        <w:tc>
          <w:tcPr>
            <w:tcW w:w="939" w:type="dxa"/>
            <w:tcBorders>
              <w:top w:val="nil"/>
              <w:left w:val="nil"/>
              <w:bottom w:val="single" w:sz="8" w:space="0" w:color="auto"/>
              <w:right w:val="single" w:sz="8" w:space="0" w:color="auto"/>
            </w:tcBorders>
            <w:shd w:val="clear" w:color="000000" w:fill="F2F2F2"/>
            <w:vAlign w:val="center"/>
            <w:hideMark/>
          </w:tcPr>
          <w:p w14:paraId="1BFDDE23" w14:textId="77777777" w:rsidR="00596D8A" w:rsidRPr="00232A31" w:rsidRDefault="00596D8A" w:rsidP="002378E9">
            <w:pPr>
              <w:spacing w:after="0" w:line="240" w:lineRule="auto"/>
              <w:jc w:val="both"/>
              <w:rPr>
                <w:rFonts w:cs="Arial"/>
                <w:color w:val="000000"/>
                <w:sz w:val="20"/>
                <w:lang w:val="en-NZ" w:eastAsia="en-NZ"/>
              </w:rPr>
            </w:pPr>
            <w:r w:rsidRPr="00232A31">
              <w:rPr>
                <w:rFonts w:cs="Arial"/>
                <w:sz w:val="20"/>
                <w:lang w:eastAsia="en-NZ"/>
              </w:rPr>
              <w:t>$649.94</w:t>
            </w:r>
          </w:p>
        </w:tc>
        <w:tc>
          <w:tcPr>
            <w:tcW w:w="939" w:type="dxa"/>
            <w:tcBorders>
              <w:top w:val="nil"/>
              <w:left w:val="nil"/>
              <w:bottom w:val="single" w:sz="8" w:space="0" w:color="auto"/>
              <w:right w:val="single" w:sz="8" w:space="0" w:color="auto"/>
            </w:tcBorders>
            <w:shd w:val="clear" w:color="000000" w:fill="F2F2F2"/>
            <w:vAlign w:val="center"/>
            <w:hideMark/>
          </w:tcPr>
          <w:p w14:paraId="753FA97F" w14:textId="77777777" w:rsidR="00596D8A" w:rsidRPr="00232A31" w:rsidRDefault="00596D8A" w:rsidP="002378E9">
            <w:pPr>
              <w:spacing w:after="0" w:line="240" w:lineRule="auto"/>
              <w:jc w:val="both"/>
              <w:rPr>
                <w:rFonts w:cs="Arial"/>
                <w:color w:val="000000"/>
                <w:sz w:val="20"/>
                <w:lang w:val="en-NZ" w:eastAsia="en-NZ"/>
              </w:rPr>
            </w:pPr>
            <w:r w:rsidRPr="00232A31">
              <w:rPr>
                <w:rFonts w:cs="Arial"/>
                <w:sz w:val="20"/>
                <w:lang w:eastAsia="en-NZ"/>
              </w:rPr>
              <w:t>$662.88</w:t>
            </w:r>
          </w:p>
        </w:tc>
      </w:tr>
      <w:tr w:rsidR="00596D8A" w:rsidRPr="00232A31" w14:paraId="2CF97027" w14:textId="77777777" w:rsidTr="002378E9">
        <w:trPr>
          <w:cantSplit/>
          <w:trHeight w:val="455"/>
        </w:trPr>
        <w:tc>
          <w:tcPr>
            <w:tcW w:w="2268" w:type="dxa"/>
            <w:tcBorders>
              <w:top w:val="nil"/>
              <w:left w:val="single" w:sz="8" w:space="0" w:color="auto"/>
              <w:bottom w:val="nil"/>
              <w:right w:val="single" w:sz="8" w:space="0" w:color="auto"/>
            </w:tcBorders>
            <w:shd w:val="clear" w:color="auto" w:fill="auto"/>
            <w:vAlign w:val="center"/>
            <w:hideMark/>
          </w:tcPr>
          <w:p w14:paraId="5B37C52A" w14:textId="77777777" w:rsidR="00596D8A" w:rsidRPr="00232A31" w:rsidRDefault="00596D8A" w:rsidP="002378E9">
            <w:pPr>
              <w:spacing w:after="0" w:line="240" w:lineRule="auto"/>
              <w:rPr>
                <w:rFonts w:cs="Arial"/>
                <w:b/>
                <w:bCs/>
                <w:sz w:val="20"/>
                <w:lang w:val="en-NZ" w:eastAsia="en-NZ"/>
              </w:rPr>
            </w:pPr>
            <w:r w:rsidRPr="00232A31">
              <w:rPr>
                <w:rFonts w:cs="Arial"/>
                <w:b/>
                <w:bCs/>
                <w:sz w:val="20"/>
                <w:lang w:eastAsia="en-NZ"/>
              </w:rPr>
              <w:t>Jobseeker Support</w:t>
            </w:r>
          </w:p>
        </w:tc>
        <w:tc>
          <w:tcPr>
            <w:tcW w:w="851"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0593BB45" w14:textId="77777777" w:rsidR="00596D8A" w:rsidRPr="00232A31" w:rsidRDefault="00596D8A" w:rsidP="002378E9">
            <w:pPr>
              <w:spacing w:after="0" w:line="240" w:lineRule="auto"/>
              <w:jc w:val="both"/>
              <w:rPr>
                <w:rFonts w:cs="Arial"/>
                <w:color w:val="000000"/>
                <w:sz w:val="20"/>
                <w:lang w:val="en-NZ" w:eastAsia="en-NZ"/>
              </w:rPr>
            </w:pPr>
            <w:r w:rsidRPr="00232A31">
              <w:rPr>
                <w:rFonts w:cs="Arial"/>
                <w:sz w:val="20"/>
                <w:lang w:eastAsia="en-NZ"/>
              </w:rPr>
              <w:t>$606.86</w:t>
            </w:r>
          </w:p>
        </w:tc>
        <w:tc>
          <w:tcPr>
            <w:tcW w:w="992" w:type="dxa"/>
            <w:tcBorders>
              <w:top w:val="nil"/>
              <w:left w:val="nil"/>
              <w:bottom w:val="single" w:sz="8" w:space="0" w:color="auto"/>
              <w:right w:val="single" w:sz="8" w:space="0" w:color="auto"/>
            </w:tcBorders>
            <w:shd w:val="clear" w:color="000000" w:fill="F2F2F2"/>
            <w:vAlign w:val="center"/>
            <w:hideMark/>
          </w:tcPr>
          <w:p w14:paraId="0F8405D5" w14:textId="77777777" w:rsidR="00596D8A" w:rsidRPr="00232A31" w:rsidRDefault="00596D8A" w:rsidP="002378E9">
            <w:pPr>
              <w:spacing w:after="0" w:line="240" w:lineRule="auto"/>
              <w:jc w:val="both"/>
              <w:rPr>
                <w:rFonts w:cs="Arial"/>
                <w:color w:val="000000"/>
                <w:sz w:val="20"/>
                <w:lang w:val="en-NZ" w:eastAsia="en-NZ"/>
              </w:rPr>
            </w:pPr>
            <w:r w:rsidRPr="00232A31">
              <w:rPr>
                <w:rFonts w:cs="Arial"/>
                <w:sz w:val="20"/>
                <w:lang w:eastAsia="en-NZ"/>
              </w:rPr>
              <w:t>Wages</w:t>
            </w:r>
          </w:p>
        </w:tc>
        <w:tc>
          <w:tcPr>
            <w:tcW w:w="992" w:type="dxa"/>
            <w:tcBorders>
              <w:top w:val="nil"/>
              <w:left w:val="nil"/>
              <w:bottom w:val="single" w:sz="8" w:space="0" w:color="auto"/>
              <w:right w:val="single" w:sz="8" w:space="0" w:color="auto"/>
            </w:tcBorders>
            <w:shd w:val="clear" w:color="000000" w:fill="F2F2F2"/>
            <w:vAlign w:val="center"/>
            <w:hideMark/>
          </w:tcPr>
          <w:p w14:paraId="56E085F5" w14:textId="77777777" w:rsidR="00596D8A" w:rsidRPr="00232A31" w:rsidRDefault="00596D8A" w:rsidP="002378E9">
            <w:pPr>
              <w:spacing w:after="0" w:line="240" w:lineRule="auto"/>
              <w:jc w:val="both"/>
              <w:rPr>
                <w:rFonts w:cs="Arial"/>
                <w:color w:val="000000"/>
                <w:sz w:val="20"/>
                <w:lang w:val="en-NZ" w:eastAsia="en-NZ"/>
              </w:rPr>
            </w:pPr>
            <w:r w:rsidRPr="00232A31">
              <w:rPr>
                <w:rFonts w:cs="Arial"/>
                <w:sz w:val="20"/>
                <w:lang w:eastAsia="en-NZ"/>
              </w:rPr>
              <w:t>$635.60</w:t>
            </w:r>
          </w:p>
        </w:tc>
        <w:tc>
          <w:tcPr>
            <w:tcW w:w="993" w:type="dxa"/>
            <w:tcBorders>
              <w:top w:val="nil"/>
              <w:left w:val="nil"/>
              <w:bottom w:val="single" w:sz="8" w:space="0" w:color="auto"/>
              <w:right w:val="single" w:sz="8" w:space="0" w:color="auto"/>
            </w:tcBorders>
            <w:shd w:val="clear" w:color="000000" w:fill="F2F2F2"/>
            <w:vAlign w:val="center"/>
            <w:hideMark/>
          </w:tcPr>
          <w:p w14:paraId="7E7FF013" w14:textId="77777777" w:rsidR="00596D8A" w:rsidRPr="00232A31" w:rsidRDefault="00596D8A" w:rsidP="002378E9">
            <w:pPr>
              <w:spacing w:after="0" w:line="240" w:lineRule="auto"/>
              <w:jc w:val="both"/>
              <w:rPr>
                <w:rFonts w:cs="Arial"/>
                <w:color w:val="000000"/>
                <w:sz w:val="20"/>
                <w:lang w:val="en-NZ" w:eastAsia="en-NZ"/>
              </w:rPr>
            </w:pPr>
            <w:r w:rsidRPr="00232A31">
              <w:rPr>
                <w:rFonts w:cs="Arial"/>
                <w:sz w:val="20"/>
                <w:lang w:eastAsia="en-NZ"/>
              </w:rPr>
              <w:t>$664.42</w:t>
            </w:r>
          </w:p>
        </w:tc>
        <w:tc>
          <w:tcPr>
            <w:tcW w:w="957" w:type="dxa"/>
            <w:tcBorders>
              <w:top w:val="nil"/>
              <w:left w:val="nil"/>
              <w:bottom w:val="single" w:sz="8" w:space="0" w:color="auto"/>
              <w:right w:val="single" w:sz="8" w:space="0" w:color="auto"/>
            </w:tcBorders>
            <w:shd w:val="clear" w:color="000000" w:fill="F2F2F2"/>
            <w:vAlign w:val="center"/>
            <w:hideMark/>
          </w:tcPr>
          <w:p w14:paraId="0D2A1492" w14:textId="77777777" w:rsidR="00596D8A" w:rsidRPr="00232A31" w:rsidRDefault="00596D8A" w:rsidP="002378E9">
            <w:pPr>
              <w:spacing w:after="0" w:line="240" w:lineRule="auto"/>
              <w:jc w:val="both"/>
              <w:rPr>
                <w:rFonts w:cs="Arial"/>
                <w:color w:val="000000"/>
                <w:sz w:val="20"/>
                <w:lang w:val="en-NZ" w:eastAsia="en-NZ"/>
              </w:rPr>
            </w:pPr>
            <w:r w:rsidRPr="00232A31">
              <w:rPr>
                <w:rFonts w:cs="Arial"/>
                <w:sz w:val="20"/>
                <w:lang w:eastAsia="en-NZ"/>
              </w:rPr>
              <w:t>$689.52</w:t>
            </w:r>
          </w:p>
        </w:tc>
        <w:tc>
          <w:tcPr>
            <w:tcW w:w="939" w:type="dxa"/>
            <w:tcBorders>
              <w:top w:val="nil"/>
              <w:left w:val="nil"/>
              <w:bottom w:val="single" w:sz="8" w:space="0" w:color="auto"/>
              <w:right w:val="single" w:sz="8" w:space="0" w:color="auto"/>
            </w:tcBorders>
            <w:shd w:val="clear" w:color="000000" w:fill="F2F2F2"/>
            <w:vAlign w:val="center"/>
            <w:hideMark/>
          </w:tcPr>
          <w:p w14:paraId="2263EEB2" w14:textId="77777777" w:rsidR="00596D8A" w:rsidRPr="00232A31" w:rsidRDefault="00596D8A" w:rsidP="002378E9">
            <w:pPr>
              <w:spacing w:after="0" w:line="240" w:lineRule="auto"/>
              <w:jc w:val="both"/>
              <w:rPr>
                <w:rFonts w:cs="Arial"/>
                <w:color w:val="000000"/>
                <w:sz w:val="20"/>
                <w:lang w:val="en-NZ" w:eastAsia="en-NZ"/>
              </w:rPr>
            </w:pPr>
            <w:r w:rsidRPr="00232A31">
              <w:rPr>
                <w:rFonts w:cs="Arial"/>
                <w:sz w:val="20"/>
                <w:lang w:eastAsia="en-NZ"/>
              </w:rPr>
              <w:t>$711.56</w:t>
            </w:r>
          </w:p>
        </w:tc>
        <w:tc>
          <w:tcPr>
            <w:tcW w:w="939" w:type="dxa"/>
            <w:tcBorders>
              <w:top w:val="nil"/>
              <w:left w:val="nil"/>
              <w:bottom w:val="single" w:sz="8" w:space="0" w:color="auto"/>
              <w:right w:val="single" w:sz="8" w:space="0" w:color="auto"/>
            </w:tcBorders>
            <w:shd w:val="clear" w:color="000000" w:fill="F2F2F2"/>
            <w:vAlign w:val="center"/>
            <w:hideMark/>
          </w:tcPr>
          <w:p w14:paraId="6EC8EB58" w14:textId="77777777" w:rsidR="00596D8A" w:rsidRPr="00232A31" w:rsidRDefault="00596D8A" w:rsidP="002378E9">
            <w:pPr>
              <w:spacing w:after="0" w:line="240" w:lineRule="auto"/>
              <w:jc w:val="both"/>
              <w:rPr>
                <w:rFonts w:cs="Arial"/>
                <w:color w:val="000000"/>
                <w:sz w:val="20"/>
                <w:lang w:val="en-NZ" w:eastAsia="en-NZ"/>
              </w:rPr>
            </w:pPr>
            <w:r w:rsidRPr="00232A31">
              <w:rPr>
                <w:rFonts w:cs="Arial"/>
                <w:sz w:val="20"/>
                <w:lang w:eastAsia="en-NZ"/>
              </w:rPr>
              <w:t>$732.62</w:t>
            </w:r>
          </w:p>
        </w:tc>
      </w:tr>
      <w:tr w:rsidR="00596D8A" w:rsidRPr="00232A31" w14:paraId="3FC7AD24" w14:textId="77777777" w:rsidTr="002378E9">
        <w:trPr>
          <w:trHeight w:val="360"/>
        </w:trPr>
        <w:tc>
          <w:tcPr>
            <w:tcW w:w="2268" w:type="dxa"/>
            <w:tcBorders>
              <w:top w:val="nil"/>
              <w:left w:val="single" w:sz="8" w:space="0" w:color="auto"/>
              <w:bottom w:val="single" w:sz="8" w:space="0" w:color="auto"/>
              <w:right w:val="single" w:sz="8" w:space="0" w:color="auto"/>
            </w:tcBorders>
            <w:shd w:val="clear" w:color="auto" w:fill="auto"/>
            <w:vAlign w:val="center"/>
            <w:hideMark/>
          </w:tcPr>
          <w:p w14:paraId="78505245" w14:textId="77777777" w:rsidR="00596D8A" w:rsidRPr="00232A31" w:rsidRDefault="00596D8A" w:rsidP="002378E9">
            <w:pPr>
              <w:spacing w:after="0" w:line="240" w:lineRule="auto"/>
              <w:rPr>
                <w:rFonts w:cs="Arial"/>
                <w:sz w:val="20"/>
                <w:lang w:val="en-NZ" w:eastAsia="en-NZ"/>
              </w:rPr>
            </w:pPr>
            <w:r w:rsidRPr="00232A31">
              <w:rPr>
                <w:rFonts w:cs="Arial"/>
                <w:sz w:val="20"/>
                <w:lang w:eastAsia="en-NZ"/>
              </w:rPr>
              <w:t>Married, civil union or de facto couple with children (Total)</w:t>
            </w:r>
          </w:p>
        </w:tc>
        <w:tc>
          <w:tcPr>
            <w:tcW w:w="851" w:type="dxa"/>
            <w:vMerge/>
            <w:tcBorders>
              <w:top w:val="nil"/>
              <w:left w:val="single" w:sz="8" w:space="0" w:color="auto"/>
              <w:bottom w:val="single" w:sz="8" w:space="0" w:color="000000"/>
              <w:right w:val="single" w:sz="8" w:space="0" w:color="auto"/>
            </w:tcBorders>
            <w:vAlign w:val="center"/>
            <w:hideMark/>
          </w:tcPr>
          <w:p w14:paraId="3C71138F" w14:textId="77777777" w:rsidR="00596D8A" w:rsidRPr="00232A31" w:rsidRDefault="00596D8A" w:rsidP="002378E9">
            <w:pPr>
              <w:spacing w:after="0" w:line="240" w:lineRule="auto"/>
              <w:rPr>
                <w:rFonts w:cs="Arial"/>
                <w:color w:val="000000"/>
                <w:sz w:val="20"/>
                <w:lang w:val="en-NZ" w:eastAsia="en-NZ"/>
              </w:rPr>
            </w:pPr>
          </w:p>
        </w:tc>
        <w:tc>
          <w:tcPr>
            <w:tcW w:w="992" w:type="dxa"/>
            <w:tcBorders>
              <w:top w:val="nil"/>
              <w:left w:val="nil"/>
              <w:bottom w:val="single" w:sz="8" w:space="0" w:color="auto"/>
              <w:right w:val="single" w:sz="8" w:space="0" w:color="auto"/>
            </w:tcBorders>
            <w:shd w:val="clear" w:color="auto" w:fill="auto"/>
            <w:vAlign w:val="center"/>
            <w:hideMark/>
          </w:tcPr>
          <w:p w14:paraId="59081D67" w14:textId="77777777" w:rsidR="00596D8A" w:rsidRPr="00232A31" w:rsidRDefault="00596D8A" w:rsidP="002378E9">
            <w:pPr>
              <w:spacing w:after="0" w:line="240" w:lineRule="auto"/>
              <w:jc w:val="both"/>
              <w:rPr>
                <w:rFonts w:cs="Arial"/>
                <w:sz w:val="20"/>
                <w:lang w:val="en-NZ" w:eastAsia="en-NZ"/>
              </w:rPr>
            </w:pPr>
            <w:r w:rsidRPr="00232A31">
              <w:rPr>
                <w:rFonts w:cs="Arial"/>
                <w:sz w:val="20"/>
                <w:lang w:eastAsia="en-NZ"/>
              </w:rPr>
              <w:t>CPI</w:t>
            </w:r>
          </w:p>
        </w:tc>
        <w:tc>
          <w:tcPr>
            <w:tcW w:w="992" w:type="dxa"/>
            <w:tcBorders>
              <w:top w:val="nil"/>
              <w:left w:val="nil"/>
              <w:bottom w:val="single" w:sz="8" w:space="0" w:color="auto"/>
              <w:right w:val="single" w:sz="8" w:space="0" w:color="auto"/>
            </w:tcBorders>
            <w:shd w:val="clear" w:color="auto" w:fill="auto"/>
            <w:vAlign w:val="center"/>
            <w:hideMark/>
          </w:tcPr>
          <w:p w14:paraId="275CEB0F" w14:textId="77777777" w:rsidR="00596D8A" w:rsidRPr="00232A31" w:rsidRDefault="00596D8A" w:rsidP="002378E9">
            <w:pPr>
              <w:spacing w:after="0" w:line="240" w:lineRule="auto"/>
              <w:jc w:val="both"/>
              <w:rPr>
                <w:rFonts w:cs="Arial"/>
                <w:sz w:val="20"/>
                <w:lang w:val="en-NZ" w:eastAsia="en-NZ"/>
              </w:rPr>
            </w:pPr>
            <w:r w:rsidRPr="00232A31">
              <w:rPr>
                <w:rFonts w:cs="Arial"/>
                <w:sz w:val="20"/>
                <w:lang w:val="en-NZ" w:eastAsia="en-NZ"/>
              </w:rPr>
              <w:t>$640.26</w:t>
            </w:r>
          </w:p>
        </w:tc>
        <w:tc>
          <w:tcPr>
            <w:tcW w:w="993" w:type="dxa"/>
            <w:tcBorders>
              <w:top w:val="nil"/>
              <w:left w:val="nil"/>
              <w:bottom w:val="single" w:sz="8" w:space="0" w:color="auto"/>
              <w:right w:val="single" w:sz="8" w:space="0" w:color="auto"/>
            </w:tcBorders>
            <w:shd w:val="clear" w:color="auto" w:fill="auto"/>
            <w:vAlign w:val="center"/>
            <w:hideMark/>
          </w:tcPr>
          <w:p w14:paraId="32B274D8" w14:textId="77777777" w:rsidR="00596D8A" w:rsidRPr="00232A31" w:rsidRDefault="00596D8A" w:rsidP="002378E9">
            <w:pPr>
              <w:spacing w:after="0" w:line="240" w:lineRule="auto"/>
              <w:jc w:val="both"/>
              <w:rPr>
                <w:rFonts w:cs="Arial"/>
                <w:sz w:val="20"/>
                <w:lang w:val="en-NZ" w:eastAsia="en-NZ"/>
              </w:rPr>
            </w:pPr>
            <w:r w:rsidRPr="00232A31">
              <w:rPr>
                <w:rFonts w:cs="Arial"/>
                <w:sz w:val="20"/>
                <w:lang w:val="en-NZ" w:eastAsia="en-NZ"/>
              </w:rPr>
              <w:t>$658.22</w:t>
            </w:r>
          </w:p>
        </w:tc>
        <w:tc>
          <w:tcPr>
            <w:tcW w:w="957" w:type="dxa"/>
            <w:tcBorders>
              <w:top w:val="nil"/>
              <w:left w:val="nil"/>
              <w:bottom w:val="single" w:sz="8" w:space="0" w:color="auto"/>
              <w:right w:val="single" w:sz="8" w:space="0" w:color="auto"/>
            </w:tcBorders>
            <w:shd w:val="clear" w:color="auto" w:fill="auto"/>
            <w:vAlign w:val="center"/>
            <w:hideMark/>
          </w:tcPr>
          <w:p w14:paraId="03394682" w14:textId="77777777" w:rsidR="00596D8A" w:rsidRPr="00232A31" w:rsidRDefault="00596D8A" w:rsidP="002378E9">
            <w:pPr>
              <w:spacing w:after="0" w:line="240" w:lineRule="auto"/>
              <w:jc w:val="both"/>
              <w:rPr>
                <w:rFonts w:cs="Arial"/>
                <w:sz w:val="20"/>
                <w:lang w:val="en-NZ" w:eastAsia="en-NZ"/>
              </w:rPr>
            </w:pPr>
            <w:r w:rsidRPr="00232A31">
              <w:rPr>
                <w:rFonts w:cs="Arial"/>
                <w:sz w:val="20"/>
                <w:lang w:val="en-NZ" w:eastAsia="en-NZ"/>
              </w:rPr>
              <w:t>$672.60</w:t>
            </w:r>
          </w:p>
        </w:tc>
        <w:tc>
          <w:tcPr>
            <w:tcW w:w="939" w:type="dxa"/>
            <w:tcBorders>
              <w:top w:val="nil"/>
              <w:left w:val="nil"/>
              <w:bottom w:val="single" w:sz="8" w:space="0" w:color="auto"/>
              <w:right w:val="single" w:sz="8" w:space="0" w:color="auto"/>
            </w:tcBorders>
            <w:shd w:val="clear" w:color="auto" w:fill="auto"/>
            <w:vAlign w:val="center"/>
            <w:hideMark/>
          </w:tcPr>
          <w:p w14:paraId="47529A01" w14:textId="77777777" w:rsidR="00596D8A" w:rsidRPr="00232A31" w:rsidRDefault="00596D8A" w:rsidP="002378E9">
            <w:pPr>
              <w:spacing w:after="0" w:line="240" w:lineRule="auto"/>
              <w:jc w:val="both"/>
              <w:rPr>
                <w:rFonts w:cs="Arial"/>
                <w:sz w:val="20"/>
                <w:lang w:val="en-NZ" w:eastAsia="en-NZ"/>
              </w:rPr>
            </w:pPr>
            <w:r w:rsidRPr="00232A31">
              <w:rPr>
                <w:rFonts w:cs="Arial"/>
                <w:sz w:val="20"/>
                <w:lang w:val="en-NZ" w:eastAsia="en-NZ"/>
              </w:rPr>
              <w:t>$686.32</w:t>
            </w:r>
          </w:p>
        </w:tc>
        <w:tc>
          <w:tcPr>
            <w:tcW w:w="939" w:type="dxa"/>
            <w:tcBorders>
              <w:top w:val="nil"/>
              <w:left w:val="nil"/>
              <w:bottom w:val="single" w:sz="8" w:space="0" w:color="auto"/>
              <w:right w:val="single" w:sz="8" w:space="0" w:color="auto"/>
            </w:tcBorders>
            <w:shd w:val="clear" w:color="auto" w:fill="auto"/>
            <w:vAlign w:val="center"/>
            <w:hideMark/>
          </w:tcPr>
          <w:p w14:paraId="46EAFBB8" w14:textId="77777777" w:rsidR="00596D8A" w:rsidRPr="00232A31" w:rsidRDefault="00596D8A" w:rsidP="002378E9">
            <w:pPr>
              <w:spacing w:after="0" w:line="240" w:lineRule="auto"/>
              <w:jc w:val="both"/>
              <w:rPr>
                <w:rFonts w:cs="Arial"/>
                <w:sz w:val="20"/>
                <w:lang w:val="en-NZ" w:eastAsia="en-NZ"/>
              </w:rPr>
            </w:pPr>
            <w:r w:rsidRPr="00232A31">
              <w:rPr>
                <w:rFonts w:cs="Arial"/>
                <w:sz w:val="20"/>
                <w:lang w:val="en-NZ" w:eastAsia="en-NZ"/>
              </w:rPr>
              <w:t>$700.00</w:t>
            </w:r>
          </w:p>
        </w:tc>
      </w:tr>
      <w:tr w:rsidR="00596D8A" w:rsidRPr="00232A31" w14:paraId="64DA3BC4" w14:textId="77777777" w:rsidTr="002378E9">
        <w:trPr>
          <w:trHeight w:val="510"/>
        </w:trPr>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14:paraId="6A4A1C1C" w14:textId="77777777" w:rsidR="00596D8A" w:rsidRPr="00232A31" w:rsidRDefault="00596D8A" w:rsidP="002378E9">
            <w:pPr>
              <w:spacing w:after="0" w:line="240" w:lineRule="auto"/>
              <w:jc w:val="both"/>
              <w:rPr>
                <w:rFonts w:cs="Arial"/>
                <w:b/>
                <w:bCs/>
                <w:sz w:val="20"/>
                <w:lang w:val="en-NZ" w:eastAsia="en-NZ"/>
              </w:rPr>
            </w:pPr>
            <w:r w:rsidRPr="00232A31">
              <w:rPr>
                <w:rFonts w:cs="Arial"/>
                <w:b/>
                <w:bCs/>
                <w:sz w:val="20"/>
                <w:lang w:eastAsia="en-NZ"/>
              </w:rPr>
              <w:t>Sole Parent Support</w:t>
            </w:r>
          </w:p>
        </w:tc>
        <w:tc>
          <w:tcPr>
            <w:tcW w:w="851"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38255CCD" w14:textId="77777777" w:rsidR="00596D8A" w:rsidRPr="00232A31" w:rsidRDefault="00596D8A" w:rsidP="002378E9">
            <w:pPr>
              <w:spacing w:after="0" w:line="240" w:lineRule="auto"/>
              <w:jc w:val="both"/>
              <w:rPr>
                <w:rFonts w:cs="Arial"/>
                <w:color w:val="000000"/>
                <w:sz w:val="20"/>
                <w:lang w:val="en-NZ" w:eastAsia="en-NZ"/>
              </w:rPr>
            </w:pPr>
            <w:r w:rsidRPr="00232A31">
              <w:rPr>
                <w:rFonts w:cs="Arial"/>
                <w:sz w:val="20"/>
                <w:lang w:eastAsia="en-NZ"/>
              </w:rPr>
              <w:t>$472.79</w:t>
            </w:r>
          </w:p>
        </w:tc>
        <w:tc>
          <w:tcPr>
            <w:tcW w:w="992" w:type="dxa"/>
            <w:tcBorders>
              <w:top w:val="nil"/>
              <w:left w:val="nil"/>
              <w:bottom w:val="single" w:sz="8" w:space="0" w:color="auto"/>
              <w:right w:val="single" w:sz="8" w:space="0" w:color="auto"/>
            </w:tcBorders>
            <w:shd w:val="clear" w:color="000000" w:fill="F2F2F2"/>
            <w:vAlign w:val="center"/>
            <w:hideMark/>
          </w:tcPr>
          <w:p w14:paraId="0C65FD44" w14:textId="77777777" w:rsidR="00596D8A" w:rsidRPr="00232A31" w:rsidRDefault="00596D8A" w:rsidP="002378E9">
            <w:pPr>
              <w:spacing w:after="0" w:line="240" w:lineRule="auto"/>
              <w:jc w:val="both"/>
              <w:rPr>
                <w:rFonts w:cs="Arial"/>
                <w:color w:val="000000"/>
                <w:sz w:val="20"/>
                <w:lang w:val="en-NZ" w:eastAsia="en-NZ"/>
              </w:rPr>
            </w:pPr>
            <w:r w:rsidRPr="00232A31">
              <w:rPr>
                <w:rFonts w:cs="Arial"/>
                <w:sz w:val="20"/>
                <w:lang w:eastAsia="en-NZ"/>
              </w:rPr>
              <w:t>Wages</w:t>
            </w:r>
          </w:p>
        </w:tc>
        <w:tc>
          <w:tcPr>
            <w:tcW w:w="992" w:type="dxa"/>
            <w:tcBorders>
              <w:top w:val="nil"/>
              <w:left w:val="nil"/>
              <w:bottom w:val="single" w:sz="8" w:space="0" w:color="auto"/>
              <w:right w:val="single" w:sz="8" w:space="0" w:color="auto"/>
            </w:tcBorders>
            <w:shd w:val="clear" w:color="000000" w:fill="F2F2F2"/>
            <w:vAlign w:val="center"/>
            <w:hideMark/>
          </w:tcPr>
          <w:p w14:paraId="3FB1D68C" w14:textId="77777777" w:rsidR="00596D8A" w:rsidRPr="00232A31" w:rsidRDefault="00596D8A" w:rsidP="002378E9">
            <w:pPr>
              <w:spacing w:after="0" w:line="240" w:lineRule="auto"/>
              <w:jc w:val="both"/>
              <w:rPr>
                <w:rFonts w:cs="Arial"/>
                <w:color w:val="000000"/>
                <w:sz w:val="20"/>
                <w:lang w:val="en-NZ" w:eastAsia="en-NZ"/>
              </w:rPr>
            </w:pPr>
            <w:r w:rsidRPr="00232A31">
              <w:rPr>
                <w:rFonts w:cs="Arial"/>
                <w:sz w:val="20"/>
                <w:lang w:eastAsia="en-NZ"/>
              </w:rPr>
              <w:t>$495.18</w:t>
            </w:r>
          </w:p>
        </w:tc>
        <w:tc>
          <w:tcPr>
            <w:tcW w:w="993" w:type="dxa"/>
            <w:tcBorders>
              <w:top w:val="nil"/>
              <w:left w:val="nil"/>
              <w:bottom w:val="single" w:sz="8" w:space="0" w:color="auto"/>
              <w:right w:val="single" w:sz="8" w:space="0" w:color="auto"/>
            </w:tcBorders>
            <w:shd w:val="clear" w:color="000000" w:fill="F2F2F2"/>
            <w:vAlign w:val="center"/>
            <w:hideMark/>
          </w:tcPr>
          <w:p w14:paraId="24807F38" w14:textId="77777777" w:rsidR="00596D8A" w:rsidRPr="00232A31" w:rsidRDefault="00596D8A" w:rsidP="002378E9">
            <w:pPr>
              <w:spacing w:after="0" w:line="240" w:lineRule="auto"/>
              <w:jc w:val="both"/>
              <w:rPr>
                <w:rFonts w:cs="Arial"/>
                <w:color w:val="000000"/>
                <w:sz w:val="20"/>
                <w:lang w:val="en-NZ" w:eastAsia="en-NZ"/>
              </w:rPr>
            </w:pPr>
            <w:r w:rsidRPr="00232A31">
              <w:rPr>
                <w:rFonts w:cs="Arial"/>
                <w:sz w:val="20"/>
                <w:lang w:eastAsia="en-NZ"/>
              </w:rPr>
              <w:t>$517.63</w:t>
            </w:r>
          </w:p>
        </w:tc>
        <w:tc>
          <w:tcPr>
            <w:tcW w:w="957" w:type="dxa"/>
            <w:tcBorders>
              <w:top w:val="nil"/>
              <w:left w:val="nil"/>
              <w:bottom w:val="single" w:sz="8" w:space="0" w:color="auto"/>
              <w:right w:val="single" w:sz="8" w:space="0" w:color="auto"/>
            </w:tcBorders>
            <w:shd w:val="clear" w:color="000000" w:fill="F2F2F2"/>
            <w:vAlign w:val="center"/>
            <w:hideMark/>
          </w:tcPr>
          <w:p w14:paraId="709D5052" w14:textId="77777777" w:rsidR="00596D8A" w:rsidRPr="00232A31" w:rsidRDefault="00596D8A" w:rsidP="002378E9">
            <w:pPr>
              <w:spacing w:after="0" w:line="240" w:lineRule="auto"/>
              <w:jc w:val="both"/>
              <w:rPr>
                <w:rFonts w:cs="Arial"/>
                <w:color w:val="000000"/>
                <w:sz w:val="20"/>
                <w:lang w:val="en-NZ" w:eastAsia="en-NZ"/>
              </w:rPr>
            </w:pPr>
            <w:r w:rsidRPr="00232A31">
              <w:rPr>
                <w:rFonts w:cs="Arial"/>
                <w:sz w:val="20"/>
                <w:lang w:eastAsia="en-NZ"/>
              </w:rPr>
              <w:t>$537.18</w:t>
            </w:r>
          </w:p>
        </w:tc>
        <w:tc>
          <w:tcPr>
            <w:tcW w:w="939" w:type="dxa"/>
            <w:tcBorders>
              <w:top w:val="nil"/>
              <w:left w:val="nil"/>
              <w:bottom w:val="single" w:sz="8" w:space="0" w:color="auto"/>
              <w:right w:val="single" w:sz="8" w:space="0" w:color="auto"/>
            </w:tcBorders>
            <w:shd w:val="clear" w:color="000000" w:fill="F2F2F2"/>
            <w:vAlign w:val="center"/>
            <w:hideMark/>
          </w:tcPr>
          <w:p w14:paraId="5E1F56D8" w14:textId="77777777" w:rsidR="00596D8A" w:rsidRPr="00232A31" w:rsidRDefault="00596D8A" w:rsidP="002378E9">
            <w:pPr>
              <w:spacing w:after="0" w:line="240" w:lineRule="auto"/>
              <w:jc w:val="both"/>
              <w:rPr>
                <w:rFonts w:cs="Arial"/>
                <w:color w:val="000000"/>
                <w:sz w:val="20"/>
                <w:lang w:val="en-NZ" w:eastAsia="en-NZ"/>
              </w:rPr>
            </w:pPr>
            <w:r w:rsidRPr="00232A31">
              <w:rPr>
                <w:rFonts w:cs="Arial"/>
                <w:sz w:val="20"/>
                <w:lang w:eastAsia="en-NZ"/>
              </w:rPr>
              <w:t>$554.34</w:t>
            </w:r>
          </w:p>
        </w:tc>
        <w:tc>
          <w:tcPr>
            <w:tcW w:w="939" w:type="dxa"/>
            <w:tcBorders>
              <w:top w:val="nil"/>
              <w:left w:val="nil"/>
              <w:bottom w:val="single" w:sz="8" w:space="0" w:color="auto"/>
              <w:right w:val="single" w:sz="8" w:space="0" w:color="auto"/>
            </w:tcBorders>
            <w:shd w:val="clear" w:color="000000" w:fill="F2F2F2"/>
            <w:vAlign w:val="center"/>
            <w:hideMark/>
          </w:tcPr>
          <w:p w14:paraId="73537C73" w14:textId="77777777" w:rsidR="00596D8A" w:rsidRPr="00232A31" w:rsidRDefault="00596D8A" w:rsidP="002378E9">
            <w:pPr>
              <w:spacing w:after="0" w:line="240" w:lineRule="auto"/>
              <w:jc w:val="both"/>
              <w:rPr>
                <w:rFonts w:cs="Arial"/>
                <w:color w:val="000000"/>
                <w:sz w:val="20"/>
                <w:lang w:val="en-NZ" w:eastAsia="en-NZ"/>
              </w:rPr>
            </w:pPr>
            <w:r w:rsidRPr="00232A31">
              <w:rPr>
                <w:rFonts w:cs="Arial"/>
                <w:sz w:val="20"/>
                <w:lang w:eastAsia="en-NZ"/>
              </w:rPr>
              <w:t>$570.75</w:t>
            </w:r>
          </w:p>
        </w:tc>
      </w:tr>
      <w:tr w:rsidR="00596D8A" w:rsidRPr="00232A31" w14:paraId="2989309D" w14:textId="77777777" w:rsidTr="002378E9">
        <w:trPr>
          <w:trHeight w:val="435"/>
        </w:trPr>
        <w:tc>
          <w:tcPr>
            <w:tcW w:w="2268" w:type="dxa"/>
            <w:vMerge/>
            <w:tcBorders>
              <w:top w:val="nil"/>
              <w:left w:val="single" w:sz="8" w:space="0" w:color="auto"/>
              <w:bottom w:val="single" w:sz="8" w:space="0" w:color="000000"/>
              <w:right w:val="single" w:sz="8" w:space="0" w:color="auto"/>
            </w:tcBorders>
            <w:vAlign w:val="center"/>
            <w:hideMark/>
          </w:tcPr>
          <w:p w14:paraId="2333AEF0" w14:textId="77777777" w:rsidR="00596D8A" w:rsidRPr="00232A31" w:rsidRDefault="00596D8A" w:rsidP="002378E9">
            <w:pPr>
              <w:spacing w:after="0" w:line="240" w:lineRule="auto"/>
              <w:rPr>
                <w:rFonts w:cs="Arial"/>
                <w:b/>
                <w:bCs/>
                <w:sz w:val="20"/>
                <w:lang w:val="en-NZ" w:eastAsia="en-NZ"/>
              </w:rPr>
            </w:pPr>
          </w:p>
        </w:tc>
        <w:tc>
          <w:tcPr>
            <w:tcW w:w="851" w:type="dxa"/>
            <w:vMerge/>
            <w:tcBorders>
              <w:top w:val="nil"/>
              <w:left w:val="single" w:sz="8" w:space="0" w:color="auto"/>
              <w:bottom w:val="single" w:sz="8" w:space="0" w:color="000000"/>
              <w:right w:val="single" w:sz="8" w:space="0" w:color="auto"/>
            </w:tcBorders>
            <w:vAlign w:val="center"/>
            <w:hideMark/>
          </w:tcPr>
          <w:p w14:paraId="10CAF3C6" w14:textId="77777777" w:rsidR="00596D8A" w:rsidRPr="00232A31" w:rsidRDefault="00596D8A" w:rsidP="002378E9">
            <w:pPr>
              <w:spacing w:after="0" w:line="240" w:lineRule="auto"/>
              <w:rPr>
                <w:rFonts w:cs="Arial"/>
                <w:color w:val="000000"/>
                <w:sz w:val="20"/>
                <w:lang w:val="en-NZ" w:eastAsia="en-NZ"/>
              </w:rPr>
            </w:pPr>
          </w:p>
        </w:tc>
        <w:tc>
          <w:tcPr>
            <w:tcW w:w="992" w:type="dxa"/>
            <w:tcBorders>
              <w:top w:val="nil"/>
              <w:left w:val="nil"/>
              <w:bottom w:val="single" w:sz="8" w:space="0" w:color="auto"/>
              <w:right w:val="single" w:sz="8" w:space="0" w:color="auto"/>
            </w:tcBorders>
            <w:shd w:val="clear" w:color="auto" w:fill="auto"/>
            <w:vAlign w:val="center"/>
            <w:hideMark/>
          </w:tcPr>
          <w:p w14:paraId="54F6AA73" w14:textId="77777777" w:rsidR="00596D8A" w:rsidRPr="00232A31" w:rsidRDefault="00596D8A" w:rsidP="002378E9">
            <w:pPr>
              <w:spacing w:after="0" w:line="240" w:lineRule="auto"/>
              <w:jc w:val="both"/>
              <w:rPr>
                <w:rFonts w:cs="Arial"/>
                <w:sz w:val="20"/>
                <w:lang w:val="en-NZ" w:eastAsia="en-NZ"/>
              </w:rPr>
            </w:pPr>
            <w:r w:rsidRPr="00232A31">
              <w:rPr>
                <w:rFonts w:cs="Arial"/>
                <w:sz w:val="20"/>
                <w:lang w:eastAsia="en-NZ"/>
              </w:rPr>
              <w:t>CPI</w:t>
            </w:r>
          </w:p>
        </w:tc>
        <w:tc>
          <w:tcPr>
            <w:tcW w:w="992" w:type="dxa"/>
            <w:tcBorders>
              <w:top w:val="nil"/>
              <w:left w:val="nil"/>
              <w:bottom w:val="single" w:sz="8" w:space="0" w:color="auto"/>
              <w:right w:val="single" w:sz="8" w:space="0" w:color="auto"/>
            </w:tcBorders>
            <w:shd w:val="clear" w:color="000000" w:fill="F2F2F2"/>
            <w:vAlign w:val="center"/>
            <w:hideMark/>
          </w:tcPr>
          <w:p w14:paraId="15F5EE79" w14:textId="77777777" w:rsidR="00596D8A" w:rsidRPr="00232A31" w:rsidRDefault="00596D8A" w:rsidP="002378E9">
            <w:pPr>
              <w:spacing w:after="0" w:line="240" w:lineRule="auto"/>
              <w:jc w:val="both"/>
              <w:rPr>
                <w:rFonts w:cs="Arial"/>
                <w:color w:val="000000"/>
                <w:sz w:val="20"/>
                <w:lang w:val="en-NZ" w:eastAsia="en-NZ"/>
              </w:rPr>
            </w:pPr>
            <w:r w:rsidRPr="00232A31">
              <w:rPr>
                <w:rFonts w:cs="Arial"/>
                <w:color w:val="000000"/>
                <w:sz w:val="20"/>
                <w:lang w:val="en-NZ" w:eastAsia="en-NZ"/>
              </w:rPr>
              <w:t>$498.81</w:t>
            </w:r>
          </w:p>
        </w:tc>
        <w:tc>
          <w:tcPr>
            <w:tcW w:w="993" w:type="dxa"/>
            <w:tcBorders>
              <w:top w:val="nil"/>
              <w:left w:val="nil"/>
              <w:bottom w:val="single" w:sz="8" w:space="0" w:color="auto"/>
              <w:right w:val="single" w:sz="8" w:space="0" w:color="auto"/>
            </w:tcBorders>
            <w:shd w:val="clear" w:color="000000" w:fill="F2F2F2"/>
            <w:vAlign w:val="center"/>
            <w:hideMark/>
          </w:tcPr>
          <w:p w14:paraId="16CA52A1" w14:textId="77777777" w:rsidR="00596D8A" w:rsidRPr="00232A31" w:rsidRDefault="00596D8A" w:rsidP="002378E9">
            <w:pPr>
              <w:spacing w:after="0" w:line="240" w:lineRule="auto"/>
              <w:jc w:val="both"/>
              <w:rPr>
                <w:rFonts w:cs="Arial"/>
                <w:color w:val="000000"/>
                <w:sz w:val="20"/>
                <w:lang w:val="en-NZ" w:eastAsia="en-NZ"/>
              </w:rPr>
            </w:pPr>
            <w:r w:rsidRPr="00232A31">
              <w:rPr>
                <w:rFonts w:cs="Arial"/>
                <w:color w:val="000000"/>
                <w:sz w:val="20"/>
                <w:lang w:val="en-NZ" w:eastAsia="en-NZ"/>
              </w:rPr>
              <w:t>$512.80</w:t>
            </w:r>
          </w:p>
        </w:tc>
        <w:tc>
          <w:tcPr>
            <w:tcW w:w="957" w:type="dxa"/>
            <w:tcBorders>
              <w:top w:val="nil"/>
              <w:left w:val="nil"/>
              <w:bottom w:val="single" w:sz="8" w:space="0" w:color="auto"/>
              <w:right w:val="single" w:sz="8" w:space="0" w:color="auto"/>
            </w:tcBorders>
            <w:shd w:val="clear" w:color="000000" w:fill="F2F2F2"/>
            <w:vAlign w:val="center"/>
            <w:hideMark/>
          </w:tcPr>
          <w:p w14:paraId="6AD0A694" w14:textId="77777777" w:rsidR="00596D8A" w:rsidRPr="00232A31" w:rsidRDefault="00596D8A" w:rsidP="002378E9">
            <w:pPr>
              <w:spacing w:after="0" w:line="240" w:lineRule="auto"/>
              <w:jc w:val="both"/>
              <w:rPr>
                <w:rFonts w:cs="Arial"/>
                <w:color w:val="000000"/>
                <w:sz w:val="20"/>
                <w:lang w:val="en-NZ" w:eastAsia="en-NZ"/>
              </w:rPr>
            </w:pPr>
            <w:r w:rsidRPr="00232A31">
              <w:rPr>
                <w:rFonts w:cs="Arial"/>
                <w:color w:val="000000"/>
                <w:sz w:val="20"/>
                <w:lang w:val="en-NZ" w:eastAsia="en-NZ"/>
              </w:rPr>
              <w:t>$524.00</w:t>
            </w:r>
          </w:p>
        </w:tc>
        <w:tc>
          <w:tcPr>
            <w:tcW w:w="939" w:type="dxa"/>
            <w:tcBorders>
              <w:top w:val="nil"/>
              <w:left w:val="nil"/>
              <w:bottom w:val="single" w:sz="8" w:space="0" w:color="auto"/>
              <w:right w:val="single" w:sz="8" w:space="0" w:color="auto"/>
            </w:tcBorders>
            <w:shd w:val="clear" w:color="000000" w:fill="F2F2F2"/>
            <w:vAlign w:val="center"/>
            <w:hideMark/>
          </w:tcPr>
          <w:p w14:paraId="61936F87" w14:textId="77777777" w:rsidR="00596D8A" w:rsidRPr="00232A31" w:rsidRDefault="00596D8A" w:rsidP="002378E9">
            <w:pPr>
              <w:spacing w:after="0" w:line="240" w:lineRule="auto"/>
              <w:jc w:val="both"/>
              <w:rPr>
                <w:rFonts w:cs="Arial"/>
                <w:color w:val="000000"/>
                <w:sz w:val="20"/>
                <w:lang w:val="en-NZ" w:eastAsia="en-NZ"/>
              </w:rPr>
            </w:pPr>
            <w:r w:rsidRPr="00232A31">
              <w:rPr>
                <w:rFonts w:cs="Arial"/>
                <w:color w:val="000000"/>
                <w:sz w:val="20"/>
                <w:lang w:val="en-NZ" w:eastAsia="en-NZ"/>
              </w:rPr>
              <w:t>$534.69</w:t>
            </w:r>
          </w:p>
        </w:tc>
        <w:tc>
          <w:tcPr>
            <w:tcW w:w="939" w:type="dxa"/>
            <w:tcBorders>
              <w:top w:val="nil"/>
              <w:left w:val="nil"/>
              <w:bottom w:val="single" w:sz="8" w:space="0" w:color="auto"/>
              <w:right w:val="single" w:sz="8" w:space="0" w:color="auto"/>
            </w:tcBorders>
            <w:shd w:val="clear" w:color="000000" w:fill="F2F2F2"/>
            <w:vAlign w:val="center"/>
            <w:hideMark/>
          </w:tcPr>
          <w:p w14:paraId="702A804E" w14:textId="77777777" w:rsidR="00596D8A" w:rsidRPr="00232A31" w:rsidRDefault="00596D8A" w:rsidP="002378E9">
            <w:pPr>
              <w:spacing w:after="0" w:line="240" w:lineRule="auto"/>
              <w:jc w:val="both"/>
              <w:rPr>
                <w:rFonts w:cs="Arial"/>
                <w:color w:val="000000"/>
                <w:sz w:val="20"/>
                <w:lang w:val="en-NZ" w:eastAsia="en-NZ"/>
              </w:rPr>
            </w:pPr>
            <w:r w:rsidRPr="00232A31">
              <w:rPr>
                <w:rFonts w:cs="Arial"/>
                <w:color w:val="000000"/>
                <w:sz w:val="20"/>
                <w:lang w:val="en-NZ" w:eastAsia="en-NZ"/>
              </w:rPr>
              <w:t>$545.34</w:t>
            </w:r>
          </w:p>
        </w:tc>
      </w:tr>
      <w:tr w:rsidR="00596D8A" w:rsidRPr="00232A31" w14:paraId="4636C489" w14:textId="77777777" w:rsidTr="002378E9">
        <w:trPr>
          <w:trHeight w:val="510"/>
        </w:trPr>
        <w:tc>
          <w:tcPr>
            <w:tcW w:w="2268" w:type="dxa"/>
            <w:tcBorders>
              <w:top w:val="nil"/>
              <w:left w:val="single" w:sz="8" w:space="0" w:color="auto"/>
              <w:bottom w:val="nil"/>
              <w:right w:val="single" w:sz="8" w:space="0" w:color="auto"/>
            </w:tcBorders>
            <w:shd w:val="clear" w:color="auto" w:fill="auto"/>
            <w:vAlign w:val="center"/>
            <w:hideMark/>
          </w:tcPr>
          <w:p w14:paraId="0F1ACFAE" w14:textId="77777777" w:rsidR="00596D8A" w:rsidRPr="00232A31" w:rsidRDefault="00596D8A" w:rsidP="002378E9">
            <w:pPr>
              <w:spacing w:after="0" w:line="240" w:lineRule="auto"/>
              <w:rPr>
                <w:rFonts w:cs="Arial"/>
                <w:b/>
                <w:bCs/>
                <w:sz w:val="20"/>
                <w:lang w:val="en-NZ" w:eastAsia="en-NZ"/>
              </w:rPr>
            </w:pPr>
            <w:r w:rsidRPr="00232A31">
              <w:rPr>
                <w:rFonts w:cs="Arial"/>
                <w:b/>
                <w:bCs/>
                <w:sz w:val="20"/>
                <w:lang w:eastAsia="en-NZ"/>
              </w:rPr>
              <w:t>Supported Living Payment</w:t>
            </w:r>
          </w:p>
        </w:tc>
        <w:tc>
          <w:tcPr>
            <w:tcW w:w="851"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129DF51F" w14:textId="77777777" w:rsidR="00596D8A" w:rsidRPr="00232A31" w:rsidRDefault="00596D8A" w:rsidP="002378E9">
            <w:pPr>
              <w:spacing w:after="0" w:line="240" w:lineRule="auto"/>
              <w:jc w:val="both"/>
              <w:rPr>
                <w:rFonts w:cs="Arial"/>
                <w:color w:val="000000"/>
                <w:sz w:val="20"/>
                <w:lang w:val="en-NZ" w:eastAsia="en-NZ"/>
              </w:rPr>
            </w:pPr>
            <w:r w:rsidRPr="00232A31">
              <w:rPr>
                <w:rFonts w:cs="Arial"/>
                <w:sz w:val="20"/>
                <w:lang w:eastAsia="en-NZ"/>
              </w:rPr>
              <w:t>$384.92</w:t>
            </w:r>
          </w:p>
        </w:tc>
        <w:tc>
          <w:tcPr>
            <w:tcW w:w="992" w:type="dxa"/>
            <w:tcBorders>
              <w:top w:val="nil"/>
              <w:left w:val="nil"/>
              <w:bottom w:val="single" w:sz="8" w:space="0" w:color="auto"/>
              <w:right w:val="single" w:sz="8" w:space="0" w:color="auto"/>
            </w:tcBorders>
            <w:shd w:val="clear" w:color="000000" w:fill="F2F2F2"/>
            <w:vAlign w:val="center"/>
            <w:hideMark/>
          </w:tcPr>
          <w:p w14:paraId="50D14E7F" w14:textId="77777777" w:rsidR="00596D8A" w:rsidRPr="00232A31" w:rsidRDefault="00596D8A" w:rsidP="002378E9">
            <w:pPr>
              <w:spacing w:after="0" w:line="240" w:lineRule="auto"/>
              <w:jc w:val="both"/>
              <w:rPr>
                <w:rFonts w:cs="Arial"/>
                <w:color w:val="000000"/>
                <w:sz w:val="20"/>
                <w:lang w:val="en-NZ" w:eastAsia="en-NZ"/>
              </w:rPr>
            </w:pPr>
            <w:r w:rsidRPr="00232A31">
              <w:rPr>
                <w:rFonts w:cs="Arial"/>
                <w:sz w:val="20"/>
                <w:lang w:eastAsia="en-NZ"/>
              </w:rPr>
              <w:t>Wages</w:t>
            </w:r>
          </w:p>
        </w:tc>
        <w:tc>
          <w:tcPr>
            <w:tcW w:w="992" w:type="dxa"/>
            <w:tcBorders>
              <w:top w:val="nil"/>
              <w:left w:val="nil"/>
              <w:bottom w:val="single" w:sz="8" w:space="0" w:color="auto"/>
              <w:right w:val="single" w:sz="8" w:space="0" w:color="auto"/>
            </w:tcBorders>
            <w:shd w:val="clear" w:color="000000" w:fill="F2F2F2"/>
            <w:vAlign w:val="center"/>
            <w:hideMark/>
          </w:tcPr>
          <w:p w14:paraId="08BD4CBC" w14:textId="77777777" w:rsidR="00596D8A" w:rsidRPr="00232A31" w:rsidRDefault="00596D8A" w:rsidP="002378E9">
            <w:pPr>
              <w:spacing w:after="0" w:line="240" w:lineRule="auto"/>
              <w:jc w:val="both"/>
              <w:rPr>
                <w:rFonts w:cs="Arial"/>
                <w:color w:val="000000"/>
                <w:sz w:val="20"/>
                <w:lang w:val="en-NZ" w:eastAsia="en-NZ"/>
              </w:rPr>
            </w:pPr>
            <w:r w:rsidRPr="00232A31">
              <w:rPr>
                <w:rFonts w:cs="Arial"/>
                <w:sz w:val="20"/>
                <w:lang w:eastAsia="en-NZ"/>
              </w:rPr>
              <w:t>$403.15</w:t>
            </w:r>
          </w:p>
        </w:tc>
        <w:tc>
          <w:tcPr>
            <w:tcW w:w="993" w:type="dxa"/>
            <w:tcBorders>
              <w:top w:val="nil"/>
              <w:left w:val="nil"/>
              <w:bottom w:val="single" w:sz="8" w:space="0" w:color="auto"/>
              <w:right w:val="single" w:sz="8" w:space="0" w:color="auto"/>
            </w:tcBorders>
            <w:shd w:val="clear" w:color="000000" w:fill="F2F2F2"/>
            <w:vAlign w:val="center"/>
            <w:hideMark/>
          </w:tcPr>
          <w:p w14:paraId="61357FAB" w14:textId="77777777" w:rsidR="00596D8A" w:rsidRPr="00232A31" w:rsidRDefault="00596D8A" w:rsidP="002378E9">
            <w:pPr>
              <w:spacing w:after="0" w:line="240" w:lineRule="auto"/>
              <w:jc w:val="both"/>
              <w:rPr>
                <w:rFonts w:cs="Arial"/>
                <w:color w:val="000000"/>
                <w:sz w:val="20"/>
                <w:lang w:val="en-NZ" w:eastAsia="en-NZ"/>
              </w:rPr>
            </w:pPr>
            <w:r w:rsidRPr="00232A31">
              <w:rPr>
                <w:rFonts w:cs="Arial"/>
                <w:sz w:val="20"/>
                <w:lang w:eastAsia="en-NZ"/>
              </w:rPr>
              <w:t>$421.43</w:t>
            </w:r>
          </w:p>
        </w:tc>
        <w:tc>
          <w:tcPr>
            <w:tcW w:w="957" w:type="dxa"/>
            <w:tcBorders>
              <w:top w:val="nil"/>
              <w:left w:val="nil"/>
              <w:bottom w:val="single" w:sz="8" w:space="0" w:color="auto"/>
              <w:right w:val="single" w:sz="8" w:space="0" w:color="auto"/>
            </w:tcBorders>
            <w:shd w:val="clear" w:color="000000" w:fill="F2F2F2"/>
            <w:vAlign w:val="center"/>
            <w:hideMark/>
          </w:tcPr>
          <w:p w14:paraId="5C6FA5E0" w14:textId="77777777" w:rsidR="00596D8A" w:rsidRPr="00232A31" w:rsidRDefault="00596D8A" w:rsidP="002378E9">
            <w:pPr>
              <w:spacing w:after="0" w:line="240" w:lineRule="auto"/>
              <w:jc w:val="both"/>
              <w:rPr>
                <w:rFonts w:cs="Arial"/>
                <w:color w:val="000000"/>
                <w:sz w:val="20"/>
                <w:lang w:val="en-NZ" w:eastAsia="en-NZ"/>
              </w:rPr>
            </w:pPr>
            <w:r w:rsidRPr="00232A31">
              <w:rPr>
                <w:rFonts w:cs="Arial"/>
                <w:sz w:val="20"/>
                <w:lang w:eastAsia="en-NZ"/>
              </w:rPr>
              <w:t>$437.35</w:t>
            </w:r>
          </w:p>
        </w:tc>
        <w:tc>
          <w:tcPr>
            <w:tcW w:w="939" w:type="dxa"/>
            <w:tcBorders>
              <w:top w:val="nil"/>
              <w:left w:val="nil"/>
              <w:bottom w:val="single" w:sz="8" w:space="0" w:color="auto"/>
              <w:right w:val="single" w:sz="8" w:space="0" w:color="auto"/>
            </w:tcBorders>
            <w:shd w:val="clear" w:color="000000" w:fill="F2F2F2"/>
            <w:vAlign w:val="center"/>
            <w:hideMark/>
          </w:tcPr>
          <w:p w14:paraId="423B6BA6" w14:textId="77777777" w:rsidR="00596D8A" w:rsidRPr="00232A31" w:rsidRDefault="00596D8A" w:rsidP="002378E9">
            <w:pPr>
              <w:spacing w:after="0" w:line="240" w:lineRule="auto"/>
              <w:jc w:val="both"/>
              <w:rPr>
                <w:rFonts w:cs="Arial"/>
                <w:color w:val="000000"/>
                <w:sz w:val="20"/>
                <w:lang w:val="en-NZ" w:eastAsia="en-NZ"/>
              </w:rPr>
            </w:pPr>
            <w:r w:rsidRPr="00232A31">
              <w:rPr>
                <w:rFonts w:cs="Arial"/>
                <w:sz w:val="20"/>
                <w:lang w:eastAsia="en-NZ"/>
              </w:rPr>
              <w:t>$451.32</w:t>
            </w:r>
          </w:p>
        </w:tc>
        <w:tc>
          <w:tcPr>
            <w:tcW w:w="939" w:type="dxa"/>
            <w:tcBorders>
              <w:top w:val="nil"/>
              <w:left w:val="nil"/>
              <w:bottom w:val="single" w:sz="8" w:space="0" w:color="auto"/>
              <w:right w:val="single" w:sz="8" w:space="0" w:color="auto"/>
            </w:tcBorders>
            <w:shd w:val="clear" w:color="000000" w:fill="F2F2F2"/>
            <w:vAlign w:val="center"/>
            <w:hideMark/>
          </w:tcPr>
          <w:p w14:paraId="7C9DA102" w14:textId="77777777" w:rsidR="00596D8A" w:rsidRPr="00232A31" w:rsidRDefault="00596D8A" w:rsidP="002378E9">
            <w:pPr>
              <w:spacing w:after="0" w:line="240" w:lineRule="auto"/>
              <w:jc w:val="both"/>
              <w:rPr>
                <w:rFonts w:cs="Arial"/>
                <w:color w:val="000000"/>
                <w:sz w:val="20"/>
                <w:lang w:val="en-NZ" w:eastAsia="en-NZ"/>
              </w:rPr>
            </w:pPr>
            <w:r w:rsidRPr="00232A31">
              <w:rPr>
                <w:rFonts w:cs="Arial"/>
                <w:sz w:val="20"/>
                <w:lang w:eastAsia="en-NZ"/>
              </w:rPr>
              <w:t>$464.68</w:t>
            </w:r>
          </w:p>
        </w:tc>
      </w:tr>
      <w:tr w:rsidR="00596D8A" w:rsidRPr="00232A31" w14:paraId="7B967562" w14:textId="77777777" w:rsidTr="002378E9">
        <w:trPr>
          <w:trHeight w:val="759"/>
        </w:trPr>
        <w:tc>
          <w:tcPr>
            <w:tcW w:w="2268" w:type="dxa"/>
            <w:tcBorders>
              <w:top w:val="nil"/>
              <w:left w:val="single" w:sz="8" w:space="0" w:color="auto"/>
              <w:bottom w:val="single" w:sz="8" w:space="0" w:color="auto"/>
              <w:right w:val="single" w:sz="8" w:space="0" w:color="auto"/>
            </w:tcBorders>
            <w:shd w:val="clear" w:color="auto" w:fill="auto"/>
            <w:vAlign w:val="center"/>
            <w:hideMark/>
          </w:tcPr>
          <w:p w14:paraId="3E1E8A85" w14:textId="77777777" w:rsidR="00596D8A" w:rsidRPr="00232A31" w:rsidRDefault="00596D8A" w:rsidP="002378E9">
            <w:pPr>
              <w:spacing w:after="0" w:line="240" w:lineRule="auto"/>
              <w:rPr>
                <w:rFonts w:cs="Arial"/>
                <w:sz w:val="20"/>
                <w:lang w:val="en-NZ" w:eastAsia="en-NZ"/>
              </w:rPr>
            </w:pPr>
            <w:r w:rsidRPr="00232A31">
              <w:rPr>
                <w:rFonts w:cs="Arial"/>
                <w:sz w:val="20"/>
                <w:lang w:eastAsia="en-NZ"/>
              </w:rPr>
              <w:t>Single, 18+ years</w:t>
            </w:r>
          </w:p>
        </w:tc>
        <w:tc>
          <w:tcPr>
            <w:tcW w:w="851" w:type="dxa"/>
            <w:vMerge/>
            <w:tcBorders>
              <w:top w:val="nil"/>
              <w:left w:val="single" w:sz="8" w:space="0" w:color="auto"/>
              <w:bottom w:val="single" w:sz="8" w:space="0" w:color="000000"/>
              <w:right w:val="single" w:sz="8" w:space="0" w:color="auto"/>
            </w:tcBorders>
            <w:vAlign w:val="center"/>
            <w:hideMark/>
          </w:tcPr>
          <w:p w14:paraId="34B4E67C" w14:textId="77777777" w:rsidR="00596D8A" w:rsidRPr="00232A31" w:rsidRDefault="00596D8A" w:rsidP="002378E9">
            <w:pPr>
              <w:spacing w:after="0" w:line="240" w:lineRule="auto"/>
              <w:rPr>
                <w:rFonts w:cs="Arial"/>
                <w:color w:val="000000"/>
                <w:sz w:val="20"/>
                <w:lang w:val="en-NZ" w:eastAsia="en-NZ"/>
              </w:rPr>
            </w:pPr>
          </w:p>
        </w:tc>
        <w:tc>
          <w:tcPr>
            <w:tcW w:w="992" w:type="dxa"/>
            <w:tcBorders>
              <w:top w:val="nil"/>
              <w:left w:val="nil"/>
              <w:bottom w:val="single" w:sz="8" w:space="0" w:color="auto"/>
              <w:right w:val="single" w:sz="8" w:space="0" w:color="auto"/>
            </w:tcBorders>
            <w:shd w:val="clear" w:color="auto" w:fill="auto"/>
            <w:vAlign w:val="center"/>
            <w:hideMark/>
          </w:tcPr>
          <w:p w14:paraId="1AFAF88B" w14:textId="77777777" w:rsidR="00596D8A" w:rsidRPr="00232A31" w:rsidRDefault="00596D8A" w:rsidP="002378E9">
            <w:pPr>
              <w:spacing w:after="0" w:line="240" w:lineRule="auto"/>
              <w:jc w:val="both"/>
              <w:rPr>
                <w:rFonts w:cs="Arial"/>
                <w:sz w:val="20"/>
                <w:lang w:val="en-NZ" w:eastAsia="en-NZ"/>
              </w:rPr>
            </w:pPr>
            <w:r w:rsidRPr="00232A31">
              <w:rPr>
                <w:rFonts w:cs="Arial"/>
                <w:sz w:val="20"/>
                <w:lang w:eastAsia="en-NZ"/>
              </w:rPr>
              <w:t>CPI</w:t>
            </w:r>
          </w:p>
        </w:tc>
        <w:tc>
          <w:tcPr>
            <w:tcW w:w="992" w:type="dxa"/>
            <w:tcBorders>
              <w:top w:val="nil"/>
              <w:left w:val="nil"/>
              <w:bottom w:val="single" w:sz="8" w:space="0" w:color="auto"/>
              <w:right w:val="single" w:sz="8" w:space="0" w:color="auto"/>
            </w:tcBorders>
            <w:shd w:val="clear" w:color="000000" w:fill="F2F2F2"/>
            <w:vAlign w:val="center"/>
            <w:hideMark/>
          </w:tcPr>
          <w:p w14:paraId="291DA9A4" w14:textId="77777777" w:rsidR="00596D8A" w:rsidRPr="00232A31" w:rsidRDefault="00596D8A" w:rsidP="002378E9">
            <w:pPr>
              <w:spacing w:after="0" w:line="240" w:lineRule="auto"/>
              <w:jc w:val="both"/>
              <w:rPr>
                <w:rFonts w:cs="Arial"/>
                <w:color w:val="000000"/>
                <w:sz w:val="20"/>
                <w:lang w:val="en-NZ" w:eastAsia="en-NZ"/>
              </w:rPr>
            </w:pPr>
            <w:r w:rsidRPr="00232A31">
              <w:rPr>
                <w:rFonts w:cs="Arial"/>
                <w:color w:val="000000"/>
                <w:sz w:val="20"/>
                <w:lang w:val="en-NZ" w:eastAsia="en-NZ"/>
              </w:rPr>
              <w:t>$406.10</w:t>
            </w:r>
          </w:p>
        </w:tc>
        <w:tc>
          <w:tcPr>
            <w:tcW w:w="993" w:type="dxa"/>
            <w:tcBorders>
              <w:top w:val="nil"/>
              <w:left w:val="nil"/>
              <w:bottom w:val="single" w:sz="8" w:space="0" w:color="auto"/>
              <w:right w:val="single" w:sz="8" w:space="0" w:color="auto"/>
            </w:tcBorders>
            <w:shd w:val="clear" w:color="000000" w:fill="F2F2F2"/>
            <w:vAlign w:val="center"/>
            <w:hideMark/>
          </w:tcPr>
          <w:p w14:paraId="7201B471" w14:textId="77777777" w:rsidR="00596D8A" w:rsidRPr="00232A31" w:rsidRDefault="00596D8A" w:rsidP="002378E9">
            <w:pPr>
              <w:spacing w:after="0" w:line="240" w:lineRule="auto"/>
              <w:jc w:val="both"/>
              <w:rPr>
                <w:rFonts w:cs="Arial"/>
                <w:color w:val="000000"/>
                <w:sz w:val="20"/>
                <w:lang w:val="en-NZ" w:eastAsia="en-NZ"/>
              </w:rPr>
            </w:pPr>
            <w:r w:rsidRPr="00232A31">
              <w:rPr>
                <w:rFonts w:cs="Arial"/>
                <w:color w:val="000000"/>
                <w:sz w:val="20"/>
                <w:lang w:val="en-NZ" w:eastAsia="en-NZ"/>
              </w:rPr>
              <w:t>$417.49</w:t>
            </w:r>
          </w:p>
        </w:tc>
        <w:tc>
          <w:tcPr>
            <w:tcW w:w="957" w:type="dxa"/>
            <w:tcBorders>
              <w:top w:val="nil"/>
              <w:left w:val="nil"/>
              <w:bottom w:val="single" w:sz="8" w:space="0" w:color="auto"/>
              <w:right w:val="single" w:sz="8" w:space="0" w:color="auto"/>
            </w:tcBorders>
            <w:shd w:val="clear" w:color="000000" w:fill="F2F2F2"/>
            <w:vAlign w:val="center"/>
            <w:hideMark/>
          </w:tcPr>
          <w:p w14:paraId="46745846" w14:textId="77777777" w:rsidR="00596D8A" w:rsidRPr="00232A31" w:rsidRDefault="00596D8A" w:rsidP="002378E9">
            <w:pPr>
              <w:spacing w:after="0" w:line="240" w:lineRule="auto"/>
              <w:jc w:val="both"/>
              <w:rPr>
                <w:rFonts w:cs="Arial"/>
                <w:color w:val="000000"/>
                <w:sz w:val="20"/>
                <w:lang w:val="en-NZ" w:eastAsia="en-NZ"/>
              </w:rPr>
            </w:pPr>
            <w:r w:rsidRPr="00232A31">
              <w:rPr>
                <w:rFonts w:cs="Arial"/>
                <w:color w:val="000000"/>
                <w:sz w:val="20"/>
                <w:lang w:val="en-NZ" w:eastAsia="en-NZ"/>
              </w:rPr>
              <w:t>$426.61</w:t>
            </w:r>
          </w:p>
        </w:tc>
        <w:tc>
          <w:tcPr>
            <w:tcW w:w="939" w:type="dxa"/>
            <w:tcBorders>
              <w:top w:val="nil"/>
              <w:left w:val="nil"/>
              <w:bottom w:val="single" w:sz="8" w:space="0" w:color="auto"/>
              <w:right w:val="single" w:sz="8" w:space="0" w:color="auto"/>
            </w:tcBorders>
            <w:shd w:val="clear" w:color="000000" w:fill="F2F2F2"/>
            <w:vAlign w:val="center"/>
            <w:hideMark/>
          </w:tcPr>
          <w:p w14:paraId="786B4DC4" w14:textId="77777777" w:rsidR="00596D8A" w:rsidRPr="00232A31" w:rsidRDefault="00596D8A" w:rsidP="002378E9">
            <w:pPr>
              <w:spacing w:after="0" w:line="240" w:lineRule="auto"/>
              <w:jc w:val="both"/>
              <w:rPr>
                <w:rFonts w:cs="Arial"/>
                <w:color w:val="000000"/>
                <w:sz w:val="20"/>
                <w:lang w:val="en-NZ" w:eastAsia="en-NZ"/>
              </w:rPr>
            </w:pPr>
            <w:r w:rsidRPr="00232A31">
              <w:rPr>
                <w:rFonts w:cs="Arial"/>
                <w:color w:val="000000"/>
                <w:sz w:val="20"/>
                <w:lang w:val="en-NZ" w:eastAsia="en-NZ"/>
              </w:rPr>
              <w:t>$435.31</w:t>
            </w:r>
          </w:p>
        </w:tc>
        <w:tc>
          <w:tcPr>
            <w:tcW w:w="939" w:type="dxa"/>
            <w:tcBorders>
              <w:top w:val="nil"/>
              <w:left w:val="nil"/>
              <w:bottom w:val="single" w:sz="8" w:space="0" w:color="auto"/>
              <w:right w:val="single" w:sz="8" w:space="0" w:color="auto"/>
            </w:tcBorders>
            <w:shd w:val="clear" w:color="000000" w:fill="F2F2F2"/>
            <w:vAlign w:val="center"/>
            <w:hideMark/>
          </w:tcPr>
          <w:p w14:paraId="47935E53" w14:textId="77777777" w:rsidR="00596D8A" w:rsidRPr="00232A31" w:rsidRDefault="00596D8A" w:rsidP="002378E9">
            <w:pPr>
              <w:spacing w:after="0" w:line="240" w:lineRule="auto"/>
              <w:jc w:val="both"/>
              <w:rPr>
                <w:rFonts w:cs="Arial"/>
                <w:color w:val="000000"/>
                <w:sz w:val="20"/>
                <w:lang w:val="en-NZ" w:eastAsia="en-NZ"/>
              </w:rPr>
            </w:pPr>
            <w:r w:rsidRPr="00232A31">
              <w:rPr>
                <w:rFonts w:cs="Arial"/>
                <w:color w:val="000000"/>
                <w:sz w:val="20"/>
                <w:lang w:val="en-NZ" w:eastAsia="en-NZ"/>
              </w:rPr>
              <w:t>$443.98</w:t>
            </w:r>
          </w:p>
        </w:tc>
      </w:tr>
      <w:tr w:rsidR="00596D8A" w:rsidRPr="00232A31" w14:paraId="78DA0CF4" w14:textId="77777777" w:rsidTr="002378E9">
        <w:trPr>
          <w:trHeight w:val="1035"/>
        </w:trPr>
        <w:tc>
          <w:tcPr>
            <w:tcW w:w="2268" w:type="dxa"/>
            <w:tcBorders>
              <w:top w:val="nil"/>
              <w:left w:val="single" w:sz="8" w:space="0" w:color="auto"/>
              <w:bottom w:val="nil"/>
              <w:right w:val="single" w:sz="8" w:space="0" w:color="auto"/>
            </w:tcBorders>
            <w:shd w:val="clear" w:color="auto" w:fill="auto"/>
            <w:vAlign w:val="center"/>
            <w:hideMark/>
          </w:tcPr>
          <w:p w14:paraId="56222BA2" w14:textId="77777777" w:rsidR="00596D8A" w:rsidRPr="00232A31" w:rsidRDefault="00596D8A" w:rsidP="002378E9">
            <w:pPr>
              <w:spacing w:after="0" w:line="240" w:lineRule="auto"/>
              <w:rPr>
                <w:rFonts w:cs="Arial"/>
                <w:b/>
                <w:bCs/>
                <w:sz w:val="20"/>
                <w:lang w:val="en-NZ" w:eastAsia="en-NZ"/>
              </w:rPr>
            </w:pPr>
            <w:r w:rsidRPr="00232A31">
              <w:rPr>
                <w:rFonts w:cs="Arial"/>
                <w:b/>
                <w:bCs/>
                <w:sz w:val="20"/>
                <w:lang w:eastAsia="en-NZ"/>
              </w:rPr>
              <w:t>Supported Living Payment</w:t>
            </w:r>
          </w:p>
        </w:tc>
        <w:tc>
          <w:tcPr>
            <w:tcW w:w="851"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77F0C994" w14:textId="77777777" w:rsidR="00596D8A" w:rsidRPr="00232A31" w:rsidRDefault="00596D8A" w:rsidP="002378E9">
            <w:pPr>
              <w:spacing w:after="0" w:line="240" w:lineRule="auto"/>
              <w:jc w:val="both"/>
              <w:rPr>
                <w:rFonts w:cs="Arial"/>
                <w:color w:val="000000"/>
                <w:sz w:val="20"/>
                <w:lang w:val="en-NZ" w:eastAsia="en-NZ"/>
              </w:rPr>
            </w:pPr>
            <w:r w:rsidRPr="00232A31">
              <w:rPr>
                <w:rFonts w:cs="Arial"/>
                <w:sz w:val="20"/>
                <w:lang w:eastAsia="en-NZ"/>
              </w:rPr>
              <w:t>$654.04</w:t>
            </w:r>
          </w:p>
        </w:tc>
        <w:tc>
          <w:tcPr>
            <w:tcW w:w="992" w:type="dxa"/>
            <w:tcBorders>
              <w:top w:val="nil"/>
              <w:left w:val="nil"/>
              <w:bottom w:val="single" w:sz="8" w:space="0" w:color="auto"/>
              <w:right w:val="single" w:sz="8" w:space="0" w:color="auto"/>
            </w:tcBorders>
            <w:shd w:val="clear" w:color="000000" w:fill="F2F2F2"/>
            <w:vAlign w:val="center"/>
            <w:hideMark/>
          </w:tcPr>
          <w:p w14:paraId="6B7229E6" w14:textId="77777777" w:rsidR="00596D8A" w:rsidRPr="00232A31" w:rsidRDefault="00596D8A" w:rsidP="002378E9">
            <w:pPr>
              <w:spacing w:after="0" w:line="240" w:lineRule="auto"/>
              <w:jc w:val="both"/>
              <w:rPr>
                <w:rFonts w:cs="Arial"/>
                <w:color w:val="000000"/>
                <w:sz w:val="20"/>
                <w:lang w:val="en-NZ" w:eastAsia="en-NZ"/>
              </w:rPr>
            </w:pPr>
            <w:r w:rsidRPr="00232A31">
              <w:rPr>
                <w:rFonts w:cs="Arial"/>
                <w:sz w:val="20"/>
                <w:lang w:eastAsia="en-NZ"/>
              </w:rPr>
              <w:t>Wages</w:t>
            </w:r>
          </w:p>
        </w:tc>
        <w:tc>
          <w:tcPr>
            <w:tcW w:w="992" w:type="dxa"/>
            <w:tcBorders>
              <w:top w:val="nil"/>
              <w:left w:val="nil"/>
              <w:bottom w:val="single" w:sz="8" w:space="0" w:color="auto"/>
              <w:right w:val="single" w:sz="8" w:space="0" w:color="auto"/>
            </w:tcBorders>
            <w:shd w:val="clear" w:color="000000" w:fill="F2F2F2"/>
            <w:vAlign w:val="center"/>
            <w:hideMark/>
          </w:tcPr>
          <w:p w14:paraId="15BE5591" w14:textId="77777777" w:rsidR="00596D8A" w:rsidRPr="00232A31" w:rsidRDefault="00596D8A" w:rsidP="002378E9">
            <w:pPr>
              <w:spacing w:after="0" w:line="240" w:lineRule="auto"/>
              <w:jc w:val="both"/>
              <w:rPr>
                <w:rFonts w:cs="Arial"/>
                <w:color w:val="000000"/>
                <w:sz w:val="20"/>
                <w:lang w:val="en-NZ" w:eastAsia="en-NZ"/>
              </w:rPr>
            </w:pPr>
            <w:r w:rsidRPr="00232A31">
              <w:rPr>
                <w:rFonts w:cs="Arial"/>
                <w:sz w:val="20"/>
                <w:lang w:eastAsia="en-NZ"/>
              </w:rPr>
              <w:t>$685.00</w:t>
            </w:r>
          </w:p>
        </w:tc>
        <w:tc>
          <w:tcPr>
            <w:tcW w:w="993" w:type="dxa"/>
            <w:tcBorders>
              <w:top w:val="nil"/>
              <w:left w:val="nil"/>
              <w:bottom w:val="single" w:sz="8" w:space="0" w:color="auto"/>
              <w:right w:val="single" w:sz="8" w:space="0" w:color="auto"/>
            </w:tcBorders>
            <w:shd w:val="clear" w:color="000000" w:fill="F2F2F2"/>
            <w:vAlign w:val="center"/>
            <w:hideMark/>
          </w:tcPr>
          <w:p w14:paraId="41E55CA4" w14:textId="77777777" w:rsidR="00596D8A" w:rsidRPr="00232A31" w:rsidRDefault="00596D8A" w:rsidP="002378E9">
            <w:pPr>
              <w:spacing w:after="0" w:line="240" w:lineRule="auto"/>
              <w:jc w:val="both"/>
              <w:rPr>
                <w:rFonts w:cs="Arial"/>
                <w:color w:val="000000"/>
                <w:sz w:val="20"/>
                <w:lang w:val="en-NZ" w:eastAsia="en-NZ"/>
              </w:rPr>
            </w:pPr>
            <w:r w:rsidRPr="00232A31">
              <w:rPr>
                <w:rFonts w:cs="Arial"/>
                <w:sz w:val="20"/>
                <w:lang w:eastAsia="en-NZ"/>
              </w:rPr>
              <w:t>$716.06</w:t>
            </w:r>
          </w:p>
        </w:tc>
        <w:tc>
          <w:tcPr>
            <w:tcW w:w="957" w:type="dxa"/>
            <w:tcBorders>
              <w:top w:val="nil"/>
              <w:left w:val="nil"/>
              <w:bottom w:val="single" w:sz="8" w:space="0" w:color="auto"/>
              <w:right w:val="single" w:sz="8" w:space="0" w:color="auto"/>
            </w:tcBorders>
            <w:shd w:val="clear" w:color="000000" w:fill="F2F2F2"/>
            <w:vAlign w:val="center"/>
            <w:hideMark/>
          </w:tcPr>
          <w:p w14:paraId="171FC590" w14:textId="77777777" w:rsidR="00596D8A" w:rsidRPr="00232A31" w:rsidRDefault="00596D8A" w:rsidP="002378E9">
            <w:pPr>
              <w:spacing w:after="0" w:line="240" w:lineRule="auto"/>
              <w:jc w:val="both"/>
              <w:rPr>
                <w:rFonts w:cs="Arial"/>
                <w:color w:val="000000"/>
                <w:sz w:val="20"/>
                <w:lang w:val="en-NZ" w:eastAsia="en-NZ"/>
              </w:rPr>
            </w:pPr>
            <w:r w:rsidRPr="00232A31">
              <w:rPr>
                <w:rFonts w:cs="Arial"/>
                <w:sz w:val="20"/>
                <w:lang w:eastAsia="en-NZ"/>
              </w:rPr>
              <w:t>$743.10</w:t>
            </w:r>
          </w:p>
        </w:tc>
        <w:tc>
          <w:tcPr>
            <w:tcW w:w="939" w:type="dxa"/>
            <w:tcBorders>
              <w:top w:val="nil"/>
              <w:left w:val="nil"/>
              <w:bottom w:val="single" w:sz="8" w:space="0" w:color="auto"/>
              <w:right w:val="single" w:sz="8" w:space="0" w:color="auto"/>
            </w:tcBorders>
            <w:shd w:val="clear" w:color="000000" w:fill="F2F2F2"/>
            <w:vAlign w:val="center"/>
            <w:hideMark/>
          </w:tcPr>
          <w:p w14:paraId="38EAF1D1" w14:textId="77777777" w:rsidR="00596D8A" w:rsidRPr="00232A31" w:rsidRDefault="00596D8A" w:rsidP="002378E9">
            <w:pPr>
              <w:spacing w:after="0" w:line="240" w:lineRule="auto"/>
              <w:jc w:val="both"/>
              <w:rPr>
                <w:rFonts w:cs="Arial"/>
                <w:color w:val="000000"/>
                <w:sz w:val="20"/>
                <w:lang w:val="en-NZ" w:eastAsia="en-NZ"/>
              </w:rPr>
            </w:pPr>
            <w:r w:rsidRPr="00232A31">
              <w:rPr>
                <w:rFonts w:cs="Arial"/>
                <w:sz w:val="20"/>
                <w:lang w:eastAsia="en-NZ"/>
              </w:rPr>
              <w:t>$766.84</w:t>
            </w:r>
          </w:p>
        </w:tc>
        <w:tc>
          <w:tcPr>
            <w:tcW w:w="939" w:type="dxa"/>
            <w:tcBorders>
              <w:top w:val="nil"/>
              <w:left w:val="nil"/>
              <w:bottom w:val="single" w:sz="8" w:space="0" w:color="auto"/>
              <w:right w:val="single" w:sz="8" w:space="0" w:color="auto"/>
            </w:tcBorders>
            <w:shd w:val="clear" w:color="000000" w:fill="F2F2F2"/>
            <w:vAlign w:val="center"/>
            <w:hideMark/>
          </w:tcPr>
          <w:p w14:paraId="284BA3DD" w14:textId="77777777" w:rsidR="00596D8A" w:rsidRPr="00232A31" w:rsidRDefault="00596D8A" w:rsidP="002378E9">
            <w:pPr>
              <w:spacing w:after="0" w:line="240" w:lineRule="auto"/>
              <w:jc w:val="both"/>
              <w:rPr>
                <w:rFonts w:cs="Arial"/>
                <w:color w:val="000000"/>
                <w:sz w:val="20"/>
                <w:lang w:val="en-NZ" w:eastAsia="en-NZ"/>
              </w:rPr>
            </w:pPr>
            <w:r w:rsidRPr="00232A31">
              <w:rPr>
                <w:rFonts w:cs="Arial"/>
                <w:sz w:val="20"/>
                <w:lang w:eastAsia="en-NZ"/>
              </w:rPr>
              <w:t>$789.54</w:t>
            </w:r>
          </w:p>
        </w:tc>
      </w:tr>
      <w:tr w:rsidR="00596D8A" w:rsidRPr="00232A31" w14:paraId="719D785B" w14:textId="77777777" w:rsidTr="002378E9">
        <w:trPr>
          <w:trHeight w:val="1338"/>
        </w:trPr>
        <w:tc>
          <w:tcPr>
            <w:tcW w:w="2268" w:type="dxa"/>
            <w:tcBorders>
              <w:top w:val="nil"/>
              <w:left w:val="single" w:sz="8" w:space="0" w:color="auto"/>
              <w:bottom w:val="single" w:sz="8" w:space="0" w:color="auto"/>
              <w:right w:val="single" w:sz="8" w:space="0" w:color="auto"/>
            </w:tcBorders>
            <w:shd w:val="clear" w:color="auto" w:fill="auto"/>
            <w:vAlign w:val="center"/>
            <w:hideMark/>
          </w:tcPr>
          <w:p w14:paraId="602FEB45" w14:textId="77777777" w:rsidR="00596D8A" w:rsidRPr="00232A31" w:rsidRDefault="00596D8A" w:rsidP="002378E9">
            <w:pPr>
              <w:spacing w:after="0" w:line="240" w:lineRule="auto"/>
              <w:rPr>
                <w:rFonts w:cs="Arial"/>
                <w:sz w:val="20"/>
                <w:lang w:val="en-NZ" w:eastAsia="en-NZ"/>
              </w:rPr>
            </w:pPr>
            <w:r w:rsidRPr="00232A31">
              <w:rPr>
                <w:rFonts w:cs="Arial"/>
                <w:sz w:val="20"/>
                <w:lang w:eastAsia="en-NZ"/>
              </w:rPr>
              <w:t>Married, civil union or de facto couple without children (Total)</w:t>
            </w:r>
          </w:p>
        </w:tc>
        <w:tc>
          <w:tcPr>
            <w:tcW w:w="851" w:type="dxa"/>
            <w:vMerge/>
            <w:tcBorders>
              <w:top w:val="nil"/>
              <w:left w:val="single" w:sz="8" w:space="0" w:color="auto"/>
              <w:bottom w:val="single" w:sz="8" w:space="0" w:color="000000"/>
              <w:right w:val="single" w:sz="8" w:space="0" w:color="auto"/>
            </w:tcBorders>
            <w:vAlign w:val="center"/>
            <w:hideMark/>
          </w:tcPr>
          <w:p w14:paraId="29618F02" w14:textId="77777777" w:rsidR="00596D8A" w:rsidRPr="00232A31" w:rsidRDefault="00596D8A" w:rsidP="002378E9">
            <w:pPr>
              <w:spacing w:after="0" w:line="240" w:lineRule="auto"/>
              <w:rPr>
                <w:rFonts w:cs="Arial"/>
                <w:color w:val="000000"/>
                <w:sz w:val="20"/>
                <w:lang w:val="en-NZ" w:eastAsia="en-NZ"/>
              </w:rPr>
            </w:pPr>
          </w:p>
        </w:tc>
        <w:tc>
          <w:tcPr>
            <w:tcW w:w="992" w:type="dxa"/>
            <w:tcBorders>
              <w:top w:val="nil"/>
              <w:left w:val="nil"/>
              <w:bottom w:val="single" w:sz="8" w:space="0" w:color="auto"/>
              <w:right w:val="single" w:sz="8" w:space="0" w:color="auto"/>
            </w:tcBorders>
            <w:shd w:val="clear" w:color="auto" w:fill="auto"/>
            <w:vAlign w:val="center"/>
            <w:hideMark/>
          </w:tcPr>
          <w:p w14:paraId="1EB80A82" w14:textId="77777777" w:rsidR="00596D8A" w:rsidRPr="00232A31" w:rsidRDefault="00596D8A" w:rsidP="002378E9">
            <w:pPr>
              <w:spacing w:after="0" w:line="240" w:lineRule="auto"/>
              <w:jc w:val="both"/>
              <w:rPr>
                <w:rFonts w:cs="Arial"/>
                <w:sz w:val="20"/>
                <w:lang w:val="en-NZ" w:eastAsia="en-NZ"/>
              </w:rPr>
            </w:pPr>
            <w:r w:rsidRPr="00232A31">
              <w:rPr>
                <w:rFonts w:cs="Arial"/>
                <w:sz w:val="20"/>
                <w:lang w:eastAsia="en-NZ"/>
              </w:rPr>
              <w:t>CPI</w:t>
            </w:r>
          </w:p>
        </w:tc>
        <w:tc>
          <w:tcPr>
            <w:tcW w:w="992" w:type="dxa"/>
            <w:tcBorders>
              <w:top w:val="nil"/>
              <w:left w:val="nil"/>
              <w:bottom w:val="single" w:sz="8" w:space="0" w:color="auto"/>
              <w:right w:val="single" w:sz="8" w:space="0" w:color="auto"/>
            </w:tcBorders>
            <w:shd w:val="clear" w:color="000000" w:fill="F2F2F2"/>
            <w:vAlign w:val="center"/>
            <w:hideMark/>
          </w:tcPr>
          <w:p w14:paraId="1577DB58" w14:textId="77777777" w:rsidR="00596D8A" w:rsidRPr="00232A31" w:rsidRDefault="00596D8A" w:rsidP="002378E9">
            <w:pPr>
              <w:spacing w:after="0" w:line="240" w:lineRule="auto"/>
              <w:jc w:val="both"/>
              <w:rPr>
                <w:rFonts w:cs="Arial"/>
                <w:color w:val="000000"/>
                <w:sz w:val="20"/>
                <w:lang w:val="en-NZ" w:eastAsia="en-NZ"/>
              </w:rPr>
            </w:pPr>
            <w:r w:rsidRPr="00232A31">
              <w:rPr>
                <w:rFonts w:cs="Arial"/>
                <w:color w:val="000000"/>
                <w:sz w:val="20"/>
                <w:lang w:val="en-NZ" w:eastAsia="en-NZ"/>
              </w:rPr>
              <w:t>$690.04</w:t>
            </w:r>
          </w:p>
        </w:tc>
        <w:tc>
          <w:tcPr>
            <w:tcW w:w="993" w:type="dxa"/>
            <w:tcBorders>
              <w:top w:val="nil"/>
              <w:left w:val="nil"/>
              <w:bottom w:val="single" w:sz="8" w:space="0" w:color="auto"/>
              <w:right w:val="single" w:sz="8" w:space="0" w:color="auto"/>
            </w:tcBorders>
            <w:shd w:val="clear" w:color="000000" w:fill="F2F2F2"/>
            <w:vAlign w:val="center"/>
            <w:hideMark/>
          </w:tcPr>
          <w:p w14:paraId="322688B3" w14:textId="77777777" w:rsidR="00596D8A" w:rsidRPr="00232A31" w:rsidRDefault="00596D8A" w:rsidP="002378E9">
            <w:pPr>
              <w:spacing w:after="0" w:line="240" w:lineRule="auto"/>
              <w:jc w:val="both"/>
              <w:rPr>
                <w:rFonts w:cs="Arial"/>
                <w:color w:val="000000"/>
                <w:sz w:val="20"/>
                <w:lang w:val="en-NZ" w:eastAsia="en-NZ"/>
              </w:rPr>
            </w:pPr>
            <w:r w:rsidRPr="00232A31">
              <w:rPr>
                <w:rFonts w:cs="Arial"/>
                <w:color w:val="000000"/>
                <w:sz w:val="20"/>
                <w:lang w:val="en-NZ" w:eastAsia="en-NZ"/>
              </w:rPr>
              <w:t>$709.40</w:t>
            </w:r>
          </w:p>
        </w:tc>
        <w:tc>
          <w:tcPr>
            <w:tcW w:w="957" w:type="dxa"/>
            <w:tcBorders>
              <w:top w:val="nil"/>
              <w:left w:val="nil"/>
              <w:bottom w:val="single" w:sz="8" w:space="0" w:color="auto"/>
              <w:right w:val="single" w:sz="8" w:space="0" w:color="auto"/>
            </w:tcBorders>
            <w:shd w:val="clear" w:color="000000" w:fill="F2F2F2"/>
            <w:vAlign w:val="center"/>
            <w:hideMark/>
          </w:tcPr>
          <w:p w14:paraId="0B570AAE" w14:textId="77777777" w:rsidR="00596D8A" w:rsidRPr="00232A31" w:rsidRDefault="00596D8A" w:rsidP="002378E9">
            <w:pPr>
              <w:spacing w:after="0" w:line="240" w:lineRule="auto"/>
              <w:jc w:val="both"/>
              <w:rPr>
                <w:rFonts w:cs="Arial"/>
                <w:color w:val="000000"/>
                <w:sz w:val="20"/>
                <w:lang w:val="en-NZ" w:eastAsia="en-NZ"/>
              </w:rPr>
            </w:pPr>
            <w:r w:rsidRPr="00232A31">
              <w:rPr>
                <w:rFonts w:cs="Arial"/>
                <w:color w:val="000000"/>
                <w:sz w:val="20"/>
                <w:lang w:val="en-NZ" w:eastAsia="en-NZ"/>
              </w:rPr>
              <w:t>$724.90</w:t>
            </w:r>
          </w:p>
        </w:tc>
        <w:tc>
          <w:tcPr>
            <w:tcW w:w="939" w:type="dxa"/>
            <w:tcBorders>
              <w:top w:val="nil"/>
              <w:left w:val="nil"/>
              <w:bottom w:val="single" w:sz="8" w:space="0" w:color="auto"/>
              <w:right w:val="single" w:sz="8" w:space="0" w:color="auto"/>
            </w:tcBorders>
            <w:shd w:val="clear" w:color="000000" w:fill="F2F2F2"/>
            <w:vAlign w:val="center"/>
            <w:hideMark/>
          </w:tcPr>
          <w:p w14:paraId="25416BE9" w14:textId="77777777" w:rsidR="00596D8A" w:rsidRPr="00232A31" w:rsidRDefault="00596D8A" w:rsidP="002378E9">
            <w:pPr>
              <w:spacing w:after="0" w:line="240" w:lineRule="auto"/>
              <w:jc w:val="both"/>
              <w:rPr>
                <w:rFonts w:cs="Arial"/>
                <w:color w:val="000000"/>
                <w:sz w:val="20"/>
                <w:lang w:val="en-NZ" w:eastAsia="en-NZ"/>
              </w:rPr>
            </w:pPr>
            <w:r w:rsidRPr="00232A31">
              <w:rPr>
                <w:rFonts w:cs="Arial"/>
                <w:color w:val="000000"/>
                <w:sz w:val="20"/>
                <w:lang w:val="en-NZ" w:eastAsia="en-NZ"/>
              </w:rPr>
              <w:t>$739.68</w:t>
            </w:r>
          </w:p>
        </w:tc>
        <w:tc>
          <w:tcPr>
            <w:tcW w:w="939" w:type="dxa"/>
            <w:tcBorders>
              <w:top w:val="nil"/>
              <w:left w:val="nil"/>
              <w:bottom w:val="single" w:sz="8" w:space="0" w:color="auto"/>
              <w:right w:val="single" w:sz="8" w:space="0" w:color="auto"/>
            </w:tcBorders>
            <w:shd w:val="clear" w:color="000000" w:fill="F2F2F2"/>
            <w:vAlign w:val="center"/>
            <w:hideMark/>
          </w:tcPr>
          <w:p w14:paraId="59D5940C" w14:textId="77777777" w:rsidR="00596D8A" w:rsidRPr="00232A31" w:rsidRDefault="00596D8A" w:rsidP="002378E9">
            <w:pPr>
              <w:spacing w:after="0" w:line="240" w:lineRule="auto"/>
              <w:jc w:val="both"/>
              <w:rPr>
                <w:rFonts w:cs="Arial"/>
                <w:color w:val="000000"/>
                <w:sz w:val="20"/>
                <w:lang w:val="en-NZ" w:eastAsia="en-NZ"/>
              </w:rPr>
            </w:pPr>
            <w:r w:rsidRPr="00232A31">
              <w:rPr>
                <w:rFonts w:cs="Arial"/>
                <w:color w:val="000000"/>
                <w:sz w:val="20"/>
                <w:lang w:val="en-NZ" w:eastAsia="en-NZ"/>
              </w:rPr>
              <w:t>$754.42</w:t>
            </w:r>
          </w:p>
        </w:tc>
      </w:tr>
      <w:tr w:rsidR="00596D8A" w:rsidRPr="00232A31" w14:paraId="74D01A5A" w14:textId="77777777" w:rsidTr="002378E9">
        <w:trPr>
          <w:trHeight w:val="1035"/>
        </w:trPr>
        <w:tc>
          <w:tcPr>
            <w:tcW w:w="2268" w:type="dxa"/>
            <w:tcBorders>
              <w:top w:val="nil"/>
              <w:left w:val="single" w:sz="8" w:space="0" w:color="auto"/>
              <w:bottom w:val="nil"/>
              <w:right w:val="single" w:sz="8" w:space="0" w:color="auto"/>
            </w:tcBorders>
            <w:shd w:val="clear" w:color="auto" w:fill="auto"/>
            <w:vAlign w:val="center"/>
            <w:hideMark/>
          </w:tcPr>
          <w:p w14:paraId="411F3FC2" w14:textId="77777777" w:rsidR="00596D8A" w:rsidRPr="00232A31" w:rsidRDefault="00596D8A" w:rsidP="002378E9">
            <w:pPr>
              <w:spacing w:after="0" w:line="240" w:lineRule="auto"/>
              <w:rPr>
                <w:rFonts w:cs="Arial"/>
                <w:b/>
                <w:bCs/>
                <w:sz w:val="20"/>
                <w:lang w:val="en-NZ" w:eastAsia="en-NZ"/>
              </w:rPr>
            </w:pPr>
            <w:r w:rsidRPr="00232A31">
              <w:rPr>
                <w:rFonts w:cs="Arial"/>
                <w:b/>
                <w:bCs/>
                <w:sz w:val="20"/>
                <w:lang w:eastAsia="en-NZ"/>
              </w:rPr>
              <w:t>Supported Living Payment</w:t>
            </w:r>
          </w:p>
        </w:tc>
        <w:tc>
          <w:tcPr>
            <w:tcW w:w="851"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66DDC353" w14:textId="77777777" w:rsidR="00596D8A" w:rsidRPr="00232A31" w:rsidRDefault="00596D8A" w:rsidP="002378E9">
            <w:pPr>
              <w:spacing w:after="0" w:line="240" w:lineRule="auto"/>
              <w:jc w:val="both"/>
              <w:rPr>
                <w:rFonts w:cs="Arial"/>
                <w:color w:val="000000"/>
                <w:sz w:val="20"/>
                <w:lang w:val="en-NZ" w:eastAsia="en-NZ"/>
              </w:rPr>
            </w:pPr>
            <w:r w:rsidRPr="00232A31">
              <w:rPr>
                <w:rFonts w:cs="Arial"/>
                <w:sz w:val="20"/>
                <w:lang w:eastAsia="en-NZ"/>
              </w:rPr>
              <w:t>$686.20</w:t>
            </w:r>
          </w:p>
        </w:tc>
        <w:tc>
          <w:tcPr>
            <w:tcW w:w="992" w:type="dxa"/>
            <w:tcBorders>
              <w:top w:val="nil"/>
              <w:left w:val="nil"/>
              <w:bottom w:val="single" w:sz="8" w:space="0" w:color="auto"/>
              <w:right w:val="single" w:sz="8" w:space="0" w:color="auto"/>
            </w:tcBorders>
            <w:shd w:val="clear" w:color="000000" w:fill="F2F2F2"/>
            <w:vAlign w:val="center"/>
            <w:hideMark/>
          </w:tcPr>
          <w:p w14:paraId="649B3CCA" w14:textId="77777777" w:rsidR="00596D8A" w:rsidRPr="00232A31" w:rsidRDefault="00596D8A" w:rsidP="002378E9">
            <w:pPr>
              <w:spacing w:after="0" w:line="240" w:lineRule="auto"/>
              <w:jc w:val="both"/>
              <w:rPr>
                <w:rFonts w:cs="Arial"/>
                <w:color w:val="000000"/>
                <w:sz w:val="20"/>
                <w:lang w:val="en-NZ" w:eastAsia="en-NZ"/>
              </w:rPr>
            </w:pPr>
            <w:r w:rsidRPr="00232A31">
              <w:rPr>
                <w:rFonts w:cs="Arial"/>
                <w:sz w:val="20"/>
                <w:lang w:eastAsia="en-NZ"/>
              </w:rPr>
              <w:t>Wages</w:t>
            </w:r>
          </w:p>
        </w:tc>
        <w:tc>
          <w:tcPr>
            <w:tcW w:w="992" w:type="dxa"/>
            <w:tcBorders>
              <w:top w:val="nil"/>
              <w:left w:val="nil"/>
              <w:bottom w:val="single" w:sz="8" w:space="0" w:color="auto"/>
              <w:right w:val="single" w:sz="8" w:space="0" w:color="auto"/>
            </w:tcBorders>
            <w:shd w:val="clear" w:color="000000" w:fill="F2F2F2"/>
            <w:vAlign w:val="center"/>
            <w:hideMark/>
          </w:tcPr>
          <w:p w14:paraId="3277F1F7" w14:textId="77777777" w:rsidR="00596D8A" w:rsidRPr="00232A31" w:rsidRDefault="00596D8A" w:rsidP="002378E9">
            <w:pPr>
              <w:spacing w:after="0" w:line="240" w:lineRule="auto"/>
              <w:jc w:val="both"/>
              <w:rPr>
                <w:rFonts w:cs="Arial"/>
                <w:color w:val="000000"/>
                <w:sz w:val="20"/>
                <w:lang w:val="en-NZ" w:eastAsia="en-NZ"/>
              </w:rPr>
            </w:pPr>
            <w:r w:rsidRPr="00232A31">
              <w:rPr>
                <w:rFonts w:cs="Arial"/>
                <w:sz w:val="20"/>
                <w:lang w:eastAsia="en-NZ"/>
              </w:rPr>
              <w:t>$718.70</w:t>
            </w:r>
          </w:p>
        </w:tc>
        <w:tc>
          <w:tcPr>
            <w:tcW w:w="993" w:type="dxa"/>
            <w:tcBorders>
              <w:top w:val="nil"/>
              <w:left w:val="nil"/>
              <w:bottom w:val="single" w:sz="8" w:space="0" w:color="auto"/>
              <w:right w:val="single" w:sz="8" w:space="0" w:color="auto"/>
            </w:tcBorders>
            <w:shd w:val="clear" w:color="000000" w:fill="F2F2F2"/>
            <w:vAlign w:val="center"/>
            <w:hideMark/>
          </w:tcPr>
          <w:p w14:paraId="3E8A6FBD" w14:textId="77777777" w:rsidR="00596D8A" w:rsidRPr="00232A31" w:rsidRDefault="00596D8A" w:rsidP="002378E9">
            <w:pPr>
              <w:spacing w:after="0" w:line="240" w:lineRule="auto"/>
              <w:jc w:val="both"/>
              <w:rPr>
                <w:rFonts w:cs="Arial"/>
                <w:color w:val="000000"/>
                <w:sz w:val="20"/>
                <w:lang w:val="en-NZ" w:eastAsia="en-NZ"/>
              </w:rPr>
            </w:pPr>
            <w:r w:rsidRPr="00232A31">
              <w:rPr>
                <w:rFonts w:cs="Arial"/>
                <w:sz w:val="20"/>
                <w:lang w:eastAsia="en-NZ"/>
              </w:rPr>
              <w:t>$751.28</w:t>
            </w:r>
          </w:p>
        </w:tc>
        <w:tc>
          <w:tcPr>
            <w:tcW w:w="957" w:type="dxa"/>
            <w:tcBorders>
              <w:top w:val="nil"/>
              <w:left w:val="nil"/>
              <w:bottom w:val="single" w:sz="8" w:space="0" w:color="auto"/>
              <w:right w:val="single" w:sz="8" w:space="0" w:color="auto"/>
            </w:tcBorders>
            <w:shd w:val="clear" w:color="000000" w:fill="F2F2F2"/>
            <w:vAlign w:val="center"/>
            <w:hideMark/>
          </w:tcPr>
          <w:p w14:paraId="5FED8BC9" w14:textId="77777777" w:rsidR="00596D8A" w:rsidRPr="00232A31" w:rsidRDefault="00596D8A" w:rsidP="002378E9">
            <w:pPr>
              <w:spacing w:after="0" w:line="240" w:lineRule="auto"/>
              <w:jc w:val="both"/>
              <w:rPr>
                <w:rFonts w:cs="Arial"/>
                <w:color w:val="000000"/>
                <w:sz w:val="20"/>
                <w:lang w:val="en-NZ" w:eastAsia="en-NZ"/>
              </w:rPr>
            </w:pPr>
            <w:r w:rsidRPr="00232A31">
              <w:rPr>
                <w:rFonts w:cs="Arial"/>
                <w:sz w:val="20"/>
                <w:lang w:eastAsia="en-NZ"/>
              </w:rPr>
              <w:t>$779.66</w:t>
            </w:r>
          </w:p>
        </w:tc>
        <w:tc>
          <w:tcPr>
            <w:tcW w:w="939" w:type="dxa"/>
            <w:tcBorders>
              <w:top w:val="nil"/>
              <w:left w:val="nil"/>
              <w:bottom w:val="single" w:sz="8" w:space="0" w:color="auto"/>
              <w:right w:val="single" w:sz="8" w:space="0" w:color="auto"/>
            </w:tcBorders>
            <w:shd w:val="clear" w:color="000000" w:fill="F2F2F2"/>
            <w:vAlign w:val="center"/>
            <w:hideMark/>
          </w:tcPr>
          <w:p w14:paraId="37188DF7" w14:textId="77777777" w:rsidR="00596D8A" w:rsidRPr="00232A31" w:rsidRDefault="00596D8A" w:rsidP="002378E9">
            <w:pPr>
              <w:spacing w:after="0" w:line="240" w:lineRule="auto"/>
              <w:jc w:val="both"/>
              <w:rPr>
                <w:rFonts w:cs="Arial"/>
                <w:color w:val="000000"/>
                <w:sz w:val="20"/>
                <w:lang w:val="en-NZ" w:eastAsia="en-NZ"/>
              </w:rPr>
            </w:pPr>
            <w:r w:rsidRPr="00232A31">
              <w:rPr>
                <w:rFonts w:cs="Arial"/>
                <w:sz w:val="20"/>
                <w:lang w:eastAsia="en-NZ"/>
              </w:rPr>
              <w:t>$804.58</w:t>
            </w:r>
          </w:p>
        </w:tc>
        <w:tc>
          <w:tcPr>
            <w:tcW w:w="939" w:type="dxa"/>
            <w:tcBorders>
              <w:top w:val="nil"/>
              <w:left w:val="nil"/>
              <w:bottom w:val="single" w:sz="8" w:space="0" w:color="auto"/>
              <w:right w:val="single" w:sz="8" w:space="0" w:color="auto"/>
            </w:tcBorders>
            <w:shd w:val="clear" w:color="000000" w:fill="F2F2F2"/>
            <w:vAlign w:val="center"/>
            <w:hideMark/>
          </w:tcPr>
          <w:p w14:paraId="440AFE71" w14:textId="77777777" w:rsidR="00596D8A" w:rsidRPr="00232A31" w:rsidRDefault="00596D8A" w:rsidP="002378E9">
            <w:pPr>
              <w:spacing w:after="0" w:line="240" w:lineRule="auto"/>
              <w:jc w:val="both"/>
              <w:rPr>
                <w:rFonts w:cs="Arial"/>
                <w:color w:val="000000"/>
                <w:sz w:val="20"/>
                <w:lang w:val="en-NZ" w:eastAsia="en-NZ"/>
              </w:rPr>
            </w:pPr>
            <w:r w:rsidRPr="00232A31">
              <w:rPr>
                <w:rFonts w:cs="Arial"/>
                <w:sz w:val="20"/>
                <w:lang w:eastAsia="en-NZ"/>
              </w:rPr>
              <w:t>$828.40</w:t>
            </w:r>
          </w:p>
        </w:tc>
      </w:tr>
      <w:tr w:rsidR="00596D8A" w:rsidRPr="00232A31" w14:paraId="07DA9BD3" w14:textId="77777777" w:rsidTr="002378E9">
        <w:trPr>
          <w:trHeight w:val="1046"/>
        </w:trPr>
        <w:tc>
          <w:tcPr>
            <w:tcW w:w="2268" w:type="dxa"/>
            <w:tcBorders>
              <w:top w:val="nil"/>
              <w:left w:val="single" w:sz="8" w:space="0" w:color="auto"/>
              <w:bottom w:val="single" w:sz="8" w:space="0" w:color="auto"/>
              <w:right w:val="single" w:sz="8" w:space="0" w:color="auto"/>
            </w:tcBorders>
            <w:shd w:val="clear" w:color="auto" w:fill="auto"/>
            <w:vAlign w:val="center"/>
            <w:hideMark/>
          </w:tcPr>
          <w:p w14:paraId="6E8FDEB6" w14:textId="77777777" w:rsidR="00596D8A" w:rsidRPr="00232A31" w:rsidRDefault="00596D8A" w:rsidP="002378E9">
            <w:pPr>
              <w:spacing w:after="0" w:line="240" w:lineRule="auto"/>
              <w:rPr>
                <w:rFonts w:cs="Arial"/>
                <w:sz w:val="20"/>
                <w:lang w:val="en-NZ" w:eastAsia="en-NZ"/>
              </w:rPr>
            </w:pPr>
            <w:r w:rsidRPr="00232A31">
              <w:rPr>
                <w:rFonts w:cs="Arial"/>
                <w:sz w:val="20"/>
                <w:lang w:eastAsia="en-NZ"/>
              </w:rPr>
              <w:lastRenderedPageBreak/>
              <w:t>Married, civil union or de facto couple with children (Total)</w:t>
            </w:r>
          </w:p>
        </w:tc>
        <w:tc>
          <w:tcPr>
            <w:tcW w:w="851" w:type="dxa"/>
            <w:vMerge/>
            <w:tcBorders>
              <w:top w:val="nil"/>
              <w:left w:val="single" w:sz="8" w:space="0" w:color="auto"/>
              <w:bottom w:val="single" w:sz="8" w:space="0" w:color="000000"/>
              <w:right w:val="single" w:sz="8" w:space="0" w:color="auto"/>
            </w:tcBorders>
            <w:vAlign w:val="center"/>
            <w:hideMark/>
          </w:tcPr>
          <w:p w14:paraId="205FDB3D" w14:textId="77777777" w:rsidR="00596D8A" w:rsidRPr="00232A31" w:rsidRDefault="00596D8A" w:rsidP="002378E9">
            <w:pPr>
              <w:spacing w:after="0" w:line="240" w:lineRule="auto"/>
              <w:rPr>
                <w:rFonts w:cs="Arial"/>
                <w:color w:val="000000"/>
                <w:sz w:val="20"/>
                <w:lang w:val="en-NZ" w:eastAsia="en-NZ"/>
              </w:rPr>
            </w:pPr>
          </w:p>
        </w:tc>
        <w:tc>
          <w:tcPr>
            <w:tcW w:w="992" w:type="dxa"/>
            <w:tcBorders>
              <w:top w:val="nil"/>
              <w:left w:val="nil"/>
              <w:bottom w:val="single" w:sz="8" w:space="0" w:color="auto"/>
              <w:right w:val="single" w:sz="8" w:space="0" w:color="auto"/>
            </w:tcBorders>
            <w:shd w:val="clear" w:color="auto" w:fill="auto"/>
            <w:vAlign w:val="center"/>
            <w:hideMark/>
          </w:tcPr>
          <w:p w14:paraId="186A7506" w14:textId="77777777" w:rsidR="00596D8A" w:rsidRPr="00232A31" w:rsidRDefault="00596D8A" w:rsidP="002378E9">
            <w:pPr>
              <w:spacing w:after="0" w:line="240" w:lineRule="auto"/>
              <w:jc w:val="both"/>
              <w:rPr>
                <w:rFonts w:cs="Arial"/>
                <w:sz w:val="20"/>
                <w:lang w:val="en-NZ" w:eastAsia="en-NZ"/>
              </w:rPr>
            </w:pPr>
            <w:r w:rsidRPr="00232A31">
              <w:rPr>
                <w:rFonts w:cs="Arial"/>
                <w:sz w:val="20"/>
                <w:lang w:eastAsia="en-NZ"/>
              </w:rPr>
              <w:t>CPI</w:t>
            </w:r>
          </w:p>
        </w:tc>
        <w:tc>
          <w:tcPr>
            <w:tcW w:w="992" w:type="dxa"/>
            <w:tcBorders>
              <w:top w:val="nil"/>
              <w:left w:val="nil"/>
              <w:bottom w:val="single" w:sz="8" w:space="0" w:color="auto"/>
              <w:right w:val="single" w:sz="8" w:space="0" w:color="auto"/>
            </w:tcBorders>
            <w:shd w:val="clear" w:color="000000" w:fill="F2F2F2"/>
            <w:vAlign w:val="center"/>
            <w:hideMark/>
          </w:tcPr>
          <w:p w14:paraId="4718340E" w14:textId="77777777" w:rsidR="00596D8A" w:rsidRPr="00232A31" w:rsidRDefault="00596D8A" w:rsidP="002378E9">
            <w:pPr>
              <w:spacing w:after="0" w:line="240" w:lineRule="auto"/>
              <w:jc w:val="both"/>
              <w:rPr>
                <w:rFonts w:cs="Arial"/>
                <w:color w:val="000000"/>
                <w:sz w:val="20"/>
                <w:lang w:val="en-NZ" w:eastAsia="en-NZ"/>
              </w:rPr>
            </w:pPr>
            <w:r w:rsidRPr="00232A31">
              <w:rPr>
                <w:rFonts w:cs="Arial"/>
                <w:color w:val="000000"/>
                <w:sz w:val="20"/>
                <w:lang w:val="en-NZ" w:eastAsia="en-NZ"/>
              </w:rPr>
              <w:t>$723.96</w:t>
            </w:r>
          </w:p>
        </w:tc>
        <w:tc>
          <w:tcPr>
            <w:tcW w:w="993" w:type="dxa"/>
            <w:tcBorders>
              <w:top w:val="nil"/>
              <w:left w:val="nil"/>
              <w:bottom w:val="single" w:sz="8" w:space="0" w:color="auto"/>
              <w:right w:val="single" w:sz="8" w:space="0" w:color="auto"/>
            </w:tcBorders>
            <w:shd w:val="clear" w:color="000000" w:fill="F2F2F2"/>
            <w:vAlign w:val="center"/>
            <w:hideMark/>
          </w:tcPr>
          <w:p w14:paraId="0691E4DE" w14:textId="77777777" w:rsidR="00596D8A" w:rsidRPr="00232A31" w:rsidRDefault="00596D8A" w:rsidP="002378E9">
            <w:pPr>
              <w:spacing w:after="0" w:line="240" w:lineRule="auto"/>
              <w:jc w:val="both"/>
              <w:rPr>
                <w:rFonts w:cs="Arial"/>
                <w:color w:val="000000"/>
                <w:sz w:val="20"/>
                <w:lang w:val="en-NZ" w:eastAsia="en-NZ"/>
              </w:rPr>
            </w:pPr>
            <w:r w:rsidRPr="00232A31">
              <w:rPr>
                <w:rFonts w:cs="Arial"/>
                <w:color w:val="000000"/>
                <w:sz w:val="20"/>
                <w:lang w:val="en-NZ" w:eastAsia="en-NZ"/>
              </w:rPr>
              <w:t>$744.26</w:t>
            </w:r>
          </w:p>
        </w:tc>
        <w:tc>
          <w:tcPr>
            <w:tcW w:w="957" w:type="dxa"/>
            <w:tcBorders>
              <w:top w:val="nil"/>
              <w:left w:val="nil"/>
              <w:bottom w:val="single" w:sz="8" w:space="0" w:color="auto"/>
              <w:right w:val="single" w:sz="8" w:space="0" w:color="auto"/>
            </w:tcBorders>
            <w:shd w:val="clear" w:color="000000" w:fill="F2F2F2"/>
            <w:vAlign w:val="center"/>
            <w:hideMark/>
          </w:tcPr>
          <w:p w14:paraId="2605BBB7" w14:textId="77777777" w:rsidR="00596D8A" w:rsidRPr="00232A31" w:rsidRDefault="00596D8A" w:rsidP="002378E9">
            <w:pPr>
              <w:spacing w:after="0" w:line="240" w:lineRule="auto"/>
              <w:jc w:val="both"/>
              <w:rPr>
                <w:rFonts w:cs="Arial"/>
                <w:color w:val="000000"/>
                <w:sz w:val="20"/>
                <w:lang w:val="en-NZ" w:eastAsia="en-NZ"/>
              </w:rPr>
            </w:pPr>
            <w:r w:rsidRPr="00232A31">
              <w:rPr>
                <w:rFonts w:cs="Arial"/>
                <w:color w:val="000000"/>
                <w:sz w:val="20"/>
                <w:lang w:val="en-NZ" w:eastAsia="en-NZ"/>
              </w:rPr>
              <w:t>$760.52</w:t>
            </w:r>
          </w:p>
        </w:tc>
        <w:tc>
          <w:tcPr>
            <w:tcW w:w="939" w:type="dxa"/>
            <w:tcBorders>
              <w:top w:val="nil"/>
              <w:left w:val="nil"/>
              <w:bottom w:val="single" w:sz="8" w:space="0" w:color="auto"/>
              <w:right w:val="single" w:sz="8" w:space="0" w:color="auto"/>
            </w:tcBorders>
            <w:shd w:val="clear" w:color="000000" w:fill="F2F2F2"/>
            <w:vAlign w:val="center"/>
            <w:hideMark/>
          </w:tcPr>
          <w:p w14:paraId="44FF359F" w14:textId="77777777" w:rsidR="00596D8A" w:rsidRPr="00232A31" w:rsidRDefault="00596D8A" w:rsidP="002378E9">
            <w:pPr>
              <w:spacing w:after="0" w:line="240" w:lineRule="auto"/>
              <w:jc w:val="both"/>
              <w:rPr>
                <w:rFonts w:cs="Arial"/>
                <w:color w:val="000000"/>
                <w:sz w:val="20"/>
                <w:lang w:val="en-NZ" w:eastAsia="en-NZ"/>
              </w:rPr>
            </w:pPr>
            <w:r w:rsidRPr="00232A31">
              <w:rPr>
                <w:rFonts w:cs="Arial"/>
                <w:color w:val="000000"/>
                <w:sz w:val="20"/>
                <w:lang w:val="en-NZ" w:eastAsia="en-NZ"/>
              </w:rPr>
              <w:t>$776.04</w:t>
            </w:r>
          </w:p>
        </w:tc>
        <w:tc>
          <w:tcPr>
            <w:tcW w:w="939" w:type="dxa"/>
            <w:tcBorders>
              <w:top w:val="nil"/>
              <w:left w:val="nil"/>
              <w:bottom w:val="single" w:sz="8" w:space="0" w:color="auto"/>
              <w:right w:val="single" w:sz="8" w:space="0" w:color="auto"/>
            </w:tcBorders>
            <w:shd w:val="clear" w:color="000000" w:fill="F2F2F2"/>
            <w:vAlign w:val="center"/>
            <w:hideMark/>
          </w:tcPr>
          <w:p w14:paraId="0DB8DBF2" w14:textId="77777777" w:rsidR="00596D8A" w:rsidRPr="00232A31" w:rsidRDefault="00596D8A" w:rsidP="002378E9">
            <w:pPr>
              <w:spacing w:after="0" w:line="240" w:lineRule="auto"/>
              <w:jc w:val="both"/>
              <w:rPr>
                <w:rFonts w:cs="Arial"/>
                <w:color w:val="000000"/>
                <w:sz w:val="20"/>
                <w:lang w:val="en-NZ" w:eastAsia="en-NZ"/>
              </w:rPr>
            </w:pPr>
            <w:r w:rsidRPr="00232A31">
              <w:rPr>
                <w:rFonts w:cs="Arial"/>
                <w:color w:val="000000"/>
                <w:sz w:val="20"/>
                <w:lang w:val="en-NZ" w:eastAsia="en-NZ"/>
              </w:rPr>
              <w:t>$791.50</w:t>
            </w:r>
          </w:p>
        </w:tc>
      </w:tr>
    </w:tbl>
    <w:p w14:paraId="503DAED1" w14:textId="77777777" w:rsidR="00596D8A" w:rsidRDefault="00596D8A" w:rsidP="00596D8A">
      <w:pPr>
        <w:pStyle w:val="BodyText-Numbered"/>
        <w:numPr>
          <w:ilvl w:val="0"/>
          <w:numId w:val="0"/>
        </w:numPr>
        <w:ind w:left="567"/>
      </w:pPr>
    </w:p>
    <w:p w14:paraId="0412D6AB" w14:textId="5872B5DF" w:rsidR="00B97FE3" w:rsidRDefault="00B97FE3" w:rsidP="00166043">
      <w:pPr>
        <w:pStyle w:val="BodyText-Numbered"/>
      </w:pPr>
      <w:r>
        <w:t xml:space="preserve">The </w:t>
      </w:r>
      <w:r w:rsidR="00F4690A" w:rsidRPr="00F4690A">
        <w:t>HY</w:t>
      </w:r>
      <w:r w:rsidRPr="00F4690A">
        <w:t>EFU</w:t>
      </w:r>
      <w:r>
        <w:t xml:space="preserve"> </w:t>
      </w:r>
      <w:r w:rsidR="00064C85">
        <w:t>forecast</w:t>
      </w:r>
      <w:r w:rsidRPr="004D71CF">
        <w:t xml:space="preserve"> indicat</w:t>
      </w:r>
      <w:r>
        <w:t>e</w:t>
      </w:r>
      <w:r w:rsidR="00760BD9">
        <w:t>s</w:t>
      </w:r>
      <w:r w:rsidRPr="004D71CF">
        <w:t xml:space="preserve"> that inflation </w:t>
      </w:r>
      <w:r>
        <w:t xml:space="preserve">is likely to </w:t>
      </w:r>
      <w:r w:rsidRPr="004D71CF">
        <w:t xml:space="preserve">be higher than net average wage growth for the </w:t>
      </w:r>
      <w:r w:rsidR="006B66A1" w:rsidRPr="006B66A1">
        <w:t>1 April 2024 adjustment</w:t>
      </w:r>
      <w:r>
        <w:t>, meaning that i</w:t>
      </w:r>
      <w:r w:rsidRPr="004D71CF">
        <w:t xml:space="preserve">f main benefits are indexed to inflation from </w:t>
      </w:r>
      <w:r>
        <w:t xml:space="preserve">1 April </w:t>
      </w:r>
      <w:r w:rsidRPr="004D71CF">
        <w:t xml:space="preserve">2024, there will be an initial cost of $36.049 million for fiscal years </w:t>
      </w:r>
      <w:r w:rsidRPr="00DF0373">
        <w:t>2023/24 and 2024/25</w:t>
      </w:r>
      <w:r w:rsidR="007823C1">
        <w:t>,</w:t>
      </w:r>
      <w:r w:rsidRPr="004D71CF">
        <w:t xml:space="preserve"> and savings of $669.527 million over the forecast period. </w:t>
      </w:r>
    </w:p>
    <w:p w14:paraId="39832113" w14:textId="5BF984D5" w:rsidR="001C0826" w:rsidRPr="00B97FE3" w:rsidRDefault="00064C85" w:rsidP="00596D8A">
      <w:pPr>
        <w:pStyle w:val="BodyText-Numbered"/>
      </w:pPr>
      <w:r>
        <w:t xml:space="preserve">The </w:t>
      </w:r>
      <w:r w:rsidR="00DF1BBD" w:rsidRPr="00DF1BBD">
        <w:t>initial cost of $36.049 million</w:t>
      </w:r>
      <w:r>
        <w:t xml:space="preserve"> to the government over </w:t>
      </w:r>
      <w:r w:rsidRPr="00DF0373">
        <w:t>the 2023/2024 and 2024/2025</w:t>
      </w:r>
      <w:r>
        <w:t xml:space="preserve"> period is due to beneficiaries receiving a higher increase in the rates of main benefits in comparison to wage growth. </w:t>
      </w:r>
      <w:r w:rsidR="00FE17CD">
        <w:t xml:space="preserve">Although this will </w:t>
      </w:r>
      <w:r w:rsidR="0027380A">
        <w:t>not generate savings</w:t>
      </w:r>
      <w:r w:rsidR="00ED2834">
        <w:t xml:space="preserve"> for the first two financial years</w:t>
      </w:r>
      <w:r w:rsidR="00D04E08">
        <w:t>,</w:t>
      </w:r>
      <w:r w:rsidR="0027380A">
        <w:t xml:space="preserve"> </w:t>
      </w:r>
      <w:r w:rsidR="00FE17CD">
        <w:t>it</w:t>
      </w:r>
      <w:r>
        <w:t xml:space="preserve"> means that people receiving a main benefit may be better off with benefits indexed to CPI from the 1 April 2024</w:t>
      </w:r>
      <w:r w:rsidR="00ED2834">
        <w:t xml:space="preserve"> compared to the status quo</w:t>
      </w:r>
      <w:r w:rsidR="0082157D">
        <w:t xml:space="preserve">. Therefore, </w:t>
      </w:r>
      <w:r w:rsidR="00FE17CD">
        <w:t>they</w:t>
      </w:r>
      <w:r w:rsidR="00487492">
        <w:t xml:space="preserve"> </w:t>
      </w:r>
      <w:r>
        <w:t>will have more income to meet the</w:t>
      </w:r>
      <w:r w:rsidR="0027380A">
        <w:t>ir</w:t>
      </w:r>
      <w:r>
        <w:t xml:space="preserve"> needs</w:t>
      </w:r>
      <w:r w:rsidR="0082157D">
        <w:t xml:space="preserve"> as shown by table 2</w:t>
      </w:r>
      <w:r>
        <w:t xml:space="preserve">. </w:t>
      </w:r>
    </w:p>
    <w:p w14:paraId="61C1FE6A" w14:textId="037613AC" w:rsidR="00B97FE3" w:rsidRDefault="007823C1" w:rsidP="00166043">
      <w:pPr>
        <w:pStyle w:val="BodyText-Numbered"/>
      </w:pPr>
      <w:r>
        <w:t xml:space="preserve">A total of </w:t>
      </w:r>
      <w:r w:rsidR="00400583" w:rsidRPr="004D71CF">
        <w:t>$669.527 million</w:t>
      </w:r>
      <w:r w:rsidR="009E7EFB">
        <w:t xml:space="preserve"> is expected to be saved</w:t>
      </w:r>
      <w:r w:rsidR="00400583" w:rsidRPr="004D71CF">
        <w:t xml:space="preserve"> over the forecast period</w:t>
      </w:r>
      <w:r w:rsidR="009E7EFB">
        <w:t xml:space="preserve"> under indexation to CPI due to beneficiaries </w:t>
      </w:r>
      <w:r w:rsidR="00487492">
        <w:t>receiv</w:t>
      </w:r>
      <w:r w:rsidR="009E7EFB">
        <w:t xml:space="preserve">ing </w:t>
      </w:r>
      <w:r w:rsidR="00ED2834">
        <w:t>a smaller</w:t>
      </w:r>
      <w:r w:rsidR="00614D6A">
        <w:t xml:space="preserve"> </w:t>
      </w:r>
      <w:r w:rsidR="00487492">
        <w:t xml:space="preserve">increase in their main benefit rates </w:t>
      </w:r>
      <w:r w:rsidR="00400583">
        <w:t>than if status quo settings were maintained</w:t>
      </w:r>
      <w:r w:rsidR="00487492">
        <w:t xml:space="preserve">. </w:t>
      </w:r>
      <w:r w:rsidR="009E7EFB">
        <w:t xml:space="preserve">Therefore, main </w:t>
      </w:r>
      <w:r w:rsidR="00FE17CD">
        <w:t xml:space="preserve">benefit </w:t>
      </w:r>
      <w:r w:rsidR="009E7EFB">
        <w:t xml:space="preserve">recipients will </w:t>
      </w:r>
      <w:r w:rsidR="00FE17CD">
        <w:t>receive less income</w:t>
      </w:r>
      <w:r w:rsidR="009E7EFB">
        <w:t xml:space="preserve"> in the long-term.</w:t>
      </w:r>
      <w:r w:rsidR="00B97FE3" w:rsidRPr="00B97FE3">
        <w:t xml:space="preserve"> </w:t>
      </w:r>
    </w:p>
    <w:p w14:paraId="46A80370" w14:textId="63DD702B" w:rsidR="00CC13B3" w:rsidRPr="00B97FE3" w:rsidRDefault="00CC13B3" w:rsidP="00F4690A">
      <w:pPr>
        <w:pStyle w:val="BodyText-Numbered"/>
      </w:pPr>
      <w:r w:rsidRPr="00B97FE3">
        <w:t>The savings</w:t>
      </w:r>
      <w:r>
        <w:t xml:space="preserve"> generated </w:t>
      </w:r>
      <w:r w:rsidR="00583BCD">
        <w:t>through</w:t>
      </w:r>
      <w:r w:rsidR="00583BCD" w:rsidRPr="00B97FE3">
        <w:t xml:space="preserve"> indexing</w:t>
      </w:r>
      <w:r w:rsidRPr="00B97FE3">
        <w:t xml:space="preserve"> main benefits to inflation</w:t>
      </w:r>
      <w:r>
        <w:t xml:space="preserve"> over the forecast period</w:t>
      </w:r>
      <w:r w:rsidRPr="00B97FE3">
        <w:t xml:space="preserve"> </w:t>
      </w:r>
      <w:r>
        <w:t>mean that benefit expenditure is a more sustainable cost to government</w:t>
      </w:r>
      <w:r w:rsidR="00CA5959">
        <w:t>. These savings will</w:t>
      </w:r>
      <w:r w:rsidRPr="00B97FE3">
        <w:t xml:space="preserve"> be available to </w:t>
      </w:r>
      <w:r w:rsidR="00CA5959">
        <w:t xml:space="preserve">be used to </w:t>
      </w:r>
      <w:r w:rsidRPr="00B97FE3">
        <w:t xml:space="preserve">address other Government priorities that support households with a high cost of living, including proposed changes to </w:t>
      </w:r>
      <w:r w:rsidR="00ED2834">
        <w:t xml:space="preserve">personal </w:t>
      </w:r>
      <w:r w:rsidRPr="00B97FE3">
        <w:t>income tax thresholds</w:t>
      </w:r>
      <w:r w:rsidR="00C87EA0">
        <w:t>.</w:t>
      </w:r>
    </w:p>
    <w:p w14:paraId="6A4A0D5C" w14:textId="18D42BEA" w:rsidR="00B97FE3" w:rsidRDefault="00B97FE3" w:rsidP="00166043">
      <w:pPr>
        <w:pStyle w:val="BodyText-Numbered"/>
      </w:pPr>
      <w:r w:rsidRPr="00B97FE3">
        <w:t>It is worth noting there are other types of assistance that are consequentially impacted by changes to how main benefits are indexed,</w:t>
      </w:r>
      <w:r w:rsidR="004C11D4" w:rsidRPr="004C11D4">
        <w:t xml:space="preserve"> </w:t>
      </w:r>
      <w:r w:rsidR="004C11D4">
        <w:t>includ</w:t>
      </w:r>
      <w:r w:rsidR="001B683E">
        <w:t>ing</w:t>
      </w:r>
      <w:r w:rsidR="004C11D4" w:rsidRPr="00B97FE3">
        <w:t xml:space="preserve"> </w:t>
      </w:r>
      <w:r w:rsidR="00F92E28">
        <w:t>A</w:t>
      </w:r>
      <w:r w:rsidR="009324E1">
        <w:t xml:space="preserve">ccommodation </w:t>
      </w:r>
      <w:r w:rsidR="00F92E28">
        <w:t>S</w:t>
      </w:r>
      <w:r w:rsidR="009324E1">
        <w:t>upplement</w:t>
      </w:r>
      <w:r w:rsidR="00247B29">
        <w:t>,</w:t>
      </w:r>
      <w:r w:rsidR="004C11D4" w:rsidRPr="00B97FE3">
        <w:t xml:space="preserve"> </w:t>
      </w:r>
      <w:r w:rsidR="00F92E28">
        <w:t>M</w:t>
      </w:r>
      <w:r w:rsidR="009324E1">
        <w:t xml:space="preserve">inimum Family Tax Credit </w:t>
      </w:r>
      <w:r w:rsidR="003F2F13">
        <w:t>and</w:t>
      </w:r>
      <w:r w:rsidR="004C11D4">
        <w:t xml:space="preserve"> </w:t>
      </w:r>
      <w:r w:rsidR="00F92E28">
        <w:t>Social H</w:t>
      </w:r>
      <w:r w:rsidR="004C11D4">
        <w:t>ousing</w:t>
      </w:r>
      <w:r w:rsidR="003F2F13">
        <w:t>.</w:t>
      </w:r>
      <w:r w:rsidRPr="00B97FE3">
        <w:t xml:space="preserve"> </w:t>
      </w:r>
    </w:p>
    <w:p w14:paraId="65369AF4" w14:textId="16A0368B" w:rsidR="00797B3D" w:rsidRPr="00797B3D" w:rsidRDefault="00E010BD" w:rsidP="00797B3D">
      <w:pPr>
        <w:pStyle w:val="Heading4"/>
        <w:numPr>
          <w:ilvl w:val="0"/>
          <w:numId w:val="0"/>
        </w:numPr>
        <w:rPr>
          <w:rFonts w:cs="Arial"/>
          <w:lang w:val="en-NZ"/>
        </w:rPr>
      </w:pPr>
      <w:bookmarkStart w:id="20" w:name="_Hlk155620707"/>
      <w:r>
        <w:rPr>
          <w:rFonts w:cs="Arial"/>
          <w:lang w:val="en-NZ"/>
        </w:rPr>
        <w:t xml:space="preserve">Changing indexation settings will have a direct impact on main benefit </w:t>
      </w:r>
      <w:r w:rsidR="00963F5E">
        <w:rPr>
          <w:rFonts w:cs="Arial"/>
          <w:lang w:val="en-NZ"/>
        </w:rPr>
        <w:t>recipients</w:t>
      </w:r>
      <w:r>
        <w:rPr>
          <w:rFonts w:cs="Arial"/>
          <w:lang w:val="en-NZ"/>
        </w:rPr>
        <w:t xml:space="preserve"> </w:t>
      </w:r>
    </w:p>
    <w:bookmarkEnd w:id="20"/>
    <w:p w14:paraId="76DC9CAA" w14:textId="712ADA26" w:rsidR="00CA0C39" w:rsidRDefault="00614D6A" w:rsidP="0094414D">
      <w:pPr>
        <w:pStyle w:val="BodyText-Numbered"/>
      </w:pPr>
      <w:r>
        <w:t xml:space="preserve">The change in indexation settings </w:t>
      </w:r>
      <w:r w:rsidR="003F01A7">
        <w:t>is likely to</w:t>
      </w:r>
      <w:r w:rsidR="00FE17CD">
        <w:t xml:space="preserve"> directly</w:t>
      </w:r>
      <w:r w:rsidR="003F01A7">
        <w:t xml:space="preserve"> affect </w:t>
      </w:r>
      <w:r w:rsidR="00CF26BD">
        <w:t xml:space="preserve">main benefit </w:t>
      </w:r>
      <w:r w:rsidR="00A40E99">
        <w:t xml:space="preserve">recipients, who are </w:t>
      </w:r>
      <w:r w:rsidR="00B04B40">
        <w:t>low-income New Zealanders</w:t>
      </w:r>
      <w:r w:rsidR="00FE17CD">
        <w:t>. The</w:t>
      </w:r>
      <w:r w:rsidR="00E1772A">
        <w:t xml:space="preserve"> change in</w:t>
      </w:r>
      <w:r w:rsidR="00FE17CD">
        <w:t xml:space="preserve"> main benefit</w:t>
      </w:r>
      <w:r w:rsidR="00E1772A">
        <w:t xml:space="preserve"> rates</w:t>
      </w:r>
      <w:r w:rsidR="00106A25">
        <w:t xml:space="preserve"> will</w:t>
      </w:r>
      <w:r w:rsidR="00FE17CD">
        <w:t xml:space="preserve"> </w:t>
      </w:r>
      <w:r w:rsidR="00B04B40">
        <w:t xml:space="preserve">disproportionately </w:t>
      </w:r>
      <w:r w:rsidR="00E1772A">
        <w:t xml:space="preserve">affect </w:t>
      </w:r>
      <w:r w:rsidR="00CF26BD">
        <w:t xml:space="preserve">people who identify with the </w:t>
      </w:r>
      <w:r w:rsidR="0002169A">
        <w:t xml:space="preserve">population </w:t>
      </w:r>
      <w:r w:rsidR="00CF26BD">
        <w:t xml:space="preserve">groups of </w:t>
      </w:r>
      <w:r>
        <w:t>w</w:t>
      </w:r>
      <w:r w:rsidR="00AC0744">
        <w:t xml:space="preserve">omen, </w:t>
      </w:r>
      <w:r w:rsidR="00AC0744" w:rsidRPr="003F01A7">
        <w:t>Māori</w:t>
      </w:r>
      <w:r w:rsidR="00A829FF">
        <w:t>,</w:t>
      </w:r>
      <w:r w:rsidR="005C40EB">
        <w:t xml:space="preserve"> and</w:t>
      </w:r>
      <w:r w:rsidR="00AC0744" w:rsidRPr="003F01A7">
        <w:t xml:space="preserve"> Pacific </w:t>
      </w:r>
      <w:r w:rsidR="005227A4" w:rsidRPr="003F01A7">
        <w:t>peoples</w:t>
      </w:r>
      <w:r w:rsidR="00A829FF">
        <w:t>,</w:t>
      </w:r>
      <w:r w:rsidR="00F91FAC">
        <w:t xml:space="preserve"> and disabled people,</w:t>
      </w:r>
      <w:r w:rsidR="00E1772A">
        <w:t xml:space="preserve"> who are overrepresented within the main benefit population</w:t>
      </w:r>
      <w:r w:rsidR="00E1772A" w:rsidRPr="00E1772A">
        <w:t>.</w:t>
      </w:r>
      <w:r w:rsidR="00106A25">
        <w:t xml:space="preserve"> </w:t>
      </w:r>
    </w:p>
    <w:p w14:paraId="24664543" w14:textId="5D2B3C1C" w:rsidR="00980DC1" w:rsidRPr="00980DC1" w:rsidRDefault="00980DC1" w:rsidP="0094414D">
      <w:pPr>
        <w:pStyle w:val="BodyText-Numbered"/>
      </w:pPr>
      <w:r w:rsidRPr="00980DC1">
        <w:t>Women make up 55 percent of the people receiving a working-age main benefit whilst only composing approximately 50</w:t>
      </w:r>
      <w:r w:rsidR="00596D8A">
        <w:t xml:space="preserve"> percent</w:t>
      </w:r>
      <w:r w:rsidRPr="00980DC1">
        <w:t xml:space="preserve"> of the New Zealand population. </w:t>
      </w:r>
      <w:bookmarkStart w:id="21" w:name="_Hlk156397746"/>
      <w:r w:rsidRPr="00980DC1">
        <w:t>Māori</w:t>
      </w:r>
      <w:bookmarkEnd w:id="21"/>
      <w:r w:rsidRPr="00980DC1">
        <w:t xml:space="preserve"> are overrepresented in the population who receive main benefits in comparison to the wider population</w:t>
      </w:r>
      <w:r w:rsidR="00596D8A">
        <w:t>. A</w:t>
      </w:r>
      <w:r w:rsidRPr="00980DC1">
        <w:t>pproximately 39 percent of people receiving a main benefit</w:t>
      </w:r>
      <w:r w:rsidR="00596D8A">
        <w:t xml:space="preserve"> are </w:t>
      </w:r>
      <w:r w:rsidR="00596D8A" w:rsidRPr="00596D8A">
        <w:t>Māori</w:t>
      </w:r>
      <w:r w:rsidRPr="00980DC1">
        <w:t>, but only</w:t>
      </w:r>
      <w:r w:rsidR="00596D8A">
        <w:t xml:space="preserve"> make up</w:t>
      </w:r>
      <w:r w:rsidRPr="00980DC1">
        <w:t xml:space="preserve"> approximately 17 percent of the general population. Pacific people are also overrepresented in the main benefit recipient population making up 12 percent </w:t>
      </w:r>
      <w:r w:rsidR="00596D8A">
        <w:t xml:space="preserve">compared to </w:t>
      </w:r>
      <w:r w:rsidRPr="00980DC1">
        <w:t xml:space="preserve">8 percent of the general population. </w:t>
      </w:r>
      <w:r>
        <w:t>As main benefit recipients</w:t>
      </w:r>
      <w:r w:rsidR="00A829FF">
        <w:t>,</w:t>
      </w:r>
      <w:r>
        <w:t xml:space="preserve"> the impacts on these groups will be the same</w:t>
      </w:r>
      <w:r w:rsidR="00A829FF">
        <w:t xml:space="preserve"> as for all New Zealanders</w:t>
      </w:r>
      <w:r>
        <w:t xml:space="preserve"> but </w:t>
      </w:r>
      <w:r w:rsidR="00A829FF">
        <w:t xml:space="preserve">will </w:t>
      </w:r>
      <w:r>
        <w:t>disproportionately affect these groups.</w:t>
      </w:r>
    </w:p>
    <w:p w14:paraId="3E17E08E" w14:textId="734E66FB" w:rsidR="00E1772A" w:rsidRDefault="00E1772A" w:rsidP="00E1772A">
      <w:pPr>
        <w:pStyle w:val="BodyText-Numbered"/>
      </w:pPr>
      <w:r w:rsidRPr="003F01A7">
        <w:t>Initially</w:t>
      </w:r>
      <w:r>
        <w:t>,</w:t>
      </w:r>
      <w:r w:rsidRPr="003F01A7">
        <w:t xml:space="preserve"> with benefits increasing more in 2024 under CPI as seen in Table </w:t>
      </w:r>
      <w:r>
        <w:t>2</w:t>
      </w:r>
      <w:r w:rsidRPr="003F01A7">
        <w:t>, these groups are likely to benefit from the change</w:t>
      </w:r>
      <w:r>
        <w:t xml:space="preserve"> through having more income to meet their needs</w:t>
      </w:r>
      <w:r w:rsidRPr="003F01A7">
        <w:t>. However, in the long</w:t>
      </w:r>
      <w:r w:rsidR="00C96165">
        <w:t>-</w:t>
      </w:r>
      <w:r w:rsidRPr="003F01A7">
        <w:t xml:space="preserve">term with benefits likely to increase </w:t>
      </w:r>
      <w:r>
        <w:t>at a lower rate and therefore receive less income</w:t>
      </w:r>
      <w:r w:rsidRPr="003F01A7">
        <w:t xml:space="preserve"> under CPI indexation, these groups are likely to be disadvantaged in comparison to status quo settings. </w:t>
      </w:r>
    </w:p>
    <w:p w14:paraId="4FB409DE" w14:textId="5D53C2F7" w:rsidR="00106A25" w:rsidRDefault="00E1772A" w:rsidP="00106A25">
      <w:pPr>
        <w:pStyle w:val="BodyText-Numbered"/>
      </w:pPr>
      <w:bookmarkStart w:id="22" w:name="_Hlk158040117"/>
      <w:r w:rsidRPr="00E1772A">
        <w:t>For example, the rate for Jobseeker 25</w:t>
      </w:r>
      <w:r w:rsidR="00ED36EE">
        <w:t>+</w:t>
      </w:r>
      <w:r w:rsidRPr="00E1772A">
        <w:t xml:space="preserve"> years and over is expected to </w:t>
      </w:r>
      <w:r w:rsidR="00ED36EE">
        <w:t>be higher</w:t>
      </w:r>
      <w:r w:rsidRPr="00E1772A">
        <w:t xml:space="preserve"> $2</w:t>
      </w:r>
      <w:r w:rsidR="00ED36EE">
        <w:t>.60</w:t>
      </w:r>
      <w:r w:rsidRPr="00E1772A">
        <w:t xml:space="preserve"> per week for the 1 April 2024 adjustment</w:t>
      </w:r>
      <w:r w:rsidR="00A829FF">
        <w:t>;</w:t>
      </w:r>
      <w:r w:rsidRPr="00E1772A">
        <w:t xml:space="preserve"> however </w:t>
      </w:r>
      <w:r w:rsidR="00ED36EE">
        <w:t>by</w:t>
      </w:r>
      <w:r w:rsidRPr="00E1772A">
        <w:t xml:space="preserve"> the end of the forecast period </w:t>
      </w:r>
      <w:r w:rsidR="00ED36EE">
        <w:t>o</w:t>
      </w:r>
      <w:r w:rsidRPr="00E1772A">
        <w:t xml:space="preserve">n </w:t>
      </w:r>
      <w:r w:rsidR="00ED36EE">
        <w:t xml:space="preserve">1 April </w:t>
      </w:r>
      <w:r w:rsidRPr="00E1772A">
        <w:t>202</w:t>
      </w:r>
      <w:r w:rsidR="00ED36EE">
        <w:t>8</w:t>
      </w:r>
      <w:r w:rsidRPr="00E1772A">
        <w:t xml:space="preserve"> the rate is expected to be</w:t>
      </w:r>
      <w:r w:rsidR="00ED36EE">
        <w:t xml:space="preserve"> lower by</w:t>
      </w:r>
      <w:r w:rsidRPr="00E1772A">
        <w:t xml:space="preserve"> $1</w:t>
      </w:r>
      <w:r w:rsidR="00ED36EE">
        <w:t>8</w:t>
      </w:r>
      <w:r w:rsidRPr="00E1772A">
        <w:t>.</w:t>
      </w:r>
      <w:r w:rsidR="00ED36EE">
        <w:t>15</w:t>
      </w:r>
      <w:r w:rsidRPr="00E1772A">
        <w:t xml:space="preserve"> less per week under CPI </w:t>
      </w:r>
      <w:r w:rsidRPr="00E1772A">
        <w:lastRenderedPageBreak/>
        <w:t xml:space="preserve">settings in comparison to status quo settings. This range based on the best available forecast available when developing advice but is subject to change. </w:t>
      </w:r>
    </w:p>
    <w:bookmarkEnd w:id="22"/>
    <w:p w14:paraId="502D600F" w14:textId="0B4D32C5" w:rsidR="00B04B40" w:rsidRDefault="005F0C1A" w:rsidP="0094414D">
      <w:pPr>
        <w:pStyle w:val="BodyText-Numbered"/>
      </w:pPr>
      <w:r>
        <w:t>Disabled people and people with</w:t>
      </w:r>
      <w:r w:rsidR="00E93C18">
        <w:t xml:space="preserve"> health condition</w:t>
      </w:r>
      <w:r>
        <w:t>s</w:t>
      </w:r>
      <w:r w:rsidR="00E93C18">
        <w:t xml:space="preserve"> </w:t>
      </w:r>
      <w:r w:rsidR="00F91FAC">
        <w:t>will</w:t>
      </w:r>
      <w:r w:rsidR="00E93C18">
        <w:t xml:space="preserve"> be affected by a change in indexation settings. The </w:t>
      </w:r>
      <w:r w:rsidR="00B04B40" w:rsidRPr="00B97FE3">
        <w:t xml:space="preserve">difference between the income of people on </w:t>
      </w:r>
      <w:r>
        <w:t xml:space="preserve">a main </w:t>
      </w:r>
      <w:r w:rsidR="00B04B40" w:rsidRPr="00B97FE3">
        <w:t>benefit and those in work</w:t>
      </w:r>
      <w:r w:rsidR="00E93C18">
        <w:t xml:space="preserve"> </w:t>
      </w:r>
      <w:r w:rsidR="00A829FF">
        <w:t xml:space="preserve">may </w:t>
      </w:r>
      <w:r w:rsidR="00E93C18">
        <w:t>lead to a</w:t>
      </w:r>
      <w:r w:rsidR="00B04B40" w:rsidRPr="00B97FE3">
        <w:t xml:space="preserve"> low replacement rate</w:t>
      </w:r>
      <w:r w:rsidR="00E93C18">
        <w:t>. This</w:t>
      </w:r>
      <w:r w:rsidR="00B04B40" w:rsidRPr="00B97FE3">
        <w:t xml:space="preserve"> may incentivise </w:t>
      </w:r>
      <w:r w:rsidR="00E93C18">
        <w:t xml:space="preserve">work-ready </w:t>
      </w:r>
      <w:r w:rsidR="00B04B40" w:rsidRPr="00B97FE3">
        <w:t>beneficiaries to go into work but may potentially disadvantage both work-ready beneficiaries and those with health conditions and disabilities from participating in their community and meeting their essential needs.</w:t>
      </w:r>
      <w:r w:rsidR="00F91FAC">
        <w:t xml:space="preserve"> Beneficiaries that are not able to work will also be impacted by this change, but will have no ability to enter work to change their situation.</w:t>
      </w:r>
    </w:p>
    <w:p w14:paraId="07CD0B14" w14:textId="72107148" w:rsidR="003F01A7" w:rsidRDefault="009E7EFB" w:rsidP="009E7EFB">
      <w:pPr>
        <w:pStyle w:val="BodyText-Numbered"/>
      </w:pPr>
      <w:r w:rsidRPr="009E7EFB">
        <w:t>In isolation,</w:t>
      </w:r>
      <w:r>
        <w:t xml:space="preserve"> indexing</w:t>
      </w:r>
      <w:r>
        <w:rPr>
          <w:i/>
          <w:iCs/>
        </w:rPr>
        <w:t xml:space="preserve"> </w:t>
      </w:r>
      <w:r>
        <w:t>main benefits to inflation</w:t>
      </w:r>
      <w:r w:rsidRPr="009E7EFB">
        <w:t xml:space="preserve"> may impact progress toward child poverty reduction targets</w:t>
      </w:r>
      <w:r w:rsidR="00495721">
        <w:t>.</w:t>
      </w:r>
      <w:r w:rsidR="00E93C18">
        <w:t xml:space="preserve"> </w:t>
      </w:r>
      <w:r w:rsidR="003F01A7" w:rsidRPr="003F01A7">
        <w:t xml:space="preserve">Preliminary modelling (based on preliminary </w:t>
      </w:r>
      <w:r w:rsidR="00433FD8">
        <w:t>HYEFU da</w:t>
      </w:r>
      <w:r w:rsidR="003F01A7" w:rsidRPr="003F01A7">
        <w:t>ta) shows that indexing main benefits to inflation leads to an estimated increase in the number of children in poverty under the AHC50</w:t>
      </w:r>
      <w:r w:rsidR="003E2F7E">
        <w:rPr>
          <w:rStyle w:val="FootnoteReference"/>
        </w:rPr>
        <w:footnoteReference w:id="3"/>
      </w:r>
      <w:r w:rsidR="003F01A7" w:rsidRPr="003F01A7">
        <w:t xml:space="preserve"> and BHC50 poverty measures </w:t>
      </w:r>
      <w:r>
        <w:t>over</w:t>
      </w:r>
      <w:r w:rsidR="003F01A7" w:rsidRPr="003F01A7">
        <w:t xml:space="preserve"> the forecast period, in the absence of other changes.</w:t>
      </w:r>
    </w:p>
    <w:p w14:paraId="602EC0BA" w14:textId="0E543677" w:rsidR="003F01A7" w:rsidRDefault="003F01A7" w:rsidP="0094414D">
      <w:pPr>
        <w:pStyle w:val="BodyText-Numbered"/>
      </w:pPr>
      <w:r w:rsidRPr="003F01A7">
        <w:t>This is compared to the status quo of indexing main benefits to wage growth. By tax year 2028, there would be an estimated increase of 7,000 (+/- 4,000) children under the AHC50 poverty measure, and an estimated increase of 7,000 (+/-6,000) children under the BHC50 poverty measure (noting that the latter figure is a broad range)</w:t>
      </w:r>
      <w:r w:rsidR="009324E1">
        <w:t>.</w:t>
      </w:r>
    </w:p>
    <w:p w14:paraId="4FBA2F3F" w14:textId="15C05308" w:rsidR="005C59DD" w:rsidRDefault="005C59DD" w:rsidP="0094414D">
      <w:pPr>
        <w:pStyle w:val="BodyText-Numbered"/>
      </w:pPr>
      <w:r>
        <w:t>Beyond the forecast period we would expect this change may have a particularly significant impact on the primary, before housing costs measure of child poverty.  This is because the threshold for defining poverty on this particular measure is updated each year in line with median household income growth, rather than inflation.</w:t>
      </w:r>
    </w:p>
    <w:p w14:paraId="06415339" w14:textId="39E391D7" w:rsidR="004C11D4" w:rsidRPr="004C11D4" w:rsidRDefault="004C11D4" w:rsidP="004C11D4">
      <w:pPr>
        <w:pStyle w:val="Heading4"/>
        <w:numPr>
          <w:ilvl w:val="0"/>
          <w:numId w:val="0"/>
        </w:numPr>
        <w:rPr>
          <w:rFonts w:cs="Arial"/>
          <w:lang w:val="en-NZ"/>
        </w:rPr>
      </w:pPr>
      <w:r>
        <w:rPr>
          <w:rFonts w:cs="Arial"/>
          <w:lang w:val="en-NZ"/>
        </w:rPr>
        <w:t xml:space="preserve">Changing indexation settings will have indirect impacts on other types of </w:t>
      </w:r>
      <w:r w:rsidR="00E010BD">
        <w:rPr>
          <w:rFonts w:cs="Arial"/>
          <w:lang w:val="en-NZ"/>
        </w:rPr>
        <w:t>assistance</w:t>
      </w:r>
    </w:p>
    <w:p w14:paraId="0F7DE9DC" w14:textId="3FFCFBD8" w:rsidR="00456095" w:rsidRDefault="004C11D4" w:rsidP="00456095">
      <w:pPr>
        <w:pStyle w:val="BodyText-Numbered"/>
      </w:pPr>
      <w:r w:rsidRPr="00B97FE3">
        <w:t xml:space="preserve">A change in main benefit rates can </w:t>
      </w:r>
      <w:r>
        <w:t xml:space="preserve">also </w:t>
      </w:r>
      <w:r w:rsidRPr="00B97FE3">
        <w:t xml:space="preserve">cause </w:t>
      </w:r>
      <w:r>
        <w:t>indirect impacts</w:t>
      </w:r>
      <w:r w:rsidR="00495721">
        <w:t xml:space="preserve"> that</w:t>
      </w:r>
      <w:r>
        <w:t xml:space="preserve"> </w:t>
      </w:r>
      <w:r w:rsidRPr="00B97FE3">
        <w:t>affect a population wider than main benefit recipients</w:t>
      </w:r>
      <w:r>
        <w:t xml:space="preserve"> through</w:t>
      </w:r>
      <w:r w:rsidRPr="00B97FE3">
        <w:t xml:space="preserve"> </w:t>
      </w:r>
      <w:r w:rsidR="00456095">
        <w:t>minor increases and decreases in</w:t>
      </w:r>
      <w:r>
        <w:t xml:space="preserve"> </w:t>
      </w:r>
      <w:r w:rsidR="00B92B95">
        <w:t>client</w:t>
      </w:r>
      <w:r w:rsidR="00145B82">
        <w:t xml:space="preserve"> </w:t>
      </w:r>
      <w:r w:rsidRPr="00B97FE3">
        <w:t>entitlement</w:t>
      </w:r>
      <w:r w:rsidR="00456095">
        <w:t>s</w:t>
      </w:r>
      <w:r w:rsidR="00247B29">
        <w:t xml:space="preserve"> to other </w:t>
      </w:r>
      <w:r w:rsidR="00145B82">
        <w:t xml:space="preserve">financial </w:t>
      </w:r>
      <w:r w:rsidR="00247B29">
        <w:t>assistance</w:t>
      </w:r>
      <w:r w:rsidR="00145B82">
        <w:t>s</w:t>
      </w:r>
      <w:r w:rsidRPr="00B97FE3">
        <w:t>.</w:t>
      </w:r>
      <w:r w:rsidR="00456095">
        <w:t xml:space="preserve"> Currently, we do not have </w:t>
      </w:r>
      <w:r w:rsidR="00DA16B8">
        <w:t>actual</w:t>
      </w:r>
      <w:r w:rsidR="00456095">
        <w:t xml:space="preserve"> </w:t>
      </w:r>
      <w:r w:rsidR="00DA16B8">
        <w:t>impacts</w:t>
      </w:r>
      <w:r w:rsidR="00B92B95">
        <w:t>,</w:t>
      </w:r>
      <w:r w:rsidR="00456095">
        <w:t xml:space="preserve"> but these </w:t>
      </w:r>
      <w:r w:rsidR="00DA16B8">
        <w:t xml:space="preserve">can </w:t>
      </w:r>
      <w:r w:rsidR="00456095">
        <w:t xml:space="preserve">be </w:t>
      </w:r>
      <w:r w:rsidR="00F50AC0">
        <w:t>assessed</w:t>
      </w:r>
      <w:r w:rsidR="00456095">
        <w:t xml:space="preserve"> when </w:t>
      </w:r>
      <w:r w:rsidR="00B72DAC">
        <w:t>the new rates of main benefits are set.</w:t>
      </w:r>
    </w:p>
    <w:p w14:paraId="28ED5BA0" w14:textId="34E0C4D8" w:rsidR="00CF70DE" w:rsidRDefault="00CF70DE" w:rsidP="00456095">
      <w:pPr>
        <w:pStyle w:val="BodyText-Numbered"/>
      </w:pPr>
      <w:r w:rsidRPr="00CF70DE">
        <w:t>In the short-term (from 1 April 2024) higher increases to benefit rates resulting from inflation indexation will result in a slight reduction in Accommodation Supplement expenditure. </w:t>
      </w:r>
    </w:p>
    <w:p w14:paraId="019D9D34" w14:textId="77777777" w:rsidR="00BD68B7" w:rsidRDefault="00CF70DE" w:rsidP="00BD68B7">
      <w:pPr>
        <w:pStyle w:val="BodyText-Numbered"/>
      </w:pPr>
      <w:r w:rsidRPr="00CF70DE">
        <w:t>In the longer term, from 1 April 2025, the entry threshold (the minimum accommodation costs that a person must pay before being eligible for the subsidy) will increase at a lower rate, as it is set as a percentage of main social security benefits. Additionally, during this period, the income threshold, above which the AS is abated by 25c for each dollar of additional income, will increase at a lower rate, as it is linked to the income cut-out point for main social security benefits. </w:t>
      </w:r>
    </w:p>
    <w:p w14:paraId="0A6508D3" w14:textId="1C4E4444" w:rsidR="00BD68B7" w:rsidRPr="00BD68B7" w:rsidRDefault="00BD68B7" w:rsidP="00BD68B7">
      <w:pPr>
        <w:pStyle w:val="BodyText-Numbered"/>
        <w:rPr>
          <w:szCs w:val="22"/>
        </w:rPr>
      </w:pPr>
      <w:r w:rsidRPr="00BD68B7">
        <w:rPr>
          <w:rStyle w:val="normaltextrun"/>
          <w:szCs w:val="22"/>
        </w:rPr>
        <w:t>For non-beneficiaries, these effects will offset, and some will experience an increase and others a decrease to AS. Our modelling estimates that in April 2025:</w:t>
      </w:r>
      <w:r w:rsidRPr="00BD68B7">
        <w:rPr>
          <w:rStyle w:val="eop"/>
          <w:szCs w:val="22"/>
        </w:rPr>
        <w:t> </w:t>
      </w:r>
    </w:p>
    <w:p w14:paraId="61102E5D" w14:textId="77777777" w:rsidR="00BD68B7" w:rsidRPr="00BD68B7" w:rsidRDefault="00BD68B7" w:rsidP="00BD68B7">
      <w:pPr>
        <w:pStyle w:val="paragraph"/>
        <w:numPr>
          <w:ilvl w:val="0"/>
          <w:numId w:val="26"/>
        </w:numPr>
        <w:spacing w:before="0" w:beforeAutospacing="0" w:after="0" w:afterAutospacing="0"/>
        <w:ind w:left="709" w:hanging="425"/>
        <w:textAlignment w:val="baseline"/>
        <w:rPr>
          <w:rFonts w:ascii="Arial" w:hAnsi="Arial" w:cs="Arial"/>
          <w:sz w:val="22"/>
          <w:szCs w:val="22"/>
        </w:rPr>
      </w:pPr>
      <w:r w:rsidRPr="00BD68B7">
        <w:rPr>
          <w:rStyle w:val="normaltextrun"/>
          <w:rFonts w:ascii="Arial" w:hAnsi="Arial" w:cs="Arial"/>
          <w:sz w:val="22"/>
          <w:szCs w:val="22"/>
        </w:rPr>
        <w:t>48,000 families have an average increase of $1.07 per week</w:t>
      </w:r>
      <w:r w:rsidRPr="00BD68B7">
        <w:rPr>
          <w:rStyle w:val="eop"/>
          <w:rFonts w:ascii="Arial" w:hAnsi="Arial" w:cs="Arial"/>
          <w:sz w:val="22"/>
          <w:szCs w:val="22"/>
        </w:rPr>
        <w:t> </w:t>
      </w:r>
    </w:p>
    <w:p w14:paraId="44CF89F7" w14:textId="77777777" w:rsidR="00BD68B7" w:rsidRPr="00BD68B7" w:rsidRDefault="00BD68B7" w:rsidP="00BD68B7">
      <w:pPr>
        <w:pStyle w:val="paragraph"/>
        <w:numPr>
          <w:ilvl w:val="0"/>
          <w:numId w:val="26"/>
        </w:numPr>
        <w:spacing w:before="0" w:beforeAutospacing="0" w:after="0" w:afterAutospacing="0"/>
        <w:ind w:left="709" w:hanging="425"/>
        <w:textAlignment w:val="baseline"/>
        <w:rPr>
          <w:rFonts w:ascii="Arial" w:hAnsi="Arial" w:cs="Arial"/>
          <w:sz w:val="22"/>
          <w:szCs w:val="22"/>
        </w:rPr>
      </w:pPr>
      <w:r w:rsidRPr="00BD68B7">
        <w:rPr>
          <w:rStyle w:val="normaltextrun"/>
          <w:rFonts w:ascii="Arial" w:hAnsi="Arial" w:cs="Arial"/>
          <w:sz w:val="22"/>
          <w:szCs w:val="22"/>
        </w:rPr>
        <w:t>35,000 families have an average decrease of $1.61 per week</w:t>
      </w:r>
      <w:r w:rsidRPr="00BD68B7">
        <w:rPr>
          <w:rStyle w:val="eop"/>
          <w:rFonts w:ascii="Arial" w:hAnsi="Arial" w:cs="Arial"/>
          <w:sz w:val="22"/>
          <w:szCs w:val="22"/>
        </w:rPr>
        <w:t> </w:t>
      </w:r>
    </w:p>
    <w:p w14:paraId="68EC9CF3" w14:textId="2C098077" w:rsidR="00BD68B7" w:rsidRPr="00BD68B7" w:rsidRDefault="00BD68B7" w:rsidP="00BD68B7">
      <w:pPr>
        <w:pStyle w:val="paragraph"/>
        <w:numPr>
          <w:ilvl w:val="0"/>
          <w:numId w:val="26"/>
        </w:numPr>
        <w:tabs>
          <w:tab w:val="clear" w:pos="1637"/>
          <w:tab w:val="left" w:pos="993"/>
        </w:tabs>
        <w:spacing w:before="0" w:beforeAutospacing="0" w:after="0" w:afterAutospacing="0"/>
        <w:ind w:left="426" w:hanging="142"/>
        <w:textAlignment w:val="baseline"/>
        <w:rPr>
          <w:rFonts w:ascii="Arial" w:hAnsi="Arial" w:cs="Arial"/>
          <w:sz w:val="22"/>
          <w:szCs w:val="22"/>
        </w:rPr>
      </w:pPr>
      <w:r>
        <w:rPr>
          <w:rStyle w:val="normaltextrun"/>
          <w:rFonts w:ascii="Arial" w:hAnsi="Arial" w:cs="Arial"/>
          <w:sz w:val="22"/>
          <w:szCs w:val="22"/>
        </w:rPr>
        <w:t xml:space="preserve">     </w:t>
      </w:r>
      <w:r w:rsidRPr="00BD68B7">
        <w:rPr>
          <w:rStyle w:val="normaltextrun"/>
          <w:rFonts w:ascii="Arial" w:hAnsi="Arial" w:cs="Arial"/>
          <w:sz w:val="22"/>
          <w:szCs w:val="22"/>
        </w:rPr>
        <w:t>289,000 families will have their AS unchanged.</w:t>
      </w:r>
      <w:r w:rsidRPr="00BD68B7">
        <w:rPr>
          <w:rStyle w:val="eop"/>
          <w:rFonts w:ascii="Arial" w:hAnsi="Arial" w:cs="Arial"/>
          <w:sz w:val="22"/>
          <w:szCs w:val="22"/>
        </w:rPr>
        <w:t> </w:t>
      </w:r>
    </w:p>
    <w:p w14:paraId="47415E03" w14:textId="0C8E7F73" w:rsidR="00840FF8" w:rsidRDefault="00CF70DE" w:rsidP="00456095">
      <w:pPr>
        <w:pStyle w:val="BodyText-Numbered"/>
      </w:pPr>
      <w:r w:rsidRPr="00CF70DE">
        <w:t>AS may be unaffected if the client is already receiving their maximum AS entitlement. Further, since AS is rounded up to the closest dollar, small changes may have no effect on entitlement</w:t>
      </w:r>
      <w:r>
        <w:t xml:space="preserve">. </w:t>
      </w:r>
    </w:p>
    <w:p w14:paraId="7EE32221" w14:textId="77777777" w:rsidR="00CF70DE" w:rsidRDefault="00CF70DE" w:rsidP="00456095">
      <w:pPr>
        <w:pStyle w:val="BodyText-Numbered"/>
      </w:pPr>
      <w:r w:rsidRPr="00CF70DE">
        <w:t xml:space="preserve">In the short term (from 1 April 2024) higher increases to benefit rates will result in an increase in the amount Income Related Rent clients will need to pay for their property. </w:t>
      </w:r>
      <w:r w:rsidRPr="00CF70DE">
        <w:lastRenderedPageBreak/>
        <w:t>This will result in reduced governmental expenditure on the Income Related Rent subsidy.</w:t>
      </w:r>
      <w:r w:rsidR="00456095">
        <w:t xml:space="preserve"> </w:t>
      </w:r>
    </w:p>
    <w:p w14:paraId="4A839146" w14:textId="3C14A3F8" w:rsidR="00456095" w:rsidRPr="00CF70DE" w:rsidRDefault="00CF70DE" w:rsidP="00456095">
      <w:pPr>
        <w:pStyle w:val="BodyText-Numbered"/>
        <w:rPr>
          <w:szCs w:val="22"/>
        </w:rPr>
      </w:pPr>
      <w:r w:rsidRPr="00CF70DE">
        <w:rPr>
          <w:rStyle w:val="normaltextrun"/>
          <w:color w:val="000000"/>
          <w:szCs w:val="22"/>
          <w:shd w:val="clear" w:color="auto" w:fill="FFFFFF"/>
        </w:rPr>
        <w:t>However, given that rents are not immediately changed when household income increases or decreases, the impact in the long-term, starting on 1 April 2025 is difficult to estimate. Some households may not have their rent revised until 12 months later, and only if the change is above a certain threshold. Note that people in emergency housing are also likely to see an increase in their required contribution to their housing costs. </w:t>
      </w:r>
    </w:p>
    <w:p w14:paraId="60ECB48F" w14:textId="560364CC" w:rsidR="009324E1" w:rsidRPr="00DC7B0B" w:rsidRDefault="00DC7B0B" w:rsidP="009324E1">
      <w:pPr>
        <w:pStyle w:val="BodyText-Numbered"/>
      </w:pPr>
      <w:r>
        <w:t xml:space="preserve">Approximately 3,200 </w:t>
      </w:r>
      <w:r w:rsidR="00041C8B">
        <w:t>l</w:t>
      </w:r>
      <w:r w:rsidR="00456095">
        <w:t>ow-income families are receiving M</w:t>
      </w:r>
      <w:r w:rsidR="009324E1">
        <w:t xml:space="preserve">inimum </w:t>
      </w:r>
      <w:r w:rsidR="00456095">
        <w:t>F</w:t>
      </w:r>
      <w:r w:rsidR="009324E1">
        <w:t xml:space="preserve">amily </w:t>
      </w:r>
      <w:r w:rsidR="00456095">
        <w:t>T</w:t>
      </w:r>
      <w:r w:rsidR="009324E1">
        <w:t xml:space="preserve">ax </w:t>
      </w:r>
      <w:r w:rsidR="00456095">
        <w:t>C</w:t>
      </w:r>
      <w:r w:rsidR="009324E1">
        <w:t>redit</w:t>
      </w:r>
      <w:r w:rsidR="00D72A20">
        <w:t>,</w:t>
      </w:r>
      <w:r w:rsidR="00456095">
        <w:t xml:space="preserve"> </w:t>
      </w:r>
      <w:r w:rsidR="00D04AAF">
        <w:t xml:space="preserve">which is </w:t>
      </w:r>
      <w:r w:rsidR="00456095">
        <w:t xml:space="preserve">an </w:t>
      </w:r>
      <w:r w:rsidR="00456095" w:rsidRPr="004D71CF">
        <w:t>incentive to ensure low</w:t>
      </w:r>
      <w:r w:rsidR="00F92E28">
        <w:t>-</w:t>
      </w:r>
      <w:r w:rsidR="00456095" w:rsidRPr="004D71CF">
        <w:t>income working families remain better off financially in full</w:t>
      </w:r>
      <w:r w:rsidR="00456095">
        <w:t>-</w:t>
      </w:r>
      <w:r w:rsidR="00456095" w:rsidRPr="004D71CF">
        <w:t>time work than they would be on a main</w:t>
      </w:r>
      <w:r w:rsidR="00456095">
        <w:t xml:space="preserve"> benefi</w:t>
      </w:r>
      <w:r w:rsidR="00D04AAF">
        <w:t>t. Minimum Family Tax Credit thresholds are linked to main benefits. If</w:t>
      </w:r>
      <w:r w:rsidR="00D04AAF" w:rsidRPr="00D04AAF">
        <w:t xml:space="preserve"> the lower </w:t>
      </w:r>
      <w:r w:rsidR="00550EEB">
        <w:t>threshold</w:t>
      </w:r>
      <w:r w:rsidR="00D04AAF" w:rsidRPr="00D04AAF">
        <w:t xml:space="preserve"> of the tax credit is not increased in line with main benefit rates</w:t>
      </w:r>
      <w:r w:rsidR="00D04AAF">
        <w:t>, low-income working families</w:t>
      </w:r>
      <w:r w:rsidR="00456095">
        <w:t xml:space="preserve"> are </w:t>
      </w:r>
      <w:r>
        <w:t>likely to be better off on a benefit than in full time work.</w:t>
      </w:r>
      <w:r w:rsidR="00456095">
        <w:t xml:space="preserve"> </w:t>
      </w:r>
      <w:r w:rsidR="003F2F13">
        <w:t xml:space="preserve">Inland </w:t>
      </w:r>
      <w:r w:rsidR="00DD4902">
        <w:t>R</w:t>
      </w:r>
      <w:r w:rsidR="003F2F13">
        <w:t xml:space="preserve">evenue is addressing </w:t>
      </w:r>
      <w:r w:rsidR="005F0C1A">
        <w:t>this,</w:t>
      </w:r>
      <w:r w:rsidR="003F2F13">
        <w:t xml:space="preserve"> and</w:t>
      </w:r>
      <w:r w:rsidR="00DD4902">
        <w:t xml:space="preserve"> changes</w:t>
      </w:r>
      <w:r w:rsidR="003F2F13">
        <w:t xml:space="preserve"> w</w:t>
      </w:r>
      <w:r w:rsidR="00DD4902">
        <w:t>ere</w:t>
      </w:r>
      <w:r w:rsidR="003F2F13">
        <w:t xml:space="preserve"> progressed through the </w:t>
      </w:r>
      <w:r w:rsidR="00145B82">
        <w:t>mini budget</w:t>
      </w:r>
      <w:r w:rsidR="003F2F13">
        <w:t xml:space="preserve"> alongside </w:t>
      </w:r>
      <w:r w:rsidR="00145B82">
        <w:t>this proposal.</w:t>
      </w:r>
      <w:r w:rsidR="003F2F13">
        <w:t xml:space="preserve"> </w:t>
      </w:r>
    </w:p>
    <w:p w14:paraId="58ACFE9B" w14:textId="02C438EC" w:rsidR="00097119" w:rsidRDefault="00DB51CD" w:rsidP="00F63B97">
      <w:pPr>
        <w:pStyle w:val="Heading3"/>
        <w:rPr>
          <w:lang w:val="en-NZ"/>
        </w:rPr>
      </w:pPr>
      <w:bookmarkStart w:id="23" w:name="_Hlk53565460"/>
      <w:r w:rsidRPr="00980121">
        <w:rPr>
          <w:noProof/>
          <w:lang w:val="en-NZ" w:eastAsia="en-NZ"/>
        </w:rPr>
        <w:t>What are</w:t>
      </w:r>
      <w:r w:rsidR="004625C9" w:rsidRPr="00980121">
        <w:rPr>
          <w:lang w:val="en-NZ"/>
        </w:rPr>
        <w:t xml:space="preserve"> the </w:t>
      </w:r>
      <w:r w:rsidR="005F41A2" w:rsidRPr="00980121">
        <w:rPr>
          <w:lang w:val="en-NZ"/>
        </w:rPr>
        <w:t xml:space="preserve">marginal </w:t>
      </w:r>
      <w:r w:rsidR="00F01ED1" w:rsidRPr="00980121">
        <w:rPr>
          <w:lang w:val="en-NZ"/>
        </w:rPr>
        <w:t>costs and benefits</w:t>
      </w:r>
      <w:r w:rsidR="004625C9" w:rsidRPr="00980121">
        <w:rPr>
          <w:lang w:val="en-NZ"/>
        </w:rPr>
        <w:t xml:space="preserve"> of </w:t>
      </w:r>
      <w:r w:rsidR="005F41A2" w:rsidRPr="00980121">
        <w:rPr>
          <w:lang w:val="en-NZ"/>
        </w:rPr>
        <w:t>the</w:t>
      </w:r>
      <w:r w:rsidR="004625C9" w:rsidRPr="00980121">
        <w:rPr>
          <w:lang w:val="en-NZ"/>
        </w:rPr>
        <w:t xml:space="preserve"> option</w:t>
      </w:r>
      <w:r w:rsidRPr="00980121">
        <w:rPr>
          <w:lang w:val="en-NZ"/>
        </w:rPr>
        <w:t>?</w:t>
      </w:r>
    </w:p>
    <w:tbl>
      <w:tblPr>
        <w:tblpPr w:leftFromText="180" w:rightFromText="180" w:vertAnchor="text" w:horzAnchor="margin" w:tblpY="124"/>
        <w:tblOverlap w:val="never"/>
        <w:tblW w:w="9493"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ayout w:type="fixed"/>
        <w:tblLook w:val="04A0" w:firstRow="1" w:lastRow="0" w:firstColumn="1" w:lastColumn="0" w:noHBand="0" w:noVBand="1"/>
      </w:tblPr>
      <w:tblGrid>
        <w:gridCol w:w="1413"/>
        <w:gridCol w:w="2410"/>
        <w:gridCol w:w="3402"/>
        <w:gridCol w:w="2268"/>
      </w:tblGrid>
      <w:tr w:rsidR="00136700" w:rsidRPr="00A864A5" w14:paraId="5EA92CE7" w14:textId="77777777" w:rsidTr="0002169A">
        <w:trPr>
          <w:trHeight w:val="762"/>
        </w:trPr>
        <w:tc>
          <w:tcPr>
            <w:tcW w:w="1413" w:type="dxa"/>
            <w:shd w:val="clear" w:color="auto" w:fill="F2F2F2" w:themeFill="background1" w:themeFillShade="F2"/>
          </w:tcPr>
          <w:p w14:paraId="74B32D65" w14:textId="3F7E4CFD" w:rsidR="009D0B82" w:rsidRPr="00892E65" w:rsidRDefault="009D0B82" w:rsidP="009D0B82">
            <w:pPr>
              <w:pStyle w:val="TableText"/>
              <w:keepNext/>
              <w:rPr>
                <w:rFonts w:eastAsia="Calibri"/>
                <w:color w:val="000000"/>
                <w:szCs w:val="20"/>
                <w:lang w:val="en-NZ"/>
              </w:rPr>
            </w:pPr>
            <w:r w:rsidRPr="00892E65">
              <w:rPr>
                <w:rFonts w:eastAsia="Calibri"/>
                <w:b/>
                <w:color w:val="000000"/>
                <w:szCs w:val="20"/>
                <w:lang w:val="en-NZ"/>
              </w:rPr>
              <w:t>Affected groups</w:t>
            </w:r>
            <w:r w:rsidR="00136700" w:rsidRPr="00892E65">
              <w:rPr>
                <w:rFonts w:eastAsia="Calibri"/>
                <w:color w:val="000000"/>
                <w:szCs w:val="20"/>
                <w:lang w:val="en-NZ"/>
              </w:rPr>
              <w:br/>
            </w:r>
            <w:r w:rsidRPr="00892E65">
              <w:rPr>
                <w:rFonts w:eastAsia="Calibri"/>
                <w:i/>
                <w:color w:val="000000"/>
                <w:szCs w:val="20"/>
                <w:lang w:val="en-NZ"/>
              </w:rPr>
              <w:t>(identify)</w:t>
            </w:r>
          </w:p>
        </w:tc>
        <w:tc>
          <w:tcPr>
            <w:tcW w:w="2410" w:type="dxa"/>
            <w:shd w:val="clear" w:color="auto" w:fill="F2F2F2" w:themeFill="background1" w:themeFillShade="F2"/>
          </w:tcPr>
          <w:p w14:paraId="18E17B4C" w14:textId="7642184D" w:rsidR="009D0B82" w:rsidRPr="00892E65" w:rsidRDefault="009D0B82" w:rsidP="009D0B82">
            <w:pPr>
              <w:pStyle w:val="TableText"/>
              <w:keepNext/>
              <w:rPr>
                <w:rFonts w:eastAsia="Calibri"/>
                <w:color w:val="000000"/>
                <w:szCs w:val="20"/>
                <w:lang w:val="en-NZ"/>
              </w:rPr>
            </w:pPr>
            <w:r w:rsidRPr="00892E65">
              <w:rPr>
                <w:rFonts w:eastAsia="Calibri"/>
                <w:b/>
                <w:color w:val="000000"/>
                <w:szCs w:val="20"/>
                <w:lang w:val="en-NZ"/>
              </w:rPr>
              <w:t>Comment</w:t>
            </w:r>
            <w:r w:rsidR="00136700" w:rsidRPr="00892E65">
              <w:rPr>
                <w:rFonts w:eastAsia="Calibri"/>
                <w:color w:val="000000"/>
                <w:szCs w:val="20"/>
                <w:lang w:val="en-NZ"/>
              </w:rPr>
              <w:br/>
            </w:r>
            <w:r w:rsidRPr="00892E65">
              <w:rPr>
                <w:rFonts w:eastAsia="Calibri"/>
                <w:i/>
                <w:iCs/>
                <w:color w:val="000000"/>
                <w:szCs w:val="20"/>
                <w:lang w:val="en-NZ"/>
              </w:rPr>
              <w:t>nature of cost or benefit (</w:t>
            </w:r>
            <w:r w:rsidR="00347572" w:rsidRPr="00892E65">
              <w:rPr>
                <w:rFonts w:eastAsia="Calibri"/>
                <w:i/>
                <w:iCs/>
                <w:color w:val="000000"/>
                <w:szCs w:val="20"/>
                <w:lang w:val="en-NZ"/>
              </w:rPr>
              <w:t>e</w:t>
            </w:r>
            <w:r w:rsidR="006478B0">
              <w:rPr>
                <w:rFonts w:eastAsia="Calibri"/>
                <w:i/>
                <w:iCs/>
                <w:color w:val="000000"/>
                <w:szCs w:val="20"/>
                <w:lang w:val="en-NZ"/>
              </w:rPr>
              <w:t>.</w:t>
            </w:r>
            <w:r w:rsidR="00347572" w:rsidRPr="00892E65">
              <w:rPr>
                <w:rFonts w:eastAsia="Calibri"/>
                <w:i/>
                <w:iCs/>
                <w:color w:val="000000"/>
                <w:szCs w:val="20"/>
                <w:lang w:val="en-NZ"/>
              </w:rPr>
              <w:t>g</w:t>
            </w:r>
            <w:r w:rsidR="006478B0">
              <w:rPr>
                <w:rFonts w:eastAsia="Calibri"/>
                <w:i/>
                <w:iCs/>
                <w:color w:val="000000"/>
                <w:szCs w:val="20"/>
                <w:lang w:val="en-NZ"/>
              </w:rPr>
              <w:t>.</w:t>
            </w:r>
            <w:r w:rsidR="00347572" w:rsidRPr="00892E65">
              <w:rPr>
                <w:rFonts w:eastAsia="Calibri"/>
                <w:i/>
                <w:iCs/>
                <w:color w:val="000000"/>
                <w:szCs w:val="20"/>
                <w:lang w:val="en-NZ"/>
              </w:rPr>
              <w:t>,</w:t>
            </w:r>
            <w:r w:rsidRPr="00892E65">
              <w:rPr>
                <w:rFonts w:eastAsia="Calibri"/>
                <w:i/>
                <w:iCs/>
                <w:color w:val="000000"/>
                <w:szCs w:val="20"/>
                <w:lang w:val="en-NZ"/>
              </w:rPr>
              <w:t xml:space="preserve"> ongoing, one-off), evidence and assumption (</w:t>
            </w:r>
            <w:r w:rsidR="00347572" w:rsidRPr="00892E65">
              <w:rPr>
                <w:rFonts w:eastAsia="Calibri"/>
                <w:i/>
                <w:iCs/>
                <w:color w:val="000000"/>
                <w:szCs w:val="20"/>
                <w:lang w:val="en-NZ"/>
              </w:rPr>
              <w:t>e</w:t>
            </w:r>
            <w:r w:rsidR="006478B0">
              <w:rPr>
                <w:rFonts w:eastAsia="Calibri"/>
                <w:i/>
                <w:iCs/>
                <w:color w:val="000000"/>
                <w:szCs w:val="20"/>
                <w:lang w:val="en-NZ"/>
              </w:rPr>
              <w:t>.</w:t>
            </w:r>
            <w:r w:rsidR="00347572" w:rsidRPr="00892E65">
              <w:rPr>
                <w:rFonts w:eastAsia="Calibri"/>
                <w:i/>
                <w:iCs/>
                <w:color w:val="000000"/>
                <w:szCs w:val="20"/>
                <w:lang w:val="en-NZ"/>
              </w:rPr>
              <w:t>g</w:t>
            </w:r>
            <w:r w:rsidR="006478B0">
              <w:rPr>
                <w:rFonts w:eastAsia="Calibri"/>
                <w:i/>
                <w:iCs/>
                <w:color w:val="000000"/>
                <w:szCs w:val="20"/>
                <w:lang w:val="en-NZ"/>
              </w:rPr>
              <w:t>.</w:t>
            </w:r>
            <w:r w:rsidR="00347572" w:rsidRPr="00892E65">
              <w:rPr>
                <w:rFonts w:eastAsia="Calibri"/>
                <w:i/>
                <w:iCs/>
                <w:color w:val="000000"/>
                <w:szCs w:val="20"/>
                <w:lang w:val="en-NZ"/>
              </w:rPr>
              <w:t>,</w:t>
            </w:r>
            <w:r w:rsidRPr="00892E65">
              <w:rPr>
                <w:rFonts w:eastAsia="Calibri"/>
                <w:i/>
                <w:iCs/>
                <w:color w:val="000000"/>
                <w:szCs w:val="20"/>
                <w:lang w:val="en-NZ"/>
              </w:rPr>
              <w:t xml:space="preserve"> compliance rates), risks</w:t>
            </w:r>
            <w:r w:rsidR="00136700" w:rsidRPr="00892E65">
              <w:rPr>
                <w:rFonts w:eastAsia="Calibri"/>
                <w:i/>
                <w:iCs/>
                <w:color w:val="000000"/>
                <w:szCs w:val="20"/>
                <w:lang w:val="en-NZ"/>
              </w:rPr>
              <w:t>.</w:t>
            </w:r>
          </w:p>
        </w:tc>
        <w:tc>
          <w:tcPr>
            <w:tcW w:w="3402" w:type="dxa"/>
            <w:shd w:val="clear" w:color="auto" w:fill="F2F2F2" w:themeFill="background1" w:themeFillShade="F2"/>
          </w:tcPr>
          <w:p w14:paraId="4E01756B" w14:textId="485A22AF" w:rsidR="009D0B82" w:rsidRPr="00892E65" w:rsidRDefault="009D0B82" w:rsidP="009D0B82">
            <w:pPr>
              <w:pStyle w:val="TableText"/>
              <w:keepNext/>
              <w:rPr>
                <w:rFonts w:eastAsia="Calibri"/>
                <w:b/>
                <w:color w:val="000000"/>
                <w:szCs w:val="20"/>
                <w:lang w:val="en-NZ"/>
              </w:rPr>
            </w:pPr>
            <w:r w:rsidRPr="00892E65">
              <w:rPr>
                <w:rFonts w:eastAsia="Calibri"/>
                <w:b/>
                <w:color w:val="000000"/>
                <w:szCs w:val="20"/>
                <w:lang w:val="en-NZ"/>
              </w:rPr>
              <w:t>Impact</w:t>
            </w:r>
            <w:r w:rsidR="00136700" w:rsidRPr="00892E65">
              <w:rPr>
                <w:rFonts w:eastAsia="Calibri"/>
                <w:b/>
                <w:color w:val="000000"/>
                <w:szCs w:val="20"/>
                <w:lang w:val="en-NZ"/>
              </w:rPr>
              <w:br/>
            </w:r>
            <w:r w:rsidRPr="00892E65">
              <w:rPr>
                <w:rFonts w:eastAsia="Calibri"/>
                <w:i/>
                <w:color w:val="000000"/>
                <w:szCs w:val="20"/>
                <w:lang w:val="en-NZ"/>
              </w:rPr>
              <w:t>$m present value where appropriate, for monetised impacts; high, medium or low for non-monetised impacts</w:t>
            </w:r>
            <w:r w:rsidR="00136700" w:rsidRPr="00892E65">
              <w:rPr>
                <w:rFonts w:eastAsia="Calibri"/>
                <w:i/>
                <w:color w:val="000000"/>
                <w:szCs w:val="20"/>
                <w:lang w:val="en-NZ"/>
              </w:rPr>
              <w:t>.</w:t>
            </w:r>
          </w:p>
        </w:tc>
        <w:tc>
          <w:tcPr>
            <w:tcW w:w="2268" w:type="dxa"/>
            <w:shd w:val="clear" w:color="auto" w:fill="F2F2F2" w:themeFill="background1" w:themeFillShade="F2"/>
          </w:tcPr>
          <w:p w14:paraId="29027758" w14:textId="640FB76E" w:rsidR="009D0B82" w:rsidRPr="00892E65" w:rsidRDefault="009D0B82" w:rsidP="009D0B82">
            <w:pPr>
              <w:pStyle w:val="TableText"/>
              <w:keepNext/>
              <w:rPr>
                <w:rFonts w:eastAsia="Calibri"/>
                <w:bCs/>
                <w:i/>
                <w:iCs/>
                <w:color w:val="000000"/>
                <w:szCs w:val="20"/>
                <w:lang w:val="en-NZ"/>
              </w:rPr>
            </w:pPr>
            <w:r w:rsidRPr="00892E65">
              <w:rPr>
                <w:rFonts w:eastAsia="Calibri"/>
                <w:b/>
                <w:color w:val="000000"/>
                <w:szCs w:val="20"/>
                <w:lang w:val="en-NZ"/>
              </w:rPr>
              <w:t>Evidence Certainty</w:t>
            </w:r>
            <w:r w:rsidR="00136700" w:rsidRPr="00892E65">
              <w:rPr>
                <w:rFonts w:eastAsia="Calibri"/>
                <w:b/>
                <w:color w:val="000000"/>
                <w:szCs w:val="20"/>
                <w:lang w:val="en-NZ"/>
              </w:rPr>
              <w:br/>
            </w:r>
            <w:r w:rsidR="00136700" w:rsidRPr="00892E65">
              <w:rPr>
                <w:rFonts w:eastAsia="Calibri"/>
                <w:bCs/>
                <w:i/>
                <w:iCs/>
                <w:color w:val="000000"/>
                <w:szCs w:val="20"/>
                <w:lang w:val="en-NZ"/>
              </w:rPr>
              <w:t>High, medium, or low, and explain reasoning in comment column.</w:t>
            </w:r>
          </w:p>
        </w:tc>
      </w:tr>
      <w:tr w:rsidR="00136700" w:rsidRPr="00A864A5" w14:paraId="3BC25AF6" w14:textId="77777777" w:rsidTr="006448CF">
        <w:trPr>
          <w:trHeight w:val="391"/>
        </w:trPr>
        <w:tc>
          <w:tcPr>
            <w:tcW w:w="9493" w:type="dxa"/>
            <w:gridSpan w:val="4"/>
            <w:shd w:val="clear" w:color="auto" w:fill="F2F2F2" w:themeFill="background1" w:themeFillShade="F2"/>
            <w:vAlign w:val="center"/>
          </w:tcPr>
          <w:p w14:paraId="183B7348" w14:textId="74D1CAE5" w:rsidR="00136700" w:rsidRPr="00892E65" w:rsidRDefault="00136700" w:rsidP="00792525">
            <w:pPr>
              <w:keepNext/>
              <w:spacing w:before="40" w:after="20" w:line="240" w:lineRule="auto"/>
              <w:jc w:val="center"/>
              <w:rPr>
                <w:rFonts w:eastAsia="Calibri"/>
                <w:b/>
                <w:bCs/>
                <w:color w:val="000000"/>
                <w:sz w:val="20"/>
                <w:lang w:val="en-NZ"/>
              </w:rPr>
            </w:pPr>
            <w:r w:rsidRPr="00892E65">
              <w:rPr>
                <w:rFonts w:eastAsia="Calibri"/>
                <w:b/>
                <w:bCs/>
                <w:color w:val="000000"/>
                <w:sz w:val="20"/>
                <w:lang w:val="en-NZ"/>
              </w:rPr>
              <w:t>Additional costs of the preferred option compared to taking no action</w:t>
            </w:r>
          </w:p>
        </w:tc>
      </w:tr>
      <w:tr w:rsidR="00136700" w:rsidRPr="00A864A5" w14:paraId="69C818D7" w14:textId="77777777" w:rsidTr="0002169A">
        <w:trPr>
          <w:trHeight w:val="380"/>
        </w:trPr>
        <w:tc>
          <w:tcPr>
            <w:tcW w:w="1413" w:type="dxa"/>
            <w:shd w:val="clear" w:color="auto" w:fill="auto"/>
          </w:tcPr>
          <w:p w14:paraId="2A2865FC" w14:textId="568797B3" w:rsidR="009D0B82" w:rsidRPr="00892E65" w:rsidRDefault="009D0B82" w:rsidP="009D0B82">
            <w:pPr>
              <w:pStyle w:val="TableText"/>
              <w:keepNext/>
              <w:rPr>
                <w:rFonts w:eastAsia="Calibri"/>
                <w:szCs w:val="20"/>
                <w:lang w:val="en-NZ"/>
              </w:rPr>
            </w:pPr>
            <w:r w:rsidRPr="00892E65">
              <w:rPr>
                <w:rFonts w:eastAsia="Calibri"/>
                <w:szCs w:val="20"/>
                <w:lang w:val="en-NZ"/>
              </w:rPr>
              <w:t>Regulated groups</w:t>
            </w:r>
            <w:r w:rsidR="00540421">
              <w:rPr>
                <w:rFonts w:eastAsia="Calibri"/>
                <w:szCs w:val="20"/>
                <w:lang w:val="en-NZ"/>
              </w:rPr>
              <w:t xml:space="preserve"> (individuals)</w:t>
            </w:r>
          </w:p>
        </w:tc>
        <w:tc>
          <w:tcPr>
            <w:tcW w:w="2410" w:type="dxa"/>
            <w:shd w:val="clear" w:color="auto" w:fill="auto"/>
          </w:tcPr>
          <w:p w14:paraId="6ADD4D7C" w14:textId="49BBC7A8" w:rsidR="009D0B82" w:rsidRPr="00892E65" w:rsidRDefault="004C2A75" w:rsidP="009D0B82">
            <w:pPr>
              <w:pStyle w:val="TableText"/>
              <w:keepNext/>
              <w:rPr>
                <w:rFonts w:eastAsia="Calibri"/>
                <w:szCs w:val="20"/>
                <w:lang w:val="en-NZ"/>
              </w:rPr>
            </w:pPr>
            <w:r w:rsidRPr="00892E65">
              <w:rPr>
                <w:rFonts w:eastAsia="Calibri"/>
                <w:szCs w:val="20"/>
                <w:lang w:val="en-NZ"/>
              </w:rPr>
              <w:t xml:space="preserve">Recipients of </w:t>
            </w:r>
            <w:r w:rsidR="005F0C1A">
              <w:rPr>
                <w:rFonts w:eastAsia="Calibri"/>
                <w:szCs w:val="20"/>
                <w:lang w:val="en-NZ"/>
              </w:rPr>
              <w:t>m</w:t>
            </w:r>
            <w:r w:rsidRPr="00892E65">
              <w:rPr>
                <w:rFonts w:eastAsia="Calibri"/>
                <w:szCs w:val="20"/>
                <w:lang w:val="en-NZ"/>
              </w:rPr>
              <w:t xml:space="preserve">ain </w:t>
            </w:r>
            <w:r w:rsidR="005F0C1A">
              <w:rPr>
                <w:rFonts w:eastAsia="Calibri"/>
                <w:szCs w:val="20"/>
                <w:lang w:val="en-NZ"/>
              </w:rPr>
              <w:t>b</w:t>
            </w:r>
            <w:r w:rsidRPr="00892E65">
              <w:rPr>
                <w:rFonts w:eastAsia="Calibri"/>
                <w:szCs w:val="20"/>
                <w:lang w:val="en-NZ"/>
              </w:rPr>
              <w:t xml:space="preserve">enefits </w:t>
            </w:r>
            <w:r w:rsidR="001255FA" w:rsidRPr="00892E65">
              <w:rPr>
                <w:rFonts w:eastAsia="Calibri"/>
                <w:szCs w:val="20"/>
                <w:lang w:val="en-NZ"/>
              </w:rPr>
              <w:t xml:space="preserve">and the flow on affects to other assistances will be affected by the impacts of changing indexation settings. </w:t>
            </w:r>
          </w:p>
        </w:tc>
        <w:tc>
          <w:tcPr>
            <w:tcW w:w="3402" w:type="dxa"/>
            <w:shd w:val="clear" w:color="auto" w:fill="auto"/>
          </w:tcPr>
          <w:p w14:paraId="15EAE8FC" w14:textId="35371AA3" w:rsidR="00DC2823" w:rsidRPr="00892E65" w:rsidRDefault="00E96555" w:rsidP="009D0B82">
            <w:pPr>
              <w:pStyle w:val="TableText"/>
              <w:keepNext/>
              <w:rPr>
                <w:rFonts w:eastAsia="Calibri"/>
                <w:szCs w:val="20"/>
                <w:lang w:val="en-NZ"/>
              </w:rPr>
            </w:pPr>
            <w:r w:rsidRPr="00892E65">
              <w:rPr>
                <w:rFonts w:eastAsia="Calibri"/>
                <w:szCs w:val="20"/>
                <w:lang w:val="en-NZ"/>
              </w:rPr>
              <w:t>M</w:t>
            </w:r>
            <w:r w:rsidR="00DC2823" w:rsidRPr="00892E65">
              <w:rPr>
                <w:rFonts w:eastAsia="Calibri"/>
                <w:szCs w:val="20"/>
                <w:lang w:val="en-NZ"/>
              </w:rPr>
              <w:t>edium</w:t>
            </w:r>
          </w:p>
          <w:p w14:paraId="65B5D566" w14:textId="1E728DE0" w:rsidR="00FB5406" w:rsidRDefault="00D36B56" w:rsidP="00CE509B">
            <w:pPr>
              <w:pStyle w:val="TableText"/>
              <w:keepNext/>
              <w:spacing w:after="120"/>
              <w:rPr>
                <w:rFonts w:eastAsia="Calibri"/>
                <w:szCs w:val="20"/>
              </w:rPr>
            </w:pPr>
            <w:bookmarkStart w:id="24" w:name="_Hlk155794605"/>
            <w:r w:rsidRPr="00892E65">
              <w:rPr>
                <w:rFonts w:eastAsia="Calibri"/>
                <w:szCs w:val="20"/>
                <w:lang w:val="en-NZ"/>
              </w:rPr>
              <w:t xml:space="preserve">At </w:t>
            </w:r>
            <w:r w:rsidRPr="00892E65">
              <w:rPr>
                <w:rFonts w:eastAsia="Calibri"/>
                <w:szCs w:val="20"/>
              </w:rPr>
              <w:t>the end of September 2023, 362,094 people were receiving a</w:t>
            </w:r>
            <w:r w:rsidR="00ED36EE">
              <w:rPr>
                <w:rFonts w:eastAsia="Calibri"/>
                <w:szCs w:val="20"/>
              </w:rPr>
              <w:t xml:space="preserve"> working age</w:t>
            </w:r>
            <w:r w:rsidRPr="00892E65">
              <w:rPr>
                <w:rFonts w:eastAsia="Calibri"/>
                <w:szCs w:val="20"/>
              </w:rPr>
              <w:t xml:space="preserve"> main benefit</w:t>
            </w:r>
            <w:bookmarkEnd w:id="24"/>
            <w:r w:rsidRPr="00892E65">
              <w:rPr>
                <w:rFonts w:eastAsia="Calibri"/>
                <w:szCs w:val="20"/>
              </w:rPr>
              <w:t xml:space="preserve">. MSD expects that these clients will be </w:t>
            </w:r>
            <w:r w:rsidR="00B6419C" w:rsidRPr="00892E65">
              <w:rPr>
                <w:rFonts w:eastAsia="Calibri"/>
                <w:szCs w:val="20"/>
              </w:rPr>
              <w:t>impacted</w:t>
            </w:r>
            <w:r w:rsidR="00FB5406">
              <w:rPr>
                <w:rFonts w:eastAsia="Calibri"/>
                <w:szCs w:val="20"/>
              </w:rPr>
              <w:t>.</w:t>
            </w:r>
            <w:r w:rsidR="00C36F27" w:rsidRPr="00892E65">
              <w:rPr>
                <w:rFonts w:eastAsia="Calibri"/>
                <w:szCs w:val="20"/>
              </w:rPr>
              <w:t xml:space="preserve"> </w:t>
            </w:r>
          </w:p>
          <w:p w14:paraId="51F35637" w14:textId="38EE2976" w:rsidR="00FB5406" w:rsidRDefault="00F619F2" w:rsidP="00CE509B">
            <w:pPr>
              <w:pStyle w:val="TableText"/>
              <w:keepNext/>
              <w:spacing w:after="120"/>
              <w:rPr>
                <w:rFonts w:eastAsia="Calibri"/>
                <w:szCs w:val="20"/>
              </w:rPr>
            </w:pPr>
            <w:r w:rsidRPr="00892E65">
              <w:rPr>
                <w:rFonts w:eastAsia="Calibri"/>
                <w:szCs w:val="20"/>
              </w:rPr>
              <w:t xml:space="preserve">For the </w:t>
            </w:r>
            <w:r w:rsidR="006B66A1" w:rsidRPr="006B66A1">
              <w:rPr>
                <w:rFonts w:eastAsia="Calibri"/>
                <w:szCs w:val="20"/>
              </w:rPr>
              <w:t xml:space="preserve">1 April 2024 adjustment </w:t>
            </w:r>
            <w:r w:rsidRPr="00892E65">
              <w:rPr>
                <w:rFonts w:eastAsia="Calibri"/>
                <w:szCs w:val="20"/>
              </w:rPr>
              <w:t>main benefit recipients will have a larger increase to their rate of main benefit compared to the status quo, however over the forecast period, they will likely have a decrease in</w:t>
            </w:r>
            <w:r w:rsidR="00E96555" w:rsidRPr="00892E65">
              <w:rPr>
                <w:rFonts w:eastAsia="Calibri"/>
                <w:szCs w:val="20"/>
              </w:rPr>
              <w:t xml:space="preserve"> weekly main benefit rates </w:t>
            </w:r>
            <w:r w:rsidRPr="00892E65">
              <w:rPr>
                <w:rFonts w:eastAsia="Calibri"/>
                <w:szCs w:val="20"/>
              </w:rPr>
              <w:t>compared to the status quo.</w:t>
            </w:r>
            <w:r w:rsidR="00B514D5" w:rsidRPr="00892E65">
              <w:rPr>
                <w:rFonts w:eastAsia="Calibri"/>
                <w:szCs w:val="20"/>
              </w:rPr>
              <w:t xml:space="preserve"> </w:t>
            </w:r>
          </w:p>
          <w:p w14:paraId="4F9EFBDF" w14:textId="4720C442" w:rsidR="00DC2823" w:rsidRPr="00892E65" w:rsidRDefault="00C36F27" w:rsidP="00CE509B">
            <w:pPr>
              <w:pStyle w:val="TableText"/>
              <w:keepNext/>
              <w:spacing w:after="120"/>
              <w:rPr>
                <w:rFonts w:eastAsia="Calibri"/>
                <w:szCs w:val="20"/>
              </w:rPr>
            </w:pPr>
            <w:r w:rsidRPr="00892E65">
              <w:rPr>
                <w:rFonts w:eastAsia="Calibri"/>
                <w:szCs w:val="20"/>
              </w:rPr>
              <w:t xml:space="preserve">Around </w:t>
            </w:r>
            <w:r w:rsidR="00ED36EE">
              <w:rPr>
                <w:rFonts w:eastAsia="Calibri"/>
                <w:szCs w:val="20"/>
              </w:rPr>
              <w:t>193,600</w:t>
            </w:r>
            <w:r w:rsidRPr="00892E65">
              <w:rPr>
                <w:rFonts w:eastAsia="Calibri"/>
                <w:szCs w:val="20"/>
              </w:rPr>
              <w:t xml:space="preserve"> households receive</w:t>
            </w:r>
            <w:r w:rsidR="00ED36EE">
              <w:rPr>
                <w:rFonts w:eastAsia="Calibri"/>
                <w:szCs w:val="20"/>
              </w:rPr>
              <w:t xml:space="preserve"> less than the maximum amount of</w:t>
            </w:r>
            <w:r w:rsidRPr="00892E65">
              <w:rPr>
                <w:rFonts w:eastAsia="Calibri"/>
                <w:szCs w:val="20"/>
              </w:rPr>
              <w:t xml:space="preserve"> AS</w:t>
            </w:r>
            <w:r w:rsidR="00D72A20">
              <w:rPr>
                <w:rFonts w:eastAsia="Calibri"/>
                <w:szCs w:val="20"/>
              </w:rPr>
              <w:t>,</w:t>
            </w:r>
            <w:r w:rsidRPr="00892E65">
              <w:rPr>
                <w:rFonts w:eastAsia="Calibri"/>
                <w:szCs w:val="20"/>
              </w:rPr>
              <w:t xml:space="preserve"> and around 70,000 working households receiv</w:t>
            </w:r>
            <w:r w:rsidR="00D72A20">
              <w:rPr>
                <w:rFonts w:eastAsia="Calibri"/>
                <w:szCs w:val="20"/>
              </w:rPr>
              <w:t>e</w:t>
            </w:r>
            <w:r w:rsidRPr="00892E65">
              <w:rPr>
                <w:rFonts w:eastAsia="Calibri"/>
                <w:szCs w:val="20"/>
              </w:rPr>
              <w:t xml:space="preserve"> AS</w:t>
            </w:r>
            <w:r w:rsidR="00D72A20">
              <w:rPr>
                <w:rFonts w:eastAsia="Calibri"/>
                <w:szCs w:val="20"/>
              </w:rPr>
              <w:t>,</w:t>
            </w:r>
            <w:r w:rsidRPr="00892E65">
              <w:rPr>
                <w:rFonts w:eastAsia="Calibri"/>
                <w:szCs w:val="20"/>
              </w:rPr>
              <w:t xml:space="preserve"> </w:t>
            </w:r>
            <w:r w:rsidR="00ED36EE">
              <w:rPr>
                <w:rFonts w:eastAsia="Calibri"/>
                <w:szCs w:val="20"/>
              </w:rPr>
              <w:t xml:space="preserve">all of </w:t>
            </w:r>
            <w:r w:rsidR="00781C46">
              <w:rPr>
                <w:rFonts w:eastAsia="Calibri"/>
                <w:szCs w:val="20"/>
              </w:rPr>
              <w:t>who</w:t>
            </w:r>
            <w:r w:rsidR="00ED36EE">
              <w:rPr>
                <w:rFonts w:eastAsia="Calibri"/>
                <w:szCs w:val="20"/>
              </w:rPr>
              <w:t>m will</w:t>
            </w:r>
            <w:r w:rsidRPr="00892E65">
              <w:rPr>
                <w:rFonts w:eastAsia="Calibri"/>
                <w:szCs w:val="20"/>
              </w:rPr>
              <w:t xml:space="preserve"> be </w:t>
            </w:r>
            <w:r w:rsidR="00B6419C" w:rsidRPr="00892E65">
              <w:rPr>
                <w:rFonts w:eastAsia="Calibri"/>
                <w:szCs w:val="20"/>
              </w:rPr>
              <w:t>impacted</w:t>
            </w:r>
            <w:r w:rsidRPr="00892E65">
              <w:rPr>
                <w:rFonts w:eastAsia="Calibri"/>
                <w:szCs w:val="20"/>
              </w:rPr>
              <w:t>.</w:t>
            </w:r>
            <w:r w:rsidRPr="00892E65">
              <w:rPr>
                <w:rFonts w:eastAsia="Calibri"/>
                <w:szCs w:val="20"/>
              </w:rPr>
              <w:br/>
              <w:t xml:space="preserve">There are currently around 43,700 social housing tenants receiving a main benefit </w:t>
            </w:r>
            <w:r w:rsidR="005F0C1A">
              <w:rPr>
                <w:rFonts w:eastAsia="Calibri"/>
                <w:szCs w:val="20"/>
              </w:rPr>
              <w:t>who</w:t>
            </w:r>
            <w:r w:rsidR="005F0C1A" w:rsidRPr="00892E65">
              <w:rPr>
                <w:rFonts w:eastAsia="Calibri"/>
                <w:szCs w:val="20"/>
              </w:rPr>
              <w:t xml:space="preserve"> </w:t>
            </w:r>
            <w:r w:rsidR="00ED36EE">
              <w:rPr>
                <w:rFonts w:eastAsia="Calibri"/>
                <w:szCs w:val="20"/>
              </w:rPr>
              <w:t xml:space="preserve">will </w:t>
            </w:r>
            <w:r w:rsidRPr="00892E65">
              <w:rPr>
                <w:rFonts w:eastAsia="Calibri"/>
                <w:szCs w:val="20"/>
              </w:rPr>
              <w:t xml:space="preserve">be </w:t>
            </w:r>
            <w:r w:rsidR="00B6419C" w:rsidRPr="00892E65">
              <w:rPr>
                <w:rFonts w:eastAsia="Calibri"/>
                <w:szCs w:val="20"/>
              </w:rPr>
              <w:t>impacted</w:t>
            </w:r>
            <w:r w:rsidRPr="00892E65">
              <w:rPr>
                <w:rFonts w:eastAsia="Calibri"/>
                <w:szCs w:val="20"/>
              </w:rPr>
              <w:t xml:space="preserve">. </w:t>
            </w:r>
          </w:p>
          <w:p w14:paraId="46F27F30" w14:textId="457B0765" w:rsidR="009D0B82" w:rsidRPr="00892E65" w:rsidRDefault="00DC2823" w:rsidP="00CE509B">
            <w:pPr>
              <w:pStyle w:val="TableText"/>
              <w:keepNext/>
              <w:spacing w:after="120"/>
              <w:rPr>
                <w:rFonts w:eastAsia="Calibri"/>
                <w:szCs w:val="20"/>
                <w:lang w:val="en-NZ"/>
              </w:rPr>
            </w:pPr>
            <w:r w:rsidRPr="00892E65">
              <w:rPr>
                <w:rFonts w:eastAsia="Calibri"/>
                <w:szCs w:val="20"/>
              </w:rPr>
              <w:t>Exact impacts will be confirmed when wage and inflation data are released by Stats</w:t>
            </w:r>
            <w:r w:rsidR="006478B0">
              <w:rPr>
                <w:rFonts w:eastAsia="Calibri"/>
                <w:szCs w:val="20"/>
              </w:rPr>
              <w:t xml:space="preserve"> </w:t>
            </w:r>
            <w:r w:rsidRPr="00892E65">
              <w:rPr>
                <w:rFonts w:eastAsia="Calibri"/>
                <w:szCs w:val="20"/>
              </w:rPr>
              <w:t>NZ</w:t>
            </w:r>
            <w:r w:rsidR="00B514D5" w:rsidRPr="00892E65">
              <w:rPr>
                <w:rFonts w:eastAsia="Calibri"/>
                <w:szCs w:val="20"/>
              </w:rPr>
              <w:t xml:space="preserve"> </w:t>
            </w:r>
            <w:r w:rsidR="00F619F2" w:rsidRPr="00892E65">
              <w:rPr>
                <w:rFonts w:eastAsia="Calibri"/>
                <w:szCs w:val="20"/>
              </w:rPr>
              <w:t>in early February.</w:t>
            </w:r>
          </w:p>
        </w:tc>
        <w:tc>
          <w:tcPr>
            <w:tcW w:w="2268" w:type="dxa"/>
          </w:tcPr>
          <w:p w14:paraId="60063911" w14:textId="3408061F" w:rsidR="009D0B82" w:rsidRPr="00892E65" w:rsidRDefault="00B6419C" w:rsidP="009D0B82">
            <w:pPr>
              <w:pStyle w:val="TableText"/>
              <w:keepNext/>
              <w:rPr>
                <w:rFonts w:eastAsia="Calibri"/>
                <w:szCs w:val="20"/>
                <w:lang w:val="en-NZ"/>
              </w:rPr>
            </w:pPr>
            <w:r w:rsidRPr="00892E65">
              <w:rPr>
                <w:rFonts w:eastAsia="Calibri"/>
                <w:szCs w:val="20"/>
                <w:lang w:val="en-NZ"/>
              </w:rPr>
              <w:t>Medium</w:t>
            </w:r>
            <w:r w:rsidR="00C36F27" w:rsidRPr="00892E65">
              <w:rPr>
                <w:rFonts w:eastAsia="Calibri"/>
                <w:szCs w:val="20"/>
                <w:lang w:val="en-NZ"/>
              </w:rPr>
              <w:t xml:space="preserve"> </w:t>
            </w:r>
          </w:p>
        </w:tc>
      </w:tr>
      <w:tr w:rsidR="00136700" w:rsidRPr="00A864A5" w14:paraId="6C96536B" w14:textId="77777777" w:rsidTr="0002169A">
        <w:trPr>
          <w:trHeight w:val="380"/>
        </w:trPr>
        <w:tc>
          <w:tcPr>
            <w:tcW w:w="1413" w:type="dxa"/>
            <w:shd w:val="clear" w:color="auto" w:fill="auto"/>
          </w:tcPr>
          <w:p w14:paraId="3C6DDDE0" w14:textId="7F7F4851" w:rsidR="009D0B82" w:rsidRPr="00892E65" w:rsidRDefault="009D0B82" w:rsidP="009D0B82">
            <w:pPr>
              <w:pStyle w:val="TableText"/>
              <w:keepNext/>
              <w:rPr>
                <w:rFonts w:eastAsia="Calibri"/>
                <w:szCs w:val="20"/>
                <w:lang w:val="en-NZ"/>
              </w:rPr>
            </w:pPr>
            <w:r w:rsidRPr="00892E65">
              <w:rPr>
                <w:rFonts w:eastAsia="Calibri"/>
                <w:szCs w:val="20"/>
                <w:lang w:val="en-NZ"/>
              </w:rPr>
              <w:t>Regulators</w:t>
            </w:r>
            <w:r w:rsidR="00540421">
              <w:rPr>
                <w:rFonts w:eastAsia="Calibri"/>
                <w:szCs w:val="20"/>
                <w:lang w:val="en-NZ"/>
              </w:rPr>
              <w:t xml:space="preserve"> (MSD)</w:t>
            </w:r>
          </w:p>
        </w:tc>
        <w:tc>
          <w:tcPr>
            <w:tcW w:w="2410" w:type="dxa"/>
            <w:shd w:val="clear" w:color="auto" w:fill="auto"/>
          </w:tcPr>
          <w:p w14:paraId="5DE5B82F" w14:textId="499BDD0B" w:rsidR="009D0B82" w:rsidRPr="00892E65" w:rsidRDefault="009A0BA6" w:rsidP="009D0B82">
            <w:pPr>
              <w:pStyle w:val="TableText"/>
              <w:keepNext/>
              <w:rPr>
                <w:rFonts w:eastAsia="Calibri"/>
                <w:szCs w:val="20"/>
                <w:lang w:val="en-NZ"/>
              </w:rPr>
            </w:pPr>
            <w:r>
              <w:rPr>
                <w:rFonts w:eastAsia="Calibri"/>
                <w:szCs w:val="20"/>
              </w:rPr>
              <w:t xml:space="preserve">The </w:t>
            </w:r>
            <w:r w:rsidR="00D36B56" w:rsidRPr="00892E65">
              <w:rPr>
                <w:rFonts w:eastAsia="Calibri"/>
                <w:szCs w:val="20"/>
              </w:rPr>
              <w:t>Ministry of Social Development</w:t>
            </w:r>
            <w:r w:rsidR="001255FA" w:rsidRPr="00892E65">
              <w:rPr>
                <w:rFonts w:eastAsia="Calibri"/>
                <w:szCs w:val="20"/>
              </w:rPr>
              <w:t xml:space="preserve"> will remain the steward of the Social Security Act 2018, </w:t>
            </w:r>
            <w:r w:rsidR="001255FA" w:rsidRPr="00892E65">
              <w:rPr>
                <w:rFonts w:eastAsia="Calibri"/>
                <w:szCs w:val="20"/>
              </w:rPr>
              <w:lastRenderedPageBreak/>
              <w:t xml:space="preserve">indexation settings and the </w:t>
            </w:r>
            <w:r w:rsidR="006B66A1" w:rsidRPr="006B66A1">
              <w:rPr>
                <w:rFonts w:eastAsia="Calibri"/>
                <w:szCs w:val="20"/>
              </w:rPr>
              <w:t>1 April 2024 adjustment</w:t>
            </w:r>
            <w:r w:rsidR="001255FA" w:rsidRPr="00892E65">
              <w:rPr>
                <w:rFonts w:eastAsia="Calibri"/>
                <w:szCs w:val="20"/>
              </w:rPr>
              <w:t xml:space="preserve">. </w:t>
            </w:r>
          </w:p>
        </w:tc>
        <w:tc>
          <w:tcPr>
            <w:tcW w:w="3402" w:type="dxa"/>
            <w:shd w:val="clear" w:color="auto" w:fill="auto"/>
          </w:tcPr>
          <w:p w14:paraId="50D7CCCC" w14:textId="7C73C3E5" w:rsidR="00187630" w:rsidRPr="00892E65" w:rsidRDefault="00DC2823" w:rsidP="00DC2823">
            <w:pPr>
              <w:pStyle w:val="TableText"/>
              <w:keepNext/>
              <w:rPr>
                <w:rFonts w:eastAsia="Calibri"/>
                <w:szCs w:val="20"/>
                <w:lang w:val="en-NZ"/>
              </w:rPr>
            </w:pPr>
            <w:r w:rsidRPr="00892E65">
              <w:rPr>
                <w:rFonts w:eastAsia="Calibri"/>
                <w:szCs w:val="20"/>
                <w:lang w:val="en-NZ"/>
              </w:rPr>
              <w:lastRenderedPageBreak/>
              <w:t xml:space="preserve">Minor </w:t>
            </w:r>
          </w:p>
        </w:tc>
        <w:tc>
          <w:tcPr>
            <w:tcW w:w="2268" w:type="dxa"/>
          </w:tcPr>
          <w:p w14:paraId="01D89344" w14:textId="4F1600BA" w:rsidR="009D0B82" w:rsidRPr="00892E65" w:rsidRDefault="00DC2823" w:rsidP="009D0B82">
            <w:pPr>
              <w:pStyle w:val="TableText"/>
              <w:keepNext/>
              <w:rPr>
                <w:rFonts w:eastAsia="Calibri"/>
                <w:szCs w:val="20"/>
                <w:lang w:val="en-NZ"/>
              </w:rPr>
            </w:pPr>
            <w:r w:rsidRPr="00892E65">
              <w:rPr>
                <w:rFonts w:eastAsia="Calibri"/>
                <w:szCs w:val="20"/>
                <w:lang w:val="en-NZ"/>
              </w:rPr>
              <w:t>High</w:t>
            </w:r>
            <w:r w:rsidRPr="00892E65">
              <w:rPr>
                <w:rFonts w:eastAsia="Calibri"/>
                <w:szCs w:val="20"/>
              </w:rPr>
              <w:t xml:space="preserve"> </w:t>
            </w:r>
            <w:r w:rsidR="00D36B56" w:rsidRPr="00892E65">
              <w:rPr>
                <w:rFonts w:eastAsia="Calibri"/>
                <w:szCs w:val="20"/>
              </w:rPr>
              <w:t xml:space="preserve">confidence in expected savings and implementation costs. Savings and </w:t>
            </w:r>
            <w:r w:rsidR="00D36B56" w:rsidRPr="00892E65">
              <w:rPr>
                <w:rFonts w:eastAsia="Calibri"/>
                <w:szCs w:val="20"/>
              </w:rPr>
              <w:lastRenderedPageBreak/>
              <w:t xml:space="preserve">implementation costs rely on preliminary forecasts. These have been forecast to the best of </w:t>
            </w:r>
            <w:r w:rsidR="00983F99">
              <w:rPr>
                <w:rFonts w:eastAsia="Calibri"/>
                <w:szCs w:val="20"/>
              </w:rPr>
              <w:t>the Ministry of Social Development</w:t>
            </w:r>
            <w:r w:rsidR="00D72A20">
              <w:rPr>
                <w:rFonts w:eastAsia="Calibri"/>
                <w:szCs w:val="20"/>
              </w:rPr>
              <w:t>’</w:t>
            </w:r>
            <w:r w:rsidR="00983F99">
              <w:rPr>
                <w:rFonts w:eastAsia="Calibri"/>
                <w:szCs w:val="20"/>
              </w:rPr>
              <w:t xml:space="preserve">s </w:t>
            </w:r>
            <w:r w:rsidR="00D72A20" w:rsidRPr="00892E65">
              <w:rPr>
                <w:rFonts w:eastAsia="Calibri"/>
                <w:szCs w:val="20"/>
              </w:rPr>
              <w:t>ability;</w:t>
            </w:r>
            <w:r w:rsidR="00D36B56" w:rsidRPr="00892E65">
              <w:rPr>
                <w:rFonts w:eastAsia="Calibri"/>
                <w:szCs w:val="20"/>
              </w:rPr>
              <w:t xml:space="preserve"> however, </w:t>
            </w:r>
            <w:r w:rsidR="00C36F27" w:rsidRPr="00892E65">
              <w:rPr>
                <w:rFonts w:eastAsia="Calibri"/>
                <w:szCs w:val="20"/>
              </w:rPr>
              <w:t xml:space="preserve">they </w:t>
            </w:r>
            <w:r w:rsidR="00D36B56" w:rsidRPr="00892E65">
              <w:rPr>
                <w:rFonts w:eastAsia="Calibri"/>
                <w:szCs w:val="20"/>
              </w:rPr>
              <w:t>are subject to change.</w:t>
            </w:r>
          </w:p>
        </w:tc>
      </w:tr>
      <w:tr w:rsidR="00136700" w:rsidRPr="00A864A5" w14:paraId="1EC05492" w14:textId="77777777" w:rsidTr="0002169A">
        <w:trPr>
          <w:trHeight w:val="263"/>
        </w:trPr>
        <w:tc>
          <w:tcPr>
            <w:tcW w:w="1413" w:type="dxa"/>
            <w:shd w:val="clear" w:color="auto" w:fill="auto"/>
          </w:tcPr>
          <w:p w14:paraId="5E0B2728" w14:textId="010C831D" w:rsidR="009D0B82" w:rsidRPr="00892E65" w:rsidRDefault="009D0B82" w:rsidP="009D0B82">
            <w:pPr>
              <w:pStyle w:val="TableText"/>
              <w:keepNext/>
              <w:rPr>
                <w:rFonts w:eastAsia="Calibri" w:cs="Arial"/>
                <w:color w:val="000000"/>
                <w:szCs w:val="20"/>
                <w:lang w:val="en-NZ"/>
              </w:rPr>
            </w:pPr>
            <w:r w:rsidRPr="00892E65">
              <w:rPr>
                <w:rFonts w:eastAsia="Calibri"/>
                <w:color w:val="000000"/>
                <w:szCs w:val="20"/>
                <w:lang w:val="en-NZ"/>
              </w:rPr>
              <w:lastRenderedPageBreak/>
              <w:t>Other</w:t>
            </w:r>
            <w:r w:rsidR="0026139D" w:rsidRPr="00892E65">
              <w:rPr>
                <w:rFonts w:eastAsia="Calibri"/>
                <w:color w:val="000000"/>
                <w:szCs w:val="20"/>
                <w:lang w:val="en-NZ"/>
              </w:rPr>
              <w:t xml:space="preserve">s </w:t>
            </w:r>
            <w:r w:rsidRPr="00892E65">
              <w:rPr>
                <w:rFonts w:eastAsia="Calibri"/>
                <w:color w:val="000000"/>
                <w:szCs w:val="20"/>
                <w:lang w:val="en-NZ"/>
              </w:rPr>
              <w:t>(</w:t>
            </w:r>
            <w:r w:rsidR="00347572" w:rsidRPr="00892E65">
              <w:rPr>
                <w:rFonts w:eastAsia="Calibri"/>
                <w:color w:val="000000"/>
                <w:szCs w:val="20"/>
                <w:lang w:val="en-NZ"/>
              </w:rPr>
              <w:t>e</w:t>
            </w:r>
            <w:r w:rsidR="006478B0">
              <w:rPr>
                <w:rFonts w:eastAsia="Calibri"/>
                <w:color w:val="000000"/>
                <w:szCs w:val="20"/>
                <w:lang w:val="en-NZ"/>
              </w:rPr>
              <w:t>.</w:t>
            </w:r>
            <w:r w:rsidR="00347572" w:rsidRPr="00892E65">
              <w:rPr>
                <w:rFonts w:eastAsia="Calibri"/>
                <w:color w:val="000000"/>
                <w:szCs w:val="20"/>
                <w:lang w:val="en-NZ"/>
              </w:rPr>
              <w:t>g</w:t>
            </w:r>
            <w:r w:rsidR="006478B0">
              <w:rPr>
                <w:rFonts w:eastAsia="Calibri"/>
                <w:color w:val="000000"/>
                <w:szCs w:val="20"/>
                <w:lang w:val="en-NZ"/>
              </w:rPr>
              <w:t>.</w:t>
            </w:r>
            <w:r w:rsidR="00347572" w:rsidRPr="00892E65">
              <w:rPr>
                <w:rFonts w:eastAsia="Calibri"/>
                <w:color w:val="000000"/>
                <w:szCs w:val="20"/>
                <w:lang w:val="en-NZ"/>
              </w:rPr>
              <w:t>,</w:t>
            </w:r>
            <w:r w:rsidRPr="00892E65">
              <w:rPr>
                <w:rFonts w:eastAsia="Calibri"/>
                <w:color w:val="000000"/>
                <w:szCs w:val="20"/>
                <w:lang w:val="en-NZ"/>
              </w:rPr>
              <w:t xml:space="preserve"> wider gov</w:t>
            </w:r>
            <w:r w:rsidR="0026139D" w:rsidRPr="00892E65">
              <w:rPr>
                <w:rFonts w:eastAsia="Calibri"/>
                <w:color w:val="000000"/>
                <w:szCs w:val="20"/>
                <w:lang w:val="en-NZ"/>
              </w:rPr>
              <w:t>t</w:t>
            </w:r>
            <w:r w:rsidRPr="00892E65">
              <w:rPr>
                <w:rFonts w:eastAsia="Calibri"/>
                <w:color w:val="000000"/>
                <w:szCs w:val="20"/>
                <w:lang w:val="en-NZ"/>
              </w:rPr>
              <w:t>, consumers</w:t>
            </w:r>
            <w:r w:rsidR="0026139D" w:rsidRPr="00892E65">
              <w:rPr>
                <w:rFonts w:eastAsia="Calibri"/>
                <w:color w:val="000000"/>
                <w:szCs w:val="20"/>
                <w:lang w:val="en-NZ"/>
              </w:rPr>
              <w:t>, etc.</w:t>
            </w:r>
            <w:r w:rsidRPr="00892E65">
              <w:rPr>
                <w:rFonts w:eastAsia="Calibri"/>
                <w:color w:val="000000"/>
                <w:szCs w:val="20"/>
                <w:lang w:val="en-NZ"/>
              </w:rPr>
              <w:t>)</w:t>
            </w:r>
          </w:p>
        </w:tc>
        <w:tc>
          <w:tcPr>
            <w:tcW w:w="2410" w:type="dxa"/>
            <w:shd w:val="clear" w:color="auto" w:fill="auto"/>
          </w:tcPr>
          <w:p w14:paraId="6CEA210A" w14:textId="754458F7" w:rsidR="009D0B82" w:rsidRPr="00892E65" w:rsidRDefault="384FD229" w:rsidP="009D0B82">
            <w:pPr>
              <w:pStyle w:val="TableText"/>
              <w:keepNext/>
              <w:rPr>
                <w:rFonts w:eastAsia="Calibri"/>
                <w:szCs w:val="20"/>
                <w:lang w:val="en-NZ"/>
              </w:rPr>
            </w:pPr>
            <w:r w:rsidRPr="00892E65">
              <w:rPr>
                <w:rFonts w:eastAsia="Calibri"/>
                <w:szCs w:val="20"/>
                <w:lang w:val="en-NZ"/>
              </w:rPr>
              <w:t xml:space="preserve">Inland Revenue has progressed a change in </w:t>
            </w:r>
            <w:r w:rsidR="00B2163C" w:rsidRPr="00892E65">
              <w:rPr>
                <w:rFonts w:eastAsia="Calibri"/>
                <w:szCs w:val="20"/>
              </w:rPr>
              <w:t xml:space="preserve">MFTC </w:t>
            </w:r>
            <w:r w:rsidRPr="00892E65">
              <w:rPr>
                <w:rFonts w:eastAsia="Calibri"/>
                <w:szCs w:val="20"/>
                <w:lang w:val="en-NZ"/>
              </w:rPr>
              <w:t xml:space="preserve">through the </w:t>
            </w:r>
            <w:r w:rsidR="00F92E28" w:rsidRPr="00892E65">
              <w:rPr>
                <w:rFonts w:eastAsia="Calibri"/>
                <w:szCs w:val="20"/>
                <w:lang w:val="en-NZ"/>
              </w:rPr>
              <w:t>mini budget</w:t>
            </w:r>
            <w:r w:rsidRPr="00892E65">
              <w:rPr>
                <w:rFonts w:eastAsia="Calibri"/>
                <w:szCs w:val="20"/>
                <w:lang w:val="en-NZ"/>
              </w:rPr>
              <w:t xml:space="preserve"> to address the flow on effect of changing indexation. </w:t>
            </w:r>
          </w:p>
        </w:tc>
        <w:tc>
          <w:tcPr>
            <w:tcW w:w="3402" w:type="dxa"/>
            <w:shd w:val="clear" w:color="auto" w:fill="auto"/>
          </w:tcPr>
          <w:p w14:paraId="6D0271F8" w14:textId="076FB881" w:rsidR="009D0B82" w:rsidRPr="00892E65" w:rsidRDefault="00B6419C" w:rsidP="009D0B82">
            <w:pPr>
              <w:pStyle w:val="TableText"/>
              <w:keepNext/>
              <w:rPr>
                <w:rFonts w:eastAsia="Calibri"/>
                <w:szCs w:val="20"/>
                <w:lang w:val="en-NZ"/>
              </w:rPr>
            </w:pPr>
            <w:r w:rsidRPr="00892E65">
              <w:rPr>
                <w:rFonts w:eastAsia="Calibri"/>
                <w:szCs w:val="20"/>
              </w:rPr>
              <w:t>In the 2022</w:t>
            </w:r>
            <w:r w:rsidR="00FB47C7">
              <w:rPr>
                <w:rFonts w:eastAsia="Calibri"/>
                <w:szCs w:val="20"/>
              </w:rPr>
              <w:t>/2023</w:t>
            </w:r>
            <w:r w:rsidRPr="00892E65">
              <w:rPr>
                <w:rFonts w:eastAsia="Calibri"/>
                <w:szCs w:val="20"/>
              </w:rPr>
              <w:t xml:space="preserve"> </w:t>
            </w:r>
            <w:r w:rsidR="00FB47C7">
              <w:rPr>
                <w:rFonts w:eastAsia="Calibri"/>
                <w:szCs w:val="20"/>
              </w:rPr>
              <w:t>i</w:t>
            </w:r>
            <w:r w:rsidRPr="00892E65">
              <w:rPr>
                <w:rFonts w:eastAsia="Calibri"/>
                <w:szCs w:val="20"/>
              </w:rPr>
              <w:t>ncome tax year there were approximately 3,200 families which received</w:t>
            </w:r>
            <w:r w:rsidR="00B2163C" w:rsidRPr="00892E65">
              <w:rPr>
                <w:rFonts w:cs="Times New Roman"/>
                <w:szCs w:val="20"/>
                <w:lang w:eastAsia="en-GB"/>
              </w:rPr>
              <w:t xml:space="preserve"> </w:t>
            </w:r>
            <w:r w:rsidRPr="00892E65">
              <w:rPr>
                <w:rFonts w:eastAsia="Calibri"/>
                <w:szCs w:val="20"/>
              </w:rPr>
              <w:t>MFTC who may be affected.</w:t>
            </w:r>
          </w:p>
        </w:tc>
        <w:tc>
          <w:tcPr>
            <w:tcW w:w="2268" w:type="dxa"/>
          </w:tcPr>
          <w:p w14:paraId="11DB2252" w14:textId="27E74007" w:rsidR="009D0B82" w:rsidRPr="00892E65" w:rsidRDefault="00B6419C" w:rsidP="009D0B82">
            <w:pPr>
              <w:pStyle w:val="TableText"/>
              <w:keepNext/>
              <w:rPr>
                <w:rFonts w:eastAsia="Calibri"/>
                <w:szCs w:val="20"/>
                <w:lang w:val="en-NZ"/>
              </w:rPr>
            </w:pPr>
            <w:r w:rsidRPr="00892E65">
              <w:rPr>
                <w:rFonts w:eastAsia="Calibri"/>
                <w:szCs w:val="20"/>
                <w:lang w:val="en-NZ"/>
              </w:rPr>
              <w:t>Low</w:t>
            </w:r>
          </w:p>
        </w:tc>
      </w:tr>
      <w:tr w:rsidR="00136700" w:rsidRPr="00A864A5" w14:paraId="7B594653" w14:textId="77777777" w:rsidTr="0002169A">
        <w:trPr>
          <w:trHeight w:val="263"/>
        </w:trPr>
        <w:tc>
          <w:tcPr>
            <w:tcW w:w="1413" w:type="dxa"/>
            <w:shd w:val="clear" w:color="auto" w:fill="auto"/>
          </w:tcPr>
          <w:p w14:paraId="53792208" w14:textId="77777777" w:rsidR="009D0B82" w:rsidRPr="00892E65" w:rsidRDefault="009D0B82" w:rsidP="009D0B82">
            <w:pPr>
              <w:pStyle w:val="TableText"/>
              <w:keepNext/>
              <w:rPr>
                <w:rFonts w:eastAsia="Calibri"/>
                <w:b/>
                <w:szCs w:val="20"/>
                <w:lang w:val="en-NZ"/>
              </w:rPr>
            </w:pPr>
            <w:r w:rsidRPr="00892E65">
              <w:rPr>
                <w:rFonts w:eastAsia="Calibri"/>
                <w:b/>
                <w:szCs w:val="20"/>
                <w:lang w:val="en-NZ"/>
              </w:rPr>
              <w:t>Total monetised costs</w:t>
            </w:r>
          </w:p>
        </w:tc>
        <w:tc>
          <w:tcPr>
            <w:tcW w:w="2410" w:type="dxa"/>
            <w:shd w:val="clear" w:color="auto" w:fill="auto"/>
          </w:tcPr>
          <w:p w14:paraId="691B6133" w14:textId="77777777" w:rsidR="009D0B82" w:rsidRPr="00892E65" w:rsidRDefault="009D0B82" w:rsidP="009D0B82">
            <w:pPr>
              <w:pStyle w:val="TableText"/>
              <w:keepNext/>
              <w:rPr>
                <w:rFonts w:eastAsia="Calibri"/>
                <w:i/>
                <w:szCs w:val="20"/>
                <w:lang w:val="en-NZ"/>
              </w:rPr>
            </w:pPr>
          </w:p>
        </w:tc>
        <w:tc>
          <w:tcPr>
            <w:tcW w:w="3402" w:type="dxa"/>
            <w:shd w:val="clear" w:color="auto" w:fill="auto"/>
          </w:tcPr>
          <w:p w14:paraId="5A6CC8A1" w14:textId="54727CD9" w:rsidR="009D0B82" w:rsidRPr="00892E65" w:rsidRDefault="00B2163C" w:rsidP="00B6419C">
            <w:pPr>
              <w:pStyle w:val="TableText"/>
              <w:keepNext/>
              <w:rPr>
                <w:rFonts w:eastAsia="Calibri"/>
                <w:szCs w:val="20"/>
                <w:lang w:val="en-NZ"/>
              </w:rPr>
            </w:pPr>
            <w:r w:rsidRPr="00892E65">
              <w:rPr>
                <w:rFonts w:eastAsia="Calibri"/>
                <w:szCs w:val="20"/>
                <w:lang w:val="en-NZ"/>
              </w:rPr>
              <w:t>Overall,</w:t>
            </w:r>
            <w:r w:rsidR="00B6419C" w:rsidRPr="00892E65">
              <w:rPr>
                <w:rFonts w:eastAsia="Calibri"/>
                <w:szCs w:val="20"/>
                <w:lang w:val="en-NZ"/>
              </w:rPr>
              <w:t xml:space="preserve"> </w:t>
            </w:r>
            <w:r w:rsidR="00B6419C" w:rsidRPr="00892E65">
              <w:rPr>
                <w:rFonts w:eastAsia="Calibri"/>
                <w:szCs w:val="20"/>
              </w:rPr>
              <w:t xml:space="preserve">$669.527 million </w:t>
            </w:r>
            <w:r w:rsidR="00F619F2" w:rsidRPr="00892E65">
              <w:rPr>
                <w:rFonts w:eastAsia="Calibri"/>
                <w:szCs w:val="20"/>
              </w:rPr>
              <w:t>in savings</w:t>
            </w:r>
            <w:r w:rsidR="00B6419C" w:rsidRPr="00892E65">
              <w:rPr>
                <w:rFonts w:eastAsia="Calibri"/>
                <w:szCs w:val="20"/>
              </w:rPr>
              <w:t xml:space="preserve"> </w:t>
            </w:r>
            <w:r w:rsidR="00B6419C" w:rsidRPr="00892E65">
              <w:rPr>
                <w:rFonts w:eastAsia="Calibri"/>
                <w:szCs w:val="20"/>
                <w:lang w:val="en-NZ"/>
              </w:rPr>
              <w:t xml:space="preserve">over the forecast period. </w:t>
            </w:r>
          </w:p>
        </w:tc>
        <w:tc>
          <w:tcPr>
            <w:tcW w:w="2268" w:type="dxa"/>
          </w:tcPr>
          <w:p w14:paraId="1A599FEF" w14:textId="77777777" w:rsidR="009D0B82" w:rsidRPr="00892E65" w:rsidRDefault="009D0B82" w:rsidP="009D0B82">
            <w:pPr>
              <w:pStyle w:val="TableText"/>
              <w:keepNext/>
              <w:rPr>
                <w:rFonts w:eastAsia="Calibri"/>
                <w:szCs w:val="20"/>
                <w:lang w:val="en-NZ"/>
              </w:rPr>
            </w:pPr>
          </w:p>
        </w:tc>
      </w:tr>
      <w:tr w:rsidR="00136700" w:rsidRPr="00A864A5" w14:paraId="78D06DB5" w14:textId="77777777" w:rsidTr="0002169A">
        <w:trPr>
          <w:trHeight w:val="263"/>
        </w:trPr>
        <w:tc>
          <w:tcPr>
            <w:tcW w:w="1413" w:type="dxa"/>
            <w:shd w:val="clear" w:color="auto" w:fill="auto"/>
          </w:tcPr>
          <w:p w14:paraId="2AEBC854" w14:textId="77777777" w:rsidR="009D0B82" w:rsidRPr="00892E65" w:rsidRDefault="009D0B82" w:rsidP="009D0B82">
            <w:pPr>
              <w:pStyle w:val="TableText"/>
              <w:keepNext/>
              <w:rPr>
                <w:rFonts w:eastAsia="Calibri"/>
                <w:b/>
                <w:szCs w:val="20"/>
                <w:lang w:val="en-NZ"/>
              </w:rPr>
            </w:pPr>
            <w:r w:rsidRPr="00892E65">
              <w:rPr>
                <w:rFonts w:eastAsia="Calibri"/>
                <w:b/>
                <w:szCs w:val="20"/>
                <w:lang w:val="en-NZ"/>
              </w:rPr>
              <w:t xml:space="preserve">Non-monetised costs </w:t>
            </w:r>
          </w:p>
        </w:tc>
        <w:tc>
          <w:tcPr>
            <w:tcW w:w="2410" w:type="dxa"/>
            <w:shd w:val="clear" w:color="auto" w:fill="auto"/>
          </w:tcPr>
          <w:p w14:paraId="327100D4" w14:textId="6887F187" w:rsidR="009D0B82" w:rsidRPr="00892E65" w:rsidRDefault="00B6419C" w:rsidP="009D0B82">
            <w:pPr>
              <w:pStyle w:val="TableText"/>
              <w:keepNext/>
              <w:rPr>
                <w:rFonts w:eastAsia="Calibri"/>
                <w:iCs/>
                <w:szCs w:val="20"/>
                <w:lang w:val="en-NZ"/>
              </w:rPr>
            </w:pPr>
            <w:r w:rsidRPr="00892E65">
              <w:rPr>
                <w:rFonts w:eastAsia="Calibri"/>
                <w:iCs/>
                <w:szCs w:val="20"/>
                <w:lang w:val="en-NZ"/>
              </w:rPr>
              <w:t>N/A</w:t>
            </w:r>
          </w:p>
        </w:tc>
        <w:tc>
          <w:tcPr>
            <w:tcW w:w="3402" w:type="dxa"/>
            <w:shd w:val="clear" w:color="auto" w:fill="auto"/>
          </w:tcPr>
          <w:p w14:paraId="34399557" w14:textId="0302FAD5" w:rsidR="009D0B82" w:rsidRPr="00892E65" w:rsidRDefault="009D0B82" w:rsidP="009D0B82">
            <w:pPr>
              <w:pStyle w:val="TableText"/>
              <w:keepNext/>
              <w:rPr>
                <w:rFonts w:eastAsia="Calibri"/>
                <w:i/>
                <w:szCs w:val="20"/>
                <w:lang w:val="en-NZ"/>
              </w:rPr>
            </w:pPr>
          </w:p>
        </w:tc>
        <w:tc>
          <w:tcPr>
            <w:tcW w:w="2268" w:type="dxa"/>
          </w:tcPr>
          <w:p w14:paraId="2022F9A8" w14:textId="77777777" w:rsidR="009D0B82" w:rsidRPr="00892E65" w:rsidRDefault="009D0B82" w:rsidP="009D0B82">
            <w:pPr>
              <w:pStyle w:val="TableText"/>
              <w:keepNext/>
              <w:rPr>
                <w:rFonts w:eastAsia="Calibri"/>
                <w:i/>
                <w:szCs w:val="20"/>
                <w:lang w:val="en-NZ"/>
              </w:rPr>
            </w:pPr>
          </w:p>
        </w:tc>
      </w:tr>
    </w:tbl>
    <w:bookmarkEnd w:id="23"/>
    <w:p w14:paraId="75F637CC" w14:textId="00F71C1B" w:rsidR="00A0728D" w:rsidRPr="00A864A5" w:rsidRDefault="00417B4A" w:rsidP="00F63B97">
      <w:pPr>
        <w:pStyle w:val="Heading2"/>
        <w:rPr>
          <w:lang w:val="en-NZ"/>
        </w:rPr>
      </w:pPr>
      <w:r w:rsidRPr="00A864A5">
        <w:rPr>
          <w:lang w:val="en-NZ"/>
        </w:rPr>
        <w:t xml:space="preserve">Section </w:t>
      </w:r>
      <w:r w:rsidR="00D62B30" w:rsidRPr="00A864A5">
        <w:rPr>
          <w:lang w:val="en-NZ"/>
        </w:rPr>
        <w:t>3</w:t>
      </w:r>
      <w:r w:rsidRPr="00A864A5">
        <w:rPr>
          <w:lang w:val="en-NZ"/>
        </w:rPr>
        <w:t xml:space="preserve">: </w:t>
      </w:r>
      <w:r w:rsidR="0022201B">
        <w:rPr>
          <w:lang w:val="en-NZ"/>
        </w:rPr>
        <w:t xml:space="preserve">Delivering </w:t>
      </w:r>
      <w:r w:rsidR="005F41A2">
        <w:rPr>
          <w:lang w:val="en-NZ"/>
        </w:rPr>
        <w:t>an option</w:t>
      </w:r>
    </w:p>
    <w:p w14:paraId="77D8CE5A" w14:textId="6E0870A6" w:rsidR="006B5794" w:rsidRPr="00A864A5" w:rsidRDefault="00A16B89" w:rsidP="00F63B97">
      <w:pPr>
        <w:pStyle w:val="Heading3"/>
        <w:rPr>
          <w:lang w:val="en-NZ"/>
        </w:rPr>
      </w:pPr>
      <w:r w:rsidRPr="00A864A5">
        <w:rPr>
          <w:lang w:val="en-NZ"/>
        </w:rPr>
        <w:t xml:space="preserve">How will </w:t>
      </w:r>
      <w:r w:rsidR="003A6757">
        <w:rPr>
          <w:lang w:val="en-NZ"/>
        </w:rPr>
        <w:t xml:space="preserve">the </w:t>
      </w:r>
      <w:r w:rsidR="005F41A2">
        <w:rPr>
          <w:lang w:val="en-NZ"/>
        </w:rPr>
        <w:t>new arrangements be implemented</w:t>
      </w:r>
      <w:r w:rsidRPr="00A864A5">
        <w:rPr>
          <w:lang w:val="en-NZ"/>
        </w:rPr>
        <w:t>?</w:t>
      </w:r>
    </w:p>
    <w:p w14:paraId="03DADB1F" w14:textId="77777777" w:rsidR="00D72A20" w:rsidRDefault="001B5014" w:rsidP="00F4690A">
      <w:pPr>
        <w:pStyle w:val="BodyText-Numbered"/>
        <w:rPr>
          <w:lang w:val="en-NZ"/>
        </w:rPr>
      </w:pPr>
      <w:r>
        <w:rPr>
          <w:lang w:val="en-NZ"/>
        </w:rPr>
        <w:t>L</w:t>
      </w:r>
      <w:r w:rsidR="00C027D6" w:rsidRPr="00C027D6">
        <w:rPr>
          <w:lang w:val="en-NZ"/>
        </w:rPr>
        <w:t xml:space="preserve">egislative </w:t>
      </w:r>
      <w:r>
        <w:rPr>
          <w:lang w:val="en-NZ"/>
        </w:rPr>
        <w:t>amendments</w:t>
      </w:r>
      <w:r w:rsidR="00C027D6" w:rsidRPr="00C027D6">
        <w:rPr>
          <w:lang w:val="en-NZ"/>
        </w:rPr>
        <w:t xml:space="preserve"> will need to be progressed under urgency to be in place by 8 March 2024 at the latest</w:t>
      </w:r>
      <w:r w:rsidR="00D72A20">
        <w:rPr>
          <w:lang w:val="en-NZ"/>
        </w:rPr>
        <w:t>, in order</w:t>
      </w:r>
      <w:r w:rsidR="00C027D6" w:rsidRPr="00C027D6">
        <w:rPr>
          <w:lang w:val="en-NZ"/>
        </w:rPr>
        <w:t xml:space="preserve"> to meet the </w:t>
      </w:r>
      <w:r w:rsidR="006B66A1" w:rsidRPr="006B66A1">
        <w:rPr>
          <w:lang w:val="en-NZ"/>
        </w:rPr>
        <w:t>1 April 2024</w:t>
      </w:r>
      <w:r w:rsidR="00C027D6" w:rsidRPr="00C027D6">
        <w:rPr>
          <w:lang w:val="en-NZ"/>
        </w:rPr>
        <w:t xml:space="preserve"> deadline</w:t>
      </w:r>
      <w:r w:rsidR="00E91AC5">
        <w:rPr>
          <w:lang w:val="en-NZ"/>
        </w:rPr>
        <w:t xml:space="preserve"> for entering the new rates of assistance into</w:t>
      </w:r>
      <w:r w:rsidR="00984541">
        <w:rPr>
          <w:lang w:val="en-NZ"/>
        </w:rPr>
        <w:t xml:space="preserve"> </w:t>
      </w:r>
      <w:r w:rsidR="00E91AC5">
        <w:rPr>
          <w:lang w:val="en-NZ"/>
        </w:rPr>
        <w:t xml:space="preserve">the model </w:t>
      </w:r>
      <w:r w:rsidR="00984541">
        <w:rPr>
          <w:lang w:val="en-NZ"/>
        </w:rPr>
        <w:t>f</w:t>
      </w:r>
      <w:r w:rsidR="00E91AC5">
        <w:rPr>
          <w:lang w:val="en-NZ"/>
        </w:rPr>
        <w:t>or the</w:t>
      </w:r>
      <w:r w:rsidR="00984541">
        <w:rPr>
          <w:lang w:val="en-NZ"/>
        </w:rPr>
        <w:t xml:space="preserve"> yearly adjustment of rates</w:t>
      </w:r>
      <w:r w:rsidR="00C027D6" w:rsidRPr="00C027D6">
        <w:rPr>
          <w:lang w:val="en-NZ"/>
        </w:rPr>
        <w:t>.</w:t>
      </w:r>
      <w:r w:rsidR="00E91AC5">
        <w:rPr>
          <w:lang w:val="en-NZ"/>
        </w:rPr>
        <w:t xml:space="preserve"> This process occurs annually and is budgeted for through MSD operating costs.</w:t>
      </w:r>
      <w:r w:rsidR="00C027D6" w:rsidRPr="00C027D6">
        <w:rPr>
          <w:lang w:val="en-NZ"/>
        </w:rPr>
        <w:t xml:space="preserve"> </w:t>
      </w:r>
    </w:p>
    <w:p w14:paraId="40845646" w14:textId="570BEE3F" w:rsidR="00581651" w:rsidRPr="00D72A20" w:rsidRDefault="00C027D6" w:rsidP="00D72A20">
      <w:pPr>
        <w:pStyle w:val="BodyText-Numbered"/>
        <w:rPr>
          <w:lang w:val="en-NZ"/>
        </w:rPr>
      </w:pPr>
      <w:r w:rsidRPr="00C027D6">
        <w:rPr>
          <w:lang w:val="en-NZ"/>
        </w:rPr>
        <w:t xml:space="preserve">If the change in legislation is progressed later </w:t>
      </w:r>
      <w:r w:rsidR="00F619F2">
        <w:rPr>
          <w:lang w:val="en-NZ"/>
        </w:rPr>
        <w:t xml:space="preserve">than </w:t>
      </w:r>
      <w:r w:rsidR="00B727E9">
        <w:rPr>
          <w:lang w:val="en-NZ"/>
        </w:rPr>
        <w:t>th</w:t>
      </w:r>
      <w:r w:rsidR="00AC3A54">
        <w:rPr>
          <w:lang w:val="en-NZ"/>
        </w:rPr>
        <w:t xml:space="preserve">is date, </w:t>
      </w:r>
      <w:r w:rsidR="00B727E9">
        <w:rPr>
          <w:lang w:val="en-NZ"/>
        </w:rPr>
        <w:t xml:space="preserve">it </w:t>
      </w:r>
      <w:r w:rsidRPr="00C027D6">
        <w:rPr>
          <w:lang w:val="en-NZ"/>
        </w:rPr>
        <w:t>wil</w:t>
      </w:r>
      <w:r w:rsidR="00AC3A54">
        <w:rPr>
          <w:lang w:val="en-NZ"/>
        </w:rPr>
        <w:t>l risk implementation for 1 April 2024</w:t>
      </w:r>
      <w:r w:rsidR="00E91AC5">
        <w:rPr>
          <w:lang w:val="en-NZ"/>
        </w:rPr>
        <w:t xml:space="preserve"> </w:t>
      </w:r>
      <w:r w:rsidR="00D72A20">
        <w:rPr>
          <w:lang w:val="en-NZ"/>
        </w:rPr>
        <w:t xml:space="preserve">not being feasible, </w:t>
      </w:r>
      <w:r w:rsidR="00E91AC5">
        <w:rPr>
          <w:lang w:val="en-NZ"/>
        </w:rPr>
        <w:t>as the model requires testing and independent analysis</w:t>
      </w:r>
      <w:r w:rsidR="00B727E9">
        <w:rPr>
          <w:lang w:val="en-NZ"/>
        </w:rPr>
        <w:t xml:space="preserve">. </w:t>
      </w:r>
      <w:r w:rsidR="0069607B" w:rsidRPr="00D72A20">
        <w:rPr>
          <w:lang w:val="en-NZ"/>
        </w:rPr>
        <w:t xml:space="preserve">For example, it may </w:t>
      </w:r>
      <w:r w:rsidR="00B727E9" w:rsidRPr="00D72A20">
        <w:rPr>
          <w:lang w:val="en-NZ"/>
        </w:rPr>
        <w:t>impact the time</w:t>
      </w:r>
      <w:r w:rsidR="0069607B" w:rsidRPr="00D72A20">
        <w:rPr>
          <w:lang w:val="en-NZ"/>
        </w:rPr>
        <w:t xml:space="preserve"> available</w:t>
      </w:r>
      <w:r w:rsidR="00B727E9" w:rsidRPr="00D72A20">
        <w:rPr>
          <w:lang w:val="en-NZ"/>
        </w:rPr>
        <w:t xml:space="preserve"> for quality assurance and </w:t>
      </w:r>
      <w:r w:rsidR="00FB47C7" w:rsidRPr="00D72A20">
        <w:rPr>
          <w:lang w:val="en-NZ"/>
        </w:rPr>
        <w:t xml:space="preserve">produce additional </w:t>
      </w:r>
      <w:r w:rsidR="00B727E9" w:rsidRPr="00D72A20">
        <w:rPr>
          <w:lang w:val="en-NZ"/>
        </w:rPr>
        <w:t>time constraints</w:t>
      </w:r>
      <w:r w:rsidR="007407C7" w:rsidRPr="00D72A20">
        <w:rPr>
          <w:lang w:val="en-NZ"/>
        </w:rPr>
        <w:t xml:space="preserve"> </w:t>
      </w:r>
      <w:r w:rsidR="00D408F2" w:rsidRPr="00D72A20">
        <w:rPr>
          <w:lang w:val="en-NZ"/>
        </w:rPr>
        <w:t>upon work</w:t>
      </w:r>
      <w:r w:rsidR="00035E93" w:rsidRPr="00D72A20">
        <w:rPr>
          <w:lang w:val="en-NZ"/>
        </w:rPr>
        <w:t xml:space="preserve"> to enable </w:t>
      </w:r>
      <w:r w:rsidR="00FB47C7" w:rsidRPr="00D72A20">
        <w:rPr>
          <w:lang w:val="en-NZ"/>
        </w:rPr>
        <w:t xml:space="preserve">the </w:t>
      </w:r>
      <w:r w:rsidR="00035E93" w:rsidRPr="00D72A20">
        <w:rPr>
          <w:lang w:val="en-NZ"/>
        </w:rPr>
        <w:t>new payment rates</w:t>
      </w:r>
      <w:r w:rsidR="00FB47C7" w:rsidRPr="00D72A20">
        <w:rPr>
          <w:lang w:val="en-NZ"/>
        </w:rPr>
        <w:t xml:space="preserve"> to be effective</w:t>
      </w:r>
      <w:r w:rsidR="00035E93" w:rsidRPr="00D72A20">
        <w:rPr>
          <w:lang w:val="en-NZ"/>
        </w:rPr>
        <w:t xml:space="preserve"> from 1 April 2024.</w:t>
      </w:r>
      <w:r w:rsidRPr="00D72A20">
        <w:rPr>
          <w:lang w:val="en-NZ"/>
        </w:rPr>
        <w:t xml:space="preserve">  </w:t>
      </w:r>
    </w:p>
    <w:p w14:paraId="5AA39C72" w14:textId="19F3185C" w:rsidR="006B5794" w:rsidRPr="00A864A5" w:rsidRDefault="0099086E" w:rsidP="00F63B97">
      <w:pPr>
        <w:pStyle w:val="Heading3"/>
        <w:rPr>
          <w:lang w:val="en-NZ"/>
        </w:rPr>
      </w:pPr>
      <w:r>
        <w:rPr>
          <w:lang w:val="en-NZ"/>
        </w:rPr>
        <w:t xml:space="preserve">How will </w:t>
      </w:r>
      <w:r w:rsidR="003A6757">
        <w:rPr>
          <w:lang w:val="en-NZ"/>
        </w:rPr>
        <w:t xml:space="preserve">the </w:t>
      </w:r>
      <w:r w:rsidR="005F41A2">
        <w:rPr>
          <w:lang w:val="en-NZ"/>
        </w:rPr>
        <w:t>new arrangements be m</w:t>
      </w:r>
      <w:r w:rsidR="005F41A2" w:rsidRPr="00A864A5">
        <w:rPr>
          <w:lang w:val="en-NZ"/>
        </w:rPr>
        <w:t>onitor</w:t>
      </w:r>
      <w:r w:rsidR="005F41A2">
        <w:rPr>
          <w:lang w:val="en-NZ"/>
        </w:rPr>
        <w:t>ed</w:t>
      </w:r>
      <w:r w:rsidR="005F41A2" w:rsidRPr="00A864A5">
        <w:rPr>
          <w:lang w:val="en-NZ"/>
        </w:rPr>
        <w:t xml:space="preserve">, </w:t>
      </w:r>
      <w:r w:rsidR="005F41A2">
        <w:rPr>
          <w:lang w:val="en-NZ"/>
        </w:rPr>
        <w:t>e</w:t>
      </w:r>
      <w:r w:rsidR="005F41A2" w:rsidRPr="00A864A5">
        <w:rPr>
          <w:lang w:val="en-NZ"/>
        </w:rPr>
        <w:t>valuat</w:t>
      </w:r>
      <w:r w:rsidR="005F41A2">
        <w:rPr>
          <w:lang w:val="en-NZ"/>
        </w:rPr>
        <w:t>ed</w:t>
      </w:r>
      <w:r w:rsidR="005F41A2" w:rsidRPr="00A864A5">
        <w:rPr>
          <w:lang w:val="en-NZ"/>
        </w:rPr>
        <w:t xml:space="preserve">, and </w:t>
      </w:r>
      <w:r w:rsidR="005F41A2">
        <w:rPr>
          <w:lang w:val="en-NZ"/>
        </w:rPr>
        <w:t>r</w:t>
      </w:r>
      <w:r w:rsidR="005F41A2" w:rsidRPr="00A864A5">
        <w:rPr>
          <w:lang w:val="en-NZ"/>
        </w:rPr>
        <w:t>eview</w:t>
      </w:r>
      <w:r w:rsidR="005F41A2">
        <w:rPr>
          <w:lang w:val="en-NZ"/>
        </w:rPr>
        <w:t>ed</w:t>
      </w:r>
      <w:r>
        <w:rPr>
          <w:lang w:val="en-NZ"/>
        </w:rPr>
        <w:t>?</w:t>
      </w:r>
    </w:p>
    <w:p w14:paraId="59C38634" w14:textId="70ABAC13" w:rsidR="008321F8" w:rsidRPr="00984541" w:rsidRDefault="00984541" w:rsidP="00984541">
      <w:pPr>
        <w:pStyle w:val="BodyText-Numbered"/>
        <w:rPr>
          <w:lang w:val="en-NZ"/>
        </w:rPr>
      </w:pPr>
      <w:r>
        <w:t xml:space="preserve">There is existing data collection regarding clients receiving main benefits. No specific monitoring is planned for the policy change, but future analysis would be possible. </w:t>
      </w:r>
    </w:p>
    <w:sectPr w:rsidR="008321F8" w:rsidRPr="00984541" w:rsidSect="00B5612C">
      <w:headerReference w:type="even" r:id="rId8"/>
      <w:headerReference w:type="default" r:id="rId9"/>
      <w:footerReference w:type="default" r:id="rId10"/>
      <w:headerReference w:type="first" r:id="rId11"/>
      <w:pgSz w:w="11906" w:h="16838" w:code="9"/>
      <w:pgMar w:top="1134" w:right="1418" w:bottom="992" w:left="1418"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8CCF3" w14:textId="77777777" w:rsidR="00665855" w:rsidRDefault="00665855">
      <w:pPr>
        <w:spacing w:after="0" w:line="240" w:lineRule="auto"/>
      </w:pPr>
      <w:r>
        <w:separator/>
      </w:r>
    </w:p>
    <w:p w14:paraId="2B3B655D" w14:textId="77777777" w:rsidR="00665855" w:rsidRDefault="00665855"/>
  </w:endnote>
  <w:endnote w:type="continuationSeparator" w:id="0">
    <w:p w14:paraId="110C1EC7" w14:textId="77777777" w:rsidR="00665855" w:rsidRDefault="00665855">
      <w:pPr>
        <w:spacing w:after="0" w:line="240" w:lineRule="auto"/>
      </w:pPr>
      <w:r>
        <w:continuationSeparator/>
      </w:r>
    </w:p>
    <w:p w14:paraId="19057A62" w14:textId="77777777" w:rsidR="00665855" w:rsidRDefault="00665855"/>
  </w:endnote>
  <w:endnote w:type="continuationNotice" w:id="1">
    <w:p w14:paraId="3C44443B" w14:textId="77777777" w:rsidR="00665855" w:rsidRDefault="006658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illSans">
    <w:altName w:val="Calibri"/>
    <w:panose1 w:val="00000000000000000000"/>
    <w:charset w:val="00"/>
    <w:family w:val="moder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9F65B" w14:textId="37B4D233" w:rsidR="006448CF" w:rsidRPr="00743278" w:rsidRDefault="006448CF" w:rsidP="006448CF">
    <w:pPr>
      <w:pStyle w:val="Footer"/>
    </w:pPr>
    <w:r>
      <w:rPr>
        <w:sz w:val="14"/>
      </w:rPr>
      <w:tab/>
    </w:r>
    <w:r>
      <w:t>Regulatory Impact Statement</w:t>
    </w:r>
    <w:r w:rsidR="00150D58">
      <w:t xml:space="preserve"> </w:t>
    </w:r>
    <w:r>
      <w:t xml:space="preserve"> </w:t>
    </w:r>
    <w:r w:rsidRPr="009435C4">
      <w:t>|</w:t>
    </w:r>
    <w:r w:rsidR="00150D58">
      <w:t xml:space="preserve"> </w:t>
    </w:r>
    <w:r w:rsidRPr="009435C4">
      <w:t xml:space="preserve"> </w:t>
    </w:r>
    <w:r w:rsidRPr="009435C4">
      <w:fldChar w:fldCharType="begin"/>
    </w:r>
    <w:r w:rsidRPr="009435C4">
      <w:instrText xml:space="preserve"> PAGE </w:instrText>
    </w:r>
    <w:r w:rsidRPr="009435C4">
      <w:fldChar w:fldCharType="separate"/>
    </w:r>
    <w:r>
      <w:t>11</w:t>
    </w:r>
    <w:r w:rsidRPr="009435C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B811C" w14:textId="77777777" w:rsidR="00665855" w:rsidRDefault="00665855">
      <w:pPr>
        <w:spacing w:after="0" w:line="240" w:lineRule="auto"/>
      </w:pPr>
      <w:r>
        <w:separator/>
      </w:r>
    </w:p>
    <w:p w14:paraId="11D51AC4" w14:textId="77777777" w:rsidR="00665855" w:rsidRDefault="00665855"/>
  </w:footnote>
  <w:footnote w:type="continuationSeparator" w:id="0">
    <w:p w14:paraId="74E93E7F" w14:textId="77777777" w:rsidR="00665855" w:rsidRDefault="00665855">
      <w:pPr>
        <w:spacing w:after="0" w:line="240" w:lineRule="auto"/>
      </w:pPr>
      <w:r>
        <w:continuationSeparator/>
      </w:r>
    </w:p>
    <w:p w14:paraId="330F9130" w14:textId="77777777" w:rsidR="00665855" w:rsidRDefault="00665855"/>
  </w:footnote>
  <w:footnote w:type="continuationNotice" w:id="1">
    <w:p w14:paraId="2D8121E6" w14:textId="77777777" w:rsidR="00665855" w:rsidRDefault="00665855">
      <w:pPr>
        <w:spacing w:after="0" w:line="240" w:lineRule="auto"/>
      </w:pPr>
    </w:p>
  </w:footnote>
  <w:footnote w:id="2">
    <w:p w14:paraId="6B913530" w14:textId="77777777" w:rsidR="00620448" w:rsidRDefault="00620448" w:rsidP="00620448">
      <w:pPr>
        <w:pStyle w:val="FootnoteText"/>
      </w:pPr>
      <w:r>
        <w:rPr>
          <w:rStyle w:val="FootnoteReference"/>
        </w:rPr>
        <w:footnoteRef/>
      </w:r>
      <w:r>
        <w:t xml:space="preserve"> The specified rates are: Jobseeker Support, Sole Parent Support, Support Living Payment (except specified rates), Youth Payment and Young Parent Payment, Widows’ Benefit, Domestic Purposes Benefit for sole parents. The maximum rate of Emergency Benefit will also be increased to that of the equivalent specified rate of main benefit. </w:t>
      </w:r>
    </w:p>
  </w:footnote>
  <w:footnote w:id="3">
    <w:p w14:paraId="5FF72EF2" w14:textId="6A5D3BD1" w:rsidR="003E2F7E" w:rsidRPr="003E2F7E" w:rsidRDefault="003E2F7E">
      <w:pPr>
        <w:pStyle w:val="FootnoteText"/>
        <w:rPr>
          <w:lang w:val="en-NZ"/>
        </w:rPr>
      </w:pPr>
      <w:r>
        <w:rPr>
          <w:rStyle w:val="FootnoteReference"/>
        </w:rPr>
        <w:footnoteRef/>
      </w:r>
      <w:r>
        <w:t xml:space="preserve"> After</w:t>
      </w:r>
      <w:r w:rsidRPr="003E2F7E">
        <w:t xml:space="preserve"> Housing Costs 50 percent moving line: measures</w:t>
      </w:r>
      <w:r>
        <w:t xml:space="preserve"> the number of children in households </w:t>
      </w:r>
      <w:r w:rsidRPr="003E2F7E">
        <w:t xml:space="preserve">with less than 50 percent of the median equivalised disposable income </w:t>
      </w:r>
      <w:r>
        <w:t>after</w:t>
      </w:r>
      <w:r w:rsidRPr="003E2F7E">
        <w:t xml:space="preserve"> housing costs for the financial year.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3C95F" w14:textId="5ECAC4DC" w:rsidR="004061B8" w:rsidRDefault="004061B8">
    <w:pPr>
      <w:pStyle w:val="Header"/>
    </w:pPr>
    <w:r>
      <w:rPr>
        <w:noProof/>
      </w:rPr>
      <mc:AlternateContent>
        <mc:Choice Requires="wps">
          <w:drawing>
            <wp:anchor distT="0" distB="0" distL="0" distR="0" simplePos="0" relativeHeight="251658241" behindDoc="0" locked="0" layoutInCell="1" allowOverlap="1" wp14:anchorId="23EF071D" wp14:editId="6B18B694">
              <wp:simplePos x="635" y="635"/>
              <wp:positionH relativeFrom="page">
                <wp:align>center</wp:align>
              </wp:positionH>
              <wp:positionV relativeFrom="page">
                <wp:align>top</wp:align>
              </wp:positionV>
              <wp:extent cx="443865" cy="443865"/>
              <wp:effectExtent l="0" t="0" r="8890" b="12700"/>
              <wp:wrapNone/>
              <wp:docPr id="3"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6F540E" w14:textId="7AF89C89" w:rsidR="004061B8" w:rsidRPr="004061B8" w:rsidRDefault="004061B8" w:rsidP="004061B8">
                          <w:pPr>
                            <w:spacing w:after="0"/>
                            <w:rPr>
                              <w:rFonts w:ascii="Calibri" w:eastAsia="Calibri" w:hAnsi="Calibri" w:cs="Calibri"/>
                              <w:noProof/>
                              <w:color w:val="000000"/>
                              <w:sz w:val="20"/>
                            </w:rPr>
                          </w:pPr>
                          <w:r w:rsidRPr="004061B8">
                            <w:rPr>
                              <w:rFonts w:ascii="Calibri" w:eastAsia="Calibri" w:hAnsi="Calibri" w:cs="Calibri"/>
                              <w:noProof/>
                              <w:color w:val="000000"/>
                              <w:sz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3EF071D" id="_x0000_t202" coordsize="21600,21600" o:spt="202" path="m,l,21600r21600,l21600,xe">
              <v:stroke joinstyle="miter"/>
              <v:path gradientshapeok="t" o:connecttype="rect"/>
            </v:shapetype>
            <v:shape id="Text Box 3" o:spid="_x0000_s1026" type="#_x0000_t202" alt="IN-CONFIDENCE"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56F540E" w14:textId="7AF89C89" w:rsidR="004061B8" w:rsidRPr="004061B8" w:rsidRDefault="004061B8" w:rsidP="004061B8">
                    <w:pPr>
                      <w:spacing w:after="0"/>
                      <w:rPr>
                        <w:rFonts w:ascii="Calibri" w:eastAsia="Calibri" w:hAnsi="Calibri" w:cs="Calibri"/>
                        <w:noProof/>
                        <w:color w:val="000000"/>
                        <w:sz w:val="20"/>
                      </w:rPr>
                    </w:pPr>
                    <w:r w:rsidRPr="004061B8">
                      <w:rPr>
                        <w:rFonts w:ascii="Calibri" w:eastAsia="Calibri" w:hAnsi="Calibri" w:cs="Calibri"/>
                        <w:noProof/>
                        <w:color w:val="000000"/>
                        <w:sz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85C7B" w14:textId="4AC32500" w:rsidR="004061B8" w:rsidRDefault="004061B8">
    <w:pPr>
      <w:pStyle w:val="Header"/>
    </w:pPr>
    <w:r>
      <w:rPr>
        <w:noProof/>
      </w:rPr>
      <mc:AlternateContent>
        <mc:Choice Requires="wps">
          <w:drawing>
            <wp:anchor distT="0" distB="0" distL="0" distR="0" simplePos="0" relativeHeight="251658242" behindDoc="0" locked="0" layoutInCell="1" allowOverlap="1" wp14:anchorId="3B6F521C" wp14:editId="5E5BCB1C">
              <wp:simplePos x="904875" y="285750"/>
              <wp:positionH relativeFrom="page">
                <wp:align>center</wp:align>
              </wp:positionH>
              <wp:positionV relativeFrom="page">
                <wp:align>top</wp:align>
              </wp:positionV>
              <wp:extent cx="443865" cy="443865"/>
              <wp:effectExtent l="0" t="0" r="8890" b="12700"/>
              <wp:wrapNone/>
              <wp:docPr id="12" name="Text Box 1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F10D77" w14:textId="5E9E8417" w:rsidR="004061B8" w:rsidRPr="004061B8" w:rsidRDefault="004061B8" w:rsidP="004061B8">
                          <w:pPr>
                            <w:spacing w:after="0"/>
                            <w:rPr>
                              <w:rFonts w:ascii="Calibri" w:eastAsia="Calibri" w:hAnsi="Calibri" w:cs="Calibri"/>
                              <w:noProof/>
                              <w:color w:val="000000"/>
                              <w:sz w:val="20"/>
                            </w:rPr>
                          </w:pPr>
                          <w:r w:rsidRPr="004061B8">
                            <w:rPr>
                              <w:rFonts w:ascii="Calibri" w:eastAsia="Calibri" w:hAnsi="Calibri" w:cs="Calibri"/>
                              <w:noProof/>
                              <w:color w:val="000000"/>
                              <w:sz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B6F521C" id="_x0000_t202" coordsize="21600,21600" o:spt="202" path="m,l,21600r21600,l21600,xe">
              <v:stroke joinstyle="miter"/>
              <v:path gradientshapeok="t" o:connecttype="rect"/>
            </v:shapetype>
            <v:shape id="Text Box 12" o:spid="_x0000_s1027" type="#_x0000_t202" alt="IN-CONFIDENCE"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74F10D77" w14:textId="5E9E8417" w:rsidR="004061B8" w:rsidRPr="004061B8" w:rsidRDefault="004061B8" w:rsidP="004061B8">
                    <w:pPr>
                      <w:spacing w:after="0"/>
                      <w:rPr>
                        <w:rFonts w:ascii="Calibri" w:eastAsia="Calibri" w:hAnsi="Calibri" w:cs="Calibri"/>
                        <w:noProof/>
                        <w:color w:val="000000"/>
                        <w:sz w:val="20"/>
                      </w:rPr>
                    </w:pPr>
                    <w:r w:rsidRPr="004061B8">
                      <w:rPr>
                        <w:rFonts w:ascii="Calibri" w:eastAsia="Calibri" w:hAnsi="Calibri" w:cs="Calibri"/>
                        <w:noProof/>
                        <w:color w:val="000000"/>
                        <w:sz w:val="20"/>
                      </w:rPr>
                      <w:t>IN-CONFIDENCE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88E4E" w14:textId="20EF20E3" w:rsidR="004061B8" w:rsidRDefault="004061B8">
    <w:pPr>
      <w:pStyle w:val="Header"/>
    </w:pPr>
    <w:r>
      <w:rPr>
        <w:noProof/>
      </w:rPr>
      <mc:AlternateContent>
        <mc:Choice Requires="wps">
          <w:drawing>
            <wp:anchor distT="0" distB="0" distL="0" distR="0" simplePos="0" relativeHeight="251658240" behindDoc="0" locked="0" layoutInCell="1" allowOverlap="1" wp14:anchorId="10CD7577" wp14:editId="46DB5F03">
              <wp:simplePos x="635" y="635"/>
              <wp:positionH relativeFrom="page">
                <wp:align>center</wp:align>
              </wp:positionH>
              <wp:positionV relativeFrom="page">
                <wp:align>top</wp:align>
              </wp:positionV>
              <wp:extent cx="443865" cy="443865"/>
              <wp:effectExtent l="0" t="0" r="8890" b="12700"/>
              <wp:wrapNone/>
              <wp:docPr id="1"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FAAB32" w14:textId="388688D6" w:rsidR="004061B8" w:rsidRPr="004061B8" w:rsidRDefault="004061B8" w:rsidP="004061B8">
                          <w:pPr>
                            <w:spacing w:after="0"/>
                            <w:rPr>
                              <w:rFonts w:ascii="Calibri" w:eastAsia="Calibri" w:hAnsi="Calibri" w:cs="Calibri"/>
                              <w:noProof/>
                              <w:color w:val="000000"/>
                              <w:sz w:val="20"/>
                            </w:rPr>
                          </w:pPr>
                          <w:r w:rsidRPr="004061B8">
                            <w:rPr>
                              <w:rFonts w:ascii="Calibri" w:eastAsia="Calibri" w:hAnsi="Calibri" w:cs="Calibri"/>
                              <w:noProof/>
                              <w:color w:val="000000"/>
                              <w:sz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CD7577" id="_x0000_t202" coordsize="21600,21600" o:spt="202" path="m,l,21600r21600,l21600,xe">
              <v:stroke joinstyle="miter"/>
              <v:path gradientshapeok="t" o:connecttype="rect"/>
            </v:shapetype>
            <v:shape id="Text Box 1" o:spid="_x0000_s1028"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71FAAB32" w14:textId="388688D6" w:rsidR="004061B8" w:rsidRPr="004061B8" w:rsidRDefault="004061B8" w:rsidP="004061B8">
                    <w:pPr>
                      <w:spacing w:after="0"/>
                      <w:rPr>
                        <w:rFonts w:ascii="Calibri" w:eastAsia="Calibri" w:hAnsi="Calibri" w:cs="Calibri"/>
                        <w:noProof/>
                        <w:color w:val="000000"/>
                        <w:sz w:val="20"/>
                      </w:rPr>
                    </w:pPr>
                    <w:r w:rsidRPr="004061B8">
                      <w:rPr>
                        <w:rFonts w:ascii="Calibri" w:eastAsia="Calibri" w:hAnsi="Calibri" w:cs="Calibri"/>
                        <w:noProof/>
                        <w:color w:val="000000"/>
                        <w:sz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96438"/>
    <w:multiLevelType w:val="multilevel"/>
    <w:tmpl w:val="EE5E5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7C320D"/>
    <w:multiLevelType w:val="hybridMultilevel"/>
    <w:tmpl w:val="AEE876BA"/>
    <w:lvl w:ilvl="0" w:tplc="08FE492A">
      <w:start w:val="25"/>
      <w:numFmt w:val="decimal"/>
      <w:lvlText w:val="%1."/>
      <w:lvlJc w:val="left"/>
      <w:pPr>
        <w:ind w:left="786" w:hanging="360"/>
      </w:pPr>
      <w:rPr>
        <w:rFonts w:ascii="Arial" w:hAnsi="Arial" w:cs="Arial" w:hint="default"/>
        <w:i w:val="0"/>
        <w:iCs w:val="0"/>
      </w:rPr>
    </w:lvl>
    <w:lvl w:ilvl="1" w:tplc="14090019" w:tentative="1">
      <w:start w:val="1"/>
      <w:numFmt w:val="lowerLetter"/>
      <w:lvlText w:val="%2."/>
      <w:lvlJc w:val="left"/>
      <w:pPr>
        <w:ind w:left="306" w:hanging="360"/>
      </w:pPr>
    </w:lvl>
    <w:lvl w:ilvl="2" w:tplc="1409001B" w:tentative="1">
      <w:start w:val="1"/>
      <w:numFmt w:val="lowerRoman"/>
      <w:lvlText w:val="%3."/>
      <w:lvlJc w:val="right"/>
      <w:pPr>
        <w:ind w:left="1026" w:hanging="180"/>
      </w:pPr>
    </w:lvl>
    <w:lvl w:ilvl="3" w:tplc="1409000F" w:tentative="1">
      <w:start w:val="1"/>
      <w:numFmt w:val="decimal"/>
      <w:lvlText w:val="%4."/>
      <w:lvlJc w:val="left"/>
      <w:pPr>
        <w:ind w:left="1746" w:hanging="360"/>
      </w:pPr>
    </w:lvl>
    <w:lvl w:ilvl="4" w:tplc="14090019" w:tentative="1">
      <w:start w:val="1"/>
      <w:numFmt w:val="lowerLetter"/>
      <w:lvlText w:val="%5."/>
      <w:lvlJc w:val="left"/>
      <w:pPr>
        <w:ind w:left="2466" w:hanging="360"/>
      </w:pPr>
    </w:lvl>
    <w:lvl w:ilvl="5" w:tplc="1409001B" w:tentative="1">
      <w:start w:val="1"/>
      <w:numFmt w:val="lowerRoman"/>
      <w:lvlText w:val="%6."/>
      <w:lvlJc w:val="right"/>
      <w:pPr>
        <w:ind w:left="3186" w:hanging="180"/>
      </w:pPr>
    </w:lvl>
    <w:lvl w:ilvl="6" w:tplc="1409000F" w:tentative="1">
      <w:start w:val="1"/>
      <w:numFmt w:val="decimal"/>
      <w:lvlText w:val="%7."/>
      <w:lvlJc w:val="left"/>
      <w:pPr>
        <w:ind w:left="3906" w:hanging="360"/>
      </w:pPr>
    </w:lvl>
    <w:lvl w:ilvl="7" w:tplc="14090019" w:tentative="1">
      <w:start w:val="1"/>
      <w:numFmt w:val="lowerLetter"/>
      <w:lvlText w:val="%8."/>
      <w:lvlJc w:val="left"/>
      <w:pPr>
        <w:ind w:left="4626" w:hanging="360"/>
      </w:pPr>
    </w:lvl>
    <w:lvl w:ilvl="8" w:tplc="1409001B" w:tentative="1">
      <w:start w:val="1"/>
      <w:numFmt w:val="lowerRoman"/>
      <w:lvlText w:val="%9."/>
      <w:lvlJc w:val="right"/>
      <w:pPr>
        <w:ind w:left="5346" w:hanging="180"/>
      </w:pPr>
    </w:lvl>
  </w:abstractNum>
  <w:abstractNum w:abstractNumId="2" w15:restartNumberingAfterBreak="0">
    <w:nsid w:val="0E883161"/>
    <w:multiLevelType w:val="hybridMultilevel"/>
    <w:tmpl w:val="DC3C8526"/>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3" w15:restartNumberingAfterBreak="0">
    <w:nsid w:val="0F54444C"/>
    <w:multiLevelType w:val="multilevel"/>
    <w:tmpl w:val="14090023"/>
    <w:styleLink w:val="ArticleSection"/>
    <w:lvl w:ilvl="0">
      <w:start w:val="1"/>
      <w:numFmt w:val="upperRoman"/>
      <w:pStyle w:val="Heading1"/>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4" w15:restartNumberingAfterBreak="0">
    <w:nsid w:val="17D31FA6"/>
    <w:multiLevelType w:val="hybridMultilevel"/>
    <w:tmpl w:val="23F84000"/>
    <w:lvl w:ilvl="0" w:tplc="533CA5C0">
      <w:start w:val="27"/>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15:restartNumberingAfterBreak="0">
    <w:nsid w:val="24532CEC"/>
    <w:multiLevelType w:val="multilevel"/>
    <w:tmpl w:val="3A7624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E62F65"/>
    <w:multiLevelType w:val="hybridMultilevel"/>
    <w:tmpl w:val="93EC6750"/>
    <w:lvl w:ilvl="0" w:tplc="C95C56B2">
      <w:start w:val="1"/>
      <w:numFmt w:val="decimal"/>
      <w:lvlText w:val="%1."/>
      <w:lvlJc w:val="left"/>
      <w:pPr>
        <w:ind w:left="644" w:hanging="360"/>
      </w:pPr>
      <w:rPr>
        <w:rFonts w:ascii="Arial" w:hAnsi="Arial" w:cs="Arial" w:hint="default"/>
        <w:i w:val="0"/>
        <w:iCs w:val="0"/>
      </w:rPr>
    </w:lvl>
    <w:lvl w:ilvl="1" w:tplc="14090019">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7" w15:restartNumberingAfterBreak="0">
    <w:nsid w:val="27D7263E"/>
    <w:multiLevelType w:val="hybridMultilevel"/>
    <w:tmpl w:val="BB485D0E"/>
    <w:lvl w:ilvl="0" w:tplc="14090001">
      <w:start w:val="1"/>
      <w:numFmt w:val="bullet"/>
      <w:lvlText w:val=""/>
      <w:lvlJc w:val="left"/>
      <w:pPr>
        <w:ind w:left="1210" w:hanging="360"/>
      </w:pPr>
      <w:rPr>
        <w:rFonts w:ascii="Symbol" w:hAnsi="Symbol" w:hint="default"/>
      </w:rPr>
    </w:lvl>
    <w:lvl w:ilvl="1" w:tplc="14090003" w:tentative="1">
      <w:start w:val="1"/>
      <w:numFmt w:val="bullet"/>
      <w:lvlText w:val="o"/>
      <w:lvlJc w:val="left"/>
      <w:pPr>
        <w:ind w:left="1930" w:hanging="360"/>
      </w:pPr>
      <w:rPr>
        <w:rFonts w:ascii="Courier New" w:hAnsi="Courier New" w:cs="Courier New" w:hint="default"/>
      </w:rPr>
    </w:lvl>
    <w:lvl w:ilvl="2" w:tplc="14090005" w:tentative="1">
      <w:start w:val="1"/>
      <w:numFmt w:val="bullet"/>
      <w:lvlText w:val=""/>
      <w:lvlJc w:val="left"/>
      <w:pPr>
        <w:ind w:left="2650" w:hanging="360"/>
      </w:pPr>
      <w:rPr>
        <w:rFonts w:ascii="Wingdings" w:hAnsi="Wingdings" w:hint="default"/>
      </w:rPr>
    </w:lvl>
    <w:lvl w:ilvl="3" w:tplc="14090001" w:tentative="1">
      <w:start w:val="1"/>
      <w:numFmt w:val="bullet"/>
      <w:lvlText w:val=""/>
      <w:lvlJc w:val="left"/>
      <w:pPr>
        <w:ind w:left="3370" w:hanging="360"/>
      </w:pPr>
      <w:rPr>
        <w:rFonts w:ascii="Symbol" w:hAnsi="Symbol" w:hint="default"/>
      </w:rPr>
    </w:lvl>
    <w:lvl w:ilvl="4" w:tplc="14090003" w:tentative="1">
      <w:start w:val="1"/>
      <w:numFmt w:val="bullet"/>
      <w:lvlText w:val="o"/>
      <w:lvlJc w:val="left"/>
      <w:pPr>
        <w:ind w:left="4090" w:hanging="360"/>
      </w:pPr>
      <w:rPr>
        <w:rFonts w:ascii="Courier New" w:hAnsi="Courier New" w:cs="Courier New" w:hint="default"/>
      </w:rPr>
    </w:lvl>
    <w:lvl w:ilvl="5" w:tplc="14090005" w:tentative="1">
      <w:start w:val="1"/>
      <w:numFmt w:val="bullet"/>
      <w:lvlText w:val=""/>
      <w:lvlJc w:val="left"/>
      <w:pPr>
        <w:ind w:left="4810" w:hanging="360"/>
      </w:pPr>
      <w:rPr>
        <w:rFonts w:ascii="Wingdings" w:hAnsi="Wingdings" w:hint="default"/>
      </w:rPr>
    </w:lvl>
    <w:lvl w:ilvl="6" w:tplc="14090001" w:tentative="1">
      <w:start w:val="1"/>
      <w:numFmt w:val="bullet"/>
      <w:lvlText w:val=""/>
      <w:lvlJc w:val="left"/>
      <w:pPr>
        <w:ind w:left="5530" w:hanging="360"/>
      </w:pPr>
      <w:rPr>
        <w:rFonts w:ascii="Symbol" w:hAnsi="Symbol" w:hint="default"/>
      </w:rPr>
    </w:lvl>
    <w:lvl w:ilvl="7" w:tplc="14090003" w:tentative="1">
      <w:start w:val="1"/>
      <w:numFmt w:val="bullet"/>
      <w:lvlText w:val="o"/>
      <w:lvlJc w:val="left"/>
      <w:pPr>
        <w:ind w:left="6250" w:hanging="360"/>
      </w:pPr>
      <w:rPr>
        <w:rFonts w:ascii="Courier New" w:hAnsi="Courier New" w:cs="Courier New" w:hint="default"/>
      </w:rPr>
    </w:lvl>
    <w:lvl w:ilvl="8" w:tplc="14090005" w:tentative="1">
      <w:start w:val="1"/>
      <w:numFmt w:val="bullet"/>
      <w:lvlText w:val=""/>
      <w:lvlJc w:val="left"/>
      <w:pPr>
        <w:ind w:left="6970" w:hanging="360"/>
      </w:pPr>
      <w:rPr>
        <w:rFonts w:ascii="Wingdings" w:hAnsi="Wingdings" w:hint="default"/>
      </w:rPr>
    </w:lvl>
  </w:abstractNum>
  <w:abstractNum w:abstractNumId="8" w15:restartNumberingAfterBreak="0">
    <w:nsid w:val="2E20376C"/>
    <w:multiLevelType w:val="multilevel"/>
    <w:tmpl w:val="D1E27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74597C"/>
    <w:multiLevelType w:val="multilevel"/>
    <w:tmpl w:val="052E1A6A"/>
    <w:lvl w:ilvl="0">
      <w:start w:val="1"/>
      <w:numFmt w:val="decimal"/>
      <w:pStyle w:val="ReportBody"/>
      <w:lvlText w:val="%1"/>
      <w:lvlJc w:val="left"/>
      <w:pPr>
        <w:tabs>
          <w:tab w:val="num" w:pos="493"/>
        </w:tabs>
        <w:ind w:left="493" w:hanging="493"/>
      </w:pPr>
      <w:rPr>
        <w:rFonts w:hint="default"/>
      </w:rPr>
    </w:lvl>
    <w:lvl w:ilvl="1">
      <w:start w:val="1"/>
      <w:numFmt w:val="decimal"/>
      <w:pStyle w:val="ReportBody2"/>
      <w:lvlText w:val="%1.%2"/>
      <w:lvlJc w:val="left"/>
      <w:pPr>
        <w:tabs>
          <w:tab w:val="num" w:pos="493"/>
        </w:tabs>
        <w:ind w:left="987" w:hanging="494"/>
      </w:pPr>
      <w:rPr>
        <w:rFonts w:ascii="Arial" w:hAnsi="Arial" w:cs="Arial"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10" w15:restartNumberingAfterBreak="0">
    <w:nsid w:val="31857F0D"/>
    <w:multiLevelType w:val="multilevel"/>
    <w:tmpl w:val="DD6C1272"/>
    <w:lvl w:ilvl="0">
      <w:start w:val="2"/>
      <w:numFmt w:val="decimal"/>
      <w:lvlText w:val="%1"/>
      <w:lvlJc w:val="left"/>
      <w:pPr>
        <w:ind w:left="375" w:hanging="375"/>
      </w:pPr>
      <w:rPr>
        <w:rFonts w:hint="default"/>
      </w:rPr>
    </w:lvl>
    <w:lvl w:ilvl="1">
      <w:start w:val="1"/>
      <w:numFmt w:val="decimal"/>
      <w:lvlText w:val="%1.%2"/>
      <w:lvlJc w:val="left"/>
      <w:pPr>
        <w:ind w:left="1213" w:hanging="720"/>
      </w:pPr>
      <w:rPr>
        <w:rFonts w:ascii="Arial" w:hAnsi="Arial" w:cs="Arial" w:hint="default"/>
      </w:rPr>
    </w:lvl>
    <w:lvl w:ilvl="2">
      <w:start w:val="1"/>
      <w:numFmt w:val="decimal"/>
      <w:lvlText w:val="%1.%2.%3"/>
      <w:lvlJc w:val="left"/>
      <w:pPr>
        <w:ind w:left="1706" w:hanging="720"/>
      </w:pPr>
      <w:rPr>
        <w:rFonts w:hint="default"/>
      </w:rPr>
    </w:lvl>
    <w:lvl w:ilvl="3">
      <w:start w:val="1"/>
      <w:numFmt w:val="decimal"/>
      <w:lvlText w:val="%1.%2.%3.%4"/>
      <w:lvlJc w:val="left"/>
      <w:pPr>
        <w:ind w:left="2559" w:hanging="1080"/>
      </w:pPr>
      <w:rPr>
        <w:rFonts w:hint="default"/>
      </w:rPr>
    </w:lvl>
    <w:lvl w:ilvl="4">
      <w:start w:val="1"/>
      <w:numFmt w:val="decimal"/>
      <w:lvlText w:val="%1.%2.%3.%4.%5"/>
      <w:lvlJc w:val="left"/>
      <w:pPr>
        <w:ind w:left="3412" w:hanging="1440"/>
      </w:pPr>
      <w:rPr>
        <w:rFonts w:hint="default"/>
      </w:rPr>
    </w:lvl>
    <w:lvl w:ilvl="5">
      <w:start w:val="1"/>
      <w:numFmt w:val="decimal"/>
      <w:lvlText w:val="%1.%2.%3.%4.%5.%6"/>
      <w:lvlJc w:val="left"/>
      <w:pPr>
        <w:ind w:left="4265" w:hanging="1800"/>
      </w:pPr>
      <w:rPr>
        <w:rFonts w:hint="default"/>
      </w:rPr>
    </w:lvl>
    <w:lvl w:ilvl="6">
      <w:start w:val="1"/>
      <w:numFmt w:val="decimal"/>
      <w:lvlText w:val="%1.%2.%3.%4.%5.%6.%7"/>
      <w:lvlJc w:val="left"/>
      <w:pPr>
        <w:ind w:left="4758" w:hanging="1800"/>
      </w:pPr>
      <w:rPr>
        <w:rFonts w:hint="default"/>
      </w:rPr>
    </w:lvl>
    <w:lvl w:ilvl="7">
      <w:start w:val="1"/>
      <w:numFmt w:val="decimal"/>
      <w:lvlText w:val="%1.%2.%3.%4.%5.%6.%7.%8"/>
      <w:lvlJc w:val="left"/>
      <w:pPr>
        <w:ind w:left="5611" w:hanging="2160"/>
      </w:pPr>
      <w:rPr>
        <w:rFonts w:hint="default"/>
      </w:rPr>
    </w:lvl>
    <w:lvl w:ilvl="8">
      <w:start w:val="1"/>
      <w:numFmt w:val="decimal"/>
      <w:lvlText w:val="%1.%2.%3.%4.%5.%6.%7.%8.%9"/>
      <w:lvlJc w:val="left"/>
      <w:pPr>
        <w:ind w:left="6464" w:hanging="2520"/>
      </w:pPr>
      <w:rPr>
        <w:rFonts w:hint="default"/>
      </w:rPr>
    </w:lvl>
  </w:abstractNum>
  <w:abstractNum w:abstractNumId="11" w15:restartNumberingAfterBreak="0">
    <w:nsid w:val="3539082D"/>
    <w:multiLevelType w:val="hybridMultilevel"/>
    <w:tmpl w:val="B30C4CCA"/>
    <w:lvl w:ilvl="0" w:tplc="6C0C79D2">
      <w:start w:val="1"/>
      <w:numFmt w:val="bullet"/>
      <w:pStyle w:val="Table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35DA266A"/>
    <w:multiLevelType w:val="multilevel"/>
    <w:tmpl w:val="B58C5880"/>
    <w:lvl w:ilvl="0">
      <w:start w:val="1"/>
      <w:numFmt w:val="bullet"/>
      <w:lvlText w:val=""/>
      <w:lvlJc w:val="left"/>
      <w:pPr>
        <w:tabs>
          <w:tab w:val="num" w:pos="1637"/>
        </w:tabs>
        <w:ind w:left="1637"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6B86208"/>
    <w:multiLevelType w:val="multilevel"/>
    <w:tmpl w:val="21147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DE5A8D"/>
    <w:multiLevelType w:val="hybridMultilevel"/>
    <w:tmpl w:val="1BE440D0"/>
    <w:lvl w:ilvl="0" w:tplc="E2C8BEB8">
      <w:start w:val="1"/>
      <w:numFmt w:val="bullet"/>
      <w:pStyle w:val="Bullet-lis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A8676BC"/>
    <w:multiLevelType w:val="multilevel"/>
    <w:tmpl w:val="CE8A3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8410C0"/>
    <w:multiLevelType w:val="multilevel"/>
    <w:tmpl w:val="D4E28AB0"/>
    <w:lvl w:ilvl="0">
      <w:start w:val="1"/>
      <w:numFmt w:val="decimal"/>
      <w:pStyle w:val="BodyText-Numbered"/>
      <w:lvlText w:val="%1."/>
      <w:lvlJc w:val="left"/>
      <w:pPr>
        <w:ind w:left="567" w:hanging="567"/>
      </w:pPr>
    </w:lvl>
    <w:lvl w:ilvl="1">
      <w:start w:val="1"/>
      <w:numFmt w:val="bullet"/>
      <w:lvlText w:val=""/>
      <w:lvlJc w:val="left"/>
      <w:pPr>
        <w:ind w:left="1134" w:hanging="567"/>
      </w:pPr>
      <w:rPr>
        <w:rFonts w:ascii="Symbol" w:hAnsi="Symbol"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7" w15:restartNumberingAfterBreak="0">
    <w:nsid w:val="561A693C"/>
    <w:multiLevelType w:val="hybridMultilevel"/>
    <w:tmpl w:val="C8423C5E"/>
    <w:lvl w:ilvl="0" w:tplc="41F4BD7E">
      <w:start w:val="1"/>
      <w:numFmt w:val="bullet"/>
      <w:pStyle w:val="Boxbullet"/>
      <w:lvlText w:val="•"/>
      <w:lvlJc w:val="left"/>
      <w:pPr>
        <w:tabs>
          <w:tab w:val="num" w:pos="644"/>
        </w:tabs>
        <w:ind w:left="567" w:hanging="283"/>
      </w:pPr>
      <w:rPr>
        <w:rFonts w:hAnsi="Arial" w:hint="default"/>
        <w:b/>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DB15F8"/>
    <w:multiLevelType w:val="hybridMultilevel"/>
    <w:tmpl w:val="23F84000"/>
    <w:lvl w:ilvl="0" w:tplc="FFFFFFFF">
      <w:start w:val="27"/>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7B762E77"/>
    <w:multiLevelType w:val="multilevel"/>
    <w:tmpl w:val="A182A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DFB52A5"/>
    <w:multiLevelType w:val="multilevel"/>
    <w:tmpl w:val="7D9E94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F2A4907"/>
    <w:multiLevelType w:val="hybridMultilevel"/>
    <w:tmpl w:val="8B7A60DC"/>
    <w:lvl w:ilvl="0" w:tplc="14090001">
      <w:start w:val="1"/>
      <w:numFmt w:val="bullet"/>
      <w:lvlText w:val=""/>
      <w:lvlJc w:val="left"/>
      <w:pPr>
        <w:ind w:left="786" w:hanging="360"/>
      </w:pPr>
      <w:rPr>
        <w:rFonts w:ascii="Symbol" w:hAnsi="Symbol" w:hint="default"/>
      </w:rPr>
    </w:lvl>
    <w:lvl w:ilvl="1" w:tplc="14090003" w:tentative="1">
      <w:start w:val="1"/>
      <w:numFmt w:val="bullet"/>
      <w:lvlText w:val="o"/>
      <w:lvlJc w:val="left"/>
      <w:pPr>
        <w:ind w:left="1506" w:hanging="360"/>
      </w:pPr>
      <w:rPr>
        <w:rFonts w:ascii="Courier New" w:hAnsi="Courier New" w:cs="Courier New" w:hint="default"/>
      </w:rPr>
    </w:lvl>
    <w:lvl w:ilvl="2" w:tplc="14090005" w:tentative="1">
      <w:start w:val="1"/>
      <w:numFmt w:val="bullet"/>
      <w:lvlText w:val=""/>
      <w:lvlJc w:val="left"/>
      <w:pPr>
        <w:ind w:left="2226" w:hanging="360"/>
      </w:pPr>
      <w:rPr>
        <w:rFonts w:ascii="Wingdings" w:hAnsi="Wingdings" w:hint="default"/>
      </w:rPr>
    </w:lvl>
    <w:lvl w:ilvl="3" w:tplc="14090001" w:tentative="1">
      <w:start w:val="1"/>
      <w:numFmt w:val="bullet"/>
      <w:lvlText w:val=""/>
      <w:lvlJc w:val="left"/>
      <w:pPr>
        <w:ind w:left="2946" w:hanging="360"/>
      </w:pPr>
      <w:rPr>
        <w:rFonts w:ascii="Symbol" w:hAnsi="Symbol" w:hint="default"/>
      </w:rPr>
    </w:lvl>
    <w:lvl w:ilvl="4" w:tplc="14090003" w:tentative="1">
      <w:start w:val="1"/>
      <w:numFmt w:val="bullet"/>
      <w:lvlText w:val="o"/>
      <w:lvlJc w:val="left"/>
      <w:pPr>
        <w:ind w:left="3666" w:hanging="360"/>
      </w:pPr>
      <w:rPr>
        <w:rFonts w:ascii="Courier New" w:hAnsi="Courier New" w:cs="Courier New" w:hint="default"/>
      </w:rPr>
    </w:lvl>
    <w:lvl w:ilvl="5" w:tplc="14090005" w:tentative="1">
      <w:start w:val="1"/>
      <w:numFmt w:val="bullet"/>
      <w:lvlText w:val=""/>
      <w:lvlJc w:val="left"/>
      <w:pPr>
        <w:ind w:left="4386" w:hanging="360"/>
      </w:pPr>
      <w:rPr>
        <w:rFonts w:ascii="Wingdings" w:hAnsi="Wingdings" w:hint="default"/>
      </w:rPr>
    </w:lvl>
    <w:lvl w:ilvl="6" w:tplc="14090001" w:tentative="1">
      <w:start w:val="1"/>
      <w:numFmt w:val="bullet"/>
      <w:lvlText w:val=""/>
      <w:lvlJc w:val="left"/>
      <w:pPr>
        <w:ind w:left="5106" w:hanging="360"/>
      </w:pPr>
      <w:rPr>
        <w:rFonts w:ascii="Symbol" w:hAnsi="Symbol" w:hint="default"/>
      </w:rPr>
    </w:lvl>
    <w:lvl w:ilvl="7" w:tplc="14090003" w:tentative="1">
      <w:start w:val="1"/>
      <w:numFmt w:val="bullet"/>
      <w:lvlText w:val="o"/>
      <w:lvlJc w:val="left"/>
      <w:pPr>
        <w:ind w:left="5826" w:hanging="360"/>
      </w:pPr>
      <w:rPr>
        <w:rFonts w:ascii="Courier New" w:hAnsi="Courier New" w:cs="Courier New" w:hint="default"/>
      </w:rPr>
    </w:lvl>
    <w:lvl w:ilvl="8" w:tplc="14090005" w:tentative="1">
      <w:start w:val="1"/>
      <w:numFmt w:val="bullet"/>
      <w:lvlText w:val=""/>
      <w:lvlJc w:val="left"/>
      <w:pPr>
        <w:ind w:left="6546" w:hanging="360"/>
      </w:pPr>
      <w:rPr>
        <w:rFonts w:ascii="Wingdings" w:hAnsi="Wingdings" w:hint="default"/>
      </w:rPr>
    </w:lvl>
  </w:abstractNum>
  <w:num w:numId="1" w16cid:durableId="1880701536">
    <w:abstractNumId w:val="16"/>
  </w:num>
  <w:num w:numId="2" w16cid:durableId="249438194">
    <w:abstractNumId w:val="17"/>
  </w:num>
  <w:num w:numId="3" w16cid:durableId="944920957">
    <w:abstractNumId w:val="14"/>
  </w:num>
  <w:num w:numId="4" w16cid:durableId="960918180">
    <w:abstractNumId w:val="11"/>
  </w:num>
  <w:num w:numId="5" w16cid:durableId="1811706667">
    <w:abstractNumId w:val="6"/>
  </w:num>
  <w:num w:numId="6" w16cid:durableId="1375541346">
    <w:abstractNumId w:val="9"/>
    <w:lvlOverride w:ilvl="0">
      <w:lvl w:ilvl="0">
        <w:start w:val="1"/>
        <w:numFmt w:val="decimal"/>
        <w:pStyle w:val="ReportBody"/>
        <w:lvlText w:val="%1"/>
        <w:lvlJc w:val="left"/>
        <w:pPr>
          <w:tabs>
            <w:tab w:val="num" w:pos="919"/>
          </w:tabs>
          <w:ind w:left="919" w:hanging="493"/>
        </w:pPr>
        <w:rPr>
          <w:rFonts w:hint="default"/>
          <w:b w:val="0"/>
          <w:bCs w:val="0"/>
        </w:rPr>
      </w:lvl>
    </w:lvlOverride>
  </w:num>
  <w:num w:numId="7" w16cid:durableId="1323117484">
    <w:abstractNumId w:val="3"/>
  </w:num>
  <w:num w:numId="8" w16cid:durableId="832454423">
    <w:abstractNumId w:val="1"/>
  </w:num>
  <w:num w:numId="9" w16cid:durableId="884292625">
    <w:abstractNumId w:val="4"/>
  </w:num>
  <w:num w:numId="10" w16cid:durableId="1972662909">
    <w:abstractNumId w:val="18"/>
  </w:num>
  <w:num w:numId="11" w16cid:durableId="535579276">
    <w:abstractNumId w:val="7"/>
  </w:num>
  <w:num w:numId="12" w16cid:durableId="313222125">
    <w:abstractNumId w:val="16"/>
  </w:num>
  <w:num w:numId="13" w16cid:durableId="457573622">
    <w:abstractNumId w:val="16"/>
  </w:num>
  <w:num w:numId="14" w16cid:durableId="1288393544">
    <w:abstractNumId w:val="10"/>
  </w:num>
  <w:num w:numId="15" w16cid:durableId="539048154">
    <w:abstractNumId w:val="3"/>
  </w:num>
  <w:num w:numId="16" w16cid:durableId="1289976022">
    <w:abstractNumId w:val="0"/>
  </w:num>
  <w:num w:numId="17" w16cid:durableId="93677423">
    <w:abstractNumId w:val="15"/>
  </w:num>
  <w:num w:numId="18" w16cid:durableId="1394304846">
    <w:abstractNumId w:val="13"/>
  </w:num>
  <w:num w:numId="19" w16cid:durableId="1511064664">
    <w:abstractNumId w:val="8"/>
  </w:num>
  <w:num w:numId="20" w16cid:durableId="398938982">
    <w:abstractNumId w:val="16"/>
  </w:num>
  <w:num w:numId="21" w16cid:durableId="955334659">
    <w:abstractNumId w:val="5"/>
  </w:num>
  <w:num w:numId="22" w16cid:durableId="1913999287">
    <w:abstractNumId w:val="19"/>
  </w:num>
  <w:num w:numId="23" w16cid:durableId="2064016157">
    <w:abstractNumId w:val="2"/>
  </w:num>
  <w:num w:numId="24" w16cid:durableId="893156253">
    <w:abstractNumId w:val="21"/>
  </w:num>
  <w:num w:numId="25" w16cid:durableId="401870391">
    <w:abstractNumId w:val="20"/>
  </w:num>
  <w:num w:numId="26" w16cid:durableId="2144229867">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209"/>
    <w:rsid w:val="0000201A"/>
    <w:rsid w:val="0000328A"/>
    <w:rsid w:val="000033EB"/>
    <w:rsid w:val="00005707"/>
    <w:rsid w:val="00006659"/>
    <w:rsid w:val="0000724E"/>
    <w:rsid w:val="00007FD3"/>
    <w:rsid w:val="00012998"/>
    <w:rsid w:val="000132F6"/>
    <w:rsid w:val="000136B4"/>
    <w:rsid w:val="00014FB7"/>
    <w:rsid w:val="00015ED4"/>
    <w:rsid w:val="00016A1D"/>
    <w:rsid w:val="00020F75"/>
    <w:rsid w:val="000210ED"/>
    <w:rsid w:val="0002169A"/>
    <w:rsid w:val="0002264E"/>
    <w:rsid w:val="000226A5"/>
    <w:rsid w:val="00022BCB"/>
    <w:rsid w:val="00024303"/>
    <w:rsid w:val="00024979"/>
    <w:rsid w:val="00030190"/>
    <w:rsid w:val="000343AE"/>
    <w:rsid w:val="00034615"/>
    <w:rsid w:val="00035E61"/>
    <w:rsid w:val="00035E93"/>
    <w:rsid w:val="00037F29"/>
    <w:rsid w:val="000406C4"/>
    <w:rsid w:val="00041C8B"/>
    <w:rsid w:val="00041FC0"/>
    <w:rsid w:val="000424B7"/>
    <w:rsid w:val="00046A04"/>
    <w:rsid w:val="00051193"/>
    <w:rsid w:val="000524A6"/>
    <w:rsid w:val="000548CE"/>
    <w:rsid w:val="0005691A"/>
    <w:rsid w:val="000626D7"/>
    <w:rsid w:val="00063943"/>
    <w:rsid w:val="00064320"/>
    <w:rsid w:val="00064C85"/>
    <w:rsid w:val="0007168A"/>
    <w:rsid w:val="00072C3E"/>
    <w:rsid w:val="0007474B"/>
    <w:rsid w:val="00076368"/>
    <w:rsid w:val="00080FED"/>
    <w:rsid w:val="0008397A"/>
    <w:rsid w:val="00084536"/>
    <w:rsid w:val="00091FF9"/>
    <w:rsid w:val="00093E9C"/>
    <w:rsid w:val="000940D1"/>
    <w:rsid w:val="00094571"/>
    <w:rsid w:val="00097119"/>
    <w:rsid w:val="000A09B3"/>
    <w:rsid w:val="000A0FEF"/>
    <w:rsid w:val="000A282B"/>
    <w:rsid w:val="000A2B04"/>
    <w:rsid w:val="000B0D4D"/>
    <w:rsid w:val="000B2320"/>
    <w:rsid w:val="000B2371"/>
    <w:rsid w:val="000B4365"/>
    <w:rsid w:val="000B5AB4"/>
    <w:rsid w:val="000B7AB6"/>
    <w:rsid w:val="000C268D"/>
    <w:rsid w:val="000C299F"/>
    <w:rsid w:val="000C29FA"/>
    <w:rsid w:val="000C356C"/>
    <w:rsid w:val="000C4659"/>
    <w:rsid w:val="000C7053"/>
    <w:rsid w:val="000C7F96"/>
    <w:rsid w:val="000D32C4"/>
    <w:rsid w:val="000D34D3"/>
    <w:rsid w:val="000E00AF"/>
    <w:rsid w:val="000E35FF"/>
    <w:rsid w:val="000E3879"/>
    <w:rsid w:val="000E7F9B"/>
    <w:rsid w:val="000F0A95"/>
    <w:rsid w:val="000F4419"/>
    <w:rsid w:val="000F58EF"/>
    <w:rsid w:val="000F5D1D"/>
    <w:rsid w:val="000F62E0"/>
    <w:rsid w:val="000F6451"/>
    <w:rsid w:val="000F6B2E"/>
    <w:rsid w:val="000F6E8C"/>
    <w:rsid w:val="000F720E"/>
    <w:rsid w:val="000F740F"/>
    <w:rsid w:val="00101FE6"/>
    <w:rsid w:val="00103344"/>
    <w:rsid w:val="00103AC5"/>
    <w:rsid w:val="0010467F"/>
    <w:rsid w:val="001049D4"/>
    <w:rsid w:val="00105D66"/>
    <w:rsid w:val="00106A25"/>
    <w:rsid w:val="00107117"/>
    <w:rsid w:val="001078B8"/>
    <w:rsid w:val="00110704"/>
    <w:rsid w:val="00110FC2"/>
    <w:rsid w:val="001163EB"/>
    <w:rsid w:val="001220BD"/>
    <w:rsid w:val="00124FA4"/>
    <w:rsid w:val="001255FA"/>
    <w:rsid w:val="00130743"/>
    <w:rsid w:val="00132393"/>
    <w:rsid w:val="0013264B"/>
    <w:rsid w:val="00135B24"/>
    <w:rsid w:val="00135FB5"/>
    <w:rsid w:val="00136004"/>
    <w:rsid w:val="00136700"/>
    <w:rsid w:val="00136946"/>
    <w:rsid w:val="00137110"/>
    <w:rsid w:val="00137414"/>
    <w:rsid w:val="001402E8"/>
    <w:rsid w:val="00142AF4"/>
    <w:rsid w:val="00143F2D"/>
    <w:rsid w:val="00144B87"/>
    <w:rsid w:val="00145B82"/>
    <w:rsid w:val="00150D58"/>
    <w:rsid w:val="00153F75"/>
    <w:rsid w:val="001568CA"/>
    <w:rsid w:val="00163F41"/>
    <w:rsid w:val="00164445"/>
    <w:rsid w:val="00164D97"/>
    <w:rsid w:val="00166043"/>
    <w:rsid w:val="00166AF1"/>
    <w:rsid w:val="00167308"/>
    <w:rsid w:val="00167871"/>
    <w:rsid w:val="00167A6A"/>
    <w:rsid w:val="0017019F"/>
    <w:rsid w:val="0017116F"/>
    <w:rsid w:val="00174276"/>
    <w:rsid w:val="00175B52"/>
    <w:rsid w:val="001802E8"/>
    <w:rsid w:val="001817F4"/>
    <w:rsid w:val="00182FAD"/>
    <w:rsid w:val="001837C1"/>
    <w:rsid w:val="00183A0A"/>
    <w:rsid w:val="00183D6B"/>
    <w:rsid w:val="00185662"/>
    <w:rsid w:val="00185A12"/>
    <w:rsid w:val="00186592"/>
    <w:rsid w:val="00186E82"/>
    <w:rsid w:val="00187630"/>
    <w:rsid w:val="00190F33"/>
    <w:rsid w:val="00193917"/>
    <w:rsid w:val="001947EB"/>
    <w:rsid w:val="001967D5"/>
    <w:rsid w:val="001A07B8"/>
    <w:rsid w:val="001A187E"/>
    <w:rsid w:val="001A4B31"/>
    <w:rsid w:val="001A6552"/>
    <w:rsid w:val="001B01AC"/>
    <w:rsid w:val="001B20A2"/>
    <w:rsid w:val="001B5014"/>
    <w:rsid w:val="001B59C5"/>
    <w:rsid w:val="001B683E"/>
    <w:rsid w:val="001C0826"/>
    <w:rsid w:val="001C4A82"/>
    <w:rsid w:val="001C6267"/>
    <w:rsid w:val="001C6453"/>
    <w:rsid w:val="001C66CD"/>
    <w:rsid w:val="001D0AA6"/>
    <w:rsid w:val="001D1874"/>
    <w:rsid w:val="001D4DEC"/>
    <w:rsid w:val="001D50EF"/>
    <w:rsid w:val="001D577C"/>
    <w:rsid w:val="001D599D"/>
    <w:rsid w:val="001D7B9B"/>
    <w:rsid w:val="001E166B"/>
    <w:rsid w:val="001E34C4"/>
    <w:rsid w:val="001E7D01"/>
    <w:rsid w:val="001F29E6"/>
    <w:rsid w:val="001F6FBD"/>
    <w:rsid w:val="00200DA1"/>
    <w:rsid w:val="00201051"/>
    <w:rsid w:val="00205BD0"/>
    <w:rsid w:val="002060EC"/>
    <w:rsid w:val="00206944"/>
    <w:rsid w:val="00210C3D"/>
    <w:rsid w:val="002112EA"/>
    <w:rsid w:val="00212395"/>
    <w:rsid w:val="00212A84"/>
    <w:rsid w:val="002167FC"/>
    <w:rsid w:val="00216981"/>
    <w:rsid w:val="00221C0F"/>
    <w:rsid w:val="0022201B"/>
    <w:rsid w:val="00222441"/>
    <w:rsid w:val="0022371F"/>
    <w:rsid w:val="002254E4"/>
    <w:rsid w:val="0022557C"/>
    <w:rsid w:val="00225B8B"/>
    <w:rsid w:val="00226AC8"/>
    <w:rsid w:val="00231673"/>
    <w:rsid w:val="002316E5"/>
    <w:rsid w:val="0023241A"/>
    <w:rsid w:val="0023289F"/>
    <w:rsid w:val="0023437C"/>
    <w:rsid w:val="00234F5E"/>
    <w:rsid w:val="002352C4"/>
    <w:rsid w:val="00240A81"/>
    <w:rsid w:val="002428A4"/>
    <w:rsid w:val="00244FE8"/>
    <w:rsid w:val="00247B29"/>
    <w:rsid w:val="00250F16"/>
    <w:rsid w:val="002546A9"/>
    <w:rsid w:val="0026139D"/>
    <w:rsid w:val="0026379C"/>
    <w:rsid w:val="0026379E"/>
    <w:rsid w:val="00263D08"/>
    <w:rsid w:val="0026417E"/>
    <w:rsid w:val="002652B8"/>
    <w:rsid w:val="002663F5"/>
    <w:rsid w:val="00273014"/>
    <w:rsid w:val="00273108"/>
    <w:rsid w:val="0027380A"/>
    <w:rsid w:val="00275103"/>
    <w:rsid w:val="0027622D"/>
    <w:rsid w:val="00276C75"/>
    <w:rsid w:val="00280203"/>
    <w:rsid w:val="00281606"/>
    <w:rsid w:val="00282154"/>
    <w:rsid w:val="0028538B"/>
    <w:rsid w:val="002857EB"/>
    <w:rsid w:val="002910BE"/>
    <w:rsid w:val="00291243"/>
    <w:rsid w:val="00292FB6"/>
    <w:rsid w:val="00293D8D"/>
    <w:rsid w:val="0029421E"/>
    <w:rsid w:val="00294646"/>
    <w:rsid w:val="00295393"/>
    <w:rsid w:val="002958E5"/>
    <w:rsid w:val="0029653F"/>
    <w:rsid w:val="002A2C43"/>
    <w:rsid w:val="002A3931"/>
    <w:rsid w:val="002A55E8"/>
    <w:rsid w:val="002A6334"/>
    <w:rsid w:val="002A7820"/>
    <w:rsid w:val="002A7F70"/>
    <w:rsid w:val="002B01D8"/>
    <w:rsid w:val="002B1665"/>
    <w:rsid w:val="002B1C20"/>
    <w:rsid w:val="002B27D8"/>
    <w:rsid w:val="002B426E"/>
    <w:rsid w:val="002B5E82"/>
    <w:rsid w:val="002B6026"/>
    <w:rsid w:val="002C0E77"/>
    <w:rsid w:val="002C14A2"/>
    <w:rsid w:val="002C1C0C"/>
    <w:rsid w:val="002C2785"/>
    <w:rsid w:val="002C2C86"/>
    <w:rsid w:val="002C346F"/>
    <w:rsid w:val="002C3926"/>
    <w:rsid w:val="002C48AB"/>
    <w:rsid w:val="002C7C74"/>
    <w:rsid w:val="002D2932"/>
    <w:rsid w:val="002D3C4E"/>
    <w:rsid w:val="002D3C94"/>
    <w:rsid w:val="002D5018"/>
    <w:rsid w:val="002D52C3"/>
    <w:rsid w:val="002D5D22"/>
    <w:rsid w:val="002D6B40"/>
    <w:rsid w:val="002E06CC"/>
    <w:rsid w:val="002E140F"/>
    <w:rsid w:val="002E1635"/>
    <w:rsid w:val="002E3773"/>
    <w:rsid w:val="002E487F"/>
    <w:rsid w:val="002E6100"/>
    <w:rsid w:val="002E6E4E"/>
    <w:rsid w:val="002E792D"/>
    <w:rsid w:val="002F0674"/>
    <w:rsid w:val="002F456E"/>
    <w:rsid w:val="002F4FB5"/>
    <w:rsid w:val="002F59DB"/>
    <w:rsid w:val="002F62AD"/>
    <w:rsid w:val="002F7B32"/>
    <w:rsid w:val="00300A8E"/>
    <w:rsid w:val="0030464E"/>
    <w:rsid w:val="003066C9"/>
    <w:rsid w:val="00307959"/>
    <w:rsid w:val="00310035"/>
    <w:rsid w:val="00310805"/>
    <w:rsid w:val="00310839"/>
    <w:rsid w:val="003134CF"/>
    <w:rsid w:val="00313B2D"/>
    <w:rsid w:val="00313D66"/>
    <w:rsid w:val="00314476"/>
    <w:rsid w:val="00314A35"/>
    <w:rsid w:val="00315A06"/>
    <w:rsid w:val="003169E2"/>
    <w:rsid w:val="00317F29"/>
    <w:rsid w:val="0032495B"/>
    <w:rsid w:val="00324E1E"/>
    <w:rsid w:val="003270DA"/>
    <w:rsid w:val="0033231A"/>
    <w:rsid w:val="00332B85"/>
    <w:rsid w:val="00332C0B"/>
    <w:rsid w:val="003335DC"/>
    <w:rsid w:val="00336047"/>
    <w:rsid w:val="00341836"/>
    <w:rsid w:val="00345C3F"/>
    <w:rsid w:val="00346116"/>
    <w:rsid w:val="00346B30"/>
    <w:rsid w:val="00347572"/>
    <w:rsid w:val="00347BA1"/>
    <w:rsid w:val="00354F55"/>
    <w:rsid w:val="00360F96"/>
    <w:rsid w:val="00363B61"/>
    <w:rsid w:val="00364C4C"/>
    <w:rsid w:val="0036646F"/>
    <w:rsid w:val="0036677B"/>
    <w:rsid w:val="00367317"/>
    <w:rsid w:val="003673FA"/>
    <w:rsid w:val="00367CF2"/>
    <w:rsid w:val="00373851"/>
    <w:rsid w:val="00373CD5"/>
    <w:rsid w:val="00374AEA"/>
    <w:rsid w:val="00380871"/>
    <w:rsid w:val="00384E9B"/>
    <w:rsid w:val="00390DC2"/>
    <w:rsid w:val="00391D16"/>
    <w:rsid w:val="00392A7D"/>
    <w:rsid w:val="0039577B"/>
    <w:rsid w:val="003962A6"/>
    <w:rsid w:val="00397C8D"/>
    <w:rsid w:val="003A2BB1"/>
    <w:rsid w:val="003A2CB7"/>
    <w:rsid w:val="003A6757"/>
    <w:rsid w:val="003B1E23"/>
    <w:rsid w:val="003B3A57"/>
    <w:rsid w:val="003B77EA"/>
    <w:rsid w:val="003B7835"/>
    <w:rsid w:val="003C0AF0"/>
    <w:rsid w:val="003C3183"/>
    <w:rsid w:val="003C48E9"/>
    <w:rsid w:val="003C5267"/>
    <w:rsid w:val="003C61B5"/>
    <w:rsid w:val="003D3C86"/>
    <w:rsid w:val="003D4DA7"/>
    <w:rsid w:val="003D500E"/>
    <w:rsid w:val="003D586C"/>
    <w:rsid w:val="003D6D1C"/>
    <w:rsid w:val="003E20E0"/>
    <w:rsid w:val="003E2F7E"/>
    <w:rsid w:val="003F01A7"/>
    <w:rsid w:val="003F10F4"/>
    <w:rsid w:val="003F1AC1"/>
    <w:rsid w:val="003F1C16"/>
    <w:rsid w:val="003F2314"/>
    <w:rsid w:val="003F2438"/>
    <w:rsid w:val="003F2D3B"/>
    <w:rsid w:val="003F2F13"/>
    <w:rsid w:val="003F2F6F"/>
    <w:rsid w:val="003F3813"/>
    <w:rsid w:val="003F4991"/>
    <w:rsid w:val="003F4EE0"/>
    <w:rsid w:val="003F5E55"/>
    <w:rsid w:val="003F7090"/>
    <w:rsid w:val="003F775E"/>
    <w:rsid w:val="003F7F54"/>
    <w:rsid w:val="00400583"/>
    <w:rsid w:val="00400E95"/>
    <w:rsid w:val="00401E3C"/>
    <w:rsid w:val="0040297B"/>
    <w:rsid w:val="0040497A"/>
    <w:rsid w:val="00405E5B"/>
    <w:rsid w:val="004061B8"/>
    <w:rsid w:val="00406EC7"/>
    <w:rsid w:val="0041056D"/>
    <w:rsid w:val="004111B8"/>
    <w:rsid w:val="0041278D"/>
    <w:rsid w:val="00413FD8"/>
    <w:rsid w:val="0041785C"/>
    <w:rsid w:val="004179F5"/>
    <w:rsid w:val="00417B4A"/>
    <w:rsid w:val="00422C20"/>
    <w:rsid w:val="0042454E"/>
    <w:rsid w:val="004268A5"/>
    <w:rsid w:val="00430835"/>
    <w:rsid w:val="00431CA7"/>
    <w:rsid w:val="0043361C"/>
    <w:rsid w:val="00433FD8"/>
    <w:rsid w:val="00434211"/>
    <w:rsid w:val="00435FDB"/>
    <w:rsid w:val="004402CE"/>
    <w:rsid w:val="00441F0F"/>
    <w:rsid w:val="0044210F"/>
    <w:rsid w:val="00442959"/>
    <w:rsid w:val="00444502"/>
    <w:rsid w:val="004461A6"/>
    <w:rsid w:val="00446566"/>
    <w:rsid w:val="00447453"/>
    <w:rsid w:val="004479A5"/>
    <w:rsid w:val="0045251B"/>
    <w:rsid w:val="00456095"/>
    <w:rsid w:val="00460CD2"/>
    <w:rsid w:val="004624C8"/>
    <w:rsid w:val="004625C9"/>
    <w:rsid w:val="004628FF"/>
    <w:rsid w:val="0046643B"/>
    <w:rsid w:val="00467AB7"/>
    <w:rsid w:val="00474272"/>
    <w:rsid w:val="00477A65"/>
    <w:rsid w:val="00477E82"/>
    <w:rsid w:val="00481292"/>
    <w:rsid w:val="00484A6C"/>
    <w:rsid w:val="004851B1"/>
    <w:rsid w:val="00487492"/>
    <w:rsid w:val="00487566"/>
    <w:rsid w:val="00487FAD"/>
    <w:rsid w:val="00491FAD"/>
    <w:rsid w:val="0049234F"/>
    <w:rsid w:val="004932F0"/>
    <w:rsid w:val="0049368E"/>
    <w:rsid w:val="00493DFB"/>
    <w:rsid w:val="0049467D"/>
    <w:rsid w:val="00495721"/>
    <w:rsid w:val="00496B0A"/>
    <w:rsid w:val="00497810"/>
    <w:rsid w:val="004A11FC"/>
    <w:rsid w:val="004A1AE3"/>
    <w:rsid w:val="004A2714"/>
    <w:rsid w:val="004A2A62"/>
    <w:rsid w:val="004A4084"/>
    <w:rsid w:val="004A6E33"/>
    <w:rsid w:val="004B0926"/>
    <w:rsid w:val="004B0A19"/>
    <w:rsid w:val="004B2E9A"/>
    <w:rsid w:val="004B4C9E"/>
    <w:rsid w:val="004B5EB9"/>
    <w:rsid w:val="004B6F7D"/>
    <w:rsid w:val="004B7BD3"/>
    <w:rsid w:val="004C056B"/>
    <w:rsid w:val="004C11D4"/>
    <w:rsid w:val="004C12D0"/>
    <w:rsid w:val="004C2A75"/>
    <w:rsid w:val="004C321A"/>
    <w:rsid w:val="004C4440"/>
    <w:rsid w:val="004C4603"/>
    <w:rsid w:val="004C498D"/>
    <w:rsid w:val="004C6060"/>
    <w:rsid w:val="004C6862"/>
    <w:rsid w:val="004D000C"/>
    <w:rsid w:val="004D1722"/>
    <w:rsid w:val="004D3AC9"/>
    <w:rsid w:val="004D5556"/>
    <w:rsid w:val="004D5AF6"/>
    <w:rsid w:val="004E01B1"/>
    <w:rsid w:val="004E1A06"/>
    <w:rsid w:val="004F24E2"/>
    <w:rsid w:val="004F376F"/>
    <w:rsid w:val="004F3DA8"/>
    <w:rsid w:val="004F5B65"/>
    <w:rsid w:val="00501053"/>
    <w:rsid w:val="0050418B"/>
    <w:rsid w:val="00505043"/>
    <w:rsid w:val="00505B2B"/>
    <w:rsid w:val="00514770"/>
    <w:rsid w:val="00515A3D"/>
    <w:rsid w:val="005167FA"/>
    <w:rsid w:val="00517BA2"/>
    <w:rsid w:val="00521403"/>
    <w:rsid w:val="005227A4"/>
    <w:rsid w:val="00523D6A"/>
    <w:rsid w:val="005244F6"/>
    <w:rsid w:val="005258E4"/>
    <w:rsid w:val="0052670F"/>
    <w:rsid w:val="00526807"/>
    <w:rsid w:val="005275ED"/>
    <w:rsid w:val="00527C27"/>
    <w:rsid w:val="00530722"/>
    <w:rsid w:val="00537B28"/>
    <w:rsid w:val="00537EFE"/>
    <w:rsid w:val="00540421"/>
    <w:rsid w:val="00541194"/>
    <w:rsid w:val="00541C3D"/>
    <w:rsid w:val="00541FCF"/>
    <w:rsid w:val="00543012"/>
    <w:rsid w:val="00543026"/>
    <w:rsid w:val="00543648"/>
    <w:rsid w:val="00546076"/>
    <w:rsid w:val="005469ED"/>
    <w:rsid w:val="00550CEB"/>
    <w:rsid w:val="00550EEB"/>
    <w:rsid w:val="005524A5"/>
    <w:rsid w:val="00552B33"/>
    <w:rsid w:val="00552E42"/>
    <w:rsid w:val="00553C18"/>
    <w:rsid w:val="00554046"/>
    <w:rsid w:val="00554818"/>
    <w:rsid w:val="00556893"/>
    <w:rsid w:val="00557E23"/>
    <w:rsid w:val="00560B8C"/>
    <w:rsid w:val="00560FED"/>
    <w:rsid w:val="00562D65"/>
    <w:rsid w:val="0056317B"/>
    <w:rsid w:val="00564321"/>
    <w:rsid w:val="0056545E"/>
    <w:rsid w:val="00565A3D"/>
    <w:rsid w:val="00565FA5"/>
    <w:rsid w:val="00567740"/>
    <w:rsid w:val="00570089"/>
    <w:rsid w:val="00570E3F"/>
    <w:rsid w:val="00575FF9"/>
    <w:rsid w:val="00576669"/>
    <w:rsid w:val="00581651"/>
    <w:rsid w:val="00583BCD"/>
    <w:rsid w:val="005843AC"/>
    <w:rsid w:val="005855FE"/>
    <w:rsid w:val="00585909"/>
    <w:rsid w:val="005859DA"/>
    <w:rsid w:val="005919BA"/>
    <w:rsid w:val="00591BE7"/>
    <w:rsid w:val="00593B97"/>
    <w:rsid w:val="00596D8A"/>
    <w:rsid w:val="00596F0D"/>
    <w:rsid w:val="005A0B65"/>
    <w:rsid w:val="005A2E71"/>
    <w:rsid w:val="005A5158"/>
    <w:rsid w:val="005A5398"/>
    <w:rsid w:val="005A7388"/>
    <w:rsid w:val="005B27FB"/>
    <w:rsid w:val="005B3AF3"/>
    <w:rsid w:val="005B5FC4"/>
    <w:rsid w:val="005B7152"/>
    <w:rsid w:val="005C028F"/>
    <w:rsid w:val="005C0354"/>
    <w:rsid w:val="005C1D93"/>
    <w:rsid w:val="005C2885"/>
    <w:rsid w:val="005C38A2"/>
    <w:rsid w:val="005C40EB"/>
    <w:rsid w:val="005C59DD"/>
    <w:rsid w:val="005C76D8"/>
    <w:rsid w:val="005D14FF"/>
    <w:rsid w:val="005D64F3"/>
    <w:rsid w:val="005D739C"/>
    <w:rsid w:val="005E06C0"/>
    <w:rsid w:val="005E24C2"/>
    <w:rsid w:val="005E4A43"/>
    <w:rsid w:val="005F0C1A"/>
    <w:rsid w:val="005F41A2"/>
    <w:rsid w:val="005F4E4B"/>
    <w:rsid w:val="005F51DE"/>
    <w:rsid w:val="005F5B26"/>
    <w:rsid w:val="005F62D6"/>
    <w:rsid w:val="005F70A4"/>
    <w:rsid w:val="005F7B7D"/>
    <w:rsid w:val="0060071B"/>
    <w:rsid w:val="00601938"/>
    <w:rsid w:val="00604D97"/>
    <w:rsid w:val="00605092"/>
    <w:rsid w:val="00610F4C"/>
    <w:rsid w:val="00611258"/>
    <w:rsid w:val="00611B49"/>
    <w:rsid w:val="00614CBD"/>
    <w:rsid w:val="00614D6A"/>
    <w:rsid w:val="006172F1"/>
    <w:rsid w:val="00620448"/>
    <w:rsid w:val="00624CAF"/>
    <w:rsid w:val="0062657E"/>
    <w:rsid w:val="006278DF"/>
    <w:rsid w:val="00627B31"/>
    <w:rsid w:val="006354F8"/>
    <w:rsid w:val="006356D0"/>
    <w:rsid w:val="00636019"/>
    <w:rsid w:val="00637874"/>
    <w:rsid w:val="00642209"/>
    <w:rsid w:val="00642FAA"/>
    <w:rsid w:val="0064405E"/>
    <w:rsid w:val="006444C8"/>
    <w:rsid w:val="0064453A"/>
    <w:rsid w:val="006448CF"/>
    <w:rsid w:val="00644947"/>
    <w:rsid w:val="00644FA4"/>
    <w:rsid w:val="006478B0"/>
    <w:rsid w:val="00647987"/>
    <w:rsid w:val="00651A6E"/>
    <w:rsid w:val="00652B7A"/>
    <w:rsid w:val="00654CEA"/>
    <w:rsid w:val="00656925"/>
    <w:rsid w:val="00663BAA"/>
    <w:rsid w:val="00664F50"/>
    <w:rsid w:val="00665855"/>
    <w:rsid w:val="00665E47"/>
    <w:rsid w:val="00667511"/>
    <w:rsid w:val="00670FE4"/>
    <w:rsid w:val="00671451"/>
    <w:rsid w:val="00671877"/>
    <w:rsid w:val="006725C6"/>
    <w:rsid w:val="00675711"/>
    <w:rsid w:val="00675CAA"/>
    <w:rsid w:val="00676458"/>
    <w:rsid w:val="00676730"/>
    <w:rsid w:val="006767B7"/>
    <w:rsid w:val="006777C4"/>
    <w:rsid w:val="00682C09"/>
    <w:rsid w:val="00686045"/>
    <w:rsid w:val="00687118"/>
    <w:rsid w:val="0068728E"/>
    <w:rsid w:val="00690F22"/>
    <w:rsid w:val="00693232"/>
    <w:rsid w:val="006938E8"/>
    <w:rsid w:val="0069607B"/>
    <w:rsid w:val="00696AC4"/>
    <w:rsid w:val="006A2C89"/>
    <w:rsid w:val="006A55EB"/>
    <w:rsid w:val="006A5CC7"/>
    <w:rsid w:val="006A6B3A"/>
    <w:rsid w:val="006B1D47"/>
    <w:rsid w:val="006B2514"/>
    <w:rsid w:val="006B5794"/>
    <w:rsid w:val="006B5991"/>
    <w:rsid w:val="006B66A1"/>
    <w:rsid w:val="006B67CE"/>
    <w:rsid w:val="006B752F"/>
    <w:rsid w:val="006C1313"/>
    <w:rsid w:val="006C558B"/>
    <w:rsid w:val="006C684F"/>
    <w:rsid w:val="006C6F74"/>
    <w:rsid w:val="006D05B2"/>
    <w:rsid w:val="006D0A1B"/>
    <w:rsid w:val="006D12A5"/>
    <w:rsid w:val="006D12A8"/>
    <w:rsid w:val="006D1544"/>
    <w:rsid w:val="006D17FA"/>
    <w:rsid w:val="006D325C"/>
    <w:rsid w:val="006D3F0B"/>
    <w:rsid w:val="006D7CAB"/>
    <w:rsid w:val="006D7D0F"/>
    <w:rsid w:val="006E1F3D"/>
    <w:rsid w:val="006E2E89"/>
    <w:rsid w:val="006F1A67"/>
    <w:rsid w:val="006F3E62"/>
    <w:rsid w:val="007037C4"/>
    <w:rsid w:val="00711C88"/>
    <w:rsid w:val="0071362C"/>
    <w:rsid w:val="00715855"/>
    <w:rsid w:val="00721CE1"/>
    <w:rsid w:val="00723655"/>
    <w:rsid w:val="00723C46"/>
    <w:rsid w:val="00723DF3"/>
    <w:rsid w:val="007245C5"/>
    <w:rsid w:val="00724CA2"/>
    <w:rsid w:val="007271F7"/>
    <w:rsid w:val="0072799F"/>
    <w:rsid w:val="00730034"/>
    <w:rsid w:val="00730501"/>
    <w:rsid w:val="00731FAE"/>
    <w:rsid w:val="007325A8"/>
    <w:rsid w:val="007336C9"/>
    <w:rsid w:val="007340F7"/>
    <w:rsid w:val="00736616"/>
    <w:rsid w:val="0073765C"/>
    <w:rsid w:val="007407C7"/>
    <w:rsid w:val="007429F7"/>
    <w:rsid w:val="00743278"/>
    <w:rsid w:val="007441E0"/>
    <w:rsid w:val="00754161"/>
    <w:rsid w:val="00755099"/>
    <w:rsid w:val="00755A69"/>
    <w:rsid w:val="00756237"/>
    <w:rsid w:val="00760A40"/>
    <w:rsid w:val="00760BD9"/>
    <w:rsid w:val="00760D75"/>
    <w:rsid w:val="00761786"/>
    <w:rsid w:val="00761CF0"/>
    <w:rsid w:val="0076768B"/>
    <w:rsid w:val="007733A2"/>
    <w:rsid w:val="00773638"/>
    <w:rsid w:val="00773A84"/>
    <w:rsid w:val="00776E61"/>
    <w:rsid w:val="00777DF3"/>
    <w:rsid w:val="0078143F"/>
    <w:rsid w:val="00781C46"/>
    <w:rsid w:val="007823C1"/>
    <w:rsid w:val="00782B12"/>
    <w:rsid w:val="007836C1"/>
    <w:rsid w:val="00783C63"/>
    <w:rsid w:val="007847E3"/>
    <w:rsid w:val="0078731C"/>
    <w:rsid w:val="00790C44"/>
    <w:rsid w:val="007916A6"/>
    <w:rsid w:val="00792525"/>
    <w:rsid w:val="00792ACD"/>
    <w:rsid w:val="0079435C"/>
    <w:rsid w:val="007967AF"/>
    <w:rsid w:val="00797B3D"/>
    <w:rsid w:val="007A20DD"/>
    <w:rsid w:val="007A2192"/>
    <w:rsid w:val="007A390D"/>
    <w:rsid w:val="007A3BF5"/>
    <w:rsid w:val="007A4FC6"/>
    <w:rsid w:val="007A7736"/>
    <w:rsid w:val="007B024A"/>
    <w:rsid w:val="007B0612"/>
    <w:rsid w:val="007B090A"/>
    <w:rsid w:val="007B1245"/>
    <w:rsid w:val="007B1E67"/>
    <w:rsid w:val="007B2DCA"/>
    <w:rsid w:val="007B4CEA"/>
    <w:rsid w:val="007C5816"/>
    <w:rsid w:val="007C6348"/>
    <w:rsid w:val="007D116C"/>
    <w:rsid w:val="007D15F6"/>
    <w:rsid w:val="007D2B34"/>
    <w:rsid w:val="007D2EB7"/>
    <w:rsid w:val="007D44A0"/>
    <w:rsid w:val="007D633F"/>
    <w:rsid w:val="007D6E61"/>
    <w:rsid w:val="007D78A1"/>
    <w:rsid w:val="007D7A5C"/>
    <w:rsid w:val="007D7EDC"/>
    <w:rsid w:val="007E4F5A"/>
    <w:rsid w:val="007E7D42"/>
    <w:rsid w:val="007F14F4"/>
    <w:rsid w:val="007F2441"/>
    <w:rsid w:val="007F2633"/>
    <w:rsid w:val="007F3395"/>
    <w:rsid w:val="007F3B1C"/>
    <w:rsid w:val="007F5D1E"/>
    <w:rsid w:val="007F6004"/>
    <w:rsid w:val="007F63A6"/>
    <w:rsid w:val="007F6633"/>
    <w:rsid w:val="007F7FE8"/>
    <w:rsid w:val="00800843"/>
    <w:rsid w:val="00800893"/>
    <w:rsid w:val="00800EA8"/>
    <w:rsid w:val="00801650"/>
    <w:rsid w:val="00804237"/>
    <w:rsid w:val="00804E26"/>
    <w:rsid w:val="00805DB4"/>
    <w:rsid w:val="008064C0"/>
    <w:rsid w:val="00812CAB"/>
    <w:rsid w:val="00812FBB"/>
    <w:rsid w:val="00813D4E"/>
    <w:rsid w:val="008155BF"/>
    <w:rsid w:val="00816332"/>
    <w:rsid w:val="00817D48"/>
    <w:rsid w:val="00817EF6"/>
    <w:rsid w:val="0082157D"/>
    <w:rsid w:val="00821749"/>
    <w:rsid w:val="0082413D"/>
    <w:rsid w:val="008246BA"/>
    <w:rsid w:val="008270D9"/>
    <w:rsid w:val="00827B96"/>
    <w:rsid w:val="0083060A"/>
    <w:rsid w:val="00831772"/>
    <w:rsid w:val="008321F8"/>
    <w:rsid w:val="00832767"/>
    <w:rsid w:val="00833668"/>
    <w:rsid w:val="00836306"/>
    <w:rsid w:val="008365CD"/>
    <w:rsid w:val="008368BE"/>
    <w:rsid w:val="00840ECA"/>
    <w:rsid w:val="00840FF8"/>
    <w:rsid w:val="00846C56"/>
    <w:rsid w:val="00847E6E"/>
    <w:rsid w:val="00847F3B"/>
    <w:rsid w:val="00850EFB"/>
    <w:rsid w:val="0085212E"/>
    <w:rsid w:val="008529D8"/>
    <w:rsid w:val="00853169"/>
    <w:rsid w:val="00853A61"/>
    <w:rsid w:val="00853E6C"/>
    <w:rsid w:val="0085441F"/>
    <w:rsid w:val="00855BBA"/>
    <w:rsid w:val="00856A2C"/>
    <w:rsid w:val="00857D63"/>
    <w:rsid w:val="008603C7"/>
    <w:rsid w:val="00860829"/>
    <w:rsid w:val="00860A2C"/>
    <w:rsid w:val="0086254E"/>
    <w:rsid w:val="00864A98"/>
    <w:rsid w:val="00864D58"/>
    <w:rsid w:val="00870019"/>
    <w:rsid w:val="008704DC"/>
    <w:rsid w:val="00871300"/>
    <w:rsid w:val="008713BF"/>
    <w:rsid w:val="00880730"/>
    <w:rsid w:val="00880F86"/>
    <w:rsid w:val="008810DD"/>
    <w:rsid w:val="008812C2"/>
    <w:rsid w:val="00881500"/>
    <w:rsid w:val="00881A01"/>
    <w:rsid w:val="00881CA9"/>
    <w:rsid w:val="00881DF1"/>
    <w:rsid w:val="00882849"/>
    <w:rsid w:val="00882A34"/>
    <w:rsid w:val="00883A80"/>
    <w:rsid w:val="0088540E"/>
    <w:rsid w:val="00886EE8"/>
    <w:rsid w:val="00890436"/>
    <w:rsid w:val="00892E65"/>
    <w:rsid w:val="0089735D"/>
    <w:rsid w:val="008A1FFA"/>
    <w:rsid w:val="008A2E3B"/>
    <w:rsid w:val="008A351E"/>
    <w:rsid w:val="008A35F0"/>
    <w:rsid w:val="008A504D"/>
    <w:rsid w:val="008B199C"/>
    <w:rsid w:val="008B2B16"/>
    <w:rsid w:val="008B32D9"/>
    <w:rsid w:val="008B3364"/>
    <w:rsid w:val="008B43EB"/>
    <w:rsid w:val="008C021B"/>
    <w:rsid w:val="008C1879"/>
    <w:rsid w:val="008C2163"/>
    <w:rsid w:val="008C2840"/>
    <w:rsid w:val="008C4E18"/>
    <w:rsid w:val="008C53FE"/>
    <w:rsid w:val="008C69EC"/>
    <w:rsid w:val="008D051A"/>
    <w:rsid w:val="008D1BAE"/>
    <w:rsid w:val="008D22EF"/>
    <w:rsid w:val="008D265C"/>
    <w:rsid w:val="008D4BEA"/>
    <w:rsid w:val="008E2185"/>
    <w:rsid w:val="008E4014"/>
    <w:rsid w:val="008E569D"/>
    <w:rsid w:val="008E5866"/>
    <w:rsid w:val="008E67EF"/>
    <w:rsid w:val="008F02B0"/>
    <w:rsid w:val="008F1AA3"/>
    <w:rsid w:val="008F3D7F"/>
    <w:rsid w:val="008F3EA3"/>
    <w:rsid w:val="008F4B71"/>
    <w:rsid w:val="008F6A2B"/>
    <w:rsid w:val="008F6E88"/>
    <w:rsid w:val="009032AF"/>
    <w:rsid w:val="009037EA"/>
    <w:rsid w:val="0090696D"/>
    <w:rsid w:val="009078D4"/>
    <w:rsid w:val="00907988"/>
    <w:rsid w:val="00907E5A"/>
    <w:rsid w:val="0091230A"/>
    <w:rsid w:val="009125FB"/>
    <w:rsid w:val="00913334"/>
    <w:rsid w:val="009140EC"/>
    <w:rsid w:val="00914E7A"/>
    <w:rsid w:val="00915CE6"/>
    <w:rsid w:val="009174D9"/>
    <w:rsid w:val="00920842"/>
    <w:rsid w:val="009215BF"/>
    <w:rsid w:val="0092176D"/>
    <w:rsid w:val="00921E42"/>
    <w:rsid w:val="00922C8B"/>
    <w:rsid w:val="009316DC"/>
    <w:rsid w:val="009324E1"/>
    <w:rsid w:val="00932544"/>
    <w:rsid w:val="00932B8C"/>
    <w:rsid w:val="009410E3"/>
    <w:rsid w:val="00941B0A"/>
    <w:rsid w:val="00941CF8"/>
    <w:rsid w:val="00942C52"/>
    <w:rsid w:val="009435C4"/>
    <w:rsid w:val="009438E4"/>
    <w:rsid w:val="0094414D"/>
    <w:rsid w:val="009449F8"/>
    <w:rsid w:val="00945731"/>
    <w:rsid w:val="0094584C"/>
    <w:rsid w:val="009474CE"/>
    <w:rsid w:val="009476AF"/>
    <w:rsid w:val="00950B08"/>
    <w:rsid w:val="009523F9"/>
    <w:rsid w:val="00954259"/>
    <w:rsid w:val="00955E88"/>
    <w:rsid w:val="00956684"/>
    <w:rsid w:val="0095750A"/>
    <w:rsid w:val="00957A1D"/>
    <w:rsid w:val="009609C7"/>
    <w:rsid w:val="00960D59"/>
    <w:rsid w:val="00962946"/>
    <w:rsid w:val="00963825"/>
    <w:rsid w:val="00963E58"/>
    <w:rsid w:val="00963F5E"/>
    <w:rsid w:val="00964E59"/>
    <w:rsid w:val="00967BE4"/>
    <w:rsid w:val="00970321"/>
    <w:rsid w:val="00970B1E"/>
    <w:rsid w:val="00970B59"/>
    <w:rsid w:val="00971284"/>
    <w:rsid w:val="00971A61"/>
    <w:rsid w:val="0097236D"/>
    <w:rsid w:val="00975D61"/>
    <w:rsid w:val="00980121"/>
    <w:rsid w:val="00980DC1"/>
    <w:rsid w:val="0098254D"/>
    <w:rsid w:val="00982D6D"/>
    <w:rsid w:val="00983F99"/>
    <w:rsid w:val="00984541"/>
    <w:rsid w:val="00984692"/>
    <w:rsid w:val="00984A4A"/>
    <w:rsid w:val="0099086E"/>
    <w:rsid w:val="00991E5D"/>
    <w:rsid w:val="009927C0"/>
    <w:rsid w:val="00993DD9"/>
    <w:rsid w:val="00996453"/>
    <w:rsid w:val="00997542"/>
    <w:rsid w:val="009A00CD"/>
    <w:rsid w:val="009A0BA6"/>
    <w:rsid w:val="009A1323"/>
    <w:rsid w:val="009A331F"/>
    <w:rsid w:val="009A3D87"/>
    <w:rsid w:val="009A7AC1"/>
    <w:rsid w:val="009A7F66"/>
    <w:rsid w:val="009B0796"/>
    <w:rsid w:val="009B29ED"/>
    <w:rsid w:val="009B55E4"/>
    <w:rsid w:val="009B5C21"/>
    <w:rsid w:val="009C2397"/>
    <w:rsid w:val="009C4129"/>
    <w:rsid w:val="009C6559"/>
    <w:rsid w:val="009D0B82"/>
    <w:rsid w:val="009D1B42"/>
    <w:rsid w:val="009D1C90"/>
    <w:rsid w:val="009D4725"/>
    <w:rsid w:val="009D4871"/>
    <w:rsid w:val="009D5F65"/>
    <w:rsid w:val="009E0634"/>
    <w:rsid w:val="009E1D38"/>
    <w:rsid w:val="009E27A7"/>
    <w:rsid w:val="009E55E8"/>
    <w:rsid w:val="009E6303"/>
    <w:rsid w:val="009E7C32"/>
    <w:rsid w:val="009E7EFB"/>
    <w:rsid w:val="009F06F4"/>
    <w:rsid w:val="009F080F"/>
    <w:rsid w:val="009F36BA"/>
    <w:rsid w:val="009F3DFA"/>
    <w:rsid w:val="009F6501"/>
    <w:rsid w:val="00A00516"/>
    <w:rsid w:val="00A01D69"/>
    <w:rsid w:val="00A02270"/>
    <w:rsid w:val="00A03CE3"/>
    <w:rsid w:val="00A03E72"/>
    <w:rsid w:val="00A0728D"/>
    <w:rsid w:val="00A137FB"/>
    <w:rsid w:val="00A16654"/>
    <w:rsid w:val="00A16B89"/>
    <w:rsid w:val="00A20BA4"/>
    <w:rsid w:val="00A211D4"/>
    <w:rsid w:val="00A21330"/>
    <w:rsid w:val="00A27611"/>
    <w:rsid w:val="00A30AC1"/>
    <w:rsid w:val="00A31B4D"/>
    <w:rsid w:val="00A32BC8"/>
    <w:rsid w:val="00A355C6"/>
    <w:rsid w:val="00A35B78"/>
    <w:rsid w:val="00A36232"/>
    <w:rsid w:val="00A36767"/>
    <w:rsid w:val="00A401EB"/>
    <w:rsid w:val="00A40E99"/>
    <w:rsid w:val="00A428E6"/>
    <w:rsid w:val="00A43E82"/>
    <w:rsid w:val="00A449DC"/>
    <w:rsid w:val="00A44B01"/>
    <w:rsid w:val="00A45940"/>
    <w:rsid w:val="00A50D05"/>
    <w:rsid w:val="00A53B85"/>
    <w:rsid w:val="00A53E1A"/>
    <w:rsid w:val="00A57505"/>
    <w:rsid w:val="00A60AD3"/>
    <w:rsid w:val="00A60FE7"/>
    <w:rsid w:val="00A61552"/>
    <w:rsid w:val="00A62AE6"/>
    <w:rsid w:val="00A64991"/>
    <w:rsid w:val="00A70469"/>
    <w:rsid w:val="00A716C3"/>
    <w:rsid w:val="00A77B0A"/>
    <w:rsid w:val="00A829FF"/>
    <w:rsid w:val="00A83219"/>
    <w:rsid w:val="00A8334C"/>
    <w:rsid w:val="00A846EA"/>
    <w:rsid w:val="00A85943"/>
    <w:rsid w:val="00A864A5"/>
    <w:rsid w:val="00A86893"/>
    <w:rsid w:val="00A868BC"/>
    <w:rsid w:val="00A86A14"/>
    <w:rsid w:val="00A91104"/>
    <w:rsid w:val="00A9187F"/>
    <w:rsid w:val="00A931AA"/>
    <w:rsid w:val="00A97192"/>
    <w:rsid w:val="00AA0281"/>
    <w:rsid w:val="00AA0F7D"/>
    <w:rsid w:val="00AA5A3C"/>
    <w:rsid w:val="00AA6A54"/>
    <w:rsid w:val="00AB108D"/>
    <w:rsid w:val="00AB31D1"/>
    <w:rsid w:val="00AB3231"/>
    <w:rsid w:val="00AB367C"/>
    <w:rsid w:val="00AB4EA2"/>
    <w:rsid w:val="00AB6589"/>
    <w:rsid w:val="00AB679F"/>
    <w:rsid w:val="00AB680D"/>
    <w:rsid w:val="00AC06CA"/>
    <w:rsid w:val="00AC0744"/>
    <w:rsid w:val="00AC0B59"/>
    <w:rsid w:val="00AC1535"/>
    <w:rsid w:val="00AC311A"/>
    <w:rsid w:val="00AC3A54"/>
    <w:rsid w:val="00AC645F"/>
    <w:rsid w:val="00AC6B3A"/>
    <w:rsid w:val="00AC6E2D"/>
    <w:rsid w:val="00AD0803"/>
    <w:rsid w:val="00AD0DF4"/>
    <w:rsid w:val="00AD4078"/>
    <w:rsid w:val="00AD4328"/>
    <w:rsid w:val="00AD5A05"/>
    <w:rsid w:val="00AD64D4"/>
    <w:rsid w:val="00AE3209"/>
    <w:rsid w:val="00AE33F6"/>
    <w:rsid w:val="00AE41BA"/>
    <w:rsid w:val="00AE4AE0"/>
    <w:rsid w:val="00AE57DA"/>
    <w:rsid w:val="00AE6881"/>
    <w:rsid w:val="00AE69FA"/>
    <w:rsid w:val="00AF1118"/>
    <w:rsid w:val="00AF2098"/>
    <w:rsid w:val="00AF3930"/>
    <w:rsid w:val="00AF5BE6"/>
    <w:rsid w:val="00AF6E79"/>
    <w:rsid w:val="00AF79BD"/>
    <w:rsid w:val="00AF79E9"/>
    <w:rsid w:val="00B00A7E"/>
    <w:rsid w:val="00B00AA6"/>
    <w:rsid w:val="00B01C63"/>
    <w:rsid w:val="00B01E30"/>
    <w:rsid w:val="00B04B40"/>
    <w:rsid w:val="00B04BAA"/>
    <w:rsid w:val="00B05FDA"/>
    <w:rsid w:val="00B061CF"/>
    <w:rsid w:val="00B121E3"/>
    <w:rsid w:val="00B1304E"/>
    <w:rsid w:val="00B14787"/>
    <w:rsid w:val="00B174A7"/>
    <w:rsid w:val="00B21601"/>
    <w:rsid w:val="00B2163C"/>
    <w:rsid w:val="00B2239E"/>
    <w:rsid w:val="00B22486"/>
    <w:rsid w:val="00B25881"/>
    <w:rsid w:val="00B25CA4"/>
    <w:rsid w:val="00B2660E"/>
    <w:rsid w:val="00B27096"/>
    <w:rsid w:val="00B3077E"/>
    <w:rsid w:val="00B30A80"/>
    <w:rsid w:val="00B36406"/>
    <w:rsid w:val="00B4047F"/>
    <w:rsid w:val="00B45412"/>
    <w:rsid w:val="00B514D5"/>
    <w:rsid w:val="00B51988"/>
    <w:rsid w:val="00B53653"/>
    <w:rsid w:val="00B53994"/>
    <w:rsid w:val="00B53D0C"/>
    <w:rsid w:val="00B5612C"/>
    <w:rsid w:val="00B56273"/>
    <w:rsid w:val="00B566F4"/>
    <w:rsid w:val="00B614BE"/>
    <w:rsid w:val="00B63770"/>
    <w:rsid w:val="00B63DE7"/>
    <w:rsid w:val="00B64126"/>
    <w:rsid w:val="00B6419C"/>
    <w:rsid w:val="00B65454"/>
    <w:rsid w:val="00B6693F"/>
    <w:rsid w:val="00B6752E"/>
    <w:rsid w:val="00B72476"/>
    <w:rsid w:val="00B727BA"/>
    <w:rsid w:val="00B727E9"/>
    <w:rsid w:val="00B72858"/>
    <w:rsid w:val="00B72DAC"/>
    <w:rsid w:val="00B73053"/>
    <w:rsid w:val="00B7371A"/>
    <w:rsid w:val="00B748BF"/>
    <w:rsid w:val="00B74BD4"/>
    <w:rsid w:val="00B74F4D"/>
    <w:rsid w:val="00B7689F"/>
    <w:rsid w:val="00B80582"/>
    <w:rsid w:val="00B81C76"/>
    <w:rsid w:val="00B82732"/>
    <w:rsid w:val="00B8479F"/>
    <w:rsid w:val="00B8492F"/>
    <w:rsid w:val="00B84E15"/>
    <w:rsid w:val="00B853A7"/>
    <w:rsid w:val="00B87AED"/>
    <w:rsid w:val="00B90570"/>
    <w:rsid w:val="00B905D4"/>
    <w:rsid w:val="00B92B95"/>
    <w:rsid w:val="00B92D3C"/>
    <w:rsid w:val="00B94ABA"/>
    <w:rsid w:val="00B96523"/>
    <w:rsid w:val="00B97603"/>
    <w:rsid w:val="00B97FE3"/>
    <w:rsid w:val="00BA04A9"/>
    <w:rsid w:val="00BA2072"/>
    <w:rsid w:val="00BA3726"/>
    <w:rsid w:val="00BA43F6"/>
    <w:rsid w:val="00BA7788"/>
    <w:rsid w:val="00BA7837"/>
    <w:rsid w:val="00BA7920"/>
    <w:rsid w:val="00BB04B4"/>
    <w:rsid w:val="00BB6B6C"/>
    <w:rsid w:val="00BC2CD0"/>
    <w:rsid w:val="00BC3EA0"/>
    <w:rsid w:val="00BC4C8D"/>
    <w:rsid w:val="00BC4EEC"/>
    <w:rsid w:val="00BC614B"/>
    <w:rsid w:val="00BC65E3"/>
    <w:rsid w:val="00BD39D1"/>
    <w:rsid w:val="00BD5AD4"/>
    <w:rsid w:val="00BD5E0B"/>
    <w:rsid w:val="00BD68B7"/>
    <w:rsid w:val="00BE3133"/>
    <w:rsid w:val="00BE36E3"/>
    <w:rsid w:val="00BE4B5F"/>
    <w:rsid w:val="00BF1286"/>
    <w:rsid w:val="00BF4DAE"/>
    <w:rsid w:val="00BF5F05"/>
    <w:rsid w:val="00BF7672"/>
    <w:rsid w:val="00C019C2"/>
    <w:rsid w:val="00C027D6"/>
    <w:rsid w:val="00C04A9A"/>
    <w:rsid w:val="00C04EAC"/>
    <w:rsid w:val="00C061C1"/>
    <w:rsid w:val="00C0671B"/>
    <w:rsid w:val="00C07B3F"/>
    <w:rsid w:val="00C07C5D"/>
    <w:rsid w:val="00C07FA5"/>
    <w:rsid w:val="00C11B3B"/>
    <w:rsid w:val="00C1302C"/>
    <w:rsid w:val="00C136AF"/>
    <w:rsid w:val="00C13DA9"/>
    <w:rsid w:val="00C14C7A"/>
    <w:rsid w:val="00C14F4E"/>
    <w:rsid w:val="00C157E5"/>
    <w:rsid w:val="00C17661"/>
    <w:rsid w:val="00C2198C"/>
    <w:rsid w:val="00C22828"/>
    <w:rsid w:val="00C23DB6"/>
    <w:rsid w:val="00C24E70"/>
    <w:rsid w:val="00C267C2"/>
    <w:rsid w:val="00C27170"/>
    <w:rsid w:val="00C279F5"/>
    <w:rsid w:val="00C317B1"/>
    <w:rsid w:val="00C31924"/>
    <w:rsid w:val="00C3263C"/>
    <w:rsid w:val="00C341DB"/>
    <w:rsid w:val="00C36120"/>
    <w:rsid w:val="00C36B2A"/>
    <w:rsid w:val="00C36F27"/>
    <w:rsid w:val="00C37F97"/>
    <w:rsid w:val="00C42CAD"/>
    <w:rsid w:val="00C45EDF"/>
    <w:rsid w:val="00C52225"/>
    <w:rsid w:val="00C52D29"/>
    <w:rsid w:val="00C53DAC"/>
    <w:rsid w:val="00C61EF7"/>
    <w:rsid w:val="00C62569"/>
    <w:rsid w:val="00C63290"/>
    <w:rsid w:val="00C63C32"/>
    <w:rsid w:val="00C64A8D"/>
    <w:rsid w:val="00C65149"/>
    <w:rsid w:val="00C66ACB"/>
    <w:rsid w:val="00C66C9F"/>
    <w:rsid w:val="00C71268"/>
    <w:rsid w:val="00C720ED"/>
    <w:rsid w:val="00C72EE3"/>
    <w:rsid w:val="00C74254"/>
    <w:rsid w:val="00C763BC"/>
    <w:rsid w:val="00C81209"/>
    <w:rsid w:val="00C834F7"/>
    <w:rsid w:val="00C839AF"/>
    <w:rsid w:val="00C857BA"/>
    <w:rsid w:val="00C87EA0"/>
    <w:rsid w:val="00C92265"/>
    <w:rsid w:val="00C931B2"/>
    <w:rsid w:val="00C93549"/>
    <w:rsid w:val="00C96165"/>
    <w:rsid w:val="00CA0C39"/>
    <w:rsid w:val="00CA24FA"/>
    <w:rsid w:val="00CA25A3"/>
    <w:rsid w:val="00CA4E90"/>
    <w:rsid w:val="00CA5959"/>
    <w:rsid w:val="00CB08AA"/>
    <w:rsid w:val="00CB1D6D"/>
    <w:rsid w:val="00CB3AC3"/>
    <w:rsid w:val="00CB73AD"/>
    <w:rsid w:val="00CC09D5"/>
    <w:rsid w:val="00CC13B3"/>
    <w:rsid w:val="00CC2F41"/>
    <w:rsid w:val="00CD3472"/>
    <w:rsid w:val="00CD3984"/>
    <w:rsid w:val="00CD423A"/>
    <w:rsid w:val="00CD4B62"/>
    <w:rsid w:val="00CD5424"/>
    <w:rsid w:val="00CE2B1B"/>
    <w:rsid w:val="00CE3668"/>
    <w:rsid w:val="00CE3900"/>
    <w:rsid w:val="00CE4397"/>
    <w:rsid w:val="00CE509B"/>
    <w:rsid w:val="00CE53AE"/>
    <w:rsid w:val="00CE5474"/>
    <w:rsid w:val="00CE56EB"/>
    <w:rsid w:val="00CE5E61"/>
    <w:rsid w:val="00CF22E7"/>
    <w:rsid w:val="00CF26BD"/>
    <w:rsid w:val="00CF3C1E"/>
    <w:rsid w:val="00CF6EA8"/>
    <w:rsid w:val="00CF70DE"/>
    <w:rsid w:val="00D01748"/>
    <w:rsid w:val="00D01A62"/>
    <w:rsid w:val="00D04AAF"/>
    <w:rsid w:val="00D04E08"/>
    <w:rsid w:val="00D052EF"/>
    <w:rsid w:val="00D05497"/>
    <w:rsid w:val="00D05D35"/>
    <w:rsid w:val="00D0750C"/>
    <w:rsid w:val="00D16574"/>
    <w:rsid w:val="00D248A0"/>
    <w:rsid w:val="00D278AA"/>
    <w:rsid w:val="00D27B36"/>
    <w:rsid w:val="00D32240"/>
    <w:rsid w:val="00D33EC0"/>
    <w:rsid w:val="00D35A7E"/>
    <w:rsid w:val="00D36B56"/>
    <w:rsid w:val="00D4008D"/>
    <w:rsid w:val="00D408F2"/>
    <w:rsid w:val="00D41AF1"/>
    <w:rsid w:val="00D479EF"/>
    <w:rsid w:val="00D47CF9"/>
    <w:rsid w:val="00D47E19"/>
    <w:rsid w:val="00D5212F"/>
    <w:rsid w:val="00D55369"/>
    <w:rsid w:val="00D5555C"/>
    <w:rsid w:val="00D608BB"/>
    <w:rsid w:val="00D619CC"/>
    <w:rsid w:val="00D61BA7"/>
    <w:rsid w:val="00D62B30"/>
    <w:rsid w:val="00D6670E"/>
    <w:rsid w:val="00D71CE0"/>
    <w:rsid w:val="00D72A20"/>
    <w:rsid w:val="00D72A78"/>
    <w:rsid w:val="00D72E2F"/>
    <w:rsid w:val="00D734B2"/>
    <w:rsid w:val="00D76D2A"/>
    <w:rsid w:val="00D774E4"/>
    <w:rsid w:val="00D821E3"/>
    <w:rsid w:val="00D90DE0"/>
    <w:rsid w:val="00D91EB7"/>
    <w:rsid w:val="00D92028"/>
    <w:rsid w:val="00D923B2"/>
    <w:rsid w:val="00D963DA"/>
    <w:rsid w:val="00D9660A"/>
    <w:rsid w:val="00D96C3F"/>
    <w:rsid w:val="00D96EB2"/>
    <w:rsid w:val="00DA12C2"/>
    <w:rsid w:val="00DA152D"/>
    <w:rsid w:val="00DA16B8"/>
    <w:rsid w:val="00DA1A93"/>
    <w:rsid w:val="00DA2762"/>
    <w:rsid w:val="00DA5C8D"/>
    <w:rsid w:val="00DB0E37"/>
    <w:rsid w:val="00DB203D"/>
    <w:rsid w:val="00DB2CAD"/>
    <w:rsid w:val="00DB500B"/>
    <w:rsid w:val="00DB51CD"/>
    <w:rsid w:val="00DC018D"/>
    <w:rsid w:val="00DC212A"/>
    <w:rsid w:val="00DC2823"/>
    <w:rsid w:val="00DC341E"/>
    <w:rsid w:val="00DC40C5"/>
    <w:rsid w:val="00DC546E"/>
    <w:rsid w:val="00DC7B0B"/>
    <w:rsid w:val="00DD1A77"/>
    <w:rsid w:val="00DD2291"/>
    <w:rsid w:val="00DD2C30"/>
    <w:rsid w:val="00DD4902"/>
    <w:rsid w:val="00DD7964"/>
    <w:rsid w:val="00DE0913"/>
    <w:rsid w:val="00DE0A47"/>
    <w:rsid w:val="00DE586E"/>
    <w:rsid w:val="00DE635D"/>
    <w:rsid w:val="00DE63FC"/>
    <w:rsid w:val="00DE6D3D"/>
    <w:rsid w:val="00DF0373"/>
    <w:rsid w:val="00DF0840"/>
    <w:rsid w:val="00DF1BBD"/>
    <w:rsid w:val="00DF216D"/>
    <w:rsid w:val="00DF2E7B"/>
    <w:rsid w:val="00DF38D3"/>
    <w:rsid w:val="00DF537C"/>
    <w:rsid w:val="00DF6A6C"/>
    <w:rsid w:val="00DF7B1B"/>
    <w:rsid w:val="00E010BD"/>
    <w:rsid w:val="00E0257A"/>
    <w:rsid w:val="00E03B6D"/>
    <w:rsid w:val="00E04AF1"/>
    <w:rsid w:val="00E07BBB"/>
    <w:rsid w:val="00E10A07"/>
    <w:rsid w:val="00E11CD5"/>
    <w:rsid w:val="00E13DE1"/>
    <w:rsid w:val="00E16BDB"/>
    <w:rsid w:val="00E17042"/>
    <w:rsid w:val="00E1771D"/>
    <w:rsid w:val="00E1772A"/>
    <w:rsid w:val="00E23D42"/>
    <w:rsid w:val="00E247D4"/>
    <w:rsid w:val="00E25546"/>
    <w:rsid w:val="00E27703"/>
    <w:rsid w:val="00E326EC"/>
    <w:rsid w:val="00E33081"/>
    <w:rsid w:val="00E335EA"/>
    <w:rsid w:val="00E33E87"/>
    <w:rsid w:val="00E352B8"/>
    <w:rsid w:val="00E3792E"/>
    <w:rsid w:val="00E40A89"/>
    <w:rsid w:val="00E41F49"/>
    <w:rsid w:val="00E42758"/>
    <w:rsid w:val="00E427A8"/>
    <w:rsid w:val="00E44ECE"/>
    <w:rsid w:val="00E45B4B"/>
    <w:rsid w:val="00E505DD"/>
    <w:rsid w:val="00E50DD0"/>
    <w:rsid w:val="00E51885"/>
    <w:rsid w:val="00E52B84"/>
    <w:rsid w:val="00E52EFE"/>
    <w:rsid w:val="00E5441F"/>
    <w:rsid w:val="00E62B1C"/>
    <w:rsid w:val="00E63924"/>
    <w:rsid w:val="00E652BF"/>
    <w:rsid w:val="00E655B8"/>
    <w:rsid w:val="00E658E9"/>
    <w:rsid w:val="00E6617F"/>
    <w:rsid w:val="00E66552"/>
    <w:rsid w:val="00E70C66"/>
    <w:rsid w:val="00E71205"/>
    <w:rsid w:val="00E71B32"/>
    <w:rsid w:val="00E759B4"/>
    <w:rsid w:val="00E7686F"/>
    <w:rsid w:val="00E76E63"/>
    <w:rsid w:val="00E8143E"/>
    <w:rsid w:val="00E8382D"/>
    <w:rsid w:val="00E841AD"/>
    <w:rsid w:val="00E84E17"/>
    <w:rsid w:val="00E901E5"/>
    <w:rsid w:val="00E90E5E"/>
    <w:rsid w:val="00E91AC5"/>
    <w:rsid w:val="00E93A15"/>
    <w:rsid w:val="00E93C18"/>
    <w:rsid w:val="00E96555"/>
    <w:rsid w:val="00EA25FD"/>
    <w:rsid w:val="00EA2E0C"/>
    <w:rsid w:val="00EA3716"/>
    <w:rsid w:val="00EA7ED8"/>
    <w:rsid w:val="00EB0228"/>
    <w:rsid w:val="00EB0686"/>
    <w:rsid w:val="00EB2157"/>
    <w:rsid w:val="00EB2434"/>
    <w:rsid w:val="00EB3953"/>
    <w:rsid w:val="00EB43C0"/>
    <w:rsid w:val="00EB69C2"/>
    <w:rsid w:val="00EB6C9D"/>
    <w:rsid w:val="00EC214F"/>
    <w:rsid w:val="00ED0E6F"/>
    <w:rsid w:val="00ED18C4"/>
    <w:rsid w:val="00ED2834"/>
    <w:rsid w:val="00ED2E63"/>
    <w:rsid w:val="00ED36EE"/>
    <w:rsid w:val="00ED69FB"/>
    <w:rsid w:val="00EE00E2"/>
    <w:rsid w:val="00EE035B"/>
    <w:rsid w:val="00EE03E6"/>
    <w:rsid w:val="00EE056B"/>
    <w:rsid w:val="00EE1688"/>
    <w:rsid w:val="00EE3214"/>
    <w:rsid w:val="00EE3B0A"/>
    <w:rsid w:val="00EE4609"/>
    <w:rsid w:val="00EE497B"/>
    <w:rsid w:val="00EE7151"/>
    <w:rsid w:val="00EF15E1"/>
    <w:rsid w:val="00EF1A94"/>
    <w:rsid w:val="00EF50FD"/>
    <w:rsid w:val="00EF71AD"/>
    <w:rsid w:val="00F0013A"/>
    <w:rsid w:val="00F00A9D"/>
    <w:rsid w:val="00F01ED1"/>
    <w:rsid w:val="00F02F4D"/>
    <w:rsid w:val="00F034D0"/>
    <w:rsid w:val="00F04B16"/>
    <w:rsid w:val="00F05A65"/>
    <w:rsid w:val="00F05AD9"/>
    <w:rsid w:val="00F06A9F"/>
    <w:rsid w:val="00F07CC5"/>
    <w:rsid w:val="00F15365"/>
    <w:rsid w:val="00F163F0"/>
    <w:rsid w:val="00F16C50"/>
    <w:rsid w:val="00F17801"/>
    <w:rsid w:val="00F21BA6"/>
    <w:rsid w:val="00F2296D"/>
    <w:rsid w:val="00F23703"/>
    <w:rsid w:val="00F265CC"/>
    <w:rsid w:val="00F309FC"/>
    <w:rsid w:val="00F30DEC"/>
    <w:rsid w:val="00F31430"/>
    <w:rsid w:val="00F315FD"/>
    <w:rsid w:val="00F321A6"/>
    <w:rsid w:val="00F37083"/>
    <w:rsid w:val="00F402DF"/>
    <w:rsid w:val="00F40E6D"/>
    <w:rsid w:val="00F42D05"/>
    <w:rsid w:val="00F42D87"/>
    <w:rsid w:val="00F44084"/>
    <w:rsid w:val="00F44BE7"/>
    <w:rsid w:val="00F4690A"/>
    <w:rsid w:val="00F47B05"/>
    <w:rsid w:val="00F50AC0"/>
    <w:rsid w:val="00F53BA1"/>
    <w:rsid w:val="00F555FB"/>
    <w:rsid w:val="00F5746E"/>
    <w:rsid w:val="00F57F6F"/>
    <w:rsid w:val="00F60946"/>
    <w:rsid w:val="00F6185A"/>
    <w:rsid w:val="00F619F2"/>
    <w:rsid w:val="00F62F11"/>
    <w:rsid w:val="00F637B2"/>
    <w:rsid w:val="00F63B97"/>
    <w:rsid w:val="00F64DC6"/>
    <w:rsid w:val="00F668C9"/>
    <w:rsid w:val="00F706D2"/>
    <w:rsid w:val="00F70F22"/>
    <w:rsid w:val="00F716D5"/>
    <w:rsid w:val="00F72781"/>
    <w:rsid w:val="00F728A4"/>
    <w:rsid w:val="00F72E1C"/>
    <w:rsid w:val="00F778FC"/>
    <w:rsid w:val="00F811EF"/>
    <w:rsid w:val="00F83C17"/>
    <w:rsid w:val="00F84928"/>
    <w:rsid w:val="00F8530C"/>
    <w:rsid w:val="00F87A3B"/>
    <w:rsid w:val="00F87AEB"/>
    <w:rsid w:val="00F87C5F"/>
    <w:rsid w:val="00F907A4"/>
    <w:rsid w:val="00F91B9E"/>
    <w:rsid w:val="00F91FAC"/>
    <w:rsid w:val="00F92DF7"/>
    <w:rsid w:val="00F92E28"/>
    <w:rsid w:val="00F945D8"/>
    <w:rsid w:val="00F9586B"/>
    <w:rsid w:val="00F96D2B"/>
    <w:rsid w:val="00FA0D6B"/>
    <w:rsid w:val="00FA1A5E"/>
    <w:rsid w:val="00FA2433"/>
    <w:rsid w:val="00FA598B"/>
    <w:rsid w:val="00FA60B6"/>
    <w:rsid w:val="00FA7EFC"/>
    <w:rsid w:val="00FB0D8A"/>
    <w:rsid w:val="00FB1871"/>
    <w:rsid w:val="00FB21EF"/>
    <w:rsid w:val="00FB237A"/>
    <w:rsid w:val="00FB367A"/>
    <w:rsid w:val="00FB424C"/>
    <w:rsid w:val="00FB47C7"/>
    <w:rsid w:val="00FB5406"/>
    <w:rsid w:val="00FC0B87"/>
    <w:rsid w:val="00FC2665"/>
    <w:rsid w:val="00FC27A3"/>
    <w:rsid w:val="00FC62A4"/>
    <w:rsid w:val="00FD020E"/>
    <w:rsid w:val="00FD10FA"/>
    <w:rsid w:val="00FD1402"/>
    <w:rsid w:val="00FD3C51"/>
    <w:rsid w:val="00FD5497"/>
    <w:rsid w:val="00FD7221"/>
    <w:rsid w:val="00FE1068"/>
    <w:rsid w:val="00FE17CD"/>
    <w:rsid w:val="00FE1832"/>
    <w:rsid w:val="00FE18E7"/>
    <w:rsid w:val="00FE2310"/>
    <w:rsid w:val="00FE2533"/>
    <w:rsid w:val="00FE292F"/>
    <w:rsid w:val="00FE3199"/>
    <w:rsid w:val="00FE32E5"/>
    <w:rsid w:val="00FE713C"/>
    <w:rsid w:val="00FE7CEA"/>
    <w:rsid w:val="00FF1C4D"/>
    <w:rsid w:val="00FF1E32"/>
    <w:rsid w:val="00FF28C7"/>
    <w:rsid w:val="00FF3C1F"/>
    <w:rsid w:val="00FF481F"/>
    <w:rsid w:val="0C0A69AB"/>
    <w:rsid w:val="0DCC2229"/>
    <w:rsid w:val="0E1D8D46"/>
    <w:rsid w:val="14A72423"/>
    <w:rsid w:val="2D000DB1"/>
    <w:rsid w:val="37724225"/>
    <w:rsid w:val="37F93A2A"/>
    <w:rsid w:val="384FD229"/>
    <w:rsid w:val="43A19F92"/>
    <w:rsid w:val="445BF07F"/>
    <w:rsid w:val="48584FF7"/>
    <w:rsid w:val="70D210A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76E221"/>
  <w15:chartTrackingRefBased/>
  <w15:docId w15:val="{20AB9789-4887-422E-87C6-7A69F419B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4"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572"/>
    <w:pPr>
      <w:spacing w:after="180" w:line="280" w:lineRule="atLeast"/>
    </w:pPr>
    <w:rPr>
      <w:rFonts w:ascii="Arial" w:eastAsia="Times New Roman" w:hAnsi="Arial"/>
      <w:sz w:val="22"/>
      <w:lang w:val="en-GB" w:eastAsia="en-GB"/>
    </w:rPr>
  </w:style>
  <w:style w:type="paragraph" w:styleId="Heading1">
    <w:name w:val="heading 1"/>
    <w:basedOn w:val="Normal"/>
    <w:next w:val="Normal"/>
    <w:link w:val="Heading1Char"/>
    <w:qFormat/>
    <w:rsid w:val="00BC3EA0"/>
    <w:pPr>
      <w:numPr>
        <w:numId w:val="7"/>
      </w:numPr>
      <w:spacing w:before="120" w:line="240" w:lineRule="auto"/>
      <w:outlineLvl w:val="0"/>
    </w:pPr>
    <w:rPr>
      <w:b/>
      <w:color w:val="002469"/>
      <w:spacing w:val="20"/>
      <w:w w:val="90"/>
      <w:sz w:val="44"/>
      <w:szCs w:val="44"/>
    </w:rPr>
  </w:style>
  <w:style w:type="paragraph" w:styleId="Heading2">
    <w:name w:val="heading 2"/>
    <w:basedOn w:val="Normal"/>
    <w:next w:val="Normal"/>
    <w:link w:val="Heading2Char"/>
    <w:autoRedefine/>
    <w:qFormat/>
    <w:rsid w:val="00F63B97"/>
    <w:pPr>
      <w:keepNext/>
      <w:spacing w:before="120" w:after="120" w:line="240" w:lineRule="auto"/>
      <w:outlineLvl w:val="1"/>
    </w:pPr>
    <w:rPr>
      <w:rFonts w:ascii="Arial Bold" w:hAnsi="Arial Bold"/>
      <w:b/>
      <w:color w:val="0082AB"/>
      <w:spacing w:val="20"/>
      <w:w w:val="90"/>
      <w:sz w:val="32"/>
      <w:szCs w:val="24"/>
    </w:rPr>
  </w:style>
  <w:style w:type="paragraph" w:styleId="Heading3">
    <w:name w:val="heading 3"/>
    <w:basedOn w:val="Heading2"/>
    <w:next w:val="Normal"/>
    <w:link w:val="Heading3Char"/>
    <w:qFormat/>
    <w:rsid w:val="00715855"/>
    <w:pPr>
      <w:numPr>
        <w:ilvl w:val="2"/>
      </w:numPr>
      <w:spacing w:before="200" w:after="180"/>
      <w:outlineLvl w:val="2"/>
    </w:pPr>
    <w:rPr>
      <w:sz w:val="24"/>
      <w:szCs w:val="22"/>
    </w:rPr>
  </w:style>
  <w:style w:type="paragraph" w:styleId="Heading4">
    <w:name w:val="heading 4"/>
    <w:basedOn w:val="Normal"/>
    <w:next w:val="Normal"/>
    <w:link w:val="Heading4Char"/>
    <w:qFormat/>
    <w:rsid w:val="006448CF"/>
    <w:pPr>
      <w:numPr>
        <w:ilvl w:val="3"/>
        <w:numId w:val="7"/>
      </w:numPr>
      <w:spacing w:before="120" w:after="200" w:line="240" w:lineRule="auto"/>
      <w:outlineLvl w:val="3"/>
    </w:pPr>
    <w:rPr>
      <w:b/>
      <w:bCs/>
      <w:color w:val="595959" w:themeColor="text1" w:themeTint="A6"/>
    </w:rPr>
  </w:style>
  <w:style w:type="paragraph" w:styleId="Heading5">
    <w:name w:val="heading 5"/>
    <w:basedOn w:val="Normal"/>
    <w:next w:val="Normal"/>
    <w:link w:val="Heading5Char"/>
    <w:rsid w:val="00BC3EA0"/>
    <w:pPr>
      <w:keepNext/>
      <w:widowControl w:val="0"/>
      <w:numPr>
        <w:ilvl w:val="4"/>
        <w:numId w:val="7"/>
      </w:numPr>
      <w:spacing w:before="80" w:after="120"/>
      <w:outlineLvl w:val="4"/>
    </w:pPr>
    <w:rPr>
      <w:color w:val="000000"/>
      <w:szCs w:val="22"/>
    </w:rPr>
  </w:style>
  <w:style w:type="paragraph" w:styleId="Heading6">
    <w:name w:val="heading 6"/>
    <w:basedOn w:val="Normal"/>
    <w:next w:val="Normal"/>
    <w:link w:val="Heading6Char"/>
    <w:rsid w:val="00BC3EA0"/>
    <w:pPr>
      <w:numPr>
        <w:ilvl w:val="5"/>
        <w:numId w:val="7"/>
      </w:numPr>
      <w:spacing w:before="240"/>
      <w:outlineLvl w:val="5"/>
    </w:pPr>
    <w:rPr>
      <w:i/>
      <w:sz w:val="20"/>
    </w:rPr>
  </w:style>
  <w:style w:type="paragraph" w:styleId="Heading7">
    <w:name w:val="heading 7"/>
    <w:basedOn w:val="Normal"/>
    <w:next w:val="Normal"/>
    <w:link w:val="Heading7Char"/>
    <w:rsid w:val="00BC3EA0"/>
    <w:pPr>
      <w:numPr>
        <w:ilvl w:val="6"/>
        <w:numId w:val="7"/>
      </w:numPr>
      <w:spacing w:before="240"/>
      <w:outlineLvl w:val="6"/>
    </w:pPr>
    <w:rPr>
      <w:sz w:val="20"/>
    </w:rPr>
  </w:style>
  <w:style w:type="paragraph" w:styleId="Heading8">
    <w:name w:val="heading 8"/>
    <w:basedOn w:val="Normal"/>
    <w:next w:val="Normal"/>
    <w:link w:val="Heading8Char"/>
    <w:rsid w:val="00BC3EA0"/>
    <w:pPr>
      <w:numPr>
        <w:ilvl w:val="7"/>
        <w:numId w:val="7"/>
      </w:numPr>
      <w:spacing w:before="80" w:after="80"/>
      <w:outlineLvl w:val="7"/>
    </w:pPr>
    <w:rPr>
      <w:sz w:val="20"/>
    </w:rPr>
  </w:style>
  <w:style w:type="paragraph" w:styleId="Heading9">
    <w:name w:val="heading 9"/>
    <w:next w:val="Normal"/>
    <w:link w:val="Heading9Char"/>
    <w:rsid w:val="00BC3EA0"/>
    <w:pPr>
      <w:keepNext/>
      <w:numPr>
        <w:ilvl w:val="8"/>
        <w:numId w:val="7"/>
      </w:numPr>
      <w:spacing w:before="160" w:line="260" w:lineRule="exact"/>
      <w:outlineLvl w:val="8"/>
    </w:pPr>
    <w:rPr>
      <w:rFonts w:ascii="Arial" w:eastAsia="Times New Roman" w:hAnsi="Arial"/>
      <w:b/>
      <w:i/>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autoRedefine/>
    <w:rsid w:val="006448CF"/>
    <w:pPr>
      <w:tabs>
        <w:tab w:val="right" w:pos="14002"/>
      </w:tabs>
      <w:spacing w:after="0" w:line="240" w:lineRule="auto"/>
    </w:pPr>
    <w:rPr>
      <w:noProof/>
      <w:color w:val="0082AB"/>
      <w:spacing w:val="6"/>
      <w:sz w:val="16"/>
      <w:szCs w:val="16"/>
    </w:rPr>
  </w:style>
  <w:style w:type="character" w:customStyle="1" w:styleId="FooterChar">
    <w:name w:val="Footer Char"/>
    <w:link w:val="Footer"/>
    <w:rsid w:val="006448CF"/>
    <w:rPr>
      <w:rFonts w:ascii="Arial" w:eastAsia="Times New Roman" w:hAnsi="Arial"/>
      <w:noProof/>
      <w:color w:val="0082AB"/>
      <w:spacing w:val="6"/>
      <w:sz w:val="16"/>
      <w:szCs w:val="16"/>
      <w:lang w:val="en-GB" w:eastAsia="en-GB"/>
    </w:rPr>
  </w:style>
  <w:style w:type="table" w:styleId="TableGrid">
    <w:name w:val="Table Grid"/>
    <w:basedOn w:val="TableNormal"/>
    <w:rsid w:val="00BC3EA0"/>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BC3EA0"/>
    <w:rPr>
      <w:rFonts w:ascii="Tahoma" w:hAnsi="Tahoma" w:cs="Tahoma"/>
      <w:sz w:val="16"/>
      <w:szCs w:val="16"/>
    </w:rPr>
  </w:style>
  <w:style w:type="character" w:customStyle="1" w:styleId="BalloonTextChar">
    <w:name w:val="Balloon Text Char"/>
    <w:link w:val="BalloonText"/>
    <w:semiHidden/>
    <w:rsid w:val="00487FAD"/>
    <w:rPr>
      <w:rFonts w:ascii="Tahoma" w:eastAsia="Times New Roman" w:hAnsi="Tahoma" w:cs="Tahoma"/>
      <w:sz w:val="16"/>
      <w:szCs w:val="16"/>
      <w:lang w:val="en-GB" w:eastAsia="en-GB"/>
    </w:rPr>
  </w:style>
  <w:style w:type="paragraph" w:styleId="ListParagraph">
    <w:name w:val="List Paragraph"/>
    <w:basedOn w:val="Normal"/>
    <w:uiPriority w:val="34"/>
    <w:qFormat/>
    <w:rsid w:val="006448CF"/>
    <w:pPr>
      <w:ind w:left="567"/>
      <w:contextualSpacing/>
    </w:pPr>
  </w:style>
  <w:style w:type="character" w:styleId="Hyperlink">
    <w:name w:val="Hyperlink"/>
    <w:uiPriority w:val="99"/>
    <w:rsid w:val="00537EFE"/>
    <w:rPr>
      <w:color w:val="0082AB"/>
      <w:u w:val="single"/>
    </w:rPr>
  </w:style>
  <w:style w:type="character" w:styleId="CommentReference">
    <w:name w:val="annotation reference"/>
    <w:semiHidden/>
    <w:rsid w:val="00BC3EA0"/>
    <w:rPr>
      <w:sz w:val="16"/>
      <w:szCs w:val="16"/>
    </w:rPr>
  </w:style>
  <w:style w:type="paragraph" w:styleId="CommentText">
    <w:name w:val="annotation text"/>
    <w:basedOn w:val="Normal"/>
    <w:link w:val="CommentTextChar"/>
    <w:semiHidden/>
    <w:rsid w:val="00BC3EA0"/>
    <w:rPr>
      <w:sz w:val="20"/>
    </w:rPr>
  </w:style>
  <w:style w:type="character" w:customStyle="1" w:styleId="CommentTextChar">
    <w:name w:val="Comment Text Char"/>
    <w:link w:val="CommentText"/>
    <w:semiHidden/>
    <w:rsid w:val="004A4084"/>
    <w:rPr>
      <w:rFonts w:ascii="Arial" w:eastAsia="Times New Roman" w:hAnsi="Arial" w:cs="Times New Roman"/>
      <w:sz w:val="20"/>
      <w:szCs w:val="20"/>
      <w:lang w:val="en-GB" w:eastAsia="en-GB"/>
    </w:rPr>
  </w:style>
  <w:style w:type="paragraph" w:customStyle="1" w:styleId="BodyText-Numbered">
    <w:name w:val="Body Text - Numbered"/>
    <w:basedOn w:val="BodyText"/>
    <w:link w:val="BodyText-NumberedChar"/>
    <w:qFormat/>
    <w:rsid w:val="004A4084"/>
    <w:pPr>
      <w:keepNext/>
      <w:numPr>
        <w:numId w:val="1"/>
      </w:numPr>
      <w:spacing w:before="60" w:line="240" w:lineRule="auto"/>
    </w:pPr>
    <w:rPr>
      <w:rFonts w:cs="Arial"/>
    </w:rPr>
  </w:style>
  <w:style w:type="character" w:customStyle="1" w:styleId="BodyText-NumberedChar">
    <w:name w:val="Body Text - Numbered Char"/>
    <w:link w:val="BodyText-Numbered"/>
    <w:rsid w:val="004A4084"/>
    <w:rPr>
      <w:rFonts w:ascii="Arial" w:eastAsia="Times New Roman" w:hAnsi="Arial" w:cs="Arial"/>
      <w:sz w:val="22"/>
      <w:lang w:val="en-GB" w:eastAsia="en-GB"/>
    </w:rPr>
  </w:style>
  <w:style w:type="paragraph" w:styleId="BodyText">
    <w:name w:val="Body Text"/>
    <w:basedOn w:val="Normal"/>
    <w:link w:val="BodyTextChar"/>
    <w:uiPriority w:val="99"/>
    <w:semiHidden/>
    <w:unhideWhenUsed/>
    <w:rsid w:val="004A4084"/>
    <w:pPr>
      <w:spacing w:after="120"/>
    </w:pPr>
  </w:style>
  <w:style w:type="character" w:customStyle="1" w:styleId="BodyTextChar">
    <w:name w:val="Body Text Char"/>
    <w:basedOn w:val="DefaultParagraphFont"/>
    <w:link w:val="BodyText"/>
    <w:uiPriority w:val="99"/>
    <w:semiHidden/>
    <w:rsid w:val="004A4084"/>
  </w:style>
  <w:style w:type="paragraph" w:customStyle="1" w:styleId="spacer">
    <w:name w:val="spacer"/>
    <w:basedOn w:val="Normal"/>
    <w:qFormat/>
    <w:rsid w:val="00BC3EA0"/>
    <w:pPr>
      <w:spacing w:after="0" w:line="240" w:lineRule="auto"/>
    </w:pPr>
    <w:rPr>
      <w:sz w:val="16"/>
      <w:szCs w:val="22"/>
      <w:lang w:eastAsia="en-AU"/>
    </w:rPr>
  </w:style>
  <w:style w:type="paragraph" w:styleId="CommentSubject">
    <w:name w:val="annotation subject"/>
    <w:basedOn w:val="CommentText"/>
    <w:next w:val="CommentText"/>
    <w:link w:val="CommentSubjectChar"/>
    <w:semiHidden/>
    <w:rsid w:val="00BC3EA0"/>
    <w:rPr>
      <w:b/>
      <w:bCs/>
    </w:rPr>
  </w:style>
  <w:style w:type="character" w:customStyle="1" w:styleId="CommentSubjectChar">
    <w:name w:val="Comment Subject Char"/>
    <w:link w:val="CommentSubject"/>
    <w:semiHidden/>
    <w:rsid w:val="000C4659"/>
    <w:rPr>
      <w:rFonts w:ascii="Arial" w:eastAsia="Times New Roman" w:hAnsi="Arial" w:cs="Times New Roman"/>
      <w:b/>
      <w:bCs/>
      <w:sz w:val="20"/>
      <w:szCs w:val="20"/>
      <w:lang w:val="en-GB" w:eastAsia="en-GB"/>
    </w:rPr>
  </w:style>
  <w:style w:type="paragraph" w:styleId="Header">
    <w:name w:val="header"/>
    <w:basedOn w:val="Normal"/>
    <w:link w:val="HeaderChar"/>
    <w:rsid w:val="00BC3EA0"/>
    <w:pPr>
      <w:tabs>
        <w:tab w:val="center" w:pos="4153"/>
        <w:tab w:val="right" w:pos="8306"/>
      </w:tabs>
    </w:pPr>
  </w:style>
  <w:style w:type="character" w:customStyle="1" w:styleId="HeaderChar">
    <w:name w:val="Header Char"/>
    <w:link w:val="Header"/>
    <w:rsid w:val="008D265C"/>
    <w:rPr>
      <w:rFonts w:ascii="Arial" w:eastAsia="Times New Roman" w:hAnsi="Arial" w:cs="Times New Roman"/>
      <w:szCs w:val="20"/>
      <w:lang w:val="en-GB" w:eastAsia="en-GB"/>
    </w:rPr>
  </w:style>
  <w:style w:type="character" w:styleId="FollowedHyperlink">
    <w:name w:val="FollowedHyperlink"/>
    <w:rsid w:val="00BC3EA0"/>
    <w:rPr>
      <w:color w:val="800080"/>
      <w:u w:val="single"/>
    </w:rPr>
  </w:style>
  <w:style w:type="paragraph" w:styleId="Revision">
    <w:name w:val="Revision"/>
    <w:hidden/>
    <w:uiPriority w:val="99"/>
    <w:semiHidden/>
    <w:rsid w:val="0082413D"/>
    <w:rPr>
      <w:sz w:val="22"/>
      <w:szCs w:val="22"/>
      <w:lang w:eastAsia="en-US"/>
    </w:rPr>
  </w:style>
  <w:style w:type="paragraph" w:customStyle="1" w:styleId="Author">
    <w:name w:val="Author"/>
    <w:basedOn w:val="Normal"/>
    <w:semiHidden/>
    <w:rsid w:val="00BC3EA0"/>
    <w:pPr>
      <w:spacing w:before="240" w:after="1200"/>
      <w:ind w:left="-181"/>
      <w:jc w:val="right"/>
    </w:pPr>
    <w:rPr>
      <w:rFonts w:cs="Arial"/>
      <w:i/>
      <w:sz w:val="40"/>
      <w:szCs w:val="22"/>
    </w:rPr>
  </w:style>
  <w:style w:type="paragraph" w:customStyle="1" w:styleId="Boxtext">
    <w:name w:val="Box text"/>
    <w:basedOn w:val="Normal"/>
    <w:rsid w:val="00FA7EFC"/>
    <w:pPr>
      <w:pBdr>
        <w:top w:val="single" w:sz="4" w:space="10" w:color="EBF5F8"/>
        <w:left w:val="single" w:sz="4" w:space="4" w:color="EBF5F8"/>
        <w:bottom w:val="single" w:sz="4" w:space="10" w:color="EBF5F8"/>
        <w:right w:val="single" w:sz="4" w:space="4" w:color="EBF5F8"/>
      </w:pBdr>
      <w:shd w:val="clear" w:color="auto" w:fill="EBF5F8"/>
      <w:spacing w:after="80"/>
      <w:ind w:left="142" w:right="142"/>
    </w:pPr>
    <w:rPr>
      <w:i/>
    </w:rPr>
  </w:style>
  <w:style w:type="paragraph" w:customStyle="1" w:styleId="Boxbullet">
    <w:name w:val="Box bullet"/>
    <w:basedOn w:val="Boxtext"/>
    <w:rsid w:val="00BC3EA0"/>
    <w:pPr>
      <w:numPr>
        <w:numId w:val="2"/>
      </w:numPr>
      <w:tabs>
        <w:tab w:val="clear" w:pos="644"/>
        <w:tab w:val="num" w:pos="426"/>
      </w:tabs>
      <w:spacing w:before="80"/>
    </w:pPr>
  </w:style>
  <w:style w:type="paragraph" w:customStyle="1" w:styleId="Boxheading">
    <w:name w:val="Box heading"/>
    <w:basedOn w:val="Normal"/>
    <w:next w:val="Boxtext"/>
    <w:autoRedefine/>
    <w:rsid w:val="00BC3EA0"/>
    <w:pPr>
      <w:spacing w:before="180" w:after="60" w:line="240" w:lineRule="auto"/>
      <w:ind w:left="284" w:right="284"/>
    </w:pPr>
    <w:rPr>
      <w:rFonts w:ascii="Arial Narrow" w:hAnsi="Arial Narrow"/>
      <w:b/>
      <w:bCs/>
      <w:color w:val="335087"/>
      <w:spacing w:val="10"/>
      <w:szCs w:val="22"/>
    </w:rPr>
  </w:style>
  <w:style w:type="paragraph" w:customStyle="1" w:styleId="Boxindent">
    <w:name w:val="Box indent"/>
    <w:basedOn w:val="Boxtext"/>
    <w:rsid w:val="00BC3EA0"/>
    <w:pPr>
      <w:tabs>
        <w:tab w:val="left" w:pos="426"/>
      </w:tabs>
      <w:ind w:left="426" w:hanging="284"/>
    </w:pPr>
  </w:style>
  <w:style w:type="paragraph" w:customStyle="1" w:styleId="Bullet-list">
    <w:name w:val="Bullet-list"/>
    <w:qFormat/>
    <w:rsid w:val="00BC3EA0"/>
    <w:pPr>
      <w:numPr>
        <w:numId w:val="3"/>
      </w:numPr>
      <w:spacing w:after="180" w:line="280" w:lineRule="exact"/>
    </w:pPr>
    <w:rPr>
      <w:rFonts w:ascii="Arial" w:eastAsia="Times New Roman" w:hAnsi="Arial"/>
      <w:sz w:val="22"/>
      <w:lang w:val="en-AU" w:eastAsia="en-US"/>
    </w:rPr>
  </w:style>
  <w:style w:type="paragraph" w:styleId="Caption">
    <w:name w:val="caption"/>
    <w:basedOn w:val="Normal"/>
    <w:next w:val="Normal"/>
    <w:rsid w:val="00BC3EA0"/>
    <w:rPr>
      <w:b/>
      <w:bCs/>
      <w:sz w:val="20"/>
    </w:rPr>
  </w:style>
  <w:style w:type="paragraph" w:styleId="DocumentMap">
    <w:name w:val="Document Map"/>
    <w:basedOn w:val="Normal"/>
    <w:link w:val="DocumentMapChar"/>
    <w:semiHidden/>
    <w:rsid w:val="00BC3EA0"/>
    <w:pPr>
      <w:shd w:val="clear" w:color="auto" w:fill="000080"/>
    </w:pPr>
    <w:rPr>
      <w:rFonts w:ascii="Tahoma" w:hAnsi="Tahoma" w:cs="Tahoma"/>
      <w:sz w:val="20"/>
    </w:rPr>
  </w:style>
  <w:style w:type="character" w:customStyle="1" w:styleId="DocumentMapChar">
    <w:name w:val="Document Map Char"/>
    <w:link w:val="DocumentMap"/>
    <w:semiHidden/>
    <w:rsid w:val="00BC3EA0"/>
    <w:rPr>
      <w:rFonts w:ascii="Tahoma" w:eastAsia="Times New Roman" w:hAnsi="Tahoma" w:cs="Tahoma"/>
      <w:sz w:val="20"/>
      <w:szCs w:val="20"/>
      <w:shd w:val="clear" w:color="auto" w:fill="000080"/>
      <w:lang w:val="en-GB" w:eastAsia="en-GB"/>
    </w:rPr>
  </w:style>
  <w:style w:type="paragraph" w:customStyle="1" w:styleId="EvenFooter">
    <w:name w:val="Even Footer"/>
    <w:basedOn w:val="Footer"/>
    <w:rsid w:val="00BC3EA0"/>
  </w:style>
  <w:style w:type="paragraph" w:customStyle="1" w:styleId="Evenfooter-wide">
    <w:name w:val="Even footer-wide"/>
    <w:basedOn w:val="EvenFooter"/>
    <w:rsid w:val="00BC3EA0"/>
  </w:style>
  <w:style w:type="character" w:styleId="FootnoteReference">
    <w:name w:val="footnote reference"/>
    <w:rsid w:val="00BC3EA0"/>
    <w:rPr>
      <w:rFonts w:ascii="Arial" w:hAnsi="Arial"/>
      <w:color w:val="auto"/>
      <w:position w:val="8"/>
      <w:sz w:val="16"/>
    </w:rPr>
  </w:style>
  <w:style w:type="paragraph" w:styleId="FootnoteText">
    <w:name w:val="footnote text"/>
    <w:basedOn w:val="Normal"/>
    <w:link w:val="FootnoteTextChar"/>
    <w:uiPriority w:val="4"/>
    <w:qFormat/>
    <w:rsid w:val="00BC3EA0"/>
    <w:pPr>
      <w:tabs>
        <w:tab w:val="left" w:pos="425"/>
      </w:tabs>
      <w:spacing w:after="60" w:line="240" w:lineRule="auto"/>
      <w:ind w:left="425" w:hanging="425"/>
    </w:pPr>
    <w:rPr>
      <w:sz w:val="18"/>
    </w:rPr>
  </w:style>
  <w:style w:type="character" w:customStyle="1" w:styleId="FootnoteTextChar">
    <w:name w:val="Footnote Text Char"/>
    <w:link w:val="FootnoteText"/>
    <w:uiPriority w:val="4"/>
    <w:rsid w:val="00BC3EA0"/>
    <w:rPr>
      <w:rFonts w:ascii="Arial" w:eastAsia="Times New Roman" w:hAnsi="Arial" w:cs="Times New Roman"/>
      <w:sz w:val="18"/>
      <w:szCs w:val="20"/>
      <w:lang w:val="en-GB" w:eastAsia="en-GB"/>
    </w:rPr>
  </w:style>
  <w:style w:type="character" w:customStyle="1" w:styleId="Heading1Char">
    <w:name w:val="Heading 1 Char"/>
    <w:link w:val="Heading1"/>
    <w:rsid w:val="00BC3EA0"/>
    <w:rPr>
      <w:rFonts w:ascii="Arial" w:eastAsia="Times New Roman" w:hAnsi="Arial"/>
      <w:b/>
      <w:color w:val="002469"/>
      <w:spacing w:val="20"/>
      <w:w w:val="90"/>
      <w:sz w:val="44"/>
      <w:szCs w:val="44"/>
      <w:lang w:val="en-GB" w:eastAsia="en-GB"/>
    </w:rPr>
  </w:style>
  <w:style w:type="character" w:customStyle="1" w:styleId="Heading2Char">
    <w:name w:val="Heading 2 Char"/>
    <w:link w:val="Heading2"/>
    <w:rsid w:val="00F63B97"/>
    <w:rPr>
      <w:rFonts w:ascii="Arial Bold" w:eastAsia="Times New Roman" w:hAnsi="Arial Bold"/>
      <w:b/>
      <w:color w:val="0082AB"/>
      <w:spacing w:val="20"/>
      <w:w w:val="90"/>
      <w:sz w:val="32"/>
      <w:szCs w:val="24"/>
      <w:lang w:val="en-GB" w:eastAsia="en-GB"/>
    </w:rPr>
  </w:style>
  <w:style w:type="character" w:customStyle="1" w:styleId="Heading3Char">
    <w:name w:val="Heading 3 Char"/>
    <w:link w:val="Heading3"/>
    <w:rsid w:val="00715855"/>
    <w:rPr>
      <w:rFonts w:ascii="Arial Bold" w:eastAsia="Times New Roman" w:hAnsi="Arial Bold"/>
      <w:b/>
      <w:color w:val="0082AB"/>
      <w:spacing w:val="20"/>
      <w:w w:val="90"/>
      <w:sz w:val="24"/>
      <w:szCs w:val="22"/>
      <w:lang w:val="en-GB" w:eastAsia="en-GB"/>
    </w:rPr>
  </w:style>
  <w:style w:type="character" w:customStyle="1" w:styleId="Heading4Char">
    <w:name w:val="Heading 4 Char"/>
    <w:link w:val="Heading4"/>
    <w:rsid w:val="006448CF"/>
    <w:rPr>
      <w:rFonts w:ascii="Arial" w:eastAsia="Times New Roman" w:hAnsi="Arial"/>
      <w:b/>
      <w:bCs/>
      <w:color w:val="595959" w:themeColor="text1" w:themeTint="A6"/>
      <w:sz w:val="22"/>
      <w:lang w:val="en-GB" w:eastAsia="en-GB"/>
    </w:rPr>
  </w:style>
  <w:style w:type="character" w:customStyle="1" w:styleId="Heading5Char">
    <w:name w:val="Heading 5 Char"/>
    <w:link w:val="Heading5"/>
    <w:rsid w:val="00BC3EA0"/>
    <w:rPr>
      <w:rFonts w:ascii="Arial" w:eastAsia="Times New Roman" w:hAnsi="Arial"/>
      <w:color w:val="000000"/>
      <w:sz w:val="22"/>
      <w:szCs w:val="22"/>
      <w:lang w:val="en-GB" w:eastAsia="en-GB"/>
    </w:rPr>
  </w:style>
  <w:style w:type="character" w:customStyle="1" w:styleId="Heading6Char">
    <w:name w:val="Heading 6 Char"/>
    <w:link w:val="Heading6"/>
    <w:rsid w:val="00BC3EA0"/>
    <w:rPr>
      <w:rFonts w:ascii="Arial" w:eastAsia="Times New Roman" w:hAnsi="Arial"/>
      <w:i/>
      <w:lang w:val="en-GB" w:eastAsia="en-GB"/>
    </w:rPr>
  </w:style>
  <w:style w:type="character" w:customStyle="1" w:styleId="Heading7Char">
    <w:name w:val="Heading 7 Char"/>
    <w:link w:val="Heading7"/>
    <w:rsid w:val="00BC3EA0"/>
    <w:rPr>
      <w:rFonts w:ascii="Arial" w:eastAsia="Times New Roman" w:hAnsi="Arial"/>
      <w:lang w:val="en-GB" w:eastAsia="en-GB"/>
    </w:rPr>
  </w:style>
  <w:style w:type="character" w:customStyle="1" w:styleId="Heading8Char">
    <w:name w:val="Heading 8 Char"/>
    <w:link w:val="Heading8"/>
    <w:rsid w:val="00BC3EA0"/>
    <w:rPr>
      <w:rFonts w:ascii="Arial" w:eastAsia="Times New Roman" w:hAnsi="Arial"/>
      <w:lang w:val="en-GB" w:eastAsia="en-GB"/>
    </w:rPr>
  </w:style>
  <w:style w:type="character" w:customStyle="1" w:styleId="Heading9Char">
    <w:name w:val="Heading 9 Char"/>
    <w:link w:val="Heading9"/>
    <w:rsid w:val="00BC3EA0"/>
    <w:rPr>
      <w:rFonts w:ascii="Arial" w:eastAsia="Times New Roman" w:hAnsi="Arial"/>
      <w:b/>
      <w:i/>
      <w:lang w:val="en-AU" w:eastAsia="en-US"/>
    </w:rPr>
  </w:style>
  <w:style w:type="paragraph" w:styleId="List">
    <w:name w:val="List"/>
    <w:basedOn w:val="Normal"/>
    <w:rsid w:val="00BC3EA0"/>
    <w:pPr>
      <w:ind w:left="283" w:hanging="283"/>
    </w:pPr>
  </w:style>
  <w:style w:type="paragraph" w:styleId="Title">
    <w:name w:val="Title"/>
    <w:basedOn w:val="Normal"/>
    <w:link w:val="TitleChar"/>
    <w:rsid w:val="00BC3EA0"/>
    <w:pPr>
      <w:widowControl w:val="0"/>
      <w:autoSpaceDE w:val="0"/>
      <w:autoSpaceDN w:val="0"/>
      <w:adjustRightInd w:val="0"/>
      <w:spacing w:before="1560" w:after="720" w:line="240" w:lineRule="atLeast"/>
    </w:pPr>
    <w:rPr>
      <w:rFonts w:cs="Arial"/>
      <w:color w:val="002469"/>
      <w:spacing w:val="40"/>
      <w:w w:val="90"/>
      <w:sz w:val="48"/>
      <w:szCs w:val="48"/>
    </w:rPr>
  </w:style>
  <w:style w:type="character" w:customStyle="1" w:styleId="TitleChar">
    <w:name w:val="Title Char"/>
    <w:link w:val="Title"/>
    <w:rsid w:val="00BC3EA0"/>
    <w:rPr>
      <w:rFonts w:ascii="Arial" w:eastAsia="Times New Roman" w:hAnsi="Arial" w:cs="Arial"/>
      <w:color w:val="002469"/>
      <w:spacing w:val="40"/>
      <w:w w:val="90"/>
      <w:sz w:val="48"/>
      <w:szCs w:val="48"/>
      <w:lang w:val="en-GB" w:eastAsia="en-GB"/>
    </w:rPr>
  </w:style>
  <w:style w:type="paragraph" w:styleId="Subtitle">
    <w:name w:val="Subtitle"/>
    <w:basedOn w:val="Title"/>
    <w:next w:val="Normal"/>
    <w:link w:val="SubtitleChar"/>
    <w:rsid w:val="00BC3EA0"/>
    <w:pPr>
      <w:spacing w:before="360" w:line="600" w:lineRule="atLeast"/>
    </w:pPr>
    <w:rPr>
      <w:sz w:val="36"/>
      <w:szCs w:val="36"/>
    </w:rPr>
  </w:style>
  <w:style w:type="character" w:customStyle="1" w:styleId="SubtitleChar">
    <w:name w:val="Subtitle Char"/>
    <w:link w:val="Subtitle"/>
    <w:rsid w:val="00BC3EA0"/>
    <w:rPr>
      <w:rFonts w:ascii="Arial" w:eastAsia="Times New Roman" w:hAnsi="Arial" w:cs="Arial"/>
      <w:color w:val="002469"/>
      <w:spacing w:val="40"/>
      <w:w w:val="90"/>
      <w:sz w:val="36"/>
      <w:szCs w:val="36"/>
      <w:lang w:val="en-GB" w:eastAsia="en-GB"/>
    </w:rPr>
  </w:style>
  <w:style w:type="paragraph" w:customStyle="1" w:styleId="TableText">
    <w:name w:val="Table Text"/>
    <w:basedOn w:val="Normal"/>
    <w:rsid w:val="00BC3EA0"/>
    <w:pPr>
      <w:autoSpaceDE w:val="0"/>
      <w:autoSpaceDN w:val="0"/>
      <w:adjustRightInd w:val="0"/>
      <w:spacing w:before="60" w:after="60" w:line="240" w:lineRule="atLeast"/>
    </w:pPr>
    <w:rPr>
      <w:rFonts w:cs="GillSans"/>
      <w:sz w:val="20"/>
      <w:szCs w:val="22"/>
      <w:lang w:eastAsia="en-AU"/>
    </w:rPr>
  </w:style>
  <w:style w:type="paragraph" w:customStyle="1" w:styleId="tablespacer">
    <w:name w:val="table_spacer"/>
    <w:basedOn w:val="Normal"/>
    <w:next w:val="Normal"/>
    <w:rsid w:val="00BC3EA0"/>
    <w:pPr>
      <w:keepNext/>
      <w:spacing w:after="0" w:line="240" w:lineRule="auto"/>
    </w:pPr>
    <w:rPr>
      <w:sz w:val="20"/>
    </w:rPr>
  </w:style>
  <w:style w:type="paragraph" w:styleId="TOC1">
    <w:name w:val="toc 1"/>
    <w:basedOn w:val="Normal"/>
    <w:next w:val="Normal"/>
    <w:uiPriority w:val="39"/>
    <w:rsid w:val="00BC3EA0"/>
    <w:pPr>
      <w:tabs>
        <w:tab w:val="right" w:leader="dot" w:pos="9214"/>
      </w:tabs>
      <w:spacing w:before="240" w:after="120"/>
      <w:ind w:left="284" w:right="284"/>
    </w:pPr>
    <w:rPr>
      <w:bCs/>
      <w:noProof/>
      <w:sz w:val="24"/>
      <w:szCs w:val="44"/>
    </w:rPr>
  </w:style>
  <w:style w:type="paragraph" w:styleId="TOC2">
    <w:name w:val="toc 2"/>
    <w:basedOn w:val="Normal"/>
    <w:next w:val="Normal"/>
    <w:uiPriority w:val="39"/>
    <w:rsid w:val="00BC3EA0"/>
    <w:pPr>
      <w:tabs>
        <w:tab w:val="right" w:leader="dot" w:pos="9214"/>
      </w:tabs>
      <w:spacing w:before="100" w:after="100"/>
      <w:ind w:left="709" w:right="284"/>
    </w:pPr>
    <w:rPr>
      <w:noProof/>
      <w:sz w:val="24"/>
    </w:rPr>
  </w:style>
  <w:style w:type="paragraph" w:styleId="TOC3">
    <w:name w:val="toc 3"/>
    <w:basedOn w:val="Normal"/>
    <w:next w:val="Normal"/>
    <w:semiHidden/>
    <w:rsid w:val="00BC3EA0"/>
    <w:pPr>
      <w:tabs>
        <w:tab w:val="left" w:leader="dot" w:pos="8646"/>
        <w:tab w:val="right" w:pos="9072"/>
      </w:tabs>
      <w:ind w:left="1418" w:right="850"/>
    </w:pPr>
  </w:style>
  <w:style w:type="paragraph" w:customStyle="1" w:styleId="Tier2Bullet-list">
    <w:name w:val="Tier 2 Bullet-list"/>
    <w:qFormat/>
    <w:rsid w:val="0062657E"/>
    <w:pPr>
      <w:spacing w:after="160" w:line="259" w:lineRule="auto"/>
      <w:ind w:left="568" w:hanging="284"/>
    </w:pPr>
    <w:rPr>
      <w:rFonts w:ascii="Arial" w:eastAsia="Times New Roman" w:hAnsi="Arial"/>
      <w:sz w:val="22"/>
      <w:lang w:val="en-AU" w:eastAsia="en-US"/>
    </w:rPr>
  </w:style>
  <w:style w:type="paragraph" w:customStyle="1" w:styleId="TableHeading2">
    <w:name w:val="Table Heading 2"/>
    <w:basedOn w:val="Normal"/>
    <w:qFormat/>
    <w:rsid w:val="00DF2E7B"/>
    <w:pPr>
      <w:spacing w:before="60" w:after="60" w:line="276" w:lineRule="auto"/>
    </w:pPr>
    <w:rPr>
      <w:i/>
      <w:szCs w:val="22"/>
    </w:rPr>
  </w:style>
  <w:style w:type="paragraph" w:customStyle="1" w:styleId="Tablebullet">
    <w:name w:val="Table bullet"/>
    <w:basedOn w:val="Normal"/>
    <w:qFormat/>
    <w:rsid w:val="00B56273"/>
    <w:pPr>
      <w:numPr>
        <w:numId w:val="4"/>
      </w:numPr>
      <w:autoSpaceDE w:val="0"/>
      <w:autoSpaceDN w:val="0"/>
      <w:adjustRightInd w:val="0"/>
      <w:spacing w:before="60" w:after="60"/>
    </w:pPr>
    <w:rPr>
      <w:rFonts w:cs="GillSans"/>
      <w:szCs w:val="22"/>
      <w:lang w:eastAsia="en-AU"/>
    </w:rPr>
  </w:style>
  <w:style w:type="table" w:styleId="GridTable4-Accent1">
    <w:name w:val="Grid Table 4 Accent 1"/>
    <w:basedOn w:val="TableNormal"/>
    <w:uiPriority w:val="49"/>
    <w:rsid w:val="00C9354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TableHeadings">
    <w:name w:val="Table Headings"/>
    <w:basedOn w:val="Normal"/>
    <w:qFormat/>
    <w:rsid w:val="00C93549"/>
    <w:pPr>
      <w:spacing w:before="60" w:after="60"/>
    </w:pPr>
    <w:rPr>
      <w:rFonts w:cs="Arial"/>
      <w:b/>
      <w:color w:val="000000"/>
    </w:rPr>
  </w:style>
  <w:style w:type="character" w:customStyle="1" w:styleId="UnresolvedMention1">
    <w:name w:val="Unresolved Mention1"/>
    <w:basedOn w:val="DefaultParagraphFont"/>
    <w:uiPriority w:val="99"/>
    <w:semiHidden/>
    <w:unhideWhenUsed/>
    <w:rsid w:val="00E52B84"/>
    <w:rPr>
      <w:color w:val="605E5C"/>
      <w:shd w:val="clear" w:color="auto" w:fill="E1DFDD"/>
    </w:rPr>
  </w:style>
  <w:style w:type="character" w:styleId="UnresolvedMention">
    <w:name w:val="Unresolved Mention"/>
    <w:basedOn w:val="DefaultParagraphFont"/>
    <w:uiPriority w:val="99"/>
    <w:semiHidden/>
    <w:unhideWhenUsed/>
    <w:rsid w:val="00447453"/>
    <w:rPr>
      <w:color w:val="605E5C"/>
      <w:shd w:val="clear" w:color="auto" w:fill="E1DFDD"/>
    </w:rPr>
  </w:style>
  <w:style w:type="paragraph" w:customStyle="1" w:styleId="ReportBody">
    <w:name w:val="Report Body"/>
    <w:basedOn w:val="Normal"/>
    <w:link w:val="ReportBodyChar"/>
    <w:qFormat/>
    <w:rsid w:val="00D608BB"/>
    <w:pPr>
      <w:numPr>
        <w:numId w:val="6"/>
      </w:numPr>
      <w:spacing w:before="120" w:after="120" w:line="288" w:lineRule="auto"/>
    </w:pPr>
    <w:rPr>
      <w:rFonts w:ascii="Verdana" w:hAnsi="Verdana" w:cs="Arial"/>
      <w:color w:val="000000"/>
      <w:kern w:val="22"/>
      <w:lang w:val="en-NZ" w:eastAsia="en-NZ"/>
    </w:rPr>
  </w:style>
  <w:style w:type="paragraph" w:customStyle="1" w:styleId="ReportBody2">
    <w:name w:val="Report Body 2"/>
    <w:basedOn w:val="ReportBody"/>
    <w:qFormat/>
    <w:rsid w:val="00D608BB"/>
    <w:pPr>
      <w:numPr>
        <w:ilvl w:val="1"/>
      </w:numPr>
      <w:tabs>
        <w:tab w:val="clear" w:pos="493"/>
        <w:tab w:val="num" w:pos="360"/>
      </w:tabs>
      <w:ind w:left="986" w:hanging="493"/>
    </w:pPr>
  </w:style>
  <w:style w:type="character" w:customStyle="1" w:styleId="ReportBodyChar">
    <w:name w:val="Report Body Char"/>
    <w:basedOn w:val="DefaultParagraphFont"/>
    <w:link w:val="ReportBody"/>
    <w:rsid w:val="00D608BB"/>
    <w:rPr>
      <w:rFonts w:ascii="Verdana" w:eastAsia="Times New Roman" w:hAnsi="Verdana" w:cs="Arial"/>
      <w:color w:val="000000"/>
      <w:kern w:val="22"/>
      <w:sz w:val="22"/>
    </w:rPr>
  </w:style>
  <w:style w:type="numbering" w:styleId="ArticleSection">
    <w:name w:val="Outline List 3"/>
    <w:basedOn w:val="NoList"/>
    <w:semiHidden/>
    <w:unhideWhenUsed/>
    <w:rsid w:val="00AB31D1"/>
    <w:pPr>
      <w:numPr>
        <w:numId w:val="7"/>
      </w:numPr>
    </w:pPr>
  </w:style>
  <w:style w:type="character" w:customStyle="1" w:styleId="normaltextrun">
    <w:name w:val="normaltextrun"/>
    <w:basedOn w:val="DefaultParagraphFont"/>
    <w:rsid w:val="00CF70DE"/>
  </w:style>
  <w:style w:type="paragraph" w:customStyle="1" w:styleId="paragraph">
    <w:name w:val="paragraph"/>
    <w:basedOn w:val="Normal"/>
    <w:rsid w:val="00BD68B7"/>
    <w:pPr>
      <w:spacing w:before="100" w:beforeAutospacing="1" w:after="100" w:afterAutospacing="1" w:line="240" w:lineRule="auto"/>
    </w:pPr>
    <w:rPr>
      <w:rFonts w:ascii="Times New Roman" w:hAnsi="Times New Roman"/>
      <w:sz w:val="24"/>
      <w:szCs w:val="24"/>
      <w:lang w:val="en-NZ" w:eastAsia="en-NZ"/>
    </w:rPr>
  </w:style>
  <w:style w:type="character" w:customStyle="1" w:styleId="eop">
    <w:name w:val="eop"/>
    <w:basedOn w:val="DefaultParagraphFont"/>
    <w:rsid w:val="00BD68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80275">
      <w:bodyDiv w:val="1"/>
      <w:marLeft w:val="0"/>
      <w:marRight w:val="0"/>
      <w:marTop w:val="0"/>
      <w:marBottom w:val="0"/>
      <w:divBdr>
        <w:top w:val="none" w:sz="0" w:space="0" w:color="auto"/>
        <w:left w:val="none" w:sz="0" w:space="0" w:color="auto"/>
        <w:bottom w:val="none" w:sz="0" w:space="0" w:color="auto"/>
        <w:right w:val="none" w:sz="0" w:space="0" w:color="auto"/>
      </w:divBdr>
    </w:div>
    <w:div w:id="196696763">
      <w:bodyDiv w:val="1"/>
      <w:marLeft w:val="0"/>
      <w:marRight w:val="0"/>
      <w:marTop w:val="0"/>
      <w:marBottom w:val="0"/>
      <w:divBdr>
        <w:top w:val="none" w:sz="0" w:space="0" w:color="auto"/>
        <w:left w:val="none" w:sz="0" w:space="0" w:color="auto"/>
        <w:bottom w:val="none" w:sz="0" w:space="0" w:color="auto"/>
        <w:right w:val="none" w:sz="0" w:space="0" w:color="auto"/>
      </w:divBdr>
    </w:div>
    <w:div w:id="768236715">
      <w:bodyDiv w:val="1"/>
      <w:marLeft w:val="0"/>
      <w:marRight w:val="0"/>
      <w:marTop w:val="0"/>
      <w:marBottom w:val="0"/>
      <w:divBdr>
        <w:top w:val="none" w:sz="0" w:space="0" w:color="auto"/>
        <w:left w:val="none" w:sz="0" w:space="0" w:color="auto"/>
        <w:bottom w:val="none" w:sz="0" w:space="0" w:color="auto"/>
        <w:right w:val="none" w:sz="0" w:space="0" w:color="auto"/>
      </w:divBdr>
    </w:div>
    <w:div w:id="822312398">
      <w:bodyDiv w:val="1"/>
      <w:marLeft w:val="0"/>
      <w:marRight w:val="0"/>
      <w:marTop w:val="0"/>
      <w:marBottom w:val="0"/>
      <w:divBdr>
        <w:top w:val="none" w:sz="0" w:space="0" w:color="auto"/>
        <w:left w:val="none" w:sz="0" w:space="0" w:color="auto"/>
        <w:bottom w:val="none" w:sz="0" w:space="0" w:color="auto"/>
        <w:right w:val="none" w:sz="0" w:space="0" w:color="auto"/>
      </w:divBdr>
    </w:div>
    <w:div w:id="1028023630">
      <w:bodyDiv w:val="1"/>
      <w:marLeft w:val="0"/>
      <w:marRight w:val="0"/>
      <w:marTop w:val="0"/>
      <w:marBottom w:val="0"/>
      <w:divBdr>
        <w:top w:val="none" w:sz="0" w:space="0" w:color="auto"/>
        <w:left w:val="none" w:sz="0" w:space="0" w:color="auto"/>
        <w:bottom w:val="none" w:sz="0" w:space="0" w:color="auto"/>
        <w:right w:val="none" w:sz="0" w:space="0" w:color="auto"/>
      </w:divBdr>
    </w:div>
    <w:div w:id="1232036928">
      <w:bodyDiv w:val="1"/>
      <w:marLeft w:val="0"/>
      <w:marRight w:val="0"/>
      <w:marTop w:val="0"/>
      <w:marBottom w:val="0"/>
      <w:divBdr>
        <w:top w:val="none" w:sz="0" w:space="0" w:color="auto"/>
        <w:left w:val="none" w:sz="0" w:space="0" w:color="auto"/>
        <w:bottom w:val="none" w:sz="0" w:space="0" w:color="auto"/>
        <w:right w:val="none" w:sz="0" w:space="0" w:color="auto"/>
      </w:divBdr>
    </w:div>
    <w:div w:id="1386565457">
      <w:bodyDiv w:val="1"/>
      <w:marLeft w:val="0"/>
      <w:marRight w:val="0"/>
      <w:marTop w:val="0"/>
      <w:marBottom w:val="0"/>
      <w:divBdr>
        <w:top w:val="none" w:sz="0" w:space="0" w:color="auto"/>
        <w:left w:val="none" w:sz="0" w:space="0" w:color="auto"/>
        <w:bottom w:val="none" w:sz="0" w:space="0" w:color="auto"/>
        <w:right w:val="none" w:sz="0" w:space="0" w:color="auto"/>
      </w:divBdr>
    </w:div>
    <w:div w:id="1701081625">
      <w:bodyDiv w:val="1"/>
      <w:marLeft w:val="0"/>
      <w:marRight w:val="0"/>
      <w:marTop w:val="0"/>
      <w:marBottom w:val="0"/>
      <w:divBdr>
        <w:top w:val="none" w:sz="0" w:space="0" w:color="auto"/>
        <w:left w:val="none" w:sz="0" w:space="0" w:color="auto"/>
        <w:bottom w:val="none" w:sz="0" w:space="0" w:color="auto"/>
        <w:right w:val="none" w:sz="0" w:space="0" w:color="auto"/>
      </w:divBdr>
    </w:div>
    <w:div w:id="1812862480">
      <w:bodyDiv w:val="1"/>
      <w:marLeft w:val="0"/>
      <w:marRight w:val="0"/>
      <w:marTop w:val="0"/>
      <w:marBottom w:val="0"/>
      <w:divBdr>
        <w:top w:val="none" w:sz="0" w:space="0" w:color="auto"/>
        <w:left w:val="none" w:sz="0" w:space="0" w:color="auto"/>
        <w:bottom w:val="none" w:sz="0" w:space="0" w:color="auto"/>
        <w:right w:val="none" w:sz="0" w:space="0" w:color="auto"/>
      </w:divBdr>
    </w:div>
    <w:div w:id="1815491834">
      <w:bodyDiv w:val="1"/>
      <w:marLeft w:val="0"/>
      <w:marRight w:val="0"/>
      <w:marTop w:val="0"/>
      <w:marBottom w:val="0"/>
      <w:divBdr>
        <w:top w:val="none" w:sz="0" w:space="0" w:color="auto"/>
        <w:left w:val="none" w:sz="0" w:space="0" w:color="auto"/>
        <w:bottom w:val="none" w:sz="0" w:space="0" w:color="auto"/>
        <w:right w:val="none" w:sz="0" w:space="0" w:color="auto"/>
      </w:divBdr>
    </w:div>
    <w:div w:id="1900941337">
      <w:bodyDiv w:val="1"/>
      <w:marLeft w:val="0"/>
      <w:marRight w:val="0"/>
      <w:marTop w:val="0"/>
      <w:marBottom w:val="0"/>
      <w:divBdr>
        <w:top w:val="none" w:sz="0" w:space="0" w:color="auto"/>
        <w:left w:val="none" w:sz="0" w:space="0" w:color="auto"/>
        <w:bottom w:val="none" w:sz="0" w:space="0" w:color="auto"/>
        <w:right w:val="none" w:sz="0" w:space="0" w:color="auto"/>
      </w:divBdr>
    </w:div>
    <w:div w:id="207967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7D159-610A-4ACF-92A5-748165938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10</Pages>
  <Words>4145</Words>
  <Characters>23631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Regulatory Impact Statement Template</vt:lpstr>
    </vt:vector>
  </TitlesOfParts>
  <Company>NZ Government</Company>
  <LinksUpToDate>false</LinksUpToDate>
  <CharactersWithSpaces>27721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Regulatory Impact Statement Template</dc:title>
  <dc:subject/>
  <dc:creator>New Zealand Treasury</dc:creator>
  <cp:keywords/>
  <dc:description/>
  <cp:lastModifiedBy>Jack Flude</cp:lastModifiedBy>
  <cp:revision>16</cp:revision>
  <cp:lastPrinted>2024-01-17T02:23:00Z</cp:lastPrinted>
  <dcterms:created xsi:type="dcterms:W3CDTF">2024-01-16T23:00:00Z</dcterms:created>
  <dcterms:modified xsi:type="dcterms:W3CDTF">2024-02-07T22:49:00Z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1,3,c</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2023-12-20T03:47:28Z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17e885bb-4149-43cc-922e-aef5b84709f6</vt:lpwstr>
  </property>
  <property fmtid="{D5CDD505-2E9C-101B-9397-08002B2CF9AE}" pid="11" name="MSIP_Label_f43e46a9-9901-46e9-bfae-bb6189d4cb66_ContentBits">
    <vt:lpwstr>1</vt:lpwstr>
  </property>
</Properties>
</file>