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C537A" w14:textId="25E0DBB4" w:rsidR="00573CDD" w:rsidRDefault="00EF50FD" w:rsidP="00573CDD">
      <w:pPr>
        <w:pStyle w:val="Heading1"/>
        <w:spacing w:before="0" w:line="276" w:lineRule="auto"/>
        <w:rPr>
          <w:color w:val="0082AB"/>
          <w:lang w:val="en-NZ"/>
        </w:rPr>
      </w:pPr>
      <w:bookmarkStart w:id="0" w:name="_Hlk98320229"/>
      <w:r w:rsidRPr="00A864A5">
        <w:rPr>
          <w:color w:val="0082AB"/>
          <w:lang w:val="en-NZ"/>
        </w:rPr>
        <w:t>Regulatory Impact Statement</w:t>
      </w:r>
      <w:bookmarkEnd w:id="0"/>
      <w:r w:rsidRPr="00A864A5">
        <w:rPr>
          <w:color w:val="0082AB"/>
          <w:lang w:val="en-NZ"/>
        </w:rPr>
        <w:t xml:space="preserve">: </w:t>
      </w:r>
      <w:r w:rsidR="00F20876">
        <w:rPr>
          <w:color w:val="0082AB"/>
          <w:lang w:val="en-NZ"/>
        </w:rPr>
        <w:t>h</w:t>
      </w:r>
      <w:r w:rsidR="00F20876" w:rsidRPr="00F20876">
        <w:rPr>
          <w:color w:val="0082AB"/>
          <w:lang w:val="en-NZ"/>
        </w:rPr>
        <w:t xml:space="preserve">ousing-related hardship assistance – </w:t>
      </w:r>
      <w:r w:rsidR="00F20876">
        <w:rPr>
          <w:color w:val="0082AB"/>
          <w:lang w:val="en-NZ"/>
        </w:rPr>
        <w:t>i</w:t>
      </w:r>
      <w:r w:rsidR="00F20876" w:rsidRPr="00F20876">
        <w:rPr>
          <w:color w:val="0082AB"/>
          <w:lang w:val="en-NZ"/>
        </w:rPr>
        <w:t>mproving support for housing insecure and low-income New Zealanders</w:t>
      </w:r>
    </w:p>
    <w:p w14:paraId="3BD94C32" w14:textId="64669844" w:rsidR="0062657E" w:rsidRPr="00A864A5" w:rsidRDefault="0017116F" w:rsidP="00573CDD">
      <w:pPr>
        <w:pStyle w:val="Heading1"/>
        <w:spacing w:before="0" w:line="276" w:lineRule="auto"/>
        <w:rPr>
          <w:lang w:val="en-NZ"/>
        </w:rPr>
      </w:pPr>
      <w:r w:rsidRPr="00A864A5">
        <w:rPr>
          <w:lang w:val="en-NZ"/>
        </w:rPr>
        <w:t>Covershee</w:t>
      </w:r>
      <w:r w:rsidR="00EF50FD" w:rsidRPr="00A864A5">
        <w:rPr>
          <w:lang w:val="en-NZ"/>
        </w:rPr>
        <w:t>t</w:t>
      </w:r>
    </w:p>
    <w:p w14:paraId="6DD276F7" w14:textId="7DC5C400" w:rsidR="0062657E" w:rsidRPr="00A864A5" w:rsidRDefault="0062657E" w:rsidP="00743278">
      <w:pPr>
        <w:pStyle w:val="spacer"/>
        <w:rPr>
          <w:lang w:val="en-NZ"/>
        </w:rPr>
      </w:pPr>
    </w:p>
    <w:tbl>
      <w:tblPr>
        <w:tblW w:w="5000" w:type="pct"/>
        <w:tblInd w:w="-5"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600" w:firstRow="0" w:lastRow="0" w:firstColumn="0" w:lastColumn="0" w:noHBand="1" w:noVBand="1"/>
      </w:tblPr>
      <w:tblGrid>
        <w:gridCol w:w="2406"/>
        <w:gridCol w:w="6654"/>
      </w:tblGrid>
      <w:tr w:rsidR="001F29E6" w:rsidRPr="00A864A5" w14:paraId="24CAC5A8" w14:textId="77777777" w:rsidTr="006448CF">
        <w:tc>
          <w:tcPr>
            <w:tcW w:w="5000" w:type="pct"/>
            <w:gridSpan w:val="2"/>
            <w:tcBorders>
              <w:bottom w:val="single" w:sz="4" w:space="0" w:color="DDDDDD"/>
            </w:tcBorders>
            <w:shd w:val="clear" w:color="auto" w:fill="99CDDD"/>
            <w:hideMark/>
          </w:tcPr>
          <w:p w14:paraId="3273EFFF" w14:textId="48C848C9" w:rsidR="001F29E6" w:rsidRPr="00A864A5" w:rsidRDefault="001F29E6" w:rsidP="007C5A05">
            <w:pPr>
              <w:pStyle w:val="TableHeadings"/>
              <w:rPr>
                <w:color w:val="002060"/>
                <w:szCs w:val="22"/>
                <w:lang w:val="en-NZ"/>
              </w:rPr>
            </w:pPr>
            <w:bookmarkStart w:id="1" w:name="_Hlk47357107"/>
            <w:r w:rsidRPr="00A864A5">
              <w:rPr>
                <w:szCs w:val="22"/>
                <w:lang w:val="en-NZ"/>
              </w:rPr>
              <w:t>Purpose</w:t>
            </w:r>
            <w:r w:rsidR="002C0E77">
              <w:rPr>
                <w:szCs w:val="22"/>
                <w:lang w:val="en-NZ"/>
              </w:rPr>
              <w:t xml:space="preserve"> of Document</w:t>
            </w:r>
          </w:p>
        </w:tc>
      </w:tr>
      <w:tr w:rsidR="001F29E6" w:rsidRPr="00A864A5" w14:paraId="24C44C49" w14:textId="77777777" w:rsidTr="006448CF">
        <w:trPr>
          <w:trHeight w:val="414"/>
        </w:trPr>
        <w:tc>
          <w:tcPr>
            <w:tcW w:w="1328" w:type="pct"/>
            <w:tcBorders>
              <w:top w:val="nil"/>
            </w:tcBorders>
            <w:shd w:val="clear" w:color="auto" w:fill="EBF5F8"/>
          </w:tcPr>
          <w:p w14:paraId="120D8478" w14:textId="731F9FCE" w:rsidR="001F29E6" w:rsidRPr="00A864A5" w:rsidRDefault="001F29E6" w:rsidP="007C5A05">
            <w:pPr>
              <w:rPr>
                <w:rFonts w:cs="Arial"/>
                <w:iCs/>
                <w:color w:val="000000"/>
                <w:szCs w:val="22"/>
                <w:lang w:val="en-NZ"/>
              </w:rPr>
            </w:pPr>
            <w:r w:rsidRPr="00A864A5">
              <w:rPr>
                <w:rFonts w:cs="Arial"/>
                <w:iCs/>
                <w:color w:val="000000"/>
                <w:szCs w:val="22"/>
                <w:lang w:val="en-NZ"/>
              </w:rPr>
              <w:t xml:space="preserve">Decision </w:t>
            </w:r>
            <w:r w:rsidR="002C0E77">
              <w:rPr>
                <w:rFonts w:cs="Arial"/>
                <w:iCs/>
                <w:color w:val="000000"/>
                <w:szCs w:val="22"/>
                <w:lang w:val="en-NZ"/>
              </w:rPr>
              <w:t>s</w:t>
            </w:r>
            <w:r w:rsidRPr="00A864A5">
              <w:rPr>
                <w:rFonts w:cs="Arial"/>
                <w:iCs/>
                <w:color w:val="000000"/>
                <w:szCs w:val="22"/>
                <w:lang w:val="en-NZ"/>
              </w:rPr>
              <w:t>ought:</w:t>
            </w:r>
          </w:p>
        </w:tc>
        <w:tc>
          <w:tcPr>
            <w:tcW w:w="3672" w:type="pct"/>
            <w:tcBorders>
              <w:top w:val="nil"/>
            </w:tcBorders>
            <w:shd w:val="clear" w:color="auto" w:fill="auto"/>
          </w:tcPr>
          <w:p w14:paraId="2B9F992E" w14:textId="22616D66" w:rsidR="001F29E6" w:rsidRPr="00573CDD" w:rsidRDefault="00DE63FC" w:rsidP="007C5A05">
            <w:pPr>
              <w:rPr>
                <w:rFonts w:cs="Arial"/>
                <w:iCs/>
                <w:color w:val="000000"/>
                <w:szCs w:val="22"/>
                <w:lang w:val="en-NZ"/>
              </w:rPr>
            </w:pPr>
            <w:r w:rsidRPr="00573CDD">
              <w:rPr>
                <w:rFonts w:cs="Arial"/>
                <w:iCs/>
                <w:color w:val="000000"/>
                <w:szCs w:val="22"/>
                <w:lang w:val="en-NZ"/>
              </w:rPr>
              <w:t xml:space="preserve">Cabinet </w:t>
            </w:r>
            <w:r w:rsidR="00573CDD" w:rsidRPr="00573CDD">
              <w:rPr>
                <w:rFonts w:cs="Arial"/>
                <w:iCs/>
                <w:color w:val="000000"/>
                <w:szCs w:val="22"/>
                <w:lang w:val="en-NZ"/>
              </w:rPr>
              <w:t xml:space="preserve">approval of the </w:t>
            </w:r>
            <w:r w:rsidR="00573CDD">
              <w:rPr>
                <w:rFonts w:cs="Arial"/>
                <w:iCs/>
                <w:color w:val="000000"/>
                <w:szCs w:val="22"/>
                <w:lang w:val="en-NZ"/>
              </w:rPr>
              <w:t>proposal</w:t>
            </w:r>
            <w:r w:rsidR="00573CDD" w:rsidRPr="00573CDD">
              <w:rPr>
                <w:rFonts w:cs="Arial"/>
                <w:iCs/>
                <w:color w:val="000000"/>
                <w:szCs w:val="22"/>
                <w:lang w:val="en-NZ"/>
              </w:rPr>
              <w:t xml:space="preserve"> in </w:t>
            </w:r>
            <w:r w:rsidR="00C56BDA">
              <w:rPr>
                <w:rFonts w:cs="Arial"/>
                <w:iCs/>
                <w:color w:val="000000"/>
                <w:szCs w:val="22"/>
                <w:lang w:val="en-NZ"/>
              </w:rPr>
              <w:t xml:space="preserve">the 2022 </w:t>
            </w:r>
            <w:r w:rsidR="00573CDD" w:rsidRPr="00573CDD">
              <w:rPr>
                <w:rFonts w:cs="Arial"/>
                <w:iCs/>
                <w:color w:val="000000"/>
                <w:szCs w:val="22"/>
                <w:lang w:val="en-NZ"/>
              </w:rPr>
              <w:t>Budget</w:t>
            </w:r>
          </w:p>
        </w:tc>
      </w:tr>
      <w:tr w:rsidR="001F29E6" w:rsidRPr="00A864A5" w14:paraId="2895A1B0" w14:textId="77777777" w:rsidTr="006448CF">
        <w:trPr>
          <w:trHeight w:val="506"/>
        </w:trPr>
        <w:tc>
          <w:tcPr>
            <w:tcW w:w="1328" w:type="pct"/>
            <w:tcBorders>
              <w:top w:val="nil"/>
            </w:tcBorders>
            <w:shd w:val="clear" w:color="auto" w:fill="EBF5F8"/>
          </w:tcPr>
          <w:p w14:paraId="19AF4671" w14:textId="697D59E7" w:rsidR="001F29E6" w:rsidRPr="00A864A5" w:rsidRDefault="002C0E77" w:rsidP="007C5A05">
            <w:pPr>
              <w:rPr>
                <w:rFonts w:cs="Arial"/>
                <w:iCs/>
                <w:color w:val="000000"/>
                <w:szCs w:val="22"/>
                <w:lang w:val="en-NZ"/>
              </w:rPr>
            </w:pPr>
            <w:r>
              <w:rPr>
                <w:rFonts w:cs="Arial"/>
                <w:iCs/>
                <w:color w:val="000000"/>
                <w:szCs w:val="22"/>
                <w:lang w:val="en-NZ"/>
              </w:rPr>
              <w:t>Advising agencies</w:t>
            </w:r>
            <w:r w:rsidR="007F3B1C">
              <w:rPr>
                <w:rFonts w:cs="Arial"/>
                <w:iCs/>
                <w:color w:val="000000"/>
                <w:szCs w:val="22"/>
                <w:lang w:val="en-NZ"/>
              </w:rPr>
              <w:t>:</w:t>
            </w:r>
          </w:p>
        </w:tc>
        <w:tc>
          <w:tcPr>
            <w:tcW w:w="3672" w:type="pct"/>
            <w:tcBorders>
              <w:top w:val="nil"/>
            </w:tcBorders>
            <w:shd w:val="clear" w:color="auto" w:fill="auto"/>
          </w:tcPr>
          <w:p w14:paraId="5F23E959" w14:textId="4F4E5F39" w:rsidR="00573CDD" w:rsidRPr="00573CDD" w:rsidRDefault="00573CDD" w:rsidP="007C5A05">
            <w:pPr>
              <w:rPr>
                <w:rFonts w:cs="Arial"/>
                <w:iCs/>
                <w:color w:val="000000"/>
                <w:szCs w:val="22"/>
                <w:lang w:val="en-NZ"/>
              </w:rPr>
            </w:pPr>
            <w:r w:rsidRPr="00573CDD">
              <w:rPr>
                <w:rFonts w:cs="Arial"/>
                <w:iCs/>
                <w:color w:val="000000"/>
                <w:szCs w:val="22"/>
                <w:lang w:val="en-NZ"/>
              </w:rPr>
              <w:t>Ministry of Social Development</w:t>
            </w:r>
            <w:r w:rsidR="00C56BDA">
              <w:rPr>
                <w:rFonts w:cs="Arial"/>
                <w:iCs/>
                <w:color w:val="000000"/>
                <w:szCs w:val="22"/>
                <w:lang w:val="en-NZ"/>
              </w:rPr>
              <w:t xml:space="preserve"> (MSD)</w:t>
            </w:r>
          </w:p>
          <w:p w14:paraId="742E202F" w14:textId="49F95503" w:rsidR="001F29E6" w:rsidRPr="00573CDD" w:rsidRDefault="00801C2C" w:rsidP="007C5A05">
            <w:pPr>
              <w:rPr>
                <w:rFonts w:cs="Arial"/>
                <w:iCs/>
                <w:color w:val="000000"/>
                <w:szCs w:val="22"/>
                <w:lang w:val="en-NZ"/>
              </w:rPr>
            </w:pPr>
            <w:r w:rsidRPr="0016772B">
              <w:rPr>
                <w:lang w:val="en-NZ"/>
              </w:rPr>
              <w:t xml:space="preserve">Te </w:t>
            </w:r>
            <w:proofErr w:type="spellStart"/>
            <w:r w:rsidRPr="0016772B">
              <w:rPr>
                <w:lang w:val="en-NZ"/>
              </w:rPr>
              <w:t>Tūāpapa</w:t>
            </w:r>
            <w:proofErr w:type="spellEnd"/>
            <w:r w:rsidRPr="0016772B">
              <w:rPr>
                <w:lang w:val="en-NZ"/>
              </w:rPr>
              <w:t xml:space="preserve"> Kura </w:t>
            </w:r>
            <w:proofErr w:type="spellStart"/>
            <w:r w:rsidRPr="0016772B">
              <w:rPr>
                <w:lang w:val="en-NZ"/>
              </w:rPr>
              <w:t>Kāinga</w:t>
            </w:r>
            <w:proofErr w:type="spellEnd"/>
            <w:r w:rsidRPr="0016772B">
              <w:rPr>
                <w:lang w:val="en-NZ"/>
              </w:rPr>
              <w:t xml:space="preserve"> – Ministry of Housing and Urban Development</w:t>
            </w:r>
            <w:r>
              <w:rPr>
                <w:lang w:val="en-NZ"/>
              </w:rPr>
              <w:t xml:space="preserve"> (HUD)</w:t>
            </w:r>
          </w:p>
        </w:tc>
      </w:tr>
      <w:tr w:rsidR="001F29E6" w:rsidRPr="00A864A5" w14:paraId="568C5BEC" w14:textId="77777777" w:rsidTr="006448CF">
        <w:trPr>
          <w:trHeight w:val="317"/>
        </w:trPr>
        <w:tc>
          <w:tcPr>
            <w:tcW w:w="1328" w:type="pct"/>
            <w:tcBorders>
              <w:top w:val="nil"/>
            </w:tcBorders>
            <w:shd w:val="clear" w:color="auto" w:fill="EBF5F8"/>
          </w:tcPr>
          <w:p w14:paraId="0F68A519" w14:textId="4F678206" w:rsidR="001F29E6" w:rsidRPr="00A864A5" w:rsidRDefault="001F29E6" w:rsidP="007C5A05">
            <w:pPr>
              <w:rPr>
                <w:rFonts w:cs="Arial"/>
                <w:iCs/>
                <w:color w:val="000000"/>
                <w:szCs w:val="22"/>
                <w:lang w:val="en-NZ"/>
              </w:rPr>
            </w:pPr>
            <w:r w:rsidRPr="00A864A5">
              <w:rPr>
                <w:rFonts w:cs="Arial"/>
                <w:iCs/>
                <w:color w:val="000000"/>
                <w:szCs w:val="22"/>
                <w:lang w:val="en-NZ"/>
              </w:rPr>
              <w:t>Proposing Minister</w:t>
            </w:r>
            <w:r w:rsidR="000C29FA">
              <w:rPr>
                <w:rFonts w:cs="Arial"/>
                <w:iCs/>
                <w:color w:val="000000"/>
                <w:szCs w:val="22"/>
                <w:lang w:val="en-NZ"/>
              </w:rPr>
              <w:t>s:</w:t>
            </w:r>
          </w:p>
        </w:tc>
        <w:tc>
          <w:tcPr>
            <w:tcW w:w="3672" w:type="pct"/>
            <w:tcBorders>
              <w:top w:val="nil"/>
            </w:tcBorders>
            <w:shd w:val="clear" w:color="auto" w:fill="auto"/>
          </w:tcPr>
          <w:p w14:paraId="4D3C832C" w14:textId="7985A012" w:rsidR="001F29E6" w:rsidRPr="00573CDD" w:rsidRDefault="00573CDD" w:rsidP="007C5A05">
            <w:pPr>
              <w:rPr>
                <w:rFonts w:cs="Arial"/>
                <w:iCs/>
                <w:color w:val="000000"/>
                <w:szCs w:val="22"/>
                <w:lang w:val="en-NZ"/>
              </w:rPr>
            </w:pPr>
            <w:r w:rsidRPr="00573CDD">
              <w:rPr>
                <w:rFonts w:cs="Arial"/>
                <w:iCs/>
                <w:color w:val="000000"/>
                <w:szCs w:val="22"/>
                <w:lang w:val="en-NZ"/>
              </w:rPr>
              <w:t>Hon Carmel Sepuloni, Minister for Social Development and Employment (lead Minister)</w:t>
            </w:r>
          </w:p>
          <w:p w14:paraId="3C92607C" w14:textId="5925076D" w:rsidR="00573CDD" w:rsidRPr="00573CDD" w:rsidRDefault="00573CDD" w:rsidP="007C5A05">
            <w:pPr>
              <w:rPr>
                <w:rFonts w:cs="Arial"/>
                <w:iCs/>
                <w:color w:val="000000"/>
                <w:szCs w:val="22"/>
                <w:lang w:val="en-NZ"/>
              </w:rPr>
            </w:pPr>
            <w:r w:rsidRPr="00573CDD">
              <w:rPr>
                <w:rFonts w:cs="Arial"/>
                <w:iCs/>
                <w:color w:val="000000"/>
                <w:szCs w:val="22"/>
                <w:lang w:val="en-NZ"/>
              </w:rPr>
              <w:t>Hon Dr Megan Woods, Minister of Housing</w:t>
            </w:r>
          </w:p>
        </w:tc>
      </w:tr>
      <w:tr w:rsidR="00C11B3B" w:rsidRPr="00A864A5" w14:paraId="73C7C7FD" w14:textId="77777777" w:rsidTr="006448CF">
        <w:trPr>
          <w:trHeight w:val="202"/>
        </w:trPr>
        <w:tc>
          <w:tcPr>
            <w:tcW w:w="1328" w:type="pct"/>
            <w:tcBorders>
              <w:top w:val="nil"/>
            </w:tcBorders>
            <w:shd w:val="clear" w:color="auto" w:fill="EBF5F8"/>
          </w:tcPr>
          <w:p w14:paraId="5B57759D" w14:textId="6F936C83" w:rsidR="00C11B3B" w:rsidRPr="00A864A5" w:rsidRDefault="00C11B3B" w:rsidP="007C5A05">
            <w:pPr>
              <w:rPr>
                <w:rFonts w:cs="Arial"/>
                <w:iCs/>
                <w:color w:val="000000"/>
                <w:szCs w:val="22"/>
                <w:lang w:val="en-NZ"/>
              </w:rPr>
            </w:pPr>
            <w:r w:rsidRPr="00A864A5">
              <w:rPr>
                <w:rFonts w:cs="Arial"/>
                <w:iCs/>
                <w:color w:val="000000"/>
                <w:szCs w:val="22"/>
                <w:lang w:val="en-NZ"/>
              </w:rPr>
              <w:t>Date</w:t>
            </w:r>
            <w:r w:rsidR="002C0E77">
              <w:rPr>
                <w:rFonts w:cs="Arial"/>
                <w:iCs/>
                <w:color w:val="000000"/>
                <w:szCs w:val="22"/>
                <w:lang w:val="en-NZ"/>
              </w:rPr>
              <w:t xml:space="preserve"> finalised</w:t>
            </w:r>
            <w:r w:rsidRPr="00A864A5">
              <w:rPr>
                <w:rFonts w:cs="Arial"/>
                <w:iCs/>
                <w:color w:val="000000"/>
                <w:szCs w:val="22"/>
                <w:lang w:val="en-NZ"/>
              </w:rPr>
              <w:t>:</w:t>
            </w:r>
          </w:p>
        </w:tc>
        <w:tc>
          <w:tcPr>
            <w:tcW w:w="3672" w:type="pct"/>
            <w:tcBorders>
              <w:top w:val="nil"/>
            </w:tcBorders>
            <w:shd w:val="clear" w:color="auto" w:fill="auto"/>
          </w:tcPr>
          <w:p w14:paraId="4547EFD0" w14:textId="18F44A76" w:rsidR="00C11B3B" w:rsidRPr="007F54BB" w:rsidRDefault="000C40A5" w:rsidP="000C40A5">
            <w:pPr>
              <w:spacing w:after="0"/>
              <w:rPr>
                <w:rFonts w:cs="Arial"/>
                <w:szCs w:val="22"/>
                <w:lang w:val="en-NZ"/>
              </w:rPr>
            </w:pPr>
            <w:r w:rsidRPr="007F54BB">
              <w:rPr>
                <w:rFonts w:cs="Arial"/>
                <w:szCs w:val="22"/>
                <w:lang w:val="en-NZ"/>
              </w:rPr>
              <w:t>7/04/2022</w:t>
            </w:r>
          </w:p>
        </w:tc>
      </w:tr>
      <w:tr w:rsidR="0079435C" w:rsidRPr="00A864A5" w14:paraId="7F643A0E" w14:textId="77777777" w:rsidTr="006448CF">
        <w:tc>
          <w:tcPr>
            <w:tcW w:w="5000" w:type="pct"/>
            <w:gridSpan w:val="2"/>
            <w:tcBorders>
              <w:bottom w:val="single" w:sz="4" w:space="0" w:color="DDDDDD"/>
            </w:tcBorders>
            <w:shd w:val="clear" w:color="auto" w:fill="99CDDD"/>
            <w:hideMark/>
          </w:tcPr>
          <w:p w14:paraId="7F446F06" w14:textId="570ED786" w:rsidR="0079435C" w:rsidRPr="00A864A5" w:rsidRDefault="0079435C" w:rsidP="007C5A05">
            <w:pPr>
              <w:pStyle w:val="TableHeadings"/>
              <w:rPr>
                <w:color w:val="002060"/>
                <w:szCs w:val="22"/>
                <w:lang w:val="en-NZ"/>
              </w:rPr>
            </w:pPr>
            <w:r w:rsidRPr="00A864A5">
              <w:rPr>
                <w:szCs w:val="22"/>
                <w:lang w:val="en-NZ"/>
              </w:rPr>
              <w:t>Problem Definition</w:t>
            </w:r>
          </w:p>
        </w:tc>
      </w:tr>
      <w:tr w:rsidR="0079435C" w:rsidRPr="00A864A5" w14:paraId="058C86B2" w14:textId="77777777" w:rsidTr="006448CF">
        <w:trPr>
          <w:trHeight w:val="824"/>
        </w:trPr>
        <w:tc>
          <w:tcPr>
            <w:tcW w:w="5000" w:type="pct"/>
            <w:gridSpan w:val="2"/>
            <w:tcBorders>
              <w:top w:val="nil"/>
            </w:tcBorders>
            <w:shd w:val="clear" w:color="auto" w:fill="auto"/>
          </w:tcPr>
          <w:p w14:paraId="57A0CAA6" w14:textId="7D5EBCAD" w:rsidR="0031495D" w:rsidRDefault="0031495D" w:rsidP="00C521A4">
            <w:pPr>
              <w:tabs>
                <w:tab w:val="left" w:pos="7424"/>
                <w:tab w:val="right" w:pos="8636"/>
              </w:tabs>
              <w:rPr>
                <w:lang w:val="en-NZ"/>
              </w:rPr>
            </w:pPr>
            <w:r>
              <w:rPr>
                <w:rFonts w:cs="Arial"/>
                <w:szCs w:val="22"/>
                <w:lang w:val="en-NZ"/>
              </w:rPr>
              <w:t xml:space="preserve">The upfront costs </w:t>
            </w:r>
            <w:r w:rsidR="00E2602E">
              <w:rPr>
                <w:rFonts w:cs="Arial"/>
                <w:szCs w:val="22"/>
                <w:lang w:val="en-NZ"/>
              </w:rPr>
              <w:t>of</w:t>
            </w:r>
            <w:r>
              <w:rPr>
                <w:rFonts w:cs="Arial"/>
                <w:szCs w:val="22"/>
                <w:lang w:val="en-NZ"/>
              </w:rPr>
              <w:t xml:space="preserve"> accessing a private tenancy are high, particularly for lower-income households. I</w:t>
            </w:r>
            <w:r>
              <w:rPr>
                <w:lang w:val="en-NZ"/>
              </w:rPr>
              <w:t xml:space="preserve">n most cases private landlords require the equivalent of six weeks’ rent upfront (made up of four weeks for bond and two weeks for rent in advance). In addition to </w:t>
            </w:r>
            <w:r w:rsidR="00E2602E">
              <w:rPr>
                <w:lang w:val="en-NZ"/>
              </w:rPr>
              <w:t>the costs of accessing a private tenancy</w:t>
            </w:r>
            <w:r>
              <w:rPr>
                <w:lang w:val="en-NZ"/>
              </w:rPr>
              <w:t xml:space="preserve">, </w:t>
            </w:r>
            <w:r w:rsidR="00E2602E">
              <w:rPr>
                <w:lang w:val="en-NZ"/>
              </w:rPr>
              <w:t xml:space="preserve">lower-income households are at greater risk of falling into rent arrears. </w:t>
            </w:r>
          </w:p>
          <w:p w14:paraId="4E82FBC4" w14:textId="5B3C0C9C" w:rsidR="0031495D" w:rsidRDefault="0031495D" w:rsidP="00C521A4">
            <w:pPr>
              <w:tabs>
                <w:tab w:val="left" w:pos="7424"/>
                <w:tab w:val="right" w:pos="8636"/>
              </w:tabs>
              <w:rPr>
                <w:lang w:val="en-NZ"/>
              </w:rPr>
            </w:pPr>
            <w:r>
              <w:rPr>
                <w:lang w:val="en-NZ"/>
              </w:rPr>
              <w:t>To assist lower-income households</w:t>
            </w:r>
            <w:r w:rsidR="002C165B">
              <w:rPr>
                <w:lang w:val="en-NZ"/>
              </w:rPr>
              <w:t xml:space="preserve"> to</w:t>
            </w:r>
            <w:r>
              <w:rPr>
                <w:lang w:val="en-NZ"/>
              </w:rPr>
              <w:t xml:space="preserve"> access and sustain a private tenancy, MSD provides a range of financial support</w:t>
            </w:r>
            <w:r w:rsidR="005878D5">
              <w:rPr>
                <w:lang w:val="en-NZ"/>
              </w:rPr>
              <w:t>s</w:t>
            </w:r>
            <w:r>
              <w:rPr>
                <w:lang w:val="en-NZ"/>
              </w:rPr>
              <w:t xml:space="preserve">, each targeting </w:t>
            </w:r>
            <w:r w:rsidR="007F54BB">
              <w:rPr>
                <w:lang w:val="en-NZ"/>
              </w:rPr>
              <w:t xml:space="preserve">a </w:t>
            </w:r>
            <w:r>
              <w:rPr>
                <w:lang w:val="en-NZ"/>
              </w:rPr>
              <w:t xml:space="preserve">different group: </w:t>
            </w:r>
          </w:p>
          <w:p w14:paraId="134BE762" w14:textId="7A4C1436" w:rsidR="00C521A4" w:rsidRDefault="00C521A4" w:rsidP="00840D28">
            <w:pPr>
              <w:pStyle w:val="ListParagraph"/>
              <w:numPr>
                <w:ilvl w:val="0"/>
                <w:numId w:val="32"/>
              </w:numPr>
              <w:tabs>
                <w:tab w:val="left" w:pos="7424"/>
                <w:tab w:val="right" w:pos="8636"/>
              </w:tabs>
              <w:ind w:left="714" w:hanging="357"/>
              <w:contextualSpacing w:val="0"/>
              <w:rPr>
                <w:lang w:val="en-NZ"/>
              </w:rPr>
            </w:pPr>
            <w:r>
              <w:rPr>
                <w:lang w:val="en-NZ"/>
              </w:rPr>
              <w:t>Advance Payment of Benefit (an Advance) paid to lower-income households receiving a benefit</w:t>
            </w:r>
            <w:r w:rsidR="00D475D9">
              <w:rPr>
                <w:lang w:val="en-NZ"/>
              </w:rPr>
              <w:t xml:space="preserve"> (including New Zealand Superannuation or a Veteran’s Pension)</w:t>
            </w:r>
          </w:p>
          <w:p w14:paraId="61F8653A" w14:textId="7BBB4190" w:rsidR="00C521A4" w:rsidRDefault="00C521A4" w:rsidP="00840D28">
            <w:pPr>
              <w:pStyle w:val="ListParagraph"/>
              <w:numPr>
                <w:ilvl w:val="0"/>
                <w:numId w:val="32"/>
              </w:numPr>
              <w:tabs>
                <w:tab w:val="left" w:pos="7424"/>
                <w:tab w:val="right" w:pos="8636"/>
              </w:tabs>
              <w:ind w:left="714" w:hanging="357"/>
              <w:contextualSpacing w:val="0"/>
              <w:rPr>
                <w:lang w:val="en-NZ"/>
              </w:rPr>
            </w:pPr>
            <w:r>
              <w:rPr>
                <w:lang w:val="en-NZ"/>
              </w:rPr>
              <w:t>Recoverable Assistance Payment</w:t>
            </w:r>
            <w:r w:rsidR="00D475D9">
              <w:rPr>
                <w:lang w:val="en-NZ"/>
              </w:rPr>
              <w:t xml:space="preserve"> (RAP)</w:t>
            </w:r>
            <w:r>
              <w:rPr>
                <w:lang w:val="en-NZ"/>
              </w:rPr>
              <w:t xml:space="preserve"> paid to lower-income </w:t>
            </w:r>
            <w:r w:rsidR="00D475D9">
              <w:rPr>
                <w:lang w:val="en-NZ"/>
              </w:rPr>
              <w:t xml:space="preserve">non-beneficiary </w:t>
            </w:r>
            <w:r>
              <w:rPr>
                <w:lang w:val="en-NZ"/>
              </w:rPr>
              <w:t xml:space="preserve">households who </w:t>
            </w:r>
            <w:r w:rsidR="007F54BB">
              <w:rPr>
                <w:lang w:val="en-NZ"/>
              </w:rPr>
              <w:t>come within</w:t>
            </w:r>
            <w:r w:rsidR="00820472">
              <w:rPr>
                <w:lang w:val="en-NZ"/>
              </w:rPr>
              <w:t xml:space="preserve"> certain income and asset limits</w:t>
            </w:r>
          </w:p>
          <w:p w14:paraId="11505EFB" w14:textId="03DEC051" w:rsidR="00C521A4" w:rsidRDefault="00C521A4" w:rsidP="00840D28">
            <w:pPr>
              <w:pStyle w:val="ListParagraph"/>
              <w:numPr>
                <w:ilvl w:val="0"/>
                <w:numId w:val="32"/>
              </w:numPr>
              <w:tabs>
                <w:tab w:val="left" w:pos="7424"/>
                <w:tab w:val="right" w:pos="8636"/>
              </w:tabs>
              <w:ind w:left="714" w:hanging="357"/>
              <w:contextualSpacing w:val="0"/>
              <w:rPr>
                <w:lang w:val="en-NZ"/>
              </w:rPr>
            </w:pPr>
            <w:r>
              <w:rPr>
                <w:lang w:val="en-NZ"/>
              </w:rPr>
              <w:t xml:space="preserve">Housing Support Products (HSPs) paid to lower-income households whose income is too high to receive </w:t>
            </w:r>
            <w:r w:rsidR="0031495D">
              <w:rPr>
                <w:lang w:val="en-NZ"/>
              </w:rPr>
              <w:t>either an Advance or RAP</w:t>
            </w:r>
            <w:r>
              <w:rPr>
                <w:lang w:val="en-NZ"/>
              </w:rPr>
              <w:t xml:space="preserve"> but still within the income</w:t>
            </w:r>
            <w:r w:rsidR="0031495D">
              <w:rPr>
                <w:lang w:val="en-NZ"/>
              </w:rPr>
              <w:t xml:space="preserve"> and </w:t>
            </w:r>
            <w:r>
              <w:rPr>
                <w:lang w:val="en-NZ"/>
              </w:rPr>
              <w:t>asset limits for HSPs</w:t>
            </w:r>
            <w:r w:rsidR="005878D5">
              <w:rPr>
                <w:lang w:val="en-NZ"/>
              </w:rPr>
              <w:t>.</w:t>
            </w:r>
          </w:p>
          <w:p w14:paraId="52F0C487" w14:textId="66DBB557" w:rsidR="00EF5CBA" w:rsidRDefault="00D27EEA" w:rsidP="007C5A05">
            <w:pPr>
              <w:tabs>
                <w:tab w:val="left" w:pos="7424"/>
                <w:tab w:val="right" w:pos="8636"/>
              </w:tabs>
              <w:rPr>
                <w:lang w:val="en-NZ"/>
              </w:rPr>
            </w:pPr>
            <w:r>
              <w:rPr>
                <w:lang w:val="en-NZ"/>
              </w:rPr>
              <w:t xml:space="preserve">The policy settings of these </w:t>
            </w:r>
            <w:r w:rsidR="00B723C1">
              <w:rPr>
                <w:lang w:val="en-NZ"/>
              </w:rPr>
              <w:t>programmes</w:t>
            </w:r>
            <w:r>
              <w:rPr>
                <w:lang w:val="en-NZ"/>
              </w:rPr>
              <w:t xml:space="preserve"> have not been updated in recent years</w:t>
            </w:r>
            <w:r w:rsidR="0031495D">
              <w:rPr>
                <w:lang w:val="en-NZ"/>
              </w:rPr>
              <w:t>, despite worsening housing conditions for lower-income households. The maximum payments have</w:t>
            </w:r>
            <w:r>
              <w:rPr>
                <w:lang w:val="en-NZ"/>
              </w:rPr>
              <w:t xml:space="preserve"> not kept pace with increasing rents</w:t>
            </w:r>
            <w:r w:rsidR="0031495D">
              <w:rPr>
                <w:lang w:val="en-NZ"/>
              </w:rPr>
              <w:t xml:space="preserve">, and the cap on the number of times a household can receive a grant per year is restrictive. </w:t>
            </w:r>
          </w:p>
          <w:p w14:paraId="4EBB6131" w14:textId="59CF2B12" w:rsidR="0079435C" w:rsidRPr="007F54BB" w:rsidRDefault="008B7E3F" w:rsidP="007C5A05">
            <w:pPr>
              <w:tabs>
                <w:tab w:val="left" w:pos="7424"/>
                <w:tab w:val="right" w:pos="8636"/>
              </w:tabs>
              <w:rPr>
                <w:lang w:val="en-NZ"/>
              </w:rPr>
            </w:pPr>
            <w:r>
              <w:rPr>
                <w:lang w:val="en-NZ"/>
              </w:rPr>
              <w:t xml:space="preserve">As well as support </w:t>
            </w:r>
            <w:r w:rsidR="0031495D">
              <w:rPr>
                <w:lang w:val="en-NZ"/>
              </w:rPr>
              <w:t>being unresponsive to the needs of lower-income households</w:t>
            </w:r>
            <w:r>
              <w:rPr>
                <w:lang w:val="en-NZ"/>
              </w:rPr>
              <w:t>, t</w:t>
            </w:r>
            <w:r w:rsidR="00BB1FD0">
              <w:rPr>
                <w:lang w:val="en-NZ"/>
              </w:rPr>
              <w:t xml:space="preserve">here </w:t>
            </w:r>
            <w:r w:rsidR="00106357">
              <w:rPr>
                <w:lang w:val="en-NZ"/>
              </w:rPr>
              <w:t>is</w:t>
            </w:r>
            <w:r w:rsidR="00BB1FD0">
              <w:rPr>
                <w:lang w:val="en-NZ"/>
              </w:rPr>
              <w:t xml:space="preserve"> </w:t>
            </w:r>
            <w:r>
              <w:rPr>
                <w:lang w:val="en-NZ"/>
              </w:rPr>
              <w:t xml:space="preserve">an </w:t>
            </w:r>
            <w:r w:rsidR="00BB1FD0">
              <w:rPr>
                <w:lang w:val="en-NZ"/>
              </w:rPr>
              <w:t>equity issue with the current structure of support</w:t>
            </w:r>
            <w:r>
              <w:rPr>
                <w:lang w:val="en-NZ"/>
              </w:rPr>
              <w:t xml:space="preserve">. </w:t>
            </w:r>
            <w:r w:rsidR="00BB1FD0">
              <w:rPr>
                <w:lang w:val="en-NZ"/>
              </w:rPr>
              <w:t xml:space="preserve">HSPs </w:t>
            </w:r>
            <w:r w:rsidR="00106357">
              <w:rPr>
                <w:lang w:val="en-NZ"/>
              </w:rPr>
              <w:t xml:space="preserve">clients </w:t>
            </w:r>
            <w:proofErr w:type="gramStart"/>
            <w:r w:rsidR="00106357">
              <w:rPr>
                <w:lang w:val="en-NZ"/>
              </w:rPr>
              <w:t>are able to</w:t>
            </w:r>
            <w:proofErr w:type="gramEnd"/>
            <w:r w:rsidR="00106357">
              <w:rPr>
                <w:lang w:val="en-NZ"/>
              </w:rPr>
              <w:t xml:space="preserve"> receive non-recoverable assistance (assistance which is not required to be repaid) whereas Advances and RAPs clients are only able to receive recoverable assistance, despite </w:t>
            </w:r>
            <w:r w:rsidR="0031495D">
              <w:rPr>
                <w:lang w:val="en-NZ"/>
              </w:rPr>
              <w:t xml:space="preserve">having lower incomes and </w:t>
            </w:r>
            <w:r w:rsidR="005878D5">
              <w:rPr>
                <w:lang w:val="en-NZ"/>
              </w:rPr>
              <w:t xml:space="preserve">fewer </w:t>
            </w:r>
            <w:r w:rsidR="0031495D">
              <w:rPr>
                <w:lang w:val="en-NZ"/>
              </w:rPr>
              <w:t>assets.</w:t>
            </w:r>
            <w:r w:rsidR="00106357">
              <w:rPr>
                <w:lang w:val="en-NZ"/>
              </w:rPr>
              <w:t xml:space="preserve"> </w:t>
            </w:r>
          </w:p>
        </w:tc>
      </w:tr>
      <w:tr w:rsidR="00C93549" w:rsidRPr="00A864A5" w14:paraId="7CED8916" w14:textId="77777777" w:rsidTr="006448CF">
        <w:tc>
          <w:tcPr>
            <w:tcW w:w="5000" w:type="pct"/>
            <w:gridSpan w:val="2"/>
            <w:tcBorders>
              <w:bottom w:val="single" w:sz="4" w:space="0" w:color="DDDDDD"/>
            </w:tcBorders>
            <w:shd w:val="clear" w:color="auto" w:fill="99CDDD"/>
            <w:hideMark/>
          </w:tcPr>
          <w:p w14:paraId="163B530B" w14:textId="0ACEE607" w:rsidR="00C93549" w:rsidRPr="00A864A5" w:rsidRDefault="00063943" w:rsidP="007C5A05">
            <w:pPr>
              <w:pStyle w:val="TableHeadings"/>
              <w:rPr>
                <w:color w:val="002060"/>
                <w:szCs w:val="22"/>
                <w:lang w:val="en-NZ"/>
              </w:rPr>
            </w:pPr>
            <w:bookmarkStart w:id="2" w:name="_Hlk57202117"/>
            <w:r w:rsidRPr="00A864A5">
              <w:rPr>
                <w:szCs w:val="22"/>
                <w:lang w:val="en-NZ"/>
              </w:rPr>
              <w:lastRenderedPageBreak/>
              <w:t>Exe</w:t>
            </w:r>
            <w:r w:rsidR="0079435C" w:rsidRPr="00A864A5">
              <w:rPr>
                <w:szCs w:val="22"/>
                <w:lang w:val="en-NZ"/>
              </w:rPr>
              <w:t>cutive Summary</w:t>
            </w:r>
          </w:p>
        </w:tc>
      </w:tr>
      <w:tr w:rsidR="00FE3199" w:rsidRPr="00A864A5" w14:paraId="6B25993E" w14:textId="77777777" w:rsidTr="006448CF">
        <w:trPr>
          <w:trHeight w:val="944"/>
        </w:trPr>
        <w:tc>
          <w:tcPr>
            <w:tcW w:w="5000" w:type="pct"/>
            <w:gridSpan w:val="2"/>
            <w:tcBorders>
              <w:top w:val="nil"/>
            </w:tcBorders>
            <w:shd w:val="clear" w:color="auto" w:fill="auto"/>
          </w:tcPr>
          <w:p w14:paraId="02F28E66" w14:textId="0A8819A0" w:rsidR="00EB01ED" w:rsidRDefault="00A01B9E" w:rsidP="00A01B9E">
            <w:pPr>
              <w:rPr>
                <w:lang w:val="en-NZ"/>
              </w:rPr>
            </w:pPr>
            <w:r>
              <w:rPr>
                <w:lang w:val="en-NZ"/>
              </w:rPr>
              <w:t xml:space="preserve">Since the 1990s, rental stress has </w:t>
            </w:r>
            <w:r w:rsidR="00B723C1">
              <w:rPr>
                <w:lang w:val="en-NZ"/>
              </w:rPr>
              <w:t>exacerbated</w:t>
            </w:r>
            <w:r>
              <w:rPr>
                <w:lang w:val="en-NZ"/>
              </w:rPr>
              <w:t xml:space="preserve"> among lower-income New Zealanders.</w:t>
            </w:r>
            <w:r w:rsidR="00EB01ED">
              <w:rPr>
                <w:lang w:val="en-NZ"/>
              </w:rPr>
              <w:t xml:space="preserve"> </w:t>
            </w:r>
            <w:r w:rsidR="00D475D9">
              <w:rPr>
                <w:lang w:val="en-NZ"/>
              </w:rPr>
              <w:t>I</w:t>
            </w:r>
            <w:r w:rsidR="00EB01ED">
              <w:rPr>
                <w:lang w:val="en-NZ"/>
              </w:rPr>
              <w:t>ncreasing rents</w:t>
            </w:r>
            <w:r w:rsidR="00EA76A3">
              <w:rPr>
                <w:lang w:val="en-NZ"/>
              </w:rPr>
              <w:t xml:space="preserve"> relative to main benefits and wages</w:t>
            </w:r>
            <w:r w:rsidR="00295ACF">
              <w:rPr>
                <w:lang w:val="en-NZ"/>
              </w:rPr>
              <w:t xml:space="preserve"> </w:t>
            </w:r>
            <w:r w:rsidR="007F54BB">
              <w:rPr>
                <w:lang w:val="en-NZ"/>
              </w:rPr>
              <w:t>have</w:t>
            </w:r>
            <w:r w:rsidR="005878D5">
              <w:rPr>
                <w:lang w:val="en-NZ"/>
              </w:rPr>
              <w:t xml:space="preserve"> contributed to high rental stress, </w:t>
            </w:r>
            <w:r w:rsidR="00295ACF">
              <w:rPr>
                <w:lang w:val="en-NZ"/>
              </w:rPr>
              <w:t>high rates of mobility</w:t>
            </w:r>
            <w:r w:rsidR="00F00BFE">
              <w:rPr>
                <w:lang w:val="en-NZ"/>
              </w:rPr>
              <w:t>, housing insecurity and homeless</w:t>
            </w:r>
            <w:r w:rsidR="005878D5">
              <w:rPr>
                <w:lang w:val="en-NZ"/>
              </w:rPr>
              <w:t>ness</w:t>
            </w:r>
            <w:r w:rsidR="00F00BFE">
              <w:rPr>
                <w:lang w:val="en-NZ"/>
              </w:rPr>
              <w:t>. Adding to the financial strain</w:t>
            </w:r>
            <w:r w:rsidR="00921EA4">
              <w:rPr>
                <w:lang w:val="en-NZ"/>
              </w:rPr>
              <w:t xml:space="preserve"> of lower-income households</w:t>
            </w:r>
            <w:r w:rsidR="00EF67BC">
              <w:rPr>
                <w:lang w:val="en-NZ"/>
              </w:rPr>
              <w:t xml:space="preserve"> in the private rental market</w:t>
            </w:r>
            <w:r w:rsidR="00F00BFE">
              <w:rPr>
                <w:lang w:val="en-NZ"/>
              </w:rPr>
              <w:t xml:space="preserve">, MSD supports (Advances, RAPs and HSPs) have </w:t>
            </w:r>
            <w:r w:rsidR="00921EA4">
              <w:rPr>
                <w:lang w:val="en-NZ"/>
              </w:rPr>
              <w:t>not kept pace with increases in rents and high rates of mobility, constraining their</w:t>
            </w:r>
            <w:r w:rsidR="00EB01ED">
              <w:rPr>
                <w:lang w:val="en-NZ"/>
              </w:rPr>
              <w:t xml:space="preserve"> ability </w:t>
            </w:r>
            <w:r w:rsidR="00F00BFE">
              <w:rPr>
                <w:lang w:val="en-NZ"/>
              </w:rPr>
              <w:t xml:space="preserve">to </w:t>
            </w:r>
            <w:r w:rsidR="00EB01ED">
              <w:rPr>
                <w:lang w:val="en-NZ"/>
              </w:rPr>
              <w:t xml:space="preserve">effectively support </w:t>
            </w:r>
            <w:r w:rsidR="00EA76A3">
              <w:rPr>
                <w:lang w:val="en-NZ"/>
              </w:rPr>
              <w:t>the groups these supports were designed to.</w:t>
            </w:r>
          </w:p>
          <w:p w14:paraId="49E956A2" w14:textId="38315ADB" w:rsidR="00EB01ED" w:rsidRDefault="00EB01ED" w:rsidP="00EB01ED">
            <w:pPr>
              <w:rPr>
                <w:lang w:val="en-NZ"/>
              </w:rPr>
            </w:pPr>
            <w:r>
              <w:rPr>
                <w:lang w:val="en-NZ"/>
              </w:rPr>
              <w:t xml:space="preserve">In addition to inadequate </w:t>
            </w:r>
            <w:r w:rsidR="00921EA4">
              <w:rPr>
                <w:lang w:val="en-NZ"/>
              </w:rPr>
              <w:t>support in the current rental market, the</w:t>
            </w:r>
            <w:r>
              <w:rPr>
                <w:lang w:val="en-NZ"/>
              </w:rPr>
              <w:t xml:space="preserve"> introduction of HSPs</w:t>
            </w:r>
            <w:r w:rsidR="00FA27FF">
              <w:rPr>
                <w:lang w:val="en-NZ"/>
              </w:rPr>
              <w:t xml:space="preserve"> in 201</w:t>
            </w:r>
            <w:r w:rsidR="00921EA4">
              <w:rPr>
                <w:lang w:val="en-NZ"/>
              </w:rPr>
              <w:t>4</w:t>
            </w:r>
            <w:r>
              <w:rPr>
                <w:lang w:val="en-NZ"/>
              </w:rPr>
              <w:t xml:space="preserve"> has led to an </w:t>
            </w:r>
            <w:r w:rsidR="00295ACF">
              <w:rPr>
                <w:lang w:val="en-NZ"/>
              </w:rPr>
              <w:t>inequitable</w:t>
            </w:r>
            <w:r>
              <w:rPr>
                <w:lang w:val="en-NZ"/>
              </w:rPr>
              <w:t xml:space="preserve"> system</w:t>
            </w:r>
            <w:r w:rsidR="00EA76A3">
              <w:rPr>
                <w:lang w:val="en-NZ"/>
              </w:rPr>
              <w:t>. L</w:t>
            </w:r>
            <w:r>
              <w:rPr>
                <w:lang w:val="en-NZ"/>
              </w:rPr>
              <w:t xml:space="preserve">ower-income households eligible for an Advance or RAP </w:t>
            </w:r>
            <w:r w:rsidR="00EA76A3">
              <w:rPr>
                <w:lang w:val="en-NZ"/>
              </w:rPr>
              <w:t>are not able to</w:t>
            </w:r>
            <w:r w:rsidR="00295ACF">
              <w:rPr>
                <w:lang w:val="en-NZ"/>
              </w:rPr>
              <w:t xml:space="preserve"> access the non-recoverable forms of assistance</w:t>
            </w:r>
            <w:r w:rsidR="00EA76A3">
              <w:rPr>
                <w:lang w:val="en-NZ"/>
              </w:rPr>
              <w:t xml:space="preserve"> which</w:t>
            </w:r>
            <w:r w:rsidR="00295ACF">
              <w:rPr>
                <w:lang w:val="en-NZ"/>
              </w:rPr>
              <w:t xml:space="preserve"> higher income HSPs clients </w:t>
            </w:r>
            <w:r w:rsidR="00EA76A3">
              <w:rPr>
                <w:lang w:val="en-NZ"/>
              </w:rPr>
              <w:t>are entitled to</w:t>
            </w:r>
            <w:r w:rsidR="00295ACF">
              <w:rPr>
                <w:lang w:val="en-NZ"/>
              </w:rPr>
              <w:t xml:space="preserve">. </w:t>
            </w:r>
          </w:p>
          <w:p w14:paraId="2E35A551" w14:textId="3DF8F945" w:rsidR="00EB01ED" w:rsidRDefault="00EB01ED" w:rsidP="00EB01ED">
            <w:pPr>
              <w:tabs>
                <w:tab w:val="left" w:pos="7424"/>
                <w:tab w:val="right" w:pos="8636"/>
              </w:tabs>
              <w:rPr>
                <w:lang w:val="en-NZ"/>
              </w:rPr>
            </w:pPr>
            <w:proofErr w:type="gramStart"/>
            <w:r>
              <w:rPr>
                <w:lang w:val="en-NZ"/>
              </w:rPr>
              <w:t>In light of</w:t>
            </w:r>
            <w:proofErr w:type="gramEnd"/>
            <w:r>
              <w:rPr>
                <w:lang w:val="en-NZ"/>
              </w:rPr>
              <w:t xml:space="preserve"> these issues, MSD and HUD </w:t>
            </w:r>
            <w:r w:rsidR="00EA76A3">
              <w:rPr>
                <w:lang w:val="en-NZ"/>
              </w:rPr>
              <w:t xml:space="preserve">officials </w:t>
            </w:r>
            <w:r>
              <w:rPr>
                <w:lang w:val="en-NZ"/>
              </w:rPr>
              <w:t xml:space="preserve">have developed a package of changes </w:t>
            </w:r>
            <w:r w:rsidR="00D475D9">
              <w:rPr>
                <w:lang w:val="en-NZ"/>
              </w:rPr>
              <w:t>for consideration by Cabinet.</w:t>
            </w:r>
            <w:r w:rsidR="00D475D9" w:rsidRPr="00B578BB">
              <w:rPr>
                <w:lang w:val="en-NZ"/>
              </w:rPr>
              <w:t xml:space="preserve"> The</w:t>
            </w:r>
            <w:r w:rsidRPr="00B578BB">
              <w:rPr>
                <w:lang w:val="en-NZ"/>
              </w:rPr>
              <w:t xml:space="preserve"> </w:t>
            </w:r>
            <w:r>
              <w:rPr>
                <w:lang w:val="en-NZ"/>
              </w:rPr>
              <w:t>proposal</w:t>
            </w:r>
            <w:r w:rsidRPr="00B578BB">
              <w:rPr>
                <w:lang w:val="en-NZ"/>
              </w:rPr>
              <w:t xml:space="preserve"> </w:t>
            </w:r>
            <w:r w:rsidR="00D475D9">
              <w:rPr>
                <w:lang w:val="en-NZ"/>
              </w:rPr>
              <w:t xml:space="preserve">will </w:t>
            </w:r>
            <w:r>
              <w:rPr>
                <w:lang w:val="en-NZ"/>
              </w:rPr>
              <w:t xml:space="preserve">create a new and improved programme for all one-off housing-related hardship assistance. </w:t>
            </w:r>
            <w:r w:rsidR="00FD1AF2">
              <w:rPr>
                <w:lang w:val="en-NZ"/>
              </w:rPr>
              <w:t>The</w:t>
            </w:r>
            <w:r>
              <w:rPr>
                <w:lang w:val="en-NZ"/>
              </w:rPr>
              <w:t xml:space="preserve"> </w:t>
            </w:r>
            <w:r w:rsidR="00295ACF">
              <w:rPr>
                <w:lang w:val="en-NZ"/>
              </w:rPr>
              <w:t xml:space="preserve">proposed changes will ensure </w:t>
            </w:r>
            <w:r w:rsidR="00295ACF" w:rsidRPr="002705E1">
              <w:rPr>
                <w:lang w:val="en-NZ"/>
              </w:rPr>
              <w:t>housing-related assistance function</w:t>
            </w:r>
            <w:r w:rsidR="00295ACF">
              <w:rPr>
                <w:lang w:val="en-NZ"/>
              </w:rPr>
              <w:t>s</w:t>
            </w:r>
            <w:r w:rsidR="00295ACF" w:rsidRPr="002705E1">
              <w:rPr>
                <w:lang w:val="en-NZ"/>
              </w:rPr>
              <w:t xml:space="preserve"> as intended</w:t>
            </w:r>
            <w:r w:rsidR="00295ACF">
              <w:rPr>
                <w:lang w:val="en-NZ"/>
              </w:rPr>
              <w:t>, by having</w:t>
            </w:r>
            <w:r w:rsidR="00027C4F">
              <w:rPr>
                <w:lang w:val="en-NZ"/>
              </w:rPr>
              <w:t xml:space="preserve"> maximum payment</w:t>
            </w:r>
            <w:r w:rsidR="00921EA4">
              <w:rPr>
                <w:lang w:val="en-NZ"/>
              </w:rPr>
              <w:t>s</w:t>
            </w:r>
            <w:r w:rsidR="00027C4F">
              <w:rPr>
                <w:lang w:val="en-NZ"/>
              </w:rPr>
              <w:t xml:space="preserve"> </w:t>
            </w:r>
            <w:r w:rsidR="00295ACF">
              <w:rPr>
                <w:lang w:val="en-NZ"/>
              </w:rPr>
              <w:t>that reflect</w:t>
            </w:r>
            <w:r w:rsidR="00EA76A3">
              <w:rPr>
                <w:lang w:val="en-NZ"/>
              </w:rPr>
              <w:t xml:space="preserve"> </w:t>
            </w:r>
            <w:r w:rsidR="00295ACF">
              <w:rPr>
                <w:lang w:val="en-NZ"/>
              </w:rPr>
              <w:t>actual market rents and will therefore assist more households to access and sustain their tenanc</w:t>
            </w:r>
            <w:r w:rsidR="005878D5">
              <w:rPr>
                <w:lang w:val="en-NZ"/>
              </w:rPr>
              <w:t>ies</w:t>
            </w:r>
            <w:r w:rsidR="00295ACF">
              <w:rPr>
                <w:lang w:val="en-NZ"/>
              </w:rPr>
              <w:t xml:space="preserve">. </w:t>
            </w:r>
            <w:r w:rsidR="00EA0244">
              <w:rPr>
                <w:lang w:val="en-NZ"/>
              </w:rPr>
              <w:t xml:space="preserve">There will also be an increase </w:t>
            </w:r>
            <w:r w:rsidR="00EA76A3">
              <w:rPr>
                <w:lang w:val="en-NZ"/>
              </w:rPr>
              <w:t>to</w:t>
            </w:r>
            <w:r w:rsidR="00EA0244">
              <w:rPr>
                <w:lang w:val="en-NZ"/>
              </w:rPr>
              <w:t xml:space="preserve"> the number of times </w:t>
            </w:r>
            <w:r w:rsidR="00EA76A3">
              <w:rPr>
                <w:lang w:val="en-NZ"/>
              </w:rPr>
              <w:t>households</w:t>
            </w:r>
            <w:r w:rsidR="00EA0244">
              <w:rPr>
                <w:lang w:val="en-NZ"/>
              </w:rPr>
              <w:t xml:space="preserve"> are able to receive support per year</w:t>
            </w:r>
            <w:r w:rsidR="00EA76A3">
              <w:rPr>
                <w:lang w:val="en-NZ"/>
              </w:rPr>
              <w:t xml:space="preserve">, enabling support to be more responsive to </w:t>
            </w:r>
            <w:r w:rsidR="00921EA4">
              <w:rPr>
                <w:lang w:val="en-NZ"/>
              </w:rPr>
              <w:t>households with high</w:t>
            </w:r>
            <w:r w:rsidR="00354FC5">
              <w:rPr>
                <w:lang w:val="en-NZ"/>
              </w:rPr>
              <w:t xml:space="preserve">er </w:t>
            </w:r>
            <w:r w:rsidR="00921EA4">
              <w:rPr>
                <w:lang w:val="en-NZ"/>
              </w:rPr>
              <w:t>housing insecurity</w:t>
            </w:r>
            <w:r w:rsidR="00EA0244">
              <w:rPr>
                <w:lang w:val="en-NZ"/>
              </w:rPr>
              <w:t xml:space="preserve">. Further, the proposal </w:t>
            </w:r>
            <w:r w:rsidR="00FD1AF2">
              <w:rPr>
                <w:lang w:val="en-NZ"/>
              </w:rPr>
              <w:t xml:space="preserve">will ensure that all eligible households of the programme are treated equitably, particularly in respect of </w:t>
            </w:r>
            <w:r w:rsidR="00027C4F">
              <w:rPr>
                <w:lang w:val="en-NZ"/>
              </w:rPr>
              <w:t xml:space="preserve">the </w:t>
            </w:r>
            <w:r w:rsidR="00FD1AF2">
              <w:rPr>
                <w:lang w:val="en-NZ"/>
              </w:rPr>
              <w:t>recoverability of payments.</w:t>
            </w:r>
            <w:r w:rsidR="00295ACF">
              <w:rPr>
                <w:lang w:val="en-NZ"/>
              </w:rPr>
              <w:t xml:space="preserve"> </w:t>
            </w:r>
            <w:r>
              <w:rPr>
                <w:lang w:val="en-NZ"/>
              </w:rPr>
              <w:t>This new programme will be based on a variation of existing settings of</w:t>
            </w:r>
            <w:r w:rsidR="00EA76A3">
              <w:rPr>
                <w:lang w:val="en-NZ"/>
              </w:rPr>
              <w:t xml:space="preserve"> the</w:t>
            </w:r>
            <w:r>
              <w:rPr>
                <w:lang w:val="en-NZ"/>
              </w:rPr>
              <w:t xml:space="preserve"> </w:t>
            </w:r>
            <w:r w:rsidR="00EA76A3">
              <w:rPr>
                <w:lang w:val="en-NZ"/>
              </w:rPr>
              <w:t xml:space="preserve">current </w:t>
            </w:r>
            <w:r>
              <w:rPr>
                <w:lang w:val="en-NZ"/>
              </w:rPr>
              <w:t xml:space="preserve">housing supports available (Advances, RAPs and HSPs).  </w:t>
            </w:r>
          </w:p>
          <w:p w14:paraId="147B7D65" w14:textId="1B0FF4D5" w:rsidR="00517995" w:rsidRDefault="00517995" w:rsidP="00347572">
            <w:pPr>
              <w:rPr>
                <w:lang w:val="en-NZ"/>
              </w:rPr>
            </w:pPr>
            <w:r w:rsidRPr="00B578BB">
              <w:rPr>
                <w:lang w:val="en-NZ"/>
              </w:rPr>
              <w:t>Th</w:t>
            </w:r>
            <w:r>
              <w:rPr>
                <w:lang w:val="en-NZ"/>
              </w:rPr>
              <w:t>e</w:t>
            </w:r>
            <w:r w:rsidR="005878D5">
              <w:rPr>
                <w:lang w:val="en-NZ"/>
              </w:rPr>
              <w:t xml:space="preserve"> proposal </w:t>
            </w:r>
            <w:r w:rsidRPr="00B578BB">
              <w:rPr>
                <w:lang w:val="en-NZ"/>
              </w:rPr>
              <w:t xml:space="preserve">will serve the longer-term goals of preventing homelessness and improving </w:t>
            </w:r>
            <w:r w:rsidR="007E5528">
              <w:rPr>
                <w:lang w:val="en-NZ"/>
              </w:rPr>
              <w:t>lower-income households’</w:t>
            </w:r>
            <w:r w:rsidRPr="00B578BB">
              <w:rPr>
                <w:lang w:val="en-NZ"/>
              </w:rPr>
              <w:t xml:space="preserve"> wellbeing</w:t>
            </w:r>
            <w:r w:rsidR="00F1342F">
              <w:rPr>
                <w:lang w:val="en-NZ"/>
              </w:rPr>
              <w:t xml:space="preserve">, </w:t>
            </w:r>
            <w:r w:rsidRPr="00B578BB">
              <w:rPr>
                <w:lang w:val="en-NZ"/>
              </w:rPr>
              <w:t xml:space="preserve">ensuring </w:t>
            </w:r>
            <w:r w:rsidR="00F1342F">
              <w:rPr>
                <w:lang w:val="en-NZ"/>
              </w:rPr>
              <w:t xml:space="preserve">that </w:t>
            </w:r>
            <w:r w:rsidRPr="00B578BB">
              <w:rPr>
                <w:lang w:val="en-NZ"/>
              </w:rPr>
              <w:t>they have a secure, warm, and dry home</w:t>
            </w:r>
            <w:r w:rsidR="005878D5">
              <w:rPr>
                <w:lang w:val="en-NZ"/>
              </w:rPr>
              <w:t xml:space="preserve">. The changes will reduce pressure on </w:t>
            </w:r>
            <w:r w:rsidRPr="00B578BB">
              <w:rPr>
                <w:lang w:val="en-NZ"/>
              </w:rPr>
              <w:t>emergency, transitional, and public housing.</w:t>
            </w:r>
          </w:p>
          <w:p w14:paraId="154199DE" w14:textId="5689A097" w:rsidR="00801C2C" w:rsidRDefault="00FD1AF2" w:rsidP="00347572">
            <w:pPr>
              <w:rPr>
                <w:lang w:val="en-NZ"/>
              </w:rPr>
            </w:pPr>
            <w:r>
              <w:rPr>
                <w:lang w:val="en-NZ"/>
              </w:rPr>
              <w:t>Officials</w:t>
            </w:r>
            <w:r w:rsidR="00EE204C">
              <w:rPr>
                <w:lang w:val="en-NZ"/>
              </w:rPr>
              <w:t xml:space="preserve"> expect approximately 169,000 payments to be made under the new programme per year</w:t>
            </w:r>
            <w:r w:rsidR="007E5528">
              <w:rPr>
                <w:lang w:val="en-NZ"/>
              </w:rPr>
              <w:t xml:space="preserve">, </w:t>
            </w:r>
            <w:r w:rsidR="00EE204C">
              <w:rPr>
                <w:lang w:val="en-NZ"/>
              </w:rPr>
              <w:t>10,000 more than under the status quo</w:t>
            </w:r>
            <w:r w:rsidR="0024452D">
              <w:rPr>
                <w:lang w:val="en-NZ"/>
              </w:rPr>
              <w:t>,</w:t>
            </w:r>
            <w:r w:rsidR="00EE204C">
              <w:rPr>
                <w:lang w:val="en-NZ"/>
              </w:rPr>
              <w:t xml:space="preserve"> </w:t>
            </w:r>
            <w:proofErr w:type="gramStart"/>
            <w:r w:rsidR="00EE204C">
              <w:rPr>
                <w:lang w:val="en-NZ"/>
              </w:rPr>
              <w:t>as a result of</w:t>
            </w:r>
            <w:proofErr w:type="gramEnd"/>
            <w:r w:rsidR="00EE204C">
              <w:rPr>
                <w:lang w:val="en-NZ"/>
              </w:rPr>
              <w:t xml:space="preserve"> changes to the number of times a</w:t>
            </w:r>
            <w:r>
              <w:rPr>
                <w:lang w:val="en-NZ"/>
              </w:rPr>
              <w:t>n eligible client</w:t>
            </w:r>
            <w:r w:rsidR="00EE204C">
              <w:rPr>
                <w:lang w:val="en-NZ"/>
              </w:rPr>
              <w:t xml:space="preserve"> can receive a grant</w:t>
            </w:r>
            <w:r>
              <w:rPr>
                <w:lang w:val="en-NZ"/>
              </w:rPr>
              <w:t xml:space="preserve"> per year</w:t>
            </w:r>
            <w:r w:rsidR="005878D5">
              <w:rPr>
                <w:lang w:val="en-NZ"/>
              </w:rPr>
              <w:t>.</w:t>
            </w:r>
          </w:p>
          <w:p w14:paraId="45161F3D" w14:textId="10CB5546" w:rsidR="00812142" w:rsidRDefault="00027C4F" w:rsidP="00347572">
            <w:pPr>
              <w:rPr>
                <w:lang w:val="en-NZ"/>
              </w:rPr>
            </w:pPr>
            <w:r>
              <w:rPr>
                <w:lang w:val="en-NZ"/>
              </w:rPr>
              <w:t xml:space="preserve">It is estimated that </w:t>
            </w:r>
            <w:r w:rsidR="005878D5">
              <w:rPr>
                <w:lang w:val="en-NZ"/>
              </w:rPr>
              <w:t>the new programme will cost</w:t>
            </w:r>
            <w:r w:rsidR="0050278A">
              <w:rPr>
                <w:lang w:val="en-NZ"/>
              </w:rPr>
              <w:t xml:space="preserve"> $42.003m to 2025/26 </w:t>
            </w:r>
            <w:r>
              <w:rPr>
                <w:lang w:val="en-NZ"/>
              </w:rPr>
              <w:t xml:space="preserve">over and above forecast expenditure on the existing </w:t>
            </w:r>
            <w:r w:rsidR="007E5528">
              <w:rPr>
                <w:lang w:val="en-NZ"/>
              </w:rPr>
              <w:t xml:space="preserve">three </w:t>
            </w:r>
            <w:r>
              <w:rPr>
                <w:lang w:val="en-NZ"/>
              </w:rPr>
              <w:t>programmes</w:t>
            </w:r>
            <w:r w:rsidR="00D87C73">
              <w:rPr>
                <w:lang w:val="en-NZ"/>
              </w:rPr>
              <w:t xml:space="preserve">. </w:t>
            </w:r>
            <w:r w:rsidR="00812142">
              <w:rPr>
                <w:lang w:val="en-NZ"/>
              </w:rPr>
              <w:t xml:space="preserve"> </w:t>
            </w:r>
            <w:r w:rsidR="007E5528">
              <w:rPr>
                <w:lang w:val="en-NZ"/>
              </w:rPr>
              <w:t xml:space="preserve"> </w:t>
            </w:r>
          </w:p>
          <w:p w14:paraId="32A1256D" w14:textId="27CF4528" w:rsidR="00637BB1" w:rsidRPr="00A864A5" w:rsidRDefault="00637BB1" w:rsidP="00347572">
            <w:pPr>
              <w:rPr>
                <w:lang w:val="en-NZ"/>
              </w:rPr>
            </w:pPr>
            <w:r>
              <w:rPr>
                <w:lang w:val="en-NZ"/>
              </w:rPr>
              <w:t xml:space="preserve">Implementing the new programme will </w:t>
            </w:r>
            <w:r w:rsidR="007104FE">
              <w:rPr>
                <w:lang w:val="en-NZ"/>
              </w:rPr>
              <w:t>not require any changes to primary legislation. C</w:t>
            </w:r>
            <w:r>
              <w:rPr>
                <w:lang w:val="en-NZ"/>
              </w:rPr>
              <w:t>hanges to a Ministerial Direction and Welfare Programmes under the Social Security Act 2018</w:t>
            </w:r>
            <w:r w:rsidR="007104FE">
              <w:rPr>
                <w:lang w:val="en-NZ"/>
              </w:rPr>
              <w:t xml:space="preserve"> will </w:t>
            </w:r>
            <w:r w:rsidR="005878D5">
              <w:rPr>
                <w:lang w:val="en-NZ"/>
              </w:rPr>
              <w:t>be required</w:t>
            </w:r>
            <w:r w:rsidR="007104FE">
              <w:rPr>
                <w:lang w:val="en-NZ"/>
              </w:rPr>
              <w:t xml:space="preserve">. </w:t>
            </w:r>
            <w:r w:rsidR="00D3728F">
              <w:rPr>
                <w:lang w:val="en-NZ"/>
              </w:rPr>
              <w:t>C</w:t>
            </w:r>
            <w:r w:rsidR="00686EF9">
              <w:rPr>
                <w:lang w:val="en-NZ"/>
              </w:rPr>
              <w:t>hanges to MSD’s IT systems and guidance for staff</w:t>
            </w:r>
            <w:r w:rsidR="007104FE">
              <w:rPr>
                <w:lang w:val="en-NZ"/>
              </w:rPr>
              <w:t xml:space="preserve"> </w:t>
            </w:r>
            <w:r w:rsidR="00D3728F">
              <w:rPr>
                <w:lang w:val="en-NZ"/>
              </w:rPr>
              <w:t>will be required to deliver the programme fr</w:t>
            </w:r>
            <w:r w:rsidR="007104FE">
              <w:rPr>
                <w:lang w:val="en-NZ"/>
              </w:rPr>
              <w:t>om March 2023</w:t>
            </w:r>
            <w:r>
              <w:rPr>
                <w:lang w:val="en-NZ"/>
              </w:rPr>
              <w:t>.</w:t>
            </w:r>
          </w:p>
        </w:tc>
      </w:tr>
      <w:tr w:rsidR="00E8143E" w:rsidRPr="00A864A5" w14:paraId="42ED5650" w14:textId="77777777" w:rsidTr="006448CF">
        <w:tc>
          <w:tcPr>
            <w:tcW w:w="5000" w:type="pct"/>
            <w:gridSpan w:val="2"/>
            <w:tcBorders>
              <w:bottom w:val="single" w:sz="4" w:space="0" w:color="DDDDDD"/>
            </w:tcBorders>
            <w:shd w:val="clear" w:color="auto" w:fill="99CDDD"/>
            <w:hideMark/>
          </w:tcPr>
          <w:p w14:paraId="195A9405" w14:textId="74F1F41C" w:rsidR="00E8143E" w:rsidRPr="00A864A5" w:rsidRDefault="00E8143E" w:rsidP="007C5A05">
            <w:pPr>
              <w:pStyle w:val="TableHeadings"/>
              <w:rPr>
                <w:color w:val="002060"/>
                <w:szCs w:val="22"/>
                <w:lang w:val="en-NZ"/>
              </w:rPr>
            </w:pPr>
            <w:bookmarkStart w:id="3" w:name="_Hlk57203483"/>
            <w:bookmarkEnd w:id="1"/>
            <w:bookmarkEnd w:id="2"/>
            <w:r w:rsidRPr="0016772B">
              <w:rPr>
                <w:szCs w:val="22"/>
                <w:lang w:val="en-NZ"/>
              </w:rPr>
              <w:t xml:space="preserve">Limitations </w:t>
            </w:r>
            <w:r w:rsidR="003F775E" w:rsidRPr="0016772B">
              <w:rPr>
                <w:szCs w:val="22"/>
                <w:lang w:val="en-NZ"/>
              </w:rPr>
              <w:t>and</w:t>
            </w:r>
            <w:r w:rsidRPr="0016772B">
              <w:rPr>
                <w:szCs w:val="22"/>
                <w:lang w:val="en-NZ"/>
              </w:rPr>
              <w:t xml:space="preserve"> Constraints</w:t>
            </w:r>
            <w:r w:rsidRPr="00A864A5">
              <w:rPr>
                <w:szCs w:val="22"/>
                <w:lang w:val="en-NZ"/>
              </w:rPr>
              <w:t xml:space="preserve"> on Analysis</w:t>
            </w:r>
          </w:p>
        </w:tc>
      </w:tr>
      <w:tr w:rsidR="00E8143E" w:rsidRPr="00A864A5" w14:paraId="2E89EDEC" w14:textId="77777777" w:rsidTr="006448CF">
        <w:trPr>
          <w:trHeight w:val="978"/>
        </w:trPr>
        <w:tc>
          <w:tcPr>
            <w:tcW w:w="5000" w:type="pct"/>
            <w:gridSpan w:val="2"/>
            <w:tcBorders>
              <w:top w:val="nil"/>
            </w:tcBorders>
            <w:shd w:val="clear" w:color="auto" w:fill="auto"/>
          </w:tcPr>
          <w:p w14:paraId="0955EDEE" w14:textId="7E09132C" w:rsidR="004944F9" w:rsidRDefault="006027B8" w:rsidP="00347572">
            <w:pPr>
              <w:rPr>
                <w:lang w:val="en-NZ"/>
              </w:rPr>
            </w:pPr>
            <w:r>
              <w:rPr>
                <w:lang w:val="en-NZ"/>
              </w:rPr>
              <w:t xml:space="preserve">There was limited public engagement due to the proposal being </w:t>
            </w:r>
            <w:r w:rsidR="00027C4F">
              <w:rPr>
                <w:lang w:val="en-NZ"/>
              </w:rPr>
              <w:t xml:space="preserve">developed </w:t>
            </w:r>
            <w:r w:rsidR="007E5528">
              <w:rPr>
                <w:lang w:val="en-NZ"/>
              </w:rPr>
              <w:t>for</w:t>
            </w:r>
            <w:r w:rsidR="00027C4F">
              <w:rPr>
                <w:lang w:val="en-NZ"/>
              </w:rPr>
              <w:t xml:space="preserve"> </w:t>
            </w:r>
            <w:r w:rsidR="00532FA9">
              <w:rPr>
                <w:lang w:val="en-NZ"/>
              </w:rPr>
              <w:t xml:space="preserve">the </w:t>
            </w:r>
            <w:r w:rsidR="00027C4F">
              <w:rPr>
                <w:lang w:val="en-NZ"/>
              </w:rPr>
              <w:t>2022 Budget</w:t>
            </w:r>
            <w:r>
              <w:rPr>
                <w:lang w:val="en-NZ"/>
              </w:rPr>
              <w:t xml:space="preserve">. </w:t>
            </w:r>
            <w:r w:rsidR="000E4E50">
              <w:rPr>
                <w:lang w:val="en-NZ"/>
              </w:rPr>
              <w:t xml:space="preserve">However, </w:t>
            </w:r>
            <w:r w:rsidR="005E1E1C">
              <w:rPr>
                <w:lang w:val="en-NZ"/>
              </w:rPr>
              <w:t>MSD and HUD did hold some targeted engagement on overall challenges regarding current supports with the following groups</w:t>
            </w:r>
            <w:r w:rsidR="00CE3E3B">
              <w:rPr>
                <w:lang w:val="en-NZ"/>
              </w:rPr>
              <w:t>:</w:t>
            </w:r>
            <w:r w:rsidR="004944F9" w:rsidRPr="004944F9">
              <w:rPr>
                <w:lang w:val="en-NZ"/>
              </w:rPr>
              <w:t xml:space="preserve"> </w:t>
            </w:r>
          </w:p>
          <w:p w14:paraId="3454505A" w14:textId="46FBF6E0" w:rsidR="005E1E1C" w:rsidRPr="005E1E1C" w:rsidRDefault="004944F9" w:rsidP="004944F9">
            <w:pPr>
              <w:pStyle w:val="ListParagraph"/>
              <w:numPr>
                <w:ilvl w:val="0"/>
                <w:numId w:val="17"/>
              </w:numPr>
              <w:rPr>
                <w:lang w:val="en-NZ"/>
              </w:rPr>
            </w:pPr>
            <w:r w:rsidRPr="004944F9">
              <w:t xml:space="preserve">frontline staff </w:t>
            </w:r>
            <w:r w:rsidR="005E1E1C">
              <w:t xml:space="preserve">(such as MSD Housing Brokers, MSD </w:t>
            </w:r>
            <w:r w:rsidR="000B272C">
              <w:t>s</w:t>
            </w:r>
            <w:r w:rsidR="008508EB">
              <w:t>taff (</w:t>
            </w:r>
            <w:r w:rsidR="005E1E1C">
              <w:t>Case Managers</w:t>
            </w:r>
            <w:r w:rsidR="008508EB">
              <w:t>)</w:t>
            </w:r>
            <w:r w:rsidR="005E1E1C">
              <w:t xml:space="preserve"> and Sustaining Tenancies providers.</w:t>
            </w:r>
          </w:p>
          <w:p w14:paraId="53618CF9" w14:textId="3CCC73DE" w:rsidR="004944F9" w:rsidRDefault="005E1E1C" w:rsidP="004944F9">
            <w:pPr>
              <w:pStyle w:val="ListParagraph"/>
              <w:numPr>
                <w:ilvl w:val="0"/>
                <w:numId w:val="17"/>
              </w:numPr>
              <w:rPr>
                <w:lang w:val="en-NZ"/>
              </w:rPr>
            </w:pPr>
            <w:proofErr w:type="spellStart"/>
            <w:r w:rsidRPr="004944F9">
              <w:t>Turuki</w:t>
            </w:r>
            <w:proofErr w:type="spellEnd"/>
            <w:r w:rsidRPr="004944F9">
              <w:t xml:space="preserve"> Health Care</w:t>
            </w:r>
            <w:r>
              <w:t xml:space="preserve"> (a</w:t>
            </w:r>
            <w:r w:rsidR="004944F9" w:rsidRPr="004944F9">
              <w:t xml:space="preserve"> kaupapa Māori organisation) and Walsh Trust (an organisation providing community based mental health support and residential services in Auckland)</w:t>
            </w:r>
            <w:r w:rsidR="004944F9" w:rsidRPr="0016772B">
              <w:rPr>
                <w:lang w:val="en-NZ"/>
              </w:rPr>
              <w:t xml:space="preserve"> </w:t>
            </w:r>
          </w:p>
          <w:p w14:paraId="037C77A7" w14:textId="2B6CC1B4" w:rsidR="004944F9" w:rsidRDefault="004944F9" w:rsidP="004944F9">
            <w:pPr>
              <w:pStyle w:val="ListParagraph"/>
              <w:numPr>
                <w:ilvl w:val="0"/>
                <w:numId w:val="17"/>
              </w:numPr>
              <w:rPr>
                <w:lang w:val="en-NZ"/>
              </w:rPr>
            </w:pPr>
            <w:r w:rsidRPr="0016772B">
              <w:rPr>
                <w:lang w:val="en-NZ"/>
              </w:rPr>
              <w:t>the Tenancy Advocacy Network (a network made up</w:t>
            </w:r>
            <w:r>
              <w:rPr>
                <w:lang w:val="en-NZ"/>
              </w:rPr>
              <w:t xml:space="preserve"> of</w:t>
            </w:r>
            <w:r w:rsidRPr="0016772B">
              <w:rPr>
                <w:lang w:val="en-NZ"/>
              </w:rPr>
              <w:t xml:space="preserve"> several </w:t>
            </w:r>
            <w:r w:rsidR="000E4E50">
              <w:rPr>
                <w:lang w:val="en-NZ"/>
              </w:rPr>
              <w:t xml:space="preserve">housing </w:t>
            </w:r>
            <w:r w:rsidRPr="0016772B">
              <w:rPr>
                <w:lang w:val="en-NZ"/>
              </w:rPr>
              <w:t>organisations)</w:t>
            </w:r>
            <w:r w:rsidR="00CE3E3B">
              <w:rPr>
                <w:lang w:val="en-NZ"/>
              </w:rPr>
              <w:t>.</w:t>
            </w:r>
          </w:p>
          <w:p w14:paraId="714BC12B" w14:textId="5C3E726F" w:rsidR="006027B8" w:rsidRDefault="005E1E1C" w:rsidP="004944F9">
            <w:pPr>
              <w:rPr>
                <w:lang w:val="en-NZ"/>
              </w:rPr>
            </w:pPr>
            <w:r>
              <w:rPr>
                <w:lang w:val="en-NZ"/>
              </w:rPr>
              <w:t>Although MSD did not consult with recipients of HSPs or housing-related Advances and RAPs, m</w:t>
            </w:r>
            <w:r w:rsidR="006027B8">
              <w:rPr>
                <w:lang w:val="en-NZ"/>
              </w:rPr>
              <w:t xml:space="preserve">any of the proposed changes came out of a review of HSPs carried out by MSD in 2017. As part of this review, MSD </w:t>
            </w:r>
            <w:r w:rsidR="006027B8" w:rsidRPr="006027B8">
              <w:rPr>
                <w:lang w:val="en-NZ"/>
              </w:rPr>
              <w:t>conducted analysis of administrative data (5</w:t>
            </w:r>
            <w:r w:rsidR="006027B8">
              <w:rPr>
                <w:lang w:val="en-NZ"/>
              </w:rPr>
              <w:t>,</w:t>
            </w:r>
            <w:r w:rsidR="006027B8" w:rsidRPr="006027B8">
              <w:rPr>
                <w:lang w:val="en-NZ"/>
              </w:rPr>
              <w:t xml:space="preserve">367 </w:t>
            </w:r>
            <w:r w:rsidR="006027B8">
              <w:rPr>
                <w:lang w:val="en-NZ"/>
              </w:rPr>
              <w:t xml:space="preserve">grants, </w:t>
            </w:r>
            <w:r w:rsidR="006027B8" w:rsidRPr="006027B8">
              <w:rPr>
                <w:lang w:val="en-NZ"/>
              </w:rPr>
              <w:t xml:space="preserve">to 30 June 2017) and </w:t>
            </w:r>
            <w:r w:rsidR="000B272C">
              <w:rPr>
                <w:lang w:val="en-NZ"/>
              </w:rPr>
              <w:t xml:space="preserve">feedback from </w:t>
            </w:r>
            <w:r w:rsidR="006027B8" w:rsidRPr="006027B8">
              <w:rPr>
                <w:lang w:val="en-NZ"/>
              </w:rPr>
              <w:t xml:space="preserve">four focus groups with </w:t>
            </w:r>
            <w:r w:rsidR="008508EB">
              <w:rPr>
                <w:lang w:val="en-NZ"/>
              </w:rPr>
              <w:t>MSD staff (</w:t>
            </w:r>
            <w:r w:rsidR="006027B8" w:rsidRPr="006027B8">
              <w:rPr>
                <w:lang w:val="en-NZ"/>
              </w:rPr>
              <w:t>case managers</w:t>
            </w:r>
            <w:r w:rsidR="008508EB">
              <w:rPr>
                <w:lang w:val="en-NZ"/>
              </w:rPr>
              <w:t>)</w:t>
            </w:r>
            <w:r w:rsidR="006027B8" w:rsidRPr="006027B8">
              <w:rPr>
                <w:lang w:val="en-NZ"/>
              </w:rPr>
              <w:t xml:space="preserve"> to provide evidence on what </w:t>
            </w:r>
            <w:r w:rsidR="00027C4F">
              <w:rPr>
                <w:lang w:val="en-NZ"/>
              </w:rPr>
              <w:t>changes</w:t>
            </w:r>
            <w:r w:rsidR="006027B8" w:rsidRPr="006027B8">
              <w:rPr>
                <w:lang w:val="en-NZ"/>
              </w:rPr>
              <w:t>, if any, should be made to ensure HSPs are effective.</w:t>
            </w:r>
          </w:p>
          <w:p w14:paraId="38508090" w14:textId="77777777" w:rsidR="00D41F9A" w:rsidRDefault="004944F9" w:rsidP="004944F9">
            <w:pPr>
              <w:rPr>
                <w:lang w:val="en-NZ"/>
              </w:rPr>
            </w:pPr>
            <w:r>
              <w:rPr>
                <w:lang w:val="en-NZ"/>
              </w:rPr>
              <w:lastRenderedPageBreak/>
              <w:t xml:space="preserve">The proposal also seeks </w:t>
            </w:r>
            <w:r w:rsidR="0016772B" w:rsidRPr="004944F9">
              <w:rPr>
                <w:lang w:val="en-NZ"/>
              </w:rPr>
              <w:t>to respond to insights from the WAI 2750 Kaupapa Inquiry into Housing Policy and Services regarding the complexity of navigating and accessing housing suppor</w:t>
            </w:r>
            <w:r>
              <w:rPr>
                <w:lang w:val="en-NZ"/>
              </w:rPr>
              <w:t xml:space="preserve">t. </w:t>
            </w:r>
          </w:p>
          <w:p w14:paraId="3DBA48DC" w14:textId="6B18FA8A" w:rsidR="005E1E1C" w:rsidRPr="004944F9" w:rsidRDefault="005E1E1C" w:rsidP="004944F9">
            <w:pPr>
              <w:rPr>
                <w:lang w:val="en-AU"/>
              </w:rPr>
            </w:pPr>
          </w:p>
        </w:tc>
      </w:tr>
      <w:tr w:rsidR="00413FD8" w:rsidRPr="00A864A5" w14:paraId="0EA0047F" w14:textId="77777777" w:rsidTr="006448CF">
        <w:tc>
          <w:tcPr>
            <w:tcW w:w="5000" w:type="pct"/>
            <w:gridSpan w:val="2"/>
            <w:tcBorders>
              <w:bottom w:val="single" w:sz="4" w:space="0" w:color="DDDDDD"/>
            </w:tcBorders>
            <w:shd w:val="clear" w:color="auto" w:fill="99CDDD"/>
            <w:hideMark/>
          </w:tcPr>
          <w:p w14:paraId="7A579FF2" w14:textId="77777777" w:rsidR="00413FD8" w:rsidRPr="00A864A5" w:rsidRDefault="00413FD8" w:rsidP="007C5A05">
            <w:pPr>
              <w:pStyle w:val="TableHeadings"/>
              <w:rPr>
                <w:color w:val="002060"/>
                <w:szCs w:val="22"/>
                <w:lang w:val="en-NZ"/>
              </w:rPr>
            </w:pPr>
            <w:bookmarkStart w:id="4" w:name="_Hlk47608084"/>
            <w:bookmarkEnd w:id="3"/>
            <w:r w:rsidRPr="00A864A5">
              <w:rPr>
                <w:szCs w:val="22"/>
                <w:lang w:val="en-NZ"/>
              </w:rPr>
              <w:lastRenderedPageBreak/>
              <w:t>Responsible Manager(s) (completed by relevant manager)</w:t>
            </w:r>
          </w:p>
        </w:tc>
      </w:tr>
      <w:tr w:rsidR="00413FD8" w:rsidRPr="00A864A5" w14:paraId="091E60B6" w14:textId="77777777" w:rsidTr="006448CF">
        <w:trPr>
          <w:trHeight w:val="1761"/>
        </w:trPr>
        <w:tc>
          <w:tcPr>
            <w:tcW w:w="5000" w:type="pct"/>
            <w:gridSpan w:val="2"/>
            <w:tcBorders>
              <w:top w:val="nil"/>
            </w:tcBorders>
            <w:shd w:val="clear" w:color="auto" w:fill="auto"/>
          </w:tcPr>
          <w:p w14:paraId="2BD94019" w14:textId="7BEC36E5" w:rsidR="00413FD8" w:rsidRPr="000B272C" w:rsidRDefault="000469DF" w:rsidP="00560FED">
            <w:pPr>
              <w:spacing w:before="60" w:after="0" w:line="276" w:lineRule="auto"/>
              <w:ind w:left="284" w:hanging="284"/>
              <w:jc w:val="both"/>
              <w:rPr>
                <w:rFonts w:cs="Arial"/>
                <w:i/>
                <w:iCs/>
                <w:szCs w:val="22"/>
                <w:lang w:val="en-NZ"/>
              </w:rPr>
            </w:pPr>
            <w:r w:rsidRPr="000B272C">
              <w:rPr>
                <w:rFonts w:cs="Arial"/>
                <w:i/>
                <w:iCs/>
                <w:szCs w:val="22"/>
                <w:lang w:val="en-NZ"/>
              </w:rPr>
              <w:t>Alex McKenzie</w:t>
            </w:r>
          </w:p>
          <w:p w14:paraId="3002F6D0" w14:textId="6F2CF028" w:rsidR="000469DF" w:rsidRPr="000B272C" w:rsidRDefault="000469DF" w:rsidP="00560FED">
            <w:pPr>
              <w:spacing w:before="60" w:after="0" w:line="276" w:lineRule="auto"/>
              <w:ind w:left="284" w:hanging="284"/>
              <w:jc w:val="both"/>
              <w:rPr>
                <w:rFonts w:cs="Arial"/>
                <w:i/>
                <w:iCs/>
                <w:szCs w:val="22"/>
                <w:lang w:val="en-NZ"/>
              </w:rPr>
            </w:pPr>
            <w:r w:rsidRPr="000B272C">
              <w:rPr>
                <w:rFonts w:cs="Arial"/>
                <w:i/>
                <w:iCs/>
                <w:szCs w:val="22"/>
                <w:lang w:val="en-NZ"/>
              </w:rPr>
              <w:t>Policy Manager</w:t>
            </w:r>
          </w:p>
          <w:p w14:paraId="140D7C97" w14:textId="3D3409DF" w:rsidR="000469DF" w:rsidRPr="000B272C" w:rsidRDefault="000469DF" w:rsidP="00560FED">
            <w:pPr>
              <w:spacing w:before="60" w:after="0" w:line="276" w:lineRule="auto"/>
              <w:ind w:left="284" w:hanging="284"/>
              <w:jc w:val="both"/>
              <w:rPr>
                <w:rFonts w:cs="Arial"/>
                <w:i/>
                <w:iCs/>
                <w:szCs w:val="22"/>
                <w:lang w:val="en-NZ"/>
              </w:rPr>
            </w:pPr>
            <w:r w:rsidRPr="000B272C">
              <w:rPr>
                <w:rFonts w:cs="Arial"/>
                <w:i/>
                <w:iCs/>
                <w:szCs w:val="22"/>
                <w:lang w:val="en-NZ"/>
              </w:rPr>
              <w:t xml:space="preserve">Housing Policy </w:t>
            </w:r>
          </w:p>
          <w:p w14:paraId="3B017F79" w14:textId="77777777" w:rsidR="000469DF" w:rsidRPr="000B272C" w:rsidRDefault="000469DF" w:rsidP="00560FED">
            <w:pPr>
              <w:spacing w:before="60" w:after="0" w:line="276" w:lineRule="auto"/>
              <w:ind w:left="284" w:hanging="284"/>
              <w:jc w:val="both"/>
              <w:rPr>
                <w:rFonts w:cs="Arial"/>
                <w:i/>
                <w:iCs/>
                <w:szCs w:val="22"/>
                <w:lang w:val="en-NZ"/>
              </w:rPr>
            </w:pPr>
            <w:r w:rsidRPr="000B272C">
              <w:rPr>
                <w:rFonts w:cs="Arial"/>
                <w:i/>
                <w:iCs/>
                <w:szCs w:val="22"/>
                <w:lang w:val="en-NZ"/>
              </w:rPr>
              <w:t>MSD</w:t>
            </w:r>
          </w:p>
          <w:p w14:paraId="0985AF3F" w14:textId="6A3B005A" w:rsidR="003430A5" w:rsidRPr="000B272C" w:rsidRDefault="003430A5" w:rsidP="00560FED">
            <w:pPr>
              <w:spacing w:after="0"/>
              <w:rPr>
                <w:rFonts w:cs="Arial"/>
                <w:i/>
                <w:iCs/>
                <w:szCs w:val="22"/>
                <w:highlight w:val="yellow"/>
                <w:lang w:val="en-NZ"/>
              </w:rPr>
            </w:pPr>
          </w:p>
          <w:p w14:paraId="74897E3E" w14:textId="7E2A0EAD" w:rsidR="003430A5" w:rsidRPr="000B272C" w:rsidRDefault="003430A5" w:rsidP="00560FED">
            <w:pPr>
              <w:spacing w:after="0"/>
              <w:rPr>
                <w:rFonts w:cs="Arial"/>
                <w:i/>
                <w:iCs/>
                <w:szCs w:val="22"/>
                <w:highlight w:val="yellow"/>
                <w:lang w:val="en-NZ"/>
              </w:rPr>
            </w:pPr>
            <w:r w:rsidRPr="000B272C">
              <w:rPr>
                <w:i/>
                <w:iCs/>
                <w:noProof/>
              </w:rPr>
              <w:drawing>
                <wp:inline distT="0" distB="0" distL="0" distR="0" wp14:anchorId="2E82048D" wp14:editId="4CF558E2">
                  <wp:extent cx="2571750" cy="65942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26095" cy="698998"/>
                          </a:xfrm>
                          <a:prstGeom prst="rect">
                            <a:avLst/>
                          </a:prstGeom>
                        </pic:spPr>
                      </pic:pic>
                    </a:graphicData>
                  </a:graphic>
                </wp:inline>
              </w:drawing>
            </w:r>
          </w:p>
          <w:p w14:paraId="609D179D" w14:textId="363D56E3" w:rsidR="00413FD8" w:rsidRPr="000B272C" w:rsidRDefault="003430A5" w:rsidP="00560FED">
            <w:pPr>
              <w:spacing w:after="0"/>
              <w:rPr>
                <w:rFonts w:cs="Arial"/>
                <w:i/>
                <w:iCs/>
                <w:szCs w:val="22"/>
                <w:lang w:val="en-NZ"/>
              </w:rPr>
            </w:pPr>
            <w:r w:rsidRPr="000B272C">
              <w:rPr>
                <w:rFonts w:cs="Arial"/>
                <w:i/>
                <w:iCs/>
                <w:szCs w:val="22"/>
                <w:lang w:val="en-NZ"/>
              </w:rPr>
              <w:t>7/04/2022</w:t>
            </w:r>
          </w:p>
          <w:p w14:paraId="65FBD4C4" w14:textId="6AD0A028" w:rsidR="007A20DD" w:rsidRPr="00A864A5" w:rsidRDefault="007A20DD" w:rsidP="00560FED">
            <w:pPr>
              <w:spacing w:after="0"/>
              <w:rPr>
                <w:rFonts w:cs="Arial"/>
                <w:iCs/>
                <w:color w:val="000000"/>
                <w:sz w:val="14"/>
                <w:szCs w:val="14"/>
                <w:lang w:val="en-NZ"/>
              </w:rPr>
            </w:pPr>
          </w:p>
        </w:tc>
      </w:tr>
      <w:tr w:rsidR="00EB2157" w:rsidRPr="00A864A5" w14:paraId="5FCD62D5" w14:textId="77777777" w:rsidTr="006448CF">
        <w:tc>
          <w:tcPr>
            <w:tcW w:w="5000" w:type="pct"/>
            <w:gridSpan w:val="2"/>
            <w:tcBorders>
              <w:bottom w:val="single" w:sz="4" w:space="0" w:color="DDDDDD"/>
            </w:tcBorders>
            <w:shd w:val="clear" w:color="auto" w:fill="99CDDD"/>
            <w:hideMark/>
          </w:tcPr>
          <w:p w14:paraId="55C0C834" w14:textId="0B23483F" w:rsidR="00EB2157" w:rsidRPr="00A864A5" w:rsidRDefault="00EB2157" w:rsidP="007C5A05">
            <w:pPr>
              <w:pStyle w:val="TableHeadings"/>
              <w:rPr>
                <w:color w:val="002060"/>
                <w:szCs w:val="22"/>
                <w:lang w:val="en-NZ"/>
              </w:rPr>
            </w:pPr>
            <w:r w:rsidRPr="00A864A5">
              <w:rPr>
                <w:szCs w:val="22"/>
                <w:lang w:val="en-NZ"/>
              </w:rPr>
              <w:t xml:space="preserve">Quality </w:t>
            </w:r>
            <w:r w:rsidR="009F6501" w:rsidRPr="00A864A5">
              <w:rPr>
                <w:szCs w:val="22"/>
                <w:lang w:val="en-NZ"/>
              </w:rPr>
              <w:t>A</w:t>
            </w:r>
            <w:r w:rsidRPr="00A864A5">
              <w:rPr>
                <w:szCs w:val="22"/>
                <w:lang w:val="en-NZ"/>
              </w:rPr>
              <w:t xml:space="preserve">ssurance </w:t>
            </w:r>
            <w:r w:rsidR="00076368" w:rsidRPr="00A864A5">
              <w:rPr>
                <w:szCs w:val="22"/>
                <w:lang w:val="en-NZ"/>
              </w:rPr>
              <w:t>(completed by QA panel)</w:t>
            </w:r>
          </w:p>
        </w:tc>
      </w:tr>
      <w:tr w:rsidR="00EB2157" w:rsidRPr="00A864A5" w14:paraId="6F7BACA2" w14:textId="77777777" w:rsidTr="006448CF">
        <w:trPr>
          <w:trHeight w:val="141"/>
        </w:trPr>
        <w:tc>
          <w:tcPr>
            <w:tcW w:w="1328" w:type="pct"/>
            <w:tcBorders>
              <w:top w:val="nil"/>
            </w:tcBorders>
            <w:shd w:val="clear" w:color="auto" w:fill="EBF5F8"/>
          </w:tcPr>
          <w:p w14:paraId="22AF1207" w14:textId="7EA6C592" w:rsidR="00EB2157" w:rsidRPr="00532FA9" w:rsidRDefault="00EB2157" w:rsidP="007C5A05">
            <w:pPr>
              <w:rPr>
                <w:rFonts w:cs="Arial"/>
                <w:iCs/>
                <w:color w:val="000000"/>
                <w:szCs w:val="22"/>
                <w:lang w:val="en-NZ"/>
              </w:rPr>
            </w:pPr>
            <w:r w:rsidRPr="00532FA9">
              <w:rPr>
                <w:rFonts w:cs="Arial"/>
                <w:iCs/>
                <w:color w:val="000000"/>
                <w:szCs w:val="22"/>
                <w:lang w:val="en-NZ"/>
              </w:rPr>
              <w:t xml:space="preserve">Reviewing </w:t>
            </w:r>
            <w:r w:rsidR="00575FF9" w:rsidRPr="00532FA9">
              <w:rPr>
                <w:rFonts w:cs="Arial"/>
                <w:iCs/>
                <w:color w:val="000000"/>
                <w:szCs w:val="22"/>
                <w:lang w:val="en-NZ"/>
              </w:rPr>
              <w:t>A</w:t>
            </w:r>
            <w:r w:rsidRPr="00532FA9">
              <w:rPr>
                <w:rFonts w:cs="Arial"/>
                <w:iCs/>
                <w:color w:val="000000"/>
                <w:szCs w:val="22"/>
                <w:lang w:val="en-NZ"/>
              </w:rPr>
              <w:t>gency:</w:t>
            </w:r>
          </w:p>
        </w:tc>
        <w:tc>
          <w:tcPr>
            <w:tcW w:w="3672" w:type="pct"/>
            <w:tcBorders>
              <w:top w:val="nil"/>
            </w:tcBorders>
            <w:shd w:val="clear" w:color="auto" w:fill="auto"/>
          </w:tcPr>
          <w:p w14:paraId="402BE84D" w14:textId="4DE02809" w:rsidR="00EB2157" w:rsidRPr="00532FA9" w:rsidRDefault="00AC2925" w:rsidP="007C5A05">
            <w:pPr>
              <w:rPr>
                <w:rFonts w:cs="Arial"/>
                <w:iCs/>
                <w:color w:val="000000"/>
                <w:szCs w:val="22"/>
                <w:lang w:val="en-NZ"/>
              </w:rPr>
            </w:pPr>
            <w:r w:rsidRPr="00532FA9">
              <w:rPr>
                <w:rFonts w:cs="Arial"/>
                <w:szCs w:val="22"/>
                <w:lang w:val="en-NZ"/>
              </w:rPr>
              <w:t xml:space="preserve">MSD </w:t>
            </w:r>
          </w:p>
        </w:tc>
      </w:tr>
      <w:tr w:rsidR="00E977E9" w:rsidRPr="00A864A5" w14:paraId="0AA259C9" w14:textId="77777777" w:rsidTr="006448CF">
        <w:trPr>
          <w:trHeight w:val="141"/>
        </w:trPr>
        <w:tc>
          <w:tcPr>
            <w:tcW w:w="1328" w:type="pct"/>
            <w:tcBorders>
              <w:top w:val="nil"/>
            </w:tcBorders>
            <w:shd w:val="clear" w:color="auto" w:fill="EBF5F8"/>
          </w:tcPr>
          <w:p w14:paraId="71C9D2D0" w14:textId="7133A52C" w:rsidR="00E977E9" w:rsidRPr="0016772B" w:rsidRDefault="00E977E9" w:rsidP="007C5A05">
            <w:pPr>
              <w:rPr>
                <w:rFonts w:cs="Arial"/>
                <w:iCs/>
                <w:color w:val="000000"/>
                <w:szCs w:val="22"/>
                <w:highlight w:val="yellow"/>
                <w:lang w:val="en-NZ"/>
              </w:rPr>
            </w:pPr>
            <w:r w:rsidRPr="00532FA9">
              <w:rPr>
                <w:rFonts w:cs="Arial"/>
                <w:iCs/>
                <w:color w:val="000000"/>
                <w:szCs w:val="22"/>
                <w:lang w:val="en-NZ"/>
              </w:rPr>
              <w:t>Panel Assessment &amp; Comment:</w:t>
            </w:r>
          </w:p>
        </w:tc>
        <w:tc>
          <w:tcPr>
            <w:tcW w:w="3672" w:type="pct"/>
            <w:tcBorders>
              <w:top w:val="nil"/>
            </w:tcBorders>
            <w:shd w:val="clear" w:color="auto" w:fill="auto"/>
          </w:tcPr>
          <w:p w14:paraId="07890169" w14:textId="2F144452" w:rsidR="00B606E5" w:rsidRDefault="00B606E5" w:rsidP="00B606E5">
            <w:pPr>
              <w:rPr>
                <w:rFonts w:cs="Arial"/>
                <w:szCs w:val="22"/>
                <w:lang w:val="en-NZ" w:eastAsia="en-US"/>
              </w:rPr>
            </w:pPr>
            <w:r>
              <w:t>The Regulatory Impact Analysis Panel at MSD has reviewed this RIS and considers it meets the quality assurance criteria.</w:t>
            </w:r>
          </w:p>
          <w:p w14:paraId="11A29971" w14:textId="5712CE81" w:rsidR="00B606E5" w:rsidRPr="00B606E5" w:rsidRDefault="00B606E5" w:rsidP="00B606E5">
            <w:pPr>
              <w:pStyle w:val="ListParagraph"/>
              <w:numPr>
                <w:ilvl w:val="0"/>
                <w:numId w:val="48"/>
              </w:numPr>
              <w:rPr>
                <w:rFonts w:cs="Arial"/>
                <w:szCs w:val="22"/>
                <w:lang w:val="en-NZ" w:eastAsia="en-US"/>
              </w:rPr>
            </w:pPr>
            <w:r w:rsidRPr="00B606E5">
              <w:rPr>
                <w:rFonts w:cs="Arial"/>
                <w:szCs w:val="22"/>
                <w:lang w:val="en-NZ" w:eastAsia="en-US"/>
              </w:rPr>
              <w:t>Clarity and conciseness (</w:t>
            </w:r>
            <w:proofErr w:type="gramStart"/>
            <w:r w:rsidRPr="00B606E5">
              <w:rPr>
                <w:rFonts w:cs="Arial"/>
                <w:szCs w:val="22"/>
                <w:lang w:val="en-NZ" w:eastAsia="en-US"/>
              </w:rPr>
              <w:t>meets</w:t>
            </w:r>
            <w:proofErr w:type="gramEnd"/>
            <w:r w:rsidRPr="00B606E5">
              <w:rPr>
                <w:rFonts w:cs="Arial"/>
                <w:szCs w:val="22"/>
                <w:lang w:val="en-NZ" w:eastAsia="en-US"/>
              </w:rPr>
              <w:t>)</w:t>
            </w:r>
          </w:p>
          <w:p w14:paraId="25E55041" w14:textId="77777777" w:rsidR="00B606E5" w:rsidRPr="00B606E5" w:rsidRDefault="00B606E5" w:rsidP="00B606E5">
            <w:pPr>
              <w:numPr>
                <w:ilvl w:val="0"/>
                <w:numId w:val="48"/>
              </w:numPr>
              <w:rPr>
                <w:rFonts w:cs="Arial"/>
                <w:szCs w:val="22"/>
                <w:lang w:val="en-NZ" w:eastAsia="en-US"/>
              </w:rPr>
            </w:pPr>
            <w:r w:rsidRPr="00B606E5">
              <w:rPr>
                <w:rFonts w:cs="Arial"/>
                <w:szCs w:val="22"/>
                <w:lang w:val="en-NZ" w:eastAsia="en-US"/>
              </w:rPr>
              <w:t xml:space="preserve">Completeness (meets): the RIS has all the sections and is in this respect complete. </w:t>
            </w:r>
          </w:p>
          <w:p w14:paraId="69449D09" w14:textId="77777777" w:rsidR="00B606E5" w:rsidRPr="00B606E5" w:rsidRDefault="00B606E5" w:rsidP="00B606E5">
            <w:pPr>
              <w:numPr>
                <w:ilvl w:val="0"/>
                <w:numId w:val="48"/>
              </w:numPr>
              <w:rPr>
                <w:rFonts w:cs="Arial"/>
                <w:szCs w:val="22"/>
                <w:lang w:val="en-NZ" w:eastAsia="en-US"/>
              </w:rPr>
            </w:pPr>
            <w:r w:rsidRPr="00B606E5">
              <w:rPr>
                <w:rFonts w:cs="Arial"/>
                <w:szCs w:val="22"/>
                <w:lang w:val="en-NZ" w:eastAsia="en-US"/>
              </w:rPr>
              <w:t xml:space="preserve">Convincing (meets): the RIS makes a compelling case for changing the Housing Support Products delivered by MSD and, while we note these Products could further support lower-income households if made non-recoverable, this will be considered in future work. </w:t>
            </w:r>
          </w:p>
          <w:p w14:paraId="084950CB" w14:textId="77777777" w:rsidR="00B606E5" w:rsidRPr="00B606E5" w:rsidRDefault="00B606E5" w:rsidP="00B606E5">
            <w:pPr>
              <w:numPr>
                <w:ilvl w:val="0"/>
                <w:numId w:val="48"/>
              </w:numPr>
              <w:rPr>
                <w:rFonts w:cs="Arial"/>
                <w:szCs w:val="22"/>
                <w:lang w:val="en-NZ" w:eastAsia="en-US"/>
              </w:rPr>
            </w:pPr>
            <w:r w:rsidRPr="00B606E5">
              <w:rPr>
                <w:rFonts w:cs="Arial"/>
                <w:szCs w:val="22"/>
                <w:lang w:val="en-NZ" w:eastAsia="en-US"/>
              </w:rPr>
              <w:t xml:space="preserve">Consultation (meets): while there was limited consultation on this proposal, this is justified given this work is being undertaken as a Budget Bid and builds </w:t>
            </w:r>
            <w:proofErr w:type="gramStart"/>
            <w:r w:rsidRPr="00B606E5">
              <w:rPr>
                <w:rFonts w:cs="Arial"/>
                <w:szCs w:val="22"/>
                <w:lang w:val="en-NZ" w:eastAsia="en-US"/>
              </w:rPr>
              <w:t>off of</w:t>
            </w:r>
            <w:proofErr w:type="gramEnd"/>
            <w:r w:rsidRPr="00B606E5">
              <w:rPr>
                <w:rFonts w:cs="Arial"/>
                <w:szCs w:val="22"/>
                <w:lang w:val="en-NZ" w:eastAsia="en-US"/>
              </w:rPr>
              <w:t xml:space="preserve"> a previous review. </w:t>
            </w:r>
          </w:p>
          <w:p w14:paraId="66A95EAF" w14:textId="77777777" w:rsidR="00E977E9" w:rsidRDefault="00E977E9" w:rsidP="007C5A05">
            <w:pPr>
              <w:rPr>
                <w:rFonts w:cs="Arial"/>
                <w:szCs w:val="22"/>
                <w:highlight w:val="yellow"/>
                <w:lang w:val="en-NZ"/>
              </w:rPr>
            </w:pPr>
          </w:p>
        </w:tc>
      </w:tr>
    </w:tbl>
    <w:p w14:paraId="7BE0CF4A" w14:textId="698321BB" w:rsidR="00801C2C" w:rsidRDefault="00801C2C" w:rsidP="00801C2C">
      <w:pPr>
        <w:rPr>
          <w:lang w:val="en-NZ"/>
        </w:rPr>
      </w:pPr>
      <w:bookmarkStart w:id="5" w:name="_Toc363047038"/>
      <w:bookmarkStart w:id="6" w:name="_Toc362940530"/>
      <w:bookmarkStart w:id="7" w:name="_Toc362618966"/>
      <w:bookmarkStart w:id="8" w:name="_Toc362434720"/>
      <w:bookmarkStart w:id="9" w:name="_Toc362368098"/>
      <w:bookmarkEnd w:id="4"/>
    </w:p>
    <w:p w14:paraId="66B1E935" w14:textId="524C9422" w:rsidR="00E977E9" w:rsidRDefault="00E977E9" w:rsidP="00801C2C">
      <w:pPr>
        <w:rPr>
          <w:lang w:val="en-NZ"/>
        </w:rPr>
      </w:pPr>
    </w:p>
    <w:p w14:paraId="5EDBBC2F" w14:textId="77777777" w:rsidR="00E977E9" w:rsidRDefault="00E977E9" w:rsidP="00801C2C">
      <w:pPr>
        <w:rPr>
          <w:lang w:val="en-NZ"/>
        </w:rPr>
      </w:pPr>
    </w:p>
    <w:p w14:paraId="41B1B4AA" w14:textId="596CA311" w:rsidR="00E977E9" w:rsidRDefault="00E977E9" w:rsidP="00801C2C">
      <w:pPr>
        <w:rPr>
          <w:lang w:val="en-NZ"/>
        </w:rPr>
      </w:pPr>
    </w:p>
    <w:p w14:paraId="37B89DB1" w14:textId="5F6E3E80" w:rsidR="00E977E9" w:rsidRDefault="00E977E9" w:rsidP="00801C2C">
      <w:pPr>
        <w:rPr>
          <w:lang w:val="en-NZ"/>
        </w:rPr>
      </w:pPr>
    </w:p>
    <w:p w14:paraId="2360AD5D" w14:textId="4EE77BBC" w:rsidR="00E977E9" w:rsidRDefault="00E977E9" w:rsidP="00801C2C">
      <w:pPr>
        <w:rPr>
          <w:lang w:val="en-NZ"/>
        </w:rPr>
      </w:pPr>
    </w:p>
    <w:p w14:paraId="2182C8EB" w14:textId="77777777" w:rsidR="00E977E9" w:rsidRDefault="00E977E9" w:rsidP="00801C2C">
      <w:pPr>
        <w:rPr>
          <w:lang w:val="en-NZ"/>
        </w:rPr>
      </w:pPr>
    </w:p>
    <w:p w14:paraId="79B62C9F" w14:textId="5CDAB79C" w:rsidR="002C165B" w:rsidRDefault="002C165B" w:rsidP="00801C2C">
      <w:pPr>
        <w:rPr>
          <w:lang w:val="en-NZ"/>
        </w:rPr>
      </w:pPr>
    </w:p>
    <w:p w14:paraId="5E793EFB" w14:textId="77777777" w:rsidR="002C165B" w:rsidRDefault="002C165B" w:rsidP="00801C2C">
      <w:pPr>
        <w:rPr>
          <w:lang w:val="en-NZ"/>
        </w:rPr>
      </w:pPr>
    </w:p>
    <w:p w14:paraId="3E327532" w14:textId="2F697601" w:rsidR="00C53DAC" w:rsidRDefault="00F16C50" w:rsidP="00CD4B62">
      <w:pPr>
        <w:pStyle w:val="Heading2"/>
        <w:rPr>
          <w:lang w:val="en-NZ"/>
        </w:rPr>
      </w:pPr>
      <w:r w:rsidRPr="00A864A5">
        <w:rPr>
          <w:lang w:val="en-NZ"/>
        </w:rPr>
        <w:lastRenderedPageBreak/>
        <w:t xml:space="preserve">Section 1: </w:t>
      </w:r>
      <w:r w:rsidR="0022201B">
        <w:rPr>
          <w:lang w:val="en-NZ"/>
        </w:rPr>
        <w:t>Diagnos</w:t>
      </w:r>
      <w:r w:rsidR="001C4A82">
        <w:rPr>
          <w:lang w:val="en-NZ"/>
        </w:rPr>
        <w:t>ing</w:t>
      </w:r>
      <w:r w:rsidR="0022201B">
        <w:rPr>
          <w:lang w:val="en-NZ"/>
        </w:rPr>
        <w:t xml:space="preserve"> the policy problem</w:t>
      </w:r>
    </w:p>
    <w:p w14:paraId="4E48D616" w14:textId="6DC430B2" w:rsidR="007D78A1" w:rsidRDefault="007E4F5A" w:rsidP="007D78A1">
      <w:pPr>
        <w:pStyle w:val="Heading3"/>
        <w:rPr>
          <w:lang w:val="en-NZ"/>
        </w:rPr>
      </w:pPr>
      <w:bookmarkStart w:id="10" w:name="_Hlk95835236"/>
      <w:r>
        <w:rPr>
          <w:lang w:val="en-NZ"/>
        </w:rPr>
        <w:t xml:space="preserve">What is the context behind the </w:t>
      </w:r>
      <w:r w:rsidR="008E4014">
        <w:rPr>
          <w:lang w:val="en-NZ"/>
        </w:rPr>
        <w:t xml:space="preserve">policy </w:t>
      </w:r>
      <w:r>
        <w:rPr>
          <w:lang w:val="en-NZ"/>
        </w:rPr>
        <w:t>problem</w:t>
      </w:r>
      <w:r w:rsidR="000F740F">
        <w:rPr>
          <w:lang w:val="en-NZ"/>
        </w:rPr>
        <w:t xml:space="preserve"> and </w:t>
      </w:r>
      <w:r w:rsidR="00E0257A">
        <w:rPr>
          <w:lang w:val="en-NZ"/>
        </w:rPr>
        <w:t>how is the s</w:t>
      </w:r>
      <w:r w:rsidR="000F740F">
        <w:rPr>
          <w:lang w:val="en-NZ"/>
        </w:rPr>
        <w:t>tatus quo</w:t>
      </w:r>
      <w:r w:rsidR="00E0257A">
        <w:rPr>
          <w:lang w:val="en-NZ"/>
        </w:rPr>
        <w:t xml:space="preserve"> expected to develop</w:t>
      </w:r>
      <w:r>
        <w:rPr>
          <w:lang w:val="en-NZ"/>
        </w:rPr>
        <w:t>?</w:t>
      </w:r>
    </w:p>
    <w:p w14:paraId="1A8D18AC" w14:textId="19F55984" w:rsidR="00472BF5" w:rsidRPr="00AB64FB" w:rsidRDefault="00472BF5" w:rsidP="005E1E1C">
      <w:pPr>
        <w:pStyle w:val="Heading4"/>
        <w:rPr>
          <w:color w:val="auto"/>
        </w:rPr>
      </w:pPr>
      <w:r w:rsidRPr="00AB64FB">
        <w:rPr>
          <w:color w:val="auto"/>
        </w:rPr>
        <w:t>Context on the New Zealand housing market</w:t>
      </w:r>
    </w:p>
    <w:p w14:paraId="011D2F43" w14:textId="142B97D4" w:rsidR="00786F5C" w:rsidRDefault="00472BF5" w:rsidP="00472BF5">
      <w:pPr>
        <w:rPr>
          <w:lang w:val="en-NZ"/>
        </w:rPr>
      </w:pPr>
      <w:r>
        <w:rPr>
          <w:lang w:val="en-NZ"/>
        </w:rPr>
        <w:t xml:space="preserve">From 2000 to 2020, New Zealand has had </w:t>
      </w:r>
      <w:r w:rsidRPr="00472BF5">
        <w:rPr>
          <w:lang w:val="en-NZ"/>
        </w:rPr>
        <w:t>the largest rise in house prices (in real terms) in the OECD</w:t>
      </w:r>
      <w:r w:rsidR="00A90883">
        <w:rPr>
          <w:lang w:val="en-NZ"/>
        </w:rPr>
        <w:t xml:space="preserve">. </w:t>
      </w:r>
      <w:r w:rsidR="003356E9">
        <w:rPr>
          <w:lang w:val="en-NZ"/>
        </w:rPr>
        <w:t>R</w:t>
      </w:r>
      <w:r w:rsidR="00786F5C">
        <w:rPr>
          <w:lang w:val="en-NZ"/>
        </w:rPr>
        <w:t>ent</w:t>
      </w:r>
      <w:r w:rsidR="00CD37CC">
        <w:rPr>
          <w:lang w:val="en-NZ"/>
        </w:rPr>
        <w:t>s</w:t>
      </w:r>
      <w:r w:rsidR="00786F5C">
        <w:rPr>
          <w:lang w:val="en-NZ"/>
        </w:rPr>
        <w:t xml:space="preserve"> </w:t>
      </w:r>
      <w:r w:rsidR="00CD37CC">
        <w:rPr>
          <w:lang w:val="en-NZ"/>
        </w:rPr>
        <w:t xml:space="preserve">have </w:t>
      </w:r>
      <w:r w:rsidR="00786F5C">
        <w:rPr>
          <w:lang w:val="en-NZ"/>
        </w:rPr>
        <w:t>also increased significantly in recent years. In 1990, approximately 30 percent of low-income private renting households (low</w:t>
      </w:r>
      <w:r w:rsidR="00354FC5">
        <w:rPr>
          <w:lang w:val="en-NZ"/>
        </w:rPr>
        <w:t>est-</w:t>
      </w:r>
      <w:r w:rsidR="00CD37CC">
        <w:rPr>
          <w:lang w:val="en-NZ"/>
        </w:rPr>
        <w:t xml:space="preserve">income </w:t>
      </w:r>
      <w:r w:rsidR="00786F5C">
        <w:rPr>
          <w:lang w:val="en-NZ"/>
        </w:rPr>
        <w:t xml:space="preserve">quintile) were spending over 40 percent of their income on rent. </w:t>
      </w:r>
      <w:r w:rsidR="0066692D">
        <w:rPr>
          <w:lang w:val="en-NZ"/>
        </w:rPr>
        <w:t>A</w:t>
      </w:r>
      <w:r w:rsidR="00786F5C">
        <w:rPr>
          <w:lang w:val="en-NZ"/>
        </w:rPr>
        <w:t xml:space="preserve">t present, the number of low-income households renting spending over 40 percent of their income on rent has doubled to </w:t>
      </w:r>
      <w:r w:rsidR="00997258">
        <w:rPr>
          <w:lang w:val="en-NZ"/>
        </w:rPr>
        <w:t>60 percent and is the highest proportion in the OECD.</w:t>
      </w:r>
      <w:r w:rsidR="00997258">
        <w:rPr>
          <w:rStyle w:val="FootnoteReference"/>
          <w:lang w:val="en-NZ"/>
        </w:rPr>
        <w:footnoteReference w:id="2"/>
      </w:r>
    </w:p>
    <w:p w14:paraId="7477CB42" w14:textId="4087090F" w:rsidR="00472BF5" w:rsidRDefault="00A90883" w:rsidP="00472BF5">
      <w:pPr>
        <w:rPr>
          <w:lang w:val="en-NZ"/>
        </w:rPr>
      </w:pPr>
      <w:r w:rsidRPr="00A90883">
        <w:rPr>
          <w:lang w:val="en-NZ"/>
        </w:rPr>
        <w:t>When looking at households across the whole income spectrum, New Zealan</w:t>
      </w:r>
      <w:r>
        <w:rPr>
          <w:lang w:val="en-NZ"/>
        </w:rPr>
        <w:t>d</w:t>
      </w:r>
      <w:r w:rsidR="0066692D">
        <w:rPr>
          <w:lang w:val="en-NZ"/>
        </w:rPr>
        <w:t xml:space="preserve"> has </w:t>
      </w:r>
      <w:r w:rsidR="00CD37CC">
        <w:rPr>
          <w:lang w:val="en-NZ"/>
        </w:rPr>
        <w:t xml:space="preserve">the </w:t>
      </w:r>
      <w:r w:rsidR="0066692D">
        <w:rPr>
          <w:lang w:val="en-NZ"/>
        </w:rPr>
        <w:t xml:space="preserve">second </w:t>
      </w:r>
      <w:r w:rsidR="00CD37CC">
        <w:rPr>
          <w:lang w:val="en-NZ"/>
        </w:rPr>
        <w:t xml:space="preserve">highest proportion of </w:t>
      </w:r>
      <w:r w:rsidR="0066692D">
        <w:rPr>
          <w:lang w:val="en-NZ"/>
        </w:rPr>
        <w:t xml:space="preserve">renting </w:t>
      </w:r>
      <w:r>
        <w:rPr>
          <w:lang w:val="en-NZ"/>
        </w:rPr>
        <w:t xml:space="preserve">households spending more than 40 percent of their income on housing </w:t>
      </w:r>
      <w:r w:rsidR="0066692D">
        <w:rPr>
          <w:lang w:val="en-NZ"/>
        </w:rPr>
        <w:t xml:space="preserve">in the OECD, second </w:t>
      </w:r>
      <w:r w:rsidR="007A2F78">
        <w:rPr>
          <w:lang w:val="en-NZ"/>
        </w:rPr>
        <w:t>only to the United Kingdom.</w:t>
      </w:r>
    </w:p>
    <w:p w14:paraId="5DBB6F1F" w14:textId="36EB3AAD" w:rsidR="004E44BA" w:rsidRDefault="004E44BA" w:rsidP="00472BF5">
      <w:pPr>
        <w:rPr>
          <w:lang w:val="en-NZ"/>
        </w:rPr>
      </w:pPr>
      <w:r w:rsidRPr="004E44BA">
        <w:rPr>
          <w:lang w:val="en-NZ"/>
        </w:rPr>
        <w:t>At the time of the 2018 Census, New Zealand’s homeownership rates were at their lowest since the 1950s.</w:t>
      </w:r>
      <w:r>
        <w:rPr>
          <w:lang w:val="en-NZ"/>
        </w:rPr>
        <w:t xml:space="preserve"> </w:t>
      </w:r>
      <w:r w:rsidRPr="004E44BA">
        <w:rPr>
          <w:lang w:val="en-NZ"/>
        </w:rPr>
        <w:t xml:space="preserve">By 2018, just over 1.4 million people </w:t>
      </w:r>
      <w:r w:rsidR="0066692D">
        <w:rPr>
          <w:lang w:val="en-NZ"/>
        </w:rPr>
        <w:t>were living</w:t>
      </w:r>
      <w:r w:rsidRPr="004E44BA">
        <w:rPr>
          <w:lang w:val="en-NZ"/>
        </w:rPr>
        <w:t xml:space="preserve"> in houses they did not own, including 120,000 children under five years of age.</w:t>
      </w:r>
      <w:r>
        <w:rPr>
          <w:lang w:val="en-NZ"/>
        </w:rPr>
        <w:t xml:space="preserve"> Lower-income households are much more likely to rent than higher-income households, meaning increasing rents disproportionately impact these households, including </w:t>
      </w:r>
      <w:r w:rsidR="0066692D">
        <w:rPr>
          <w:lang w:val="en-NZ"/>
        </w:rPr>
        <w:t xml:space="preserve">many </w:t>
      </w:r>
      <w:r w:rsidR="007E5528">
        <w:rPr>
          <w:lang w:val="en-NZ"/>
        </w:rPr>
        <w:t xml:space="preserve">Māori and </w:t>
      </w:r>
      <w:r>
        <w:rPr>
          <w:lang w:val="en-NZ"/>
        </w:rPr>
        <w:t xml:space="preserve">Pacific </w:t>
      </w:r>
      <w:r w:rsidR="0066692D">
        <w:rPr>
          <w:lang w:val="en-NZ"/>
        </w:rPr>
        <w:t>families</w:t>
      </w:r>
      <w:r>
        <w:rPr>
          <w:lang w:val="en-NZ"/>
        </w:rPr>
        <w:t xml:space="preserve">. </w:t>
      </w:r>
    </w:p>
    <w:p w14:paraId="219FADF0" w14:textId="0A9FFF43" w:rsidR="00CB15C1" w:rsidRDefault="00CB15C1" w:rsidP="00472BF5">
      <w:pPr>
        <w:rPr>
          <w:lang w:val="en-NZ"/>
        </w:rPr>
      </w:pPr>
      <w:r>
        <w:rPr>
          <w:lang w:val="en-NZ"/>
        </w:rPr>
        <w:t xml:space="preserve">High rents can impact lower-income households’ ability to afford and sustain their tenancy and access suitable private tenancies. Increased housing stress </w:t>
      </w:r>
      <w:r w:rsidR="008006D0">
        <w:rPr>
          <w:lang w:val="en-NZ"/>
        </w:rPr>
        <w:t xml:space="preserve">often means that households must choose between </w:t>
      </w:r>
      <w:r w:rsidR="00532FA9">
        <w:rPr>
          <w:lang w:val="en-NZ"/>
        </w:rPr>
        <w:t xml:space="preserve">paying rent and other </w:t>
      </w:r>
      <w:r w:rsidR="008006D0">
        <w:rPr>
          <w:lang w:val="en-NZ"/>
        </w:rPr>
        <w:t xml:space="preserve">essentials </w:t>
      </w:r>
      <w:r w:rsidR="00E977E9">
        <w:rPr>
          <w:lang w:val="en-NZ"/>
        </w:rPr>
        <w:t xml:space="preserve">such as </w:t>
      </w:r>
      <w:r w:rsidR="008006D0">
        <w:rPr>
          <w:lang w:val="en-NZ"/>
        </w:rPr>
        <w:t>food, clothing, electricity, internet</w:t>
      </w:r>
      <w:r w:rsidR="00505B50">
        <w:rPr>
          <w:lang w:val="en-NZ"/>
        </w:rPr>
        <w:t>,</w:t>
      </w:r>
      <w:r w:rsidR="002D6BD9">
        <w:rPr>
          <w:lang w:val="en-NZ"/>
        </w:rPr>
        <w:t xml:space="preserve"> and </w:t>
      </w:r>
      <w:r w:rsidR="008006D0">
        <w:rPr>
          <w:lang w:val="en-NZ"/>
        </w:rPr>
        <w:t>transport</w:t>
      </w:r>
      <w:r w:rsidR="004E44BA">
        <w:rPr>
          <w:lang w:val="en-NZ"/>
        </w:rPr>
        <w:t xml:space="preserve">. High housing stress </w:t>
      </w:r>
      <w:r w:rsidR="00E977E9">
        <w:rPr>
          <w:lang w:val="en-NZ"/>
        </w:rPr>
        <w:t>results</w:t>
      </w:r>
      <w:r w:rsidR="002E5F9C">
        <w:rPr>
          <w:lang w:val="en-NZ"/>
        </w:rPr>
        <w:t xml:space="preserve"> in</w:t>
      </w:r>
      <w:r w:rsidR="004E44BA">
        <w:rPr>
          <w:lang w:val="en-NZ"/>
        </w:rPr>
        <w:t xml:space="preserve"> </w:t>
      </w:r>
      <w:r w:rsidR="002E5F9C">
        <w:rPr>
          <w:lang w:val="en-NZ"/>
        </w:rPr>
        <w:t xml:space="preserve">higher rates of overcrowding and illness due to lower-income </w:t>
      </w:r>
      <w:r w:rsidR="00261F14">
        <w:rPr>
          <w:lang w:val="en-NZ"/>
        </w:rPr>
        <w:t>households</w:t>
      </w:r>
      <w:r w:rsidR="002E5F9C">
        <w:rPr>
          <w:lang w:val="en-NZ"/>
        </w:rPr>
        <w:t xml:space="preserve"> not being able to afford suitable housing or the electricity </w:t>
      </w:r>
      <w:r w:rsidR="0066692D">
        <w:rPr>
          <w:lang w:val="en-NZ"/>
        </w:rPr>
        <w:t xml:space="preserve">required </w:t>
      </w:r>
      <w:r w:rsidR="002E5F9C">
        <w:rPr>
          <w:lang w:val="en-NZ"/>
        </w:rPr>
        <w:t xml:space="preserve">to properly heat their housing. Flow-on impacts of high housing stress </w:t>
      </w:r>
      <w:r w:rsidR="00261F14">
        <w:rPr>
          <w:lang w:val="en-NZ"/>
        </w:rPr>
        <w:t>include</w:t>
      </w:r>
      <w:r w:rsidR="002E5F9C">
        <w:rPr>
          <w:lang w:val="en-NZ"/>
        </w:rPr>
        <w:t xml:space="preserve"> poorer</w:t>
      </w:r>
      <w:r w:rsidR="00261F14">
        <w:rPr>
          <w:lang w:val="en-NZ"/>
        </w:rPr>
        <w:t xml:space="preserve"> health,</w:t>
      </w:r>
      <w:r w:rsidR="002E5F9C">
        <w:rPr>
          <w:lang w:val="en-NZ"/>
        </w:rPr>
        <w:t xml:space="preserve"> employment</w:t>
      </w:r>
      <w:r w:rsidR="0066692D">
        <w:rPr>
          <w:lang w:val="en-NZ"/>
        </w:rPr>
        <w:t>,</w:t>
      </w:r>
      <w:r w:rsidR="00261F14">
        <w:rPr>
          <w:lang w:val="en-NZ"/>
        </w:rPr>
        <w:t xml:space="preserve"> and</w:t>
      </w:r>
      <w:r w:rsidR="002E5F9C">
        <w:rPr>
          <w:lang w:val="en-NZ"/>
        </w:rPr>
        <w:t xml:space="preserve"> education</w:t>
      </w:r>
      <w:r w:rsidR="00261F14">
        <w:rPr>
          <w:lang w:val="en-NZ"/>
        </w:rPr>
        <w:t>al</w:t>
      </w:r>
      <w:r w:rsidR="002E5F9C">
        <w:rPr>
          <w:lang w:val="en-NZ"/>
        </w:rPr>
        <w:t xml:space="preserve"> outcomes.</w:t>
      </w:r>
    </w:p>
    <w:p w14:paraId="03DD02E7" w14:textId="77777777" w:rsidR="00864BB0" w:rsidRDefault="00864BB0" w:rsidP="00864BB0">
      <w:pPr>
        <w:rPr>
          <w:lang w:val="en-NZ"/>
        </w:rPr>
      </w:pPr>
    </w:p>
    <w:p w14:paraId="496A4313" w14:textId="42853EB0" w:rsidR="00B82911" w:rsidRDefault="00B82911" w:rsidP="00472BF5">
      <w:pPr>
        <w:rPr>
          <w:b/>
          <w:bCs/>
          <w:lang w:val="en-NZ"/>
        </w:rPr>
      </w:pPr>
      <w:r w:rsidRPr="0066692D">
        <w:rPr>
          <w:b/>
          <w:bCs/>
          <w:lang w:val="en-NZ"/>
        </w:rPr>
        <w:t>MSD offers several</w:t>
      </w:r>
      <w:r w:rsidR="0066692D">
        <w:rPr>
          <w:b/>
          <w:bCs/>
          <w:lang w:val="en-NZ"/>
        </w:rPr>
        <w:t xml:space="preserve"> </w:t>
      </w:r>
      <w:r w:rsidRPr="0066692D">
        <w:rPr>
          <w:b/>
          <w:bCs/>
          <w:lang w:val="en-NZ"/>
        </w:rPr>
        <w:t>programmes to assist households with housing-related costs</w:t>
      </w:r>
    </w:p>
    <w:p w14:paraId="45C67D1D" w14:textId="0B0311BC" w:rsidR="000C1470" w:rsidRPr="000C1470" w:rsidRDefault="000C1470" w:rsidP="000C1470">
      <w:pPr>
        <w:rPr>
          <w:lang w:val="en-NZ"/>
        </w:rPr>
      </w:pPr>
      <w:r w:rsidRPr="000C1470">
        <w:rPr>
          <w:lang w:val="en-NZ"/>
        </w:rPr>
        <w:t xml:space="preserve">MSD provides </w:t>
      </w:r>
      <w:r w:rsidR="0066692D">
        <w:rPr>
          <w:lang w:val="en-NZ"/>
        </w:rPr>
        <w:t xml:space="preserve">the following </w:t>
      </w:r>
      <w:r w:rsidRPr="000C1470">
        <w:rPr>
          <w:lang w:val="en-NZ"/>
        </w:rPr>
        <w:t>financial assistance</w:t>
      </w:r>
      <w:r w:rsidR="0066692D">
        <w:rPr>
          <w:lang w:val="en-NZ"/>
        </w:rPr>
        <w:t xml:space="preserve"> programmes</w:t>
      </w:r>
      <w:r w:rsidRPr="000C1470">
        <w:rPr>
          <w:lang w:val="en-NZ"/>
        </w:rPr>
        <w:t xml:space="preserve"> to </w:t>
      </w:r>
      <w:r w:rsidR="00186F7E">
        <w:rPr>
          <w:lang w:val="en-NZ"/>
        </w:rPr>
        <w:t xml:space="preserve">lower-income </w:t>
      </w:r>
      <w:r w:rsidRPr="000C1470">
        <w:rPr>
          <w:lang w:val="en-NZ"/>
        </w:rPr>
        <w:t xml:space="preserve">households </w:t>
      </w:r>
      <w:r w:rsidR="00092FD9">
        <w:rPr>
          <w:lang w:val="en-NZ"/>
        </w:rPr>
        <w:t xml:space="preserve">renting in the private market </w:t>
      </w:r>
      <w:r w:rsidRPr="000C1470">
        <w:rPr>
          <w:lang w:val="en-NZ"/>
        </w:rPr>
        <w:t xml:space="preserve">to help them </w:t>
      </w:r>
      <w:r w:rsidR="00092FD9">
        <w:rPr>
          <w:lang w:val="en-NZ"/>
        </w:rPr>
        <w:t>access and sustain</w:t>
      </w:r>
      <w:r w:rsidRPr="000C1470">
        <w:rPr>
          <w:lang w:val="en-NZ"/>
        </w:rPr>
        <w:t xml:space="preserve"> a</w:t>
      </w:r>
      <w:r w:rsidR="00092FD9">
        <w:rPr>
          <w:lang w:val="en-NZ"/>
        </w:rPr>
        <w:t xml:space="preserve"> private</w:t>
      </w:r>
      <w:r w:rsidRPr="000C1470">
        <w:rPr>
          <w:lang w:val="en-NZ"/>
        </w:rPr>
        <w:t xml:space="preserve"> tenancy</w:t>
      </w:r>
      <w:r w:rsidR="00092FD9">
        <w:rPr>
          <w:lang w:val="en-NZ"/>
        </w:rPr>
        <w:t>:</w:t>
      </w:r>
      <w:r>
        <w:rPr>
          <w:lang w:val="en-NZ"/>
        </w:rPr>
        <w:t xml:space="preserve"> </w:t>
      </w:r>
    </w:p>
    <w:p w14:paraId="6ABAA111" w14:textId="6AA53360" w:rsidR="000C1470" w:rsidRPr="000C1470" w:rsidRDefault="000C1470" w:rsidP="0066692D">
      <w:pPr>
        <w:pStyle w:val="ListParagraph"/>
        <w:numPr>
          <w:ilvl w:val="0"/>
          <w:numId w:val="33"/>
        </w:numPr>
        <w:ind w:left="714" w:hanging="357"/>
        <w:contextualSpacing w:val="0"/>
        <w:rPr>
          <w:lang w:val="en-NZ"/>
        </w:rPr>
      </w:pPr>
      <w:r w:rsidRPr="000C1470">
        <w:rPr>
          <w:lang w:val="en-NZ"/>
        </w:rPr>
        <w:t>Advance Payment of Instalments of Benefit (an Advance)</w:t>
      </w:r>
      <w:r w:rsidR="00186F7E">
        <w:rPr>
          <w:lang w:val="en-NZ"/>
        </w:rPr>
        <w:t xml:space="preserve"> for beneficiary households</w:t>
      </w:r>
      <w:r w:rsidR="00FA27FF">
        <w:rPr>
          <w:lang w:val="en-NZ"/>
        </w:rPr>
        <w:t xml:space="preserve"> (including households receiving New Zealand Superannuation or a Veteran’s Pension)</w:t>
      </w:r>
    </w:p>
    <w:p w14:paraId="14C1F9B9" w14:textId="01B790FB" w:rsidR="000C1470" w:rsidRPr="00186F7E" w:rsidRDefault="000C1470" w:rsidP="0066692D">
      <w:pPr>
        <w:pStyle w:val="ListParagraph"/>
        <w:numPr>
          <w:ilvl w:val="0"/>
          <w:numId w:val="33"/>
        </w:numPr>
        <w:ind w:left="714" w:hanging="357"/>
        <w:contextualSpacing w:val="0"/>
        <w:rPr>
          <w:lang w:val="en-NZ"/>
        </w:rPr>
      </w:pPr>
      <w:r w:rsidRPr="00092FD9">
        <w:rPr>
          <w:lang w:val="en-NZ"/>
        </w:rPr>
        <w:t>Recoverable Assistance Programme, via a Recoverable Assistance Payment (RAP), for non-beneficiary</w:t>
      </w:r>
      <w:r w:rsidR="00186F7E">
        <w:rPr>
          <w:lang w:val="en-NZ"/>
        </w:rPr>
        <w:t xml:space="preserve"> (predominantly working)</w:t>
      </w:r>
      <w:r w:rsidRPr="00186F7E">
        <w:rPr>
          <w:lang w:val="en-NZ"/>
        </w:rPr>
        <w:t xml:space="preserve"> households </w:t>
      </w:r>
    </w:p>
    <w:p w14:paraId="048F441D" w14:textId="55179899" w:rsidR="000C1470" w:rsidRDefault="000C1470" w:rsidP="0066692D">
      <w:pPr>
        <w:pStyle w:val="ListParagraph"/>
        <w:numPr>
          <w:ilvl w:val="0"/>
          <w:numId w:val="33"/>
        </w:numPr>
        <w:ind w:left="714" w:hanging="357"/>
        <w:contextualSpacing w:val="0"/>
        <w:rPr>
          <w:lang w:val="en-NZ"/>
        </w:rPr>
      </w:pPr>
      <w:r w:rsidRPr="00092FD9">
        <w:rPr>
          <w:lang w:val="en-NZ"/>
        </w:rPr>
        <w:t xml:space="preserve">Housing Support Assistance Programme, via HSPs, primarily for </w:t>
      </w:r>
      <w:r w:rsidR="0066692D">
        <w:rPr>
          <w:lang w:val="en-NZ"/>
        </w:rPr>
        <w:t>lower-income households</w:t>
      </w:r>
      <w:r w:rsidRPr="00092FD9">
        <w:rPr>
          <w:lang w:val="en-NZ"/>
        </w:rPr>
        <w:t xml:space="preserve"> not eligible for Advances or RAPs</w:t>
      </w:r>
      <w:r w:rsidR="0066692D">
        <w:rPr>
          <w:lang w:val="en-NZ"/>
        </w:rPr>
        <w:t xml:space="preserve"> due to income or assets</w:t>
      </w:r>
      <w:r w:rsidRPr="00092FD9">
        <w:rPr>
          <w:lang w:val="en-NZ"/>
        </w:rPr>
        <w:t>.</w:t>
      </w:r>
    </w:p>
    <w:p w14:paraId="724897DC" w14:textId="536ECEA9" w:rsidR="00186F7E" w:rsidRDefault="00186F7E" w:rsidP="00092FD9">
      <w:pPr>
        <w:pStyle w:val="ListParagraph"/>
        <w:numPr>
          <w:ilvl w:val="0"/>
          <w:numId w:val="33"/>
        </w:numPr>
        <w:ind w:left="714" w:hanging="357"/>
        <w:contextualSpacing w:val="0"/>
        <w:rPr>
          <w:lang w:val="en-NZ"/>
        </w:rPr>
      </w:pPr>
      <w:r>
        <w:rPr>
          <w:lang w:val="en-NZ"/>
        </w:rPr>
        <w:t xml:space="preserve">Accommodation Supplement (AS) and Temporary Additional Support (TAS) which provide </w:t>
      </w:r>
      <w:r w:rsidR="00FA27FF">
        <w:rPr>
          <w:lang w:val="en-NZ"/>
        </w:rPr>
        <w:t>ongoing weekly support with housing costs</w:t>
      </w:r>
      <w:r>
        <w:rPr>
          <w:lang w:val="en-NZ"/>
        </w:rPr>
        <w:t xml:space="preserve"> for both beneficiary and non-beneficiary households </w:t>
      </w:r>
      <w:r w:rsidR="00FA27FF">
        <w:rPr>
          <w:lang w:val="en-NZ"/>
        </w:rPr>
        <w:t>who meet an income and asset test</w:t>
      </w:r>
      <w:r>
        <w:rPr>
          <w:lang w:val="en-NZ"/>
        </w:rPr>
        <w:t>. AS and TAS are not in scope of th</w:t>
      </w:r>
      <w:r w:rsidR="002E5F9C">
        <w:rPr>
          <w:lang w:val="en-NZ"/>
        </w:rPr>
        <w:t>e proposal</w:t>
      </w:r>
      <w:r w:rsidR="00FA27FF">
        <w:rPr>
          <w:lang w:val="en-NZ"/>
        </w:rPr>
        <w:t>.</w:t>
      </w:r>
      <w:r w:rsidR="002E5F9C">
        <w:rPr>
          <w:lang w:val="en-NZ"/>
        </w:rPr>
        <w:t xml:space="preserve"> </w:t>
      </w:r>
    </w:p>
    <w:p w14:paraId="08D3923D" w14:textId="716D8B22" w:rsidR="003658E1" w:rsidRDefault="003658E1" w:rsidP="003658E1">
      <w:pPr>
        <w:tabs>
          <w:tab w:val="left" w:pos="7424"/>
          <w:tab w:val="right" w:pos="8636"/>
        </w:tabs>
        <w:rPr>
          <w:lang w:val="en-NZ"/>
        </w:rPr>
      </w:pPr>
      <w:r w:rsidRPr="007E5528">
        <w:rPr>
          <w:lang w:val="en-NZ"/>
        </w:rPr>
        <w:t xml:space="preserve">The legislation providing for </w:t>
      </w:r>
      <w:r w:rsidR="001C7275" w:rsidRPr="007E5528">
        <w:rPr>
          <w:lang w:val="en-NZ"/>
        </w:rPr>
        <w:t>Advances, RAPs and HSPs</w:t>
      </w:r>
      <w:r w:rsidRPr="007E5528">
        <w:rPr>
          <w:lang w:val="en-NZ"/>
        </w:rPr>
        <w:t xml:space="preserve"> is the Social Security Act 2018 (the Act). Advance Payment of Instalments of Benefit is a Ministerial Direction </w:t>
      </w:r>
      <w:r w:rsidR="0023553C" w:rsidRPr="007E5528">
        <w:rPr>
          <w:lang w:val="en-NZ"/>
        </w:rPr>
        <w:t>established under</w:t>
      </w:r>
      <w:r w:rsidRPr="007E5528">
        <w:rPr>
          <w:lang w:val="en-NZ"/>
        </w:rPr>
        <w:t xml:space="preserve"> section 7 of the Act</w:t>
      </w:r>
      <w:r w:rsidR="0023553C" w:rsidRPr="007E5528">
        <w:rPr>
          <w:lang w:val="en-NZ"/>
        </w:rPr>
        <w:t xml:space="preserve">, which allows the Minister for Social Development and Employment to </w:t>
      </w:r>
      <w:r w:rsidR="0023553C" w:rsidRPr="007E5528">
        <w:rPr>
          <w:lang w:val="en-NZ"/>
        </w:rPr>
        <w:lastRenderedPageBreak/>
        <w:t>give MSD specific written directions about MSD performing specific functions.</w:t>
      </w:r>
      <w:r w:rsidRPr="007E5528">
        <w:rPr>
          <w:lang w:val="en-NZ"/>
        </w:rPr>
        <w:t xml:space="preserve"> The </w:t>
      </w:r>
      <w:r w:rsidR="0023553C" w:rsidRPr="007E5528">
        <w:rPr>
          <w:lang w:val="en-NZ"/>
        </w:rPr>
        <w:t xml:space="preserve">Recoverable Assistance Programme </w:t>
      </w:r>
      <w:r w:rsidRPr="007E5528">
        <w:rPr>
          <w:lang w:val="en-NZ"/>
        </w:rPr>
        <w:t xml:space="preserve">and the Housing Support Assistance Programme </w:t>
      </w:r>
      <w:r w:rsidR="0023553C" w:rsidRPr="007E5528">
        <w:rPr>
          <w:lang w:val="en-NZ"/>
        </w:rPr>
        <w:t xml:space="preserve">(for HSPs) </w:t>
      </w:r>
      <w:r w:rsidRPr="007E5528">
        <w:rPr>
          <w:lang w:val="en-NZ"/>
        </w:rPr>
        <w:t>are welfare programmes approved and established under section 101 of the Act.</w:t>
      </w:r>
      <w:r>
        <w:rPr>
          <w:lang w:val="en-NZ"/>
        </w:rPr>
        <w:t xml:space="preserve"> </w:t>
      </w:r>
    </w:p>
    <w:p w14:paraId="2486690F" w14:textId="7936C521" w:rsidR="003658E1" w:rsidRPr="003658E1" w:rsidRDefault="007E5528" w:rsidP="003658E1">
      <w:pPr>
        <w:rPr>
          <w:lang w:val="en-NZ"/>
        </w:rPr>
      </w:pPr>
      <w:r>
        <w:rPr>
          <w:lang w:val="en-NZ"/>
        </w:rPr>
        <w:t xml:space="preserve"> </w:t>
      </w:r>
    </w:p>
    <w:p w14:paraId="4D1BF57A" w14:textId="50A61BFA" w:rsidR="00647442" w:rsidRPr="0023393B" w:rsidRDefault="00647442" w:rsidP="00840D28">
      <w:pPr>
        <w:rPr>
          <w:b/>
          <w:bCs/>
          <w:lang w:val="en-NZ"/>
        </w:rPr>
      </w:pPr>
      <w:r w:rsidRPr="0023393B">
        <w:rPr>
          <w:b/>
          <w:bCs/>
          <w:lang w:val="en-NZ"/>
        </w:rPr>
        <w:t xml:space="preserve">Background to </w:t>
      </w:r>
      <w:r w:rsidRPr="00647442">
        <w:rPr>
          <w:b/>
          <w:bCs/>
          <w:lang w:val="en-NZ"/>
        </w:rPr>
        <w:t>hardship</w:t>
      </w:r>
      <w:r w:rsidRPr="0023393B">
        <w:rPr>
          <w:b/>
          <w:bCs/>
          <w:lang w:val="en-NZ"/>
        </w:rPr>
        <w:t xml:space="preserve"> assistance </w:t>
      </w:r>
    </w:p>
    <w:p w14:paraId="7053152F" w14:textId="01DE5835" w:rsidR="001C7275" w:rsidRDefault="001C7275" w:rsidP="00864BB0">
      <w:pPr>
        <w:rPr>
          <w:lang w:val="en-NZ"/>
        </w:rPr>
      </w:pPr>
      <w:r w:rsidRPr="007E5528">
        <w:rPr>
          <w:lang w:val="en-NZ"/>
        </w:rPr>
        <w:t xml:space="preserve">The </w:t>
      </w:r>
      <w:r w:rsidR="009971B0" w:rsidRPr="007E5528">
        <w:rPr>
          <w:lang w:val="en-NZ"/>
        </w:rPr>
        <w:t xml:space="preserve">current </w:t>
      </w:r>
      <w:r w:rsidRPr="007E5528">
        <w:rPr>
          <w:lang w:val="en-NZ"/>
        </w:rPr>
        <w:t xml:space="preserve">Ministerial Direction on Advance Payments of Instalments of Benefit and </w:t>
      </w:r>
      <w:r w:rsidR="00DE63DA">
        <w:rPr>
          <w:lang w:val="en-NZ"/>
        </w:rPr>
        <w:t xml:space="preserve">the </w:t>
      </w:r>
      <w:r w:rsidRPr="007E5528">
        <w:rPr>
          <w:lang w:val="en-NZ"/>
        </w:rPr>
        <w:t>Recoverable Assistance Programme were established in 1999</w:t>
      </w:r>
      <w:r w:rsidR="00647442" w:rsidRPr="007E5528">
        <w:rPr>
          <w:lang w:val="en-NZ"/>
        </w:rPr>
        <w:t>.</w:t>
      </w:r>
      <w:r w:rsidRPr="007E5528">
        <w:rPr>
          <w:lang w:val="en-NZ"/>
        </w:rPr>
        <w:t xml:space="preserve"> This type of financial support </w:t>
      </w:r>
      <w:r w:rsidR="005F64B6">
        <w:rPr>
          <w:lang w:val="en-NZ"/>
        </w:rPr>
        <w:t>falls under</w:t>
      </w:r>
      <w:r w:rsidRPr="007E5528">
        <w:rPr>
          <w:lang w:val="en-NZ"/>
        </w:rPr>
        <w:t xml:space="preserve"> hardship assistance which is only available to households</w:t>
      </w:r>
      <w:r w:rsidR="000C1470">
        <w:rPr>
          <w:lang w:val="en-NZ"/>
        </w:rPr>
        <w:t xml:space="preserve"> with very limited income and assets (see </w:t>
      </w:r>
      <w:r w:rsidR="007E5528">
        <w:rPr>
          <w:lang w:val="en-NZ"/>
        </w:rPr>
        <w:t>T</w:t>
      </w:r>
      <w:r w:rsidR="000C1470">
        <w:rPr>
          <w:lang w:val="en-NZ"/>
        </w:rPr>
        <w:t xml:space="preserve">able </w:t>
      </w:r>
      <w:r w:rsidR="007E5528">
        <w:rPr>
          <w:lang w:val="en-NZ"/>
        </w:rPr>
        <w:t>O</w:t>
      </w:r>
      <w:r w:rsidR="000C1470">
        <w:rPr>
          <w:lang w:val="en-NZ"/>
        </w:rPr>
        <w:t>ne).</w:t>
      </w:r>
      <w:r w:rsidR="00DA43AB">
        <w:rPr>
          <w:lang w:val="en-NZ"/>
        </w:rPr>
        <w:t xml:space="preserve"> To qualify, clients must also usually meet</w:t>
      </w:r>
      <w:r w:rsidR="00DA43AB" w:rsidRPr="00DA43AB">
        <w:rPr>
          <w:lang w:val="en-NZ"/>
        </w:rPr>
        <w:t xml:space="preserve"> a reasonable steps obligation, </w:t>
      </w:r>
      <w:r w:rsidR="00DA43AB">
        <w:rPr>
          <w:lang w:val="en-NZ"/>
        </w:rPr>
        <w:t xml:space="preserve">which requires </w:t>
      </w:r>
      <w:r w:rsidR="007E5528">
        <w:rPr>
          <w:lang w:val="en-NZ"/>
        </w:rPr>
        <w:t>them</w:t>
      </w:r>
      <w:r w:rsidR="00DA43AB" w:rsidRPr="00DA43AB">
        <w:rPr>
          <w:lang w:val="en-NZ"/>
        </w:rPr>
        <w:t xml:space="preserve"> to take personal responsibility for managing their money and take steps to reduce their costs, increase their income, or improve their financial management</w:t>
      </w:r>
      <w:r w:rsidR="00DA43AB">
        <w:rPr>
          <w:lang w:val="en-NZ"/>
        </w:rPr>
        <w:t>.</w:t>
      </w:r>
    </w:p>
    <w:p w14:paraId="1858FD22" w14:textId="1B7B8100" w:rsidR="00647442" w:rsidRPr="009F5C43" w:rsidRDefault="00647442" w:rsidP="000C1470">
      <w:pPr>
        <w:rPr>
          <w:i/>
          <w:iCs/>
          <w:lang w:val="en-NZ"/>
        </w:rPr>
      </w:pPr>
      <w:r w:rsidRPr="009F5C43">
        <w:rPr>
          <w:i/>
          <w:iCs/>
          <w:lang w:val="en-NZ"/>
        </w:rPr>
        <w:t xml:space="preserve">Table </w:t>
      </w:r>
      <w:r w:rsidR="007E5528" w:rsidRPr="009F5C43">
        <w:rPr>
          <w:i/>
          <w:iCs/>
          <w:lang w:val="en-NZ"/>
        </w:rPr>
        <w:t>O</w:t>
      </w:r>
      <w:r w:rsidRPr="009F5C43">
        <w:rPr>
          <w:i/>
          <w:iCs/>
          <w:lang w:val="en-NZ"/>
        </w:rPr>
        <w:t xml:space="preserve">ne: </w:t>
      </w:r>
      <w:r w:rsidR="00E605CC" w:rsidRPr="009F5C43">
        <w:rPr>
          <w:i/>
          <w:iCs/>
          <w:lang w:val="en-NZ"/>
        </w:rPr>
        <w:t>I</w:t>
      </w:r>
      <w:r w:rsidRPr="009F5C43">
        <w:rPr>
          <w:i/>
          <w:iCs/>
          <w:lang w:val="en-NZ"/>
        </w:rPr>
        <w:t xml:space="preserve">ncome and cash asset limits for </w:t>
      </w:r>
      <w:r w:rsidR="007E5528" w:rsidRPr="009F5C43">
        <w:rPr>
          <w:i/>
          <w:iCs/>
          <w:lang w:val="en-NZ"/>
        </w:rPr>
        <w:t>Advances/RAPs clients</w:t>
      </w:r>
      <w:r w:rsidR="005F64B6" w:rsidRPr="005F64B6">
        <w:t xml:space="preserve"> </w:t>
      </w:r>
      <w:r w:rsidR="005F64B6" w:rsidRPr="005F64B6">
        <w:rPr>
          <w:i/>
          <w:iCs/>
        </w:rPr>
        <w:t>(</w:t>
      </w:r>
      <w:r w:rsidR="005F64B6" w:rsidRPr="005F64B6">
        <w:rPr>
          <w:i/>
          <w:iCs/>
          <w:lang w:val="en-NZ"/>
        </w:rPr>
        <w:t>1 April 2021)</w:t>
      </w:r>
      <w:r w:rsidR="005F64B6" w:rsidRPr="005F64B6">
        <w:rPr>
          <w:rStyle w:val="FootnoteReference"/>
          <w:rFonts w:eastAsia="Calibri" w:cs="Arial"/>
          <w:b/>
          <w:bCs/>
          <w:szCs w:val="22"/>
          <w:lang w:eastAsia="en-US"/>
        </w:rPr>
        <w:t xml:space="preserve"> </w:t>
      </w:r>
    </w:p>
    <w:tbl>
      <w:tblPr>
        <w:tblStyle w:val="TableGrid1"/>
        <w:tblW w:w="9261" w:type="dxa"/>
        <w:tblInd w:w="-5" w:type="dxa"/>
        <w:tblLook w:val="04A0" w:firstRow="1" w:lastRow="0" w:firstColumn="1" w:lastColumn="0" w:noHBand="0" w:noVBand="1"/>
      </w:tblPr>
      <w:tblGrid>
        <w:gridCol w:w="4916"/>
        <w:gridCol w:w="4345"/>
      </w:tblGrid>
      <w:tr w:rsidR="00647442" w:rsidRPr="00AC56E6" w14:paraId="5A476E48" w14:textId="77777777" w:rsidTr="00D505C2">
        <w:trPr>
          <w:trHeight w:val="442"/>
        </w:trPr>
        <w:tc>
          <w:tcPr>
            <w:tcW w:w="3276" w:type="dxa"/>
            <w:shd w:val="clear" w:color="auto" w:fill="DBE5F1"/>
          </w:tcPr>
          <w:p w14:paraId="230AE5E4" w14:textId="604C208E" w:rsidR="00647442" w:rsidRPr="00AC56E6" w:rsidRDefault="005F64B6" w:rsidP="00D505C2">
            <w:pPr>
              <w:spacing w:line="288" w:lineRule="auto"/>
              <w:rPr>
                <w:rFonts w:eastAsia="Calibri" w:cs="Arial"/>
                <w:b/>
                <w:bCs/>
                <w:sz w:val="20"/>
                <w:szCs w:val="22"/>
                <w:lang w:eastAsia="en-US"/>
              </w:rPr>
            </w:pPr>
            <w:r>
              <w:rPr>
                <w:rFonts w:eastAsia="Calibri" w:cs="Arial"/>
                <w:b/>
                <w:bCs/>
                <w:sz w:val="20"/>
                <w:szCs w:val="22"/>
                <w:lang w:eastAsia="en-US"/>
              </w:rPr>
              <w:t xml:space="preserve">Household type </w:t>
            </w:r>
          </w:p>
        </w:tc>
        <w:tc>
          <w:tcPr>
            <w:tcW w:w="2896" w:type="dxa"/>
            <w:shd w:val="clear" w:color="auto" w:fill="DBE5F1"/>
          </w:tcPr>
          <w:p w14:paraId="74221333" w14:textId="38406C73" w:rsidR="00647442" w:rsidRPr="00AC56E6" w:rsidRDefault="00647442" w:rsidP="00D505C2">
            <w:pPr>
              <w:spacing w:line="288" w:lineRule="auto"/>
              <w:rPr>
                <w:rFonts w:eastAsia="Calibri" w:cs="Arial"/>
                <w:b/>
                <w:bCs/>
                <w:sz w:val="20"/>
                <w:szCs w:val="22"/>
                <w:lang w:eastAsia="en-US"/>
              </w:rPr>
            </w:pPr>
          </w:p>
        </w:tc>
      </w:tr>
      <w:tr w:rsidR="00647442" w:rsidRPr="00AC56E6" w14:paraId="3A43C259" w14:textId="77777777" w:rsidTr="00D505C2">
        <w:trPr>
          <w:trHeight w:val="265"/>
        </w:trPr>
        <w:tc>
          <w:tcPr>
            <w:tcW w:w="3276" w:type="dxa"/>
          </w:tcPr>
          <w:p w14:paraId="015EA996" w14:textId="77777777"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Single</w:t>
            </w:r>
          </w:p>
        </w:tc>
        <w:tc>
          <w:tcPr>
            <w:tcW w:w="2896" w:type="dxa"/>
          </w:tcPr>
          <w:p w14:paraId="279C8269" w14:textId="2D2C2FA2"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$591.20</w:t>
            </w:r>
          </w:p>
        </w:tc>
      </w:tr>
      <w:tr w:rsidR="00647442" w:rsidRPr="00AC56E6" w14:paraId="77A734E6" w14:textId="77777777" w:rsidTr="00D505C2">
        <w:trPr>
          <w:trHeight w:val="190"/>
        </w:trPr>
        <w:tc>
          <w:tcPr>
            <w:tcW w:w="3276" w:type="dxa"/>
          </w:tcPr>
          <w:p w14:paraId="5483AB42" w14:textId="77777777"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Couple without children</w:t>
            </w:r>
          </w:p>
        </w:tc>
        <w:tc>
          <w:tcPr>
            <w:tcW w:w="2896" w:type="dxa"/>
          </w:tcPr>
          <w:p w14:paraId="5A4DD9BE" w14:textId="132C2D53"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$858.72</w:t>
            </w:r>
          </w:p>
        </w:tc>
      </w:tr>
      <w:tr w:rsidR="00647442" w:rsidRPr="00AC56E6" w14:paraId="389B2E33" w14:textId="77777777" w:rsidTr="00D505C2">
        <w:trPr>
          <w:trHeight w:val="265"/>
        </w:trPr>
        <w:tc>
          <w:tcPr>
            <w:tcW w:w="3276" w:type="dxa"/>
          </w:tcPr>
          <w:p w14:paraId="64A54474" w14:textId="77777777"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Couple with children</w:t>
            </w:r>
          </w:p>
        </w:tc>
        <w:tc>
          <w:tcPr>
            <w:tcW w:w="2896" w:type="dxa"/>
          </w:tcPr>
          <w:p w14:paraId="333FFB5F" w14:textId="20D389F8"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$858.72</w:t>
            </w:r>
          </w:p>
        </w:tc>
      </w:tr>
      <w:tr w:rsidR="00647442" w:rsidRPr="00AC56E6" w14:paraId="257517B4" w14:textId="77777777" w:rsidTr="00D505C2">
        <w:trPr>
          <w:trHeight w:val="265"/>
        </w:trPr>
        <w:tc>
          <w:tcPr>
            <w:tcW w:w="3276" w:type="dxa"/>
          </w:tcPr>
          <w:p w14:paraId="34482754" w14:textId="77777777"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Sole parent, 1 child</w:t>
            </w:r>
          </w:p>
        </w:tc>
        <w:tc>
          <w:tcPr>
            <w:tcW w:w="2896" w:type="dxa"/>
          </w:tcPr>
          <w:p w14:paraId="4F19A253" w14:textId="6E60A723"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$717.40</w:t>
            </w:r>
          </w:p>
        </w:tc>
      </w:tr>
      <w:tr w:rsidR="00647442" w:rsidRPr="00AC56E6" w14:paraId="0B0BFE50" w14:textId="77777777" w:rsidTr="00CA238E">
        <w:trPr>
          <w:trHeight w:val="225"/>
        </w:trPr>
        <w:tc>
          <w:tcPr>
            <w:tcW w:w="3276" w:type="dxa"/>
            <w:shd w:val="clear" w:color="auto" w:fill="auto"/>
          </w:tcPr>
          <w:p w14:paraId="181B2E28" w14:textId="77777777" w:rsidR="00647442" w:rsidRPr="00CA238E" w:rsidRDefault="00647442" w:rsidP="00D505C2">
            <w:pPr>
              <w:spacing w:line="288" w:lineRule="auto"/>
              <w:rPr>
                <w:rFonts w:eastAsia="Calibri" w:cs="Arial"/>
                <w:sz w:val="20"/>
                <w:szCs w:val="22"/>
                <w:lang w:eastAsia="en-US"/>
              </w:rPr>
            </w:pPr>
            <w:r w:rsidRPr="00CA238E">
              <w:rPr>
                <w:rFonts w:eastAsia="Calibri" w:cs="Arial"/>
                <w:sz w:val="20"/>
                <w:szCs w:val="22"/>
                <w:lang w:eastAsia="en-US"/>
              </w:rPr>
              <w:t>Sole parent, 2+ children</w:t>
            </w:r>
          </w:p>
        </w:tc>
        <w:tc>
          <w:tcPr>
            <w:tcW w:w="2896" w:type="dxa"/>
            <w:shd w:val="clear" w:color="auto" w:fill="auto"/>
          </w:tcPr>
          <w:p w14:paraId="65C67F3C" w14:textId="181AC89E" w:rsidR="00647442" w:rsidRPr="00CA238E" w:rsidRDefault="00D65EDA" w:rsidP="00D505C2">
            <w:pPr>
              <w:spacing w:line="288" w:lineRule="auto"/>
              <w:rPr>
                <w:rFonts w:eastAsia="Calibri" w:cs="Arial"/>
                <w:sz w:val="20"/>
                <w:szCs w:val="22"/>
                <w:lang w:eastAsia="en-US"/>
              </w:rPr>
            </w:pPr>
            <w:r w:rsidRPr="00CA238E">
              <w:rPr>
                <w:rFonts w:eastAsia="Calibri" w:cs="Arial"/>
                <w:sz w:val="20"/>
                <w:szCs w:val="22"/>
                <w:lang w:eastAsia="en-US"/>
              </w:rPr>
              <w:t>$755.82</w:t>
            </w:r>
          </w:p>
        </w:tc>
      </w:tr>
      <w:tr w:rsidR="00647442" w:rsidRPr="00AC56E6" w14:paraId="432CD2B8" w14:textId="77777777" w:rsidTr="00D505C2">
        <w:trPr>
          <w:trHeight w:val="225"/>
        </w:trPr>
        <w:tc>
          <w:tcPr>
            <w:tcW w:w="3276" w:type="dxa"/>
            <w:shd w:val="clear" w:color="auto" w:fill="DBE5F1"/>
          </w:tcPr>
          <w:p w14:paraId="6627EA8C" w14:textId="77777777" w:rsidR="00647442" w:rsidRPr="00AC56E6" w:rsidRDefault="00647442" w:rsidP="00D505C2">
            <w:pPr>
              <w:spacing w:line="288" w:lineRule="auto"/>
              <w:rPr>
                <w:rFonts w:eastAsia="Calibri" w:cs="Arial"/>
                <w:sz w:val="20"/>
                <w:szCs w:val="22"/>
                <w:lang w:eastAsia="en-US"/>
              </w:rPr>
            </w:pPr>
            <w:r>
              <w:rPr>
                <w:rFonts w:eastAsia="Calibri" w:cs="Arial"/>
                <w:b/>
                <w:bCs/>
                <w:sz w:val="20"/>
                <w:szCs w:val="22"/>
                <w:lang w:eastAsia="en-US"/>
              </w:rPr>
              <w:t xml:space="preserve">Cash </w:t>
            </w:r>
            <w:r w:rsidRPr="00AC56E6">
              <w:rPr>
                <w:rFonts w:eastAsia="Calibri" w:cs="Arial"/>
                <w:b/>
                <w:bCs/>
                <w:sz w:val="20"/>
                <w:szCs w:val="22"/>
                <w:lang w:eastAsia="en-US"/>
              </w:rPr>
              <w:t>Assets limits</w:t>
            </w:r>
          </w:p>
        </w:tc>
        <w:tc>
          <w:tcPr>
            <w:tcW w:w="2896" w:type="dxa"/>
            <w:shd w:val="clear" w:color="auto" w:fill="DBE5F1"/>
          </w:tcPr>
          <w:p w14:paraId="245DF280" w14:textId="77777777" w:rsidR="00647442" w:rsidRPr="00AC56E6" w:rsidRDefault="00647442" w:rsidP="00D505C2">
            <w:pPr>
              <w:spacing w:line="288" w:lineRule="auto"/>
              <w:rPr>
                <w:rFonts w:eastAsia="Calibri" w:cs="Arial"/>
                <w:sz w:val="20"/>
                <w:szCs w:val="22"/>
                <w:lang w:eastAsia="en-US"/>
              </w:rPr>
            </w:pPr>
          </w:p>
        </w:tc>
      </w:tr>
      <w:tr w:rsidR="00647442" w:rsidRPr="00AC56E6" w14:paraId="254AB9BC" w14:textId="77777777" w:rsidTr="00D505C2">
        <w:trPr>
          <w:trHeight w:val="225"/>
        </w:trPr>
        <w:tc>
          <w:tcPr>
            <w:tcW w:w="3276" w:type="dxa"/>
          </w:tcPr>
          <w:p w14:paraId="299CBBDB" w14:textId="77777777" w:rsidR="00647442" w:rsidRPr="00AC56E6" w:rsidRDefault="00647442" w:rsidP="00D505C2">
            <w:pPr>
              <w:spacing w:line="288" w:lineRule="auto"/>
              <w:rPr>
                <w:rFonts w:eastAsia="Calibri" w:cs="Arial"/>
                <w:b/>
                <w:bCs/>
                <w:sz w:val="20"/>
                <w:szCs w:val="22"/>
                <w:lang w:eastAsia="en-US"/>
              </w:rPr>
            </w:pPr>
            <w:r w:rsidRPr="00AC56E6">
              <w:rPr>
                <w:rFonts w:eastAsia="Calibri" w:cs="Arial"/>
                <w:sz w:val="20"/>
                <w:szCs w:val="22"/>
                <w:lang w:eastAsia="en-US"/>
              </w:rPr>
              <w:t>Single</w:t>
            </w:r>
          </w:p>
        </w:tc>
        <w:tc>
          <w:tcPr>
            <w:tcW w:w="2896" w:type="dxa"/>
          </w:tcPr>
          <w:p w14:paraId="7CDF8052" w14:textId="436F36EA"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$1,126.21</w:t>
            </w:r>
          </w:p>
        </w:tc>
      </w:tr>
      <w:tr w:rsidR="00647442" w:rsidRPr="00AC56E6" w14:paraId="73A87557" w14:textId="77777777" w:rsidTr="00D505C2">
        <w:trPr>
          <w:trHeight w:val="225"/>
        </w:trPr>
        <w:tc>
          <w:tcPr>
            <w:tcW w:w="3276" w:type="dxa"/>
          </w:tcPr>
          <w:p w14:paraId="3EC42329" w14:textId="77777777"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All other households</w:t>
            </w:r>
          </w:p>
        </w:tc>
        <w:tc>
          <w:tcPr>
            <w:tcW w:w="2896" w:type="dxa"/>
          </w:tcPr>
          <w:p w14:paraId="0585A8C6" w14:textId="1C9A74B2" w:rsidR="00647442" w:rsidRPr="00AC56E6" w:rsidRDefault="00647442" w:rsidP="00D505C2">
            <w:pPr>
              <w:spacing w:line="288" w:lineRule="auto"/>
              <w:rPr>
                <w:rFonts w:eastAsia="Calibri" w:cs="Arial"/>
                <w:sz w:val="20"/>
                <w:szCs w:val="22"/>
                <w:lang w:eastAsia="en-US"/>
              </w:rPr>
            </w:pPr>
            <w:r w:rsidRPr="00AC56E6">
              <w:rPr>
                <w:rFonts w:eastAsia="Calibri" w:cs="Arial"/>
                <w:sz w:val="20"/>
                <w:szCs w:val="22"/>
                <w:lang w:eastAsia="en-US"/>
              </w:rPr>
              <w:t>$1,876.56</w:t>
            </w:r>
          </w:p>
        </w:tc>
      </w:tr>
    </w:tbl>
    <w:p w14:paraId="6B4A78D8" w14:textId="77777777" w:rsidR="00647442" w:rsidRDefault="00647442" w:rsidP="000C1470">
      <w:pPr>
        <w:rPr>
          <w:lang w:val="en-NZ"/>
        </w:rPr>
      </w:pPr>
    </w:p>
    <w:p w14:paraId="26D3486A" w14:textId="3810A17C" w:rsidR="00DB366E" w:rsidRDefault="00FA7753" w:rsidP="000C1470">
      <w:pPr>
        <w:rPr>
          <w:lang w:val="en-NZ"/>
        </w:rPr>
      </w:pPr>
      <w:r>
        <w:rPr>
          <w:lang w:val="en-NZ"/>
        </w:rPr>
        <w:t>Advances and RAPs</w:t>
      </w:r>
      <w:r w:rsidR="00DA43AB">
        <w:rPr>
          <w:lang w:val="en-NZ"/>
        </w:rPr>
        <w:t xml:space="preserve"> </w:t>
      </w:r>
      <w:r w:rsidR="002C165B">
        <w:rPr>
          <w:lang w:val="en-NZ"/>
        </w:rPr>
        <w:t xml:space="preserve">can </w:t>
      </w:r>
      <w:r w:rsidR="00DA43AB">
        <w:rPr>
          <w:lang w:val="en-NZ"/>
        </w:rPr>
        <w:t xml:space="preserve">provide support for a wide range of </w:t>
      </w:r>
      <w:r w:rsidR="00092FD9">
        <w:rPr>
          <w:lang w:val="en-NZ"/>
        </w:rPr>
        <w:t xml:space="preserve">essential </w:t>
      </w:r>
      <w:r w:rsidR="00DA43AB">
        <w:rPr>
          <w:lang w:val="en-NZ"/>
        </w:rPr>
        <w:t>costs</w:t>
      </w:r>
      <w:r w:rsidR="00092FD9">
        <w:rPr>
          <w:lang w:val="en-NZ"/>
        </w:rPr>
        <w:t xml:space="preserve"> </w:t>
      </w:r>
      <w:r w:rsidR="00DB366E">
        <w:rPr>
          <w:lang w:val="en-NZ"/>
        </w:rPr>
        <w:t>such as clothes bedding, furniture</w:t>
      </w:r>
      <w:r w:rsidR="00002885">
        <w:rPr>
          <w:lang w:val="en-NZ"/>
        </w:rPr>
        <w:t xml:space="preserve"> and</w:t>
      </w:r>
      <w:r w:rsidR="00DB366E">
        <w:rPr>
          <w:lang w:val="en-NZ"/>
        </w:rPr>
        <w:t xml:space="preserve"> whiteware</w:t>
      </w:r>
      <w:r w:rsidR="00002885">
        <w:rPr>
          <w:lang w:val="en-NZ"/>
        </w:rPr>
        <w:t>.</w:t>
      </w:r>
      <w:r w:rsidR="00DB366E">
        <w:rPr>
          <w:lang w:val="en-NZ"/>
        </w:rPr>
        <w:t xml:space="preserve"> All </w:t>
      </w:r>
      <w:r w:rsidR="002C165B">
        <w:rPr>
          <w:lang w:val="en-NZ"/>
        </w:rPr>
        <w:t>Advances and RAPs are</w:t>
      </w:r>
      <w:r w:rsidR="00DB366E">
        <w:rPr>
          <w:lang w:val="en-NZ"/>
        </w:rPr>
        <w:t xml:space="preserve"> recoverable</w:t>
      </w:r>
      <w:r w:rsidR="002C165B">
        <w:rPr>
          <w:lang w:val="en-NZ"/>
        </w:rPr>
        <w:t xml:space="preserve">, </w:t>
      </w:r>
      <w:r w:rsidR="00DB366E">
        <w:rPr>
          <w:lang w:val="en-NZ"/>
        </w:rPr>
        <w:t>which means clients must repay assistance in full</w:t>
      </w:r>
      <w:r w:rsidR="002C165B">
        <w:rPr>
          <w:lang w:val="en-NZ"/>
        </w:rPr>
        <w:t xml:space="preserve"> (</w:t>
      </w:r>
      <w:r w:rsidR="00002885">
        <w:rPr>
          <w:lang w:val="en-NZ"/>
        </w:rPr>
        <w:t>though MSD sets the rate of repayment at a level that an individual client can afford</w:t>
      </w:r>
      <w:r w:rsidR="00DB366E">
        <w:rPr>
          <w:lang w:val="en-NZ"/>
        </w:rPr>
        <w:t xml:space="preserve">). </w:t>
      </w:r>
    </w:p>
    <w:p w14:paraId="410736BE" w14:textId="293BAC8A" w:rsidR="00DB366E" w:rsidRDefault="00DB366E" w:rsidP="000C1470">
      <w:pPr>
        <w:rPr>
          <w:lang w:val="en-NZ"/>
        </w:rPr>
      </w:pPr>
      <w:r>
        <w:rPr>
          <w:lang w:val="en-NZ"/>
        </w:rPr>
        <w:t xml:space="preserve">In respect of housing-related hardship assistance, clients </w:t>
      </w:r>
      <w:proofErr w:type="gramStart"/>
      <w:r>
        <w:rPr>
          <w:lang w:val="en-NZ"/>
        </w:rPr>
        <w:t>are able to</w:t>
      </w:r>
      <w:proofErr w:type="gramEnd"/>
      <w:r>
        <w:rPr>
          <w:lang w:val="en-NZ"/>
        </w:rPr>
        <w:t xml:space="preserve"> receive assistance for:</w:t>
      </w:r>
    </w:p>
    <w:p w14:paraId="463A8796" w14:textId="6C7B814A" w:rsidR="00DB366E" w:rsidRDefault="00FA7753" w:rsidP="00DB366E">
      <w:pPr>
        <w:pStyle w:val="ListParagraph"/>
        <w:numPr>
          <w:ilvl w:val="0"/>
          <w:numId w:val="34"/>
        </w:numPr>
        <w:rPr>
          <w:lang w:val="en-NZ"/>
        </w:rPr>
      </w:pPr>
      <w:r>
        <w:rPr>
          <w:lang w:val="en-NZ"/>
        </w:rPr>
        <w:t>b</w:t>
      </w:r>
      <w:r w:rsidR="00DB366E">
        <w:rPr>
          <w:lang w:val="en-NZ"/>
        </w:rPr>
        <w:t>ond</w:t>
      </w:r>
    </w:p>
    <w:p w14:paraId="22015874" w14:textId="1FC6294C" w:rsidR="00DB366E" w:rsidRDefault="00FA7753" w:rsidP="00DB366E">
      <w:pPr>
        <w:pStyle w:val="ListParagraph"/>
        <w:numPr>
          <w:ilvl w:val="0"/>
          <w:numId w:val="34"/>
        </w:numPr>
        <w:rPr>
          <w:lang w:val="en-NZ"/>
        </w:rPr>
      </w:pPr>
      <w:r>
        <w:rPr>
          <w:lang w:val="en-NZ"/>
        </w:rPr>
        <w:t>r</w:t>
      </w:r>
      <w:r w:rsidR="00DB366E">
        <w:rPr>
          <w:lang w:val="en-NZ"/>
        </w:rPr>
        <w:t>ent in advance</w:t>
      </w:r>
    </w:p>
    <w:p w14:paraId="53A17569" w14:textId="5DF5B411" w:rsidR="00DB366E" w:rsidRPr="00DB366E" w:rsidRDefault="00FA7753" w:rsidP="0023393B">
      <w:pPr>
        <w:pStyle w:val="ListParagraph"/>
        <w:numPr>
          <w:ilvl w:val="0"/>
          <w:numId w:val="34"/>
        </w:numPr>
        <w:rPr>
          <w:lang w:val="en-NZ"/>
        </w:rPr>
      </w:pPr>
      <w:r>
        <w:rPr>
          <w:lang w:val="en-NZ"/>
        </w:rPr>
        <w:t>r</w:t>
      </w:r>
      <w:r w:rsidR="00DB366E">
        <w:rPr>
          <w:lang w:val="en-NZ"/>
        </w:rPr>
        <w:t>ent arrears</w:t>
      </w:r>
      <w:r w:rsidR="00E977E9">
        <w:rPr>
          <w:lang w:val="en-NZ"/>
        </w:rPr>
        <w:t>.</w:t>
      </w:r>
    </w:p>
    <w:p w14:paraId="252006DD" w14:textId="6C109066" w:rsidR="00DA43AB" w:rsidRDefault="00092FD9" w:rsidP="000C1470">
      <w:r>
        <w:rPr>
          <w:lang w:val="en-NZ"/>
        </w:rPr>
        <w:t>Hardship</w:t>
      </w:r>
      <w:r w:rsidR="00DA43AB">
        <w:rPr>
          <w:lang w:val="en-NZ"/>
        </w:rPr>
        <w:t xml:space="preserve"> assistance clients are only able to receive a maximum amount at any one time</w:t>
      </w:r>
      <w:r>
        <w:rPr>
          <w:lang w:val="en-NZ"/>
        </w:rPr>
        <w:t xml:space="preserve">. For beneficiary households receiving an advance, </w:t>
      </w:r>
      <w:r w:rsidR="00DB366E">
        <w:rPr>
          <w:lang w:val="en-NZ"/>
        </w:rPr>
        <w:t>the</w:t>
      </w:r>
      <w:r>
        <w:rPr>
          <w:lang w:val="en-NZ"/>
        </w:rPr>
        <w:t xml:space="preserve"> maximum entitlement is </w:t>
      </w:r>
      <w:r w:rsidRPr="004D4BCA">
        <w:rPr>
          <w:b/>
          <w:bCs/>
          <w:lang w:val="en-NZ"/>
        </w:rPr>
        <w:t>six weeks of the applicable benefit</w:t>
      </w:r>
      <w:r>
        <w:rPr>
          <w:lang w:val="en-NZ"/>
        </w:rPr>
        <w:t xml:space="preserve">. For non-beneficiary households receiving a RAP, </w:t>
      </w:r>
      <w:r w:rsidR="00DB366E">
        <w:rPr>
          <w:lang w:val="en-NZ"/>
        </w:rPr>
        <w:t>the</w:t>
      </w:r>
      <w:r>
        <w:rPr>
          <w:lang w:val="en-NZ"/>
        </w:rPr>
        <w:t xml:space="preserve"> maximum </w:t>
      </w:r>
      <w:r w:rsidR="007C2532">
        <w:rPr>
          <w:lang w:val="en-NZ"/>
        </w:rPr>
        <w:t xml:space="preserve">for bond and rent payments is </w:t>
      </w:r>
      <w:r w:rsidR="007C2532" w:rsidRPr="004D4BCA">
        <w:rPr>
          <w:b/>
          <w:bCs/>
          <w:lang w:val="en-NZ"/>
        </w:rPr>
        <w:t>$600</w:t>
      </w:r>
      <w:r w:rsidR="00766CF9">
        <w:rPr>
          <w:lang w:val="en-NZ"/>
        </w:rPr>
        <w:t xml:space="preserve"> in total</w:t>
      </w:r>
      <w:r>
        <w:rPr>
          <w:lang w:val="en-NZ"/>
        </w:rPr>
        <w:t xml:space="preserve">. If a hardship assistance client </w:t>
      </w:r>
      <w:r w:rsidR="00DB366E">
        <w:rPr>
          <w:lang w:val="en-NZ"/>
        </w:rPr>
        <w:t xml:space="preserve">has reached </w:t>
      </w:r>
      <w:r w:rsidR="00DB366E" w:rsidRPr="00475870">
        <w:rPr>
          <w:lang w:val="en-NZ"/>
        </w:rPr>
        <w:t>the</w:t>
      </w:r>
      <w:r w:rsidR="002C165B" w:rsidRPr="00475870">
        <w:rPr>
          <w:lang w:val="en-NZ"/>
        </w:rPr>
        <w:t>ir</w:t>
      </w:r>
      <w:r w:rsidRPr="00475870">
        <w:rPr>
          <w:lang w:val="en-NZ"/>
        </w:rPr>
        <w:t xml:space="preserve"> </w:t>
      </w:r>
      <w:r>
        <w:rPr>
          <w:lang w:val="en-NZ"/>
        </w:rPr>
        <w:t>maximum</w:t>
      </w:r>
      <w:r w:rsidR="00475870">
        <w:rPr>
          <w:lang w:val="en-NZ"/>
        </w:rPr>
        <w:t xml:space="preserve"> entitlement</w:t>
      </w:r>
      <w:r>
        <w:rPr>
          <w:lang w:val="en-NZ"/>
        </w:rPr>
        <w:t xml:space="preserve">, </w:t>
      </w:r>
      <w:r w:rsidR="0023393B">
        <w:rPr>
          <w:lang w:val="en-NZ"/>
        </w:rPr>
        <w:t>they are not able to receive further assistance until they have paid down their debt</w:t>
      </w:r>
      <w:r w:rsidR="0066692D">
        <w:rPr>
          <w:lang w:val="en-NZ"/>
        </w:rPr>
        <w:t xml:space="preserve"> </w:t>
      </w:r>
      <w:r>
        <w:rPr>
          <w:lang w:val="en-NZ"/>
        </w:rPr>
        <w:t>unless there are exceptional circumstances.</w:t>
      </w:r>
      <w:r w:rsidR="00475870">
        <w:t xml:space="preserve"> When assessing whether a client has exceptional circumstances, MSD staff consider whether not making a payment would worsen the client’s position, create any risk to the welfare of the client or their dependent children, or cause serious hardship to the client or their dependent children. </w:t>
      </w:r>
    </w:p>
    <w:p w14:paraId="52808A1F" w14:textId="4123D8AB" w:rsidR="00D65EDA" w:rsidRDefault="00D65EDA" w:rsidP="000C1470">
      <w:pPr>
        <w:rPr>
          <w:lang w:val="en-NZ"/>
        </w:rPr>
      </w:pPr>
    </w:p>
    <w:bookmarkEnd w:id="10"/>
    <w:p w14:paraId="0578D691" w14:textId="6389E218" w:rsidR="002705E1" w:rsidRPr="00AB64FB" w:rsidRDefault="002705E1" w:rsidP="00FF297F">
      <w:pPr>
        <w:pStyle w:val="Heading4"/>
        <w:rPr>
          <w:color w:val="auto"/>
        </w:rPr>
      </w:pPr>
      <w:r w:rsidRPr="00AB64FB">
        <w:rPr>
          <w:color w:val="auto"/>
        </w:rPr>
        <w:lastRenderedPageBreak/>
        <w:t xml:space="preserve">Background to HSPs </w:t>
      </w:r>
    </w:p>
    <w:p w14:paraId="2AA503DA" w14:textId="364E01FF" w:rsidR="004D4BCA" w:rsidRDefault="002705E1" w:rsidP="002705E1">
      <w:pPr>
        <w:rPr>
          <w:lang w:val="en-NZ"/>
        </w:rPr>
      </w:pPr>
      <w:r w:rsidRPr="002705E1">
        <w:rPr>
          <w:lang w:val="en-NZ"/>
        </w:rPr>
        <w:t>HSPs were established as part of the Social Housing Reform Programme (SHRP) in 2014</w:t>
      </w:r>
      <w:r w:rsidR="005F74B7">
        <w:rPr>
          <w:lang w:val="en-NZ"/>
        </w:rPr>
        <w:t>.</w:t>
      </w:r>
      <w:r w:rsidR="00D505C2">
        <w:rPr>
          <w:rStyle w:val="FootnoteReference"/>
          <w:lang w:val="en-NZ"/>
        </w:rPr>
        <w:footnoteReference w:id="3"/>
      </w:r>
      <w:r w:rsidR="005F74B7">
        <w:rPr>
          <w:lang w:val="en-NZ"/>
        </w:rPr>
        <w:t xml:space="preserve"> </w:t>
      </w:r>
      <w:r w:rsidR="00F45ADE">
        <w:rPr>
          <w:lang w:val="en-NZ"/>
        </w:rPr>
        <w:t>The original aim of t</w:t>
      </w:r>
      <w:r w:rsidR="005F74B7">
        <w:rPr>
          <w:lang w:val="en-NZ"/>
        </w:rPr>
        <w:t xml:space="preserve">he </w:t>
      </w:r>
      <w:r w:rsidR="00275ADF">
        <w:rPr>
          <w:lang w:val="en-NZ"/>
        </w:rPr>
        <w:t xml:space="preserve">programme </w:t>
      </w:r>
      <w:r w:rsidR="00F45ADE">
        <w:rPr>
          <w:lang w:val="en-NZ"/>
        </w:rPr>
        <w:t>was</w:t>
      </w:r>
      <w:r w:rsidR="00275ADF">
        <w:rPr>
          <w:lang w:val="en-NZ"/>
        </w:rPr>
        <w:t xml:space="preserve"> to</w:t>
      </w:r>
      <w:r w:rsidRPr="002705E1">
        <w:rPr>
          <w:lang w:val="en-NZ"/>
        </w:rPr>
        <w:t xml:space="preserve"> assist </w:t>
      </w:r>
      <w:r w:rsidR="00647442">
        <w:rPr>
          <w:lang w:val="en-NZ"/>
        </w:rPr>
        <w:t>public</w:t>
      </w:r>
      <w:r w:rsidR="00647442" w:rsidRPr="002705E1">
        <w:rPr>
          <w:lang w:val="en-NZ"/>
        </w:rPr>
        <w:t xml:space="preserve"> </w:t>
      </w:r>
      <w:r w:rsidRPr="002705E1">
        <w:rPr>
          <w:lang w:val="en-NZ"/>
        </w:rPr>
        <w:t>housing tenants and people on the</w:t>
      </w:r>
      <w:r w:rsidR="00647442">
        <w:rPr>
          <w:lang w:val="en-NZ"/>
        </w:rPr>
        <w:t xml:space="preserve"> Public</w:t>
      </w:r>
      <w:r w:rsidRPr="002705E1">
        <w:rPr>
          <w:lang w:val="en-NZ"/>
        </w:rPr>
        <w:t xml:space="preserve"> Housing Register (or who contacted MSD regarding a housing need) to access private housing</w:t>
      </w:r>
      <w:r w:rsidR="005F74B7">
        <w:rPr>
          <w:lang w:val="en-NZ"/>
        </w:rPr>
        <w:t xml:space="preserve"> through </w:t>
      </w:r>
      <w:r w:rsidR="005F74B7" w:rsidRPr="002705E1">
        <w:rPr>
          <w:lang w:val="en-NZ"/>
        </w:rPr>
        <w:t>a range of products and services</w:t>
      </w:r>
      <w:r w:rsidRPr="002705E1">
        <w:rPr>
          <w:lang w:val="en-NZ"/>
        </w:rPr>
        <w:t xml:space="preserve">. </w:t>
      </w:r>
      <w:r w:rsidR="00F45ADE">
        <w:rPr>
          <w:lang w:val="en-NZ"/>
        </w:rPr>
        <w:t xml:space="preserve">Several HSPs (bond, rent in advance, and the Transition to Alternative Housing grant) were also made </w:t>
      </w:r>
      <w:r w:rsidR="00F45ADE" w:rsidRPr="0023393B">
        <w:rPr>
          <w:b/>
          <w:bCs/>
          <w:lang w:val="en-NZ"/>
        </w:rPr>
        <w:t>non-recoverable</w:t>
      </w:r>
      <w:r w:rsidR="00F45ADE">
        <w:rPr>
          <w:lang w:val="en-NZ"/>
        </w:rPr>
        <w:t xml:space="preserve"> to incentivise people to leave public housing (or not enter public housing) and find a private tenancy. </w:t>
      </w:r>
      <w:r w:rsidR="001B727F">
        <w:rPr>
          <w:lang w:val="en-NZ"/>
        </w:rPr>
        <w:t xml:space="preserve">The income and asset limits for HSPs were set higher than the </w:t>
      </w:r>
      <w:r w:rsidR="0023393B">
        <w:rPr>
          <w:lang w:val="en-NZ"/>
        </w:rPr>
        <w:t>hardship</w:t>
      </w:r>
      <w:r w:rsidR="001B727F">
        <w:rPr>
          <w:lang w:val="en-NZ"/>
        </w:rPr>
        <w:t xml:space="preserve"> limits </w:t>
      </w:r>
      <w:r w:rsidR="00275ADF">
        <w:rPr>
          <w:lang w:val="en-NZ"/>
        </w:rPr>
        <w:t>to reach</w:t>
      </w:r>
      <w:r w:rsidR="001B727F">
        <w:rPr>
          <w:lang w:val="en-NZ"/>
        </w:rPr>
        <w:t xml:space="preserve"> </w:t>
      </w:r>
      <w:r w:rsidR="00FA34BA">
        <w:rPr>
          <w:lang w:val="en-NZ"/>
        </w:rPr>
        <w:t>more households</w:t>
      </w:r>
      <w:r w:rsidR="00FA7753">
        <w:rPr>
          <w:lang w:val="en-NZ"/>
        </w:rPr>
        <w:t xml:space="preserve"> (see Table Two for income and asset limits)</w:t>
      </w:r>
      <w:r w:rsidR="001B727F">
        <w:rPr>
          <w:lang w:val="en-NZ"/>
        </w:rPr>
        <w:t>.</w:t>
      </w:r>
      <w:r w:rsidR="00AB1A47">
        <w:rPr>
          <w:rStyle w:val="FootnoteReference"/>
          <w:lang w:val="en-NZ"/>
        </w:rPr>
        <w:footnoteReference w:id="4"/>
      </w:r>
      <w:r w:rsidR="00F45ADE">
        <w:rPr>
          <w:lang w:val="en-NZ"/>
        </w:rPr>
        <w:t xml:space="preserve"> In 2019, the scope of HSPs was expanded with the introduction of the rent arrears HSPs, which shifted the policy intent to include helping lower-income households sustain their tenancies, as well as help (and incentivise) households to access a tenancy.</w:t>
      </w:r>
      <w:r w:rsidR="004D4BCA">
        <w:rPr>
          <w:lang w:val="en-NZ"/>
        </w:rPr>
        <w:t xml:space="preserve"> </w:t>
      </w:r>
    </w:p>
    <w:p w14:paraId="066A1CA4" w14:textId="77777777" w:rsidR="00505B50" w:rsidRPr="009F5C43" w:rsidRDefault="00505B50" w:rsidP="00505B50">
      <w:pPr>
        <w:rPr>
          <w:i/>
          <w:iCs/>
          <w:lang w:val="en-NZ"/>
        </w:rPr>
      </w:pPr>
      <w:r w:rsidRPr="009F5C43">
        <w:rPr>
          <w:i/>
          <w:iCs/>
          <w:lang w:val="en-NZ"/>
        </w:rPr>
        <w:t>Table Two: Income and asset limits for HSPs</w:t>
      </w:r>
      <w:r>
        <w:rPr>
          <w:i/>
          <w:iCs/>
          <w:lang w:val="en-NZ"/>
        </w:rPr>
        <w:t xml:space="preserve"> </w:t>
      </w:r>
      <w:r w:rsidRPr="005F64B6">
        <w:rPr>
          <w:i/>
          <w:iCs/>
        </w:rPr>
        <w:t>(</w:t>
      </w:r>
      <w:r w:rsidRPr="005F64B6">
        <w:rPr>
          <w:i/>
          <w:iCs/>
          <w:lang w:val="en-NZ"/>
        </w:rPr>
        <w:t>1 April 2021)</w:t>
      </w:r>
      <w:r>
        <w:rPr>
          <w:i/>
          <w:iCs/>
          <w:lang w:val="en-NZ"/>
        </w:rPr>
        <w:t xml:space="preserve"> </w:t>
      </w:r>
    </w:p>
    <w:tbl>
      <w:tblPr>
        <w:tblStyle w:val="TableGrid1"/>
        <w:tblW w:w="9065" w:type="dxa"/>
        <w:tblInd w:w="-5" w:type="dxa"/>
        <w:tblLook w:val="04A0" w:firstRow="1" w:lastRow="0" w:firstColumn="1" w:lastColumn="0" w:noHBand="0" w:noVBand="1"/>
      </w:tblPr>
      <w:tblGrid>
        <w:gridCol w:w="3221"/>
        <w:gridCol w:w="3124"/>
        <w:gridCol w:w="2720"/>
      </w:tblGrid>
      <w:tr w:rsidR="00505B50" w:rsidRPr="00AC56E6" w14:paraId="5B75BF13" w14:textId="77777777" w:rsidTr="00C62753">
        <w:trPr>
          <w:trHeight w:val="331"/>
        </w:trPr>
        <w:tc>
          <w:tcPr>
            <w:tcW w:w="3221" w:type="dxa"/>
            <w:shd w:val="clear" w:color="auto" w:fill="D9E2F3" w:themeFill="accent5" w:themeFillTint="33"/>
          </w:tcPr>
          <w:p w14:paraId="2FD962DF" w14:textId="77777777" w:rsidR="00505B50" w:rsidRPr="00AC56E6" w:rsidRDefault="00505B50" w:rsidP="00C62753">
            <w:pPr>
              <w:spacing w:line="288" w:lineRule="auto"/>
              <w:rPr>
                <w:rFonts w:eastAsia="Calibri" w:cs="Arial"/>
                <w:b/>
                <w:bCs/>
                <w:sz w:val="20"/>
                <w:szCs w:val="22"/>
                <w:lang w:eastAsia="en-US"/>
              </w:rPr>
            </w:pPr>
            <w:r>
              <w:rPr>
                <w:rFonts w:eastAsia="Calibri" w:cs="Arial"/>
                <w:b/>
                <w:bCs/>
                <w:sz w:val="20"/>
                <w:szCs w:val="22"/>
                <w:lang w:eastAsia="en-US"/>
              </w:rPr>
              <w:t>Household type</w:t>
            </w:r>
          </w:p>
        </w:tc>
        <w:tc>
          <w:tcPr>
            <w:tcW w:w="3124" w:type="dxa"/>
            <w:shd w:val="clear" w:color="auto" w:fill="D9E2F3" w:themeFill="accent5" w:themeFillTint="33"/>
          </w:tcPr>
          <w:p w14:paraId="41B2CDB1" w14:textId="77777777" w:rsidR="00505B50" w:rsidRDefault="00505B50" w:rsidP="00C62753">
            <w:pPr>
              <w:spacing w:line="288" w:lineRule="auto"/>
              <w:rPr>
                <w:rFonts w:eastAsia="Calibri" w:cs="Arial"/>
                <w:b/>
                <w:bCs/>
                <w:sz w:val="20"/>
                <w:szCs w:val="22"/>
                <w:lang w:eastAsia="en-US"/>
              </w:rPr>
            </w:pPr>
            <w:r w:rsidRPr="0023393B">
              <w:rPr>
                <w:rFonts w:eastAsia="Calibri" w:cs="Arial"/>
                <w:b/>
                <w:bCs/>
                <w:sz w:val="20"/>
                <w:szCs w:val="22"/>
                <w:lang w:eastAsia="en-US"/>
              </w:rPr>
              <w:t>Non-beneficiary households</w:t>
            </w:r>
          </w:p>
        </w:tc>
        <w:tc>
          <w:tcPr>
            <w:tcW w:w="272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389E07D" w14:textId="77777777" w:rsidR="00505B50" w:rsidRPr="0023393B" w:rsidRDefault="00505B50" w:rsidP="00C62753">
            <w:pPr>
              <w:spacing w:line="288" w:lineRule="auto"/>
              <w:rPr>
                <w:rFonts w:cs="Arial"/>
                <w:b/>
                <w:bCs/>
                <w:sz w:val="20"/>
              </w:rPr>
            </w:pPr>
            <w:r w:rsidRPr="0023393B">
              <w:rPr>
                <w:rFonts w:eastAsia="Calibri" w:cs="Arial"/>
                <w:b/>
                <w:bCs/>
                <w:sz w:val="20"/>
                <w:szCs w:val="22"/>
                <w:lang w:eastAsia="en-US"/>
              </w:rPr>
              <w:t>NZS/VP</w:t>
            </w:r>
            <w:r>
              <w:rPr>
                <w:rFonts w:eastAsia="Calibri" w:cs="Arial"/>
                <w:b/>
                <w:bCs/>
                <w:sz w:val="20"/>
                <w:szCs w:val="22"/>
                <w:lang w:eastAsia="en-US"/>
              </w:rPr>
              <w:t xml:space="preserve"> recipients </w:t>
            </w:r>
          </w:p>
        </w:tc>
      </w:tr>
      <w:tr w:rsidR="00505B50" w:rsidRPr="00AC56E6" w14:paraId="510E082A" w14:textId="77777777" w:rsidTr="00C62753">
        <w:trPr>
          <w:trHeight w:val="356"/>
        </w:trPr>
        <w:tc>
          <w:tcPr>
            <w:tcW w:w="3221" w:type="dxa"/>
          </w:tcPr>
          <w:p w14:paraId="4F30276D"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Single</w:t>
            </w:r>
          </w:p>
        </w:tc>
        <w:tc>
          <w:tcPr>
            <w:tcW w:w="3124" w:type="dxa"/>
          </w:tcPr>
          <w:p w14:paraId="05654D2E"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$1,218</w:t>
            </w:r>
          </w:p>
        </w:tc>
        <w:tc>
          <w:tcPr>
            <w:tcW w:w="2720" w:type="dxa"/>
            <w:tcBorders>
              <w:top w:val="single" w:sz="4" w:space="0" w:color="auto"/>
              <w:left w:val="single" w:sz="4" w:space="0" w:color="auto"/>
              <w:bottom w:val="single" w:sz="4" w:space="0" w:color="auto"/>
              <w:right w:val="single" w:sz="4" w:space="0" w:color="auto"/>
            </w:tcBorders>
          </w:tcPr>
          <w:p w14:paraId="1A4E8341" w14:textId="77777777" w:rsidR="00505B50" w:rsidRPr="00AC56E6" w:rsidRDefault="00505B50" w:rsidP="00C62753">
            <w:pPr>
              <w:spacing w:line="288" w:lineRule="auto"/>
              <w:rPr>
                <w:rFonts w:eastAsia="Calibri" w:cs="Arial"/>
                <w:sz w:val="20"/>
                <w:szCs w:val="22"/>
                <w:lang w:eastAsia="en-US"/>
              </w:rPr>
            </w:pPr>
            <w:r>
              <w:rPr>
                <w:rFonts w:cs="Arial"/>
                <w:sz w:val="20"/>
              </w:rPr>
              <w:t>$591.20</w:t>
            </w:r>
          </w:p>
        </w:tc>
      </w:tr>
      <w:tr w:rsidR="00505B50" w:rsidRPr="00AC56E6" w14:paraId="2F0B01D8" w14:textId="77777777" w:rsidTr="00C62753">
        <w:trPr>
          <w:trHeight w:val="392"/>
        </w:trPr>
        <w:tc>
          <w:tcPr>
            <w:tcW w:w="3221" w:type="dxa"/>
          </w:tcPr>
          <w:p w14:paraId="225C0BE6"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Couple without children</w:t>
            </w:r>
          </w:p>
        </w:tc>
        <w:tc>
          <w:tcPr>
            <w:tcW w:w="3124" w:type="dxa"/>
          </w:tcPr>
          <w:p w14:paraId="40414BD3"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$1,749</w:t>
            </w:r>
          </w:p>
        </w:tc>
        <w:tc>
          <w:tcPr>
            <w:tcW w:w="2720" w:type="dxa"/>
            <w:tcBorders>
              <w:top w:val="single" w:sz="4" w:space="0" w:color="auto"/>
              <w:left w:val="single" w:sz="4" w:space="0" w:color="auto"/>
              <w:bottom w:val="single" w:sz="4" w:space="0" w:color="auto"/>
              <w:right w:val="single" w:sz="4" w:space="0" w:color="auto"/>
            </w:tcBorders>
          </w:tcPr>
          <w:p w14:paraId="2406AC41" w14:textId="77777777" w:rsidR="00505B50" w:rsidRPr="00AC56E6" w:rsidRDefault="00505B50" w:rsidP="00C62753">
            <w:pPr>
              <w:spacing w:line="288" w:lineRule="auto"/>
              <w:rPr>
                <w:rFonts w:eastAsia="Calibri" w:cs="Arial"/>
                <w:sz w:val="20"/>
                <w:szCs w:val="22"/>
                <w:lang w:eastAsia="en-US"/>
              </w:rPr>
            </w:pPr>
            <w:r>
              <w:rPr>
                <w:rFonts w:cs="Arial"/>
                <w:sz w:val="20"/>
              </w:rPr>
              <w:t>$858.72</w:t>
            </w:r>
          </w:p>
        </w:tc>
      </w:tr>
      <w:tr w:rsidR="00505B50" w:rsidRPr="00AC56E6" w14:paraId="700D28C2" w14:textId="77777777" w:rsidTr="00C62753">
        <w:trPr>
          <w:trHeight w:val="198"/>
        </w:trPr>
        <w:tc>
          <w:tcPr>
            <w:tcW w:w="3221" w:type="dxa"/>
          </w:tcPr>
          <w:p w14:paraId="54529934"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Couple with children</w:t>
            </w:r>
          </w:p>
        </w:tc>
        <w:tc>
          <w:tcPr>
            <w:tcW w:w="3124" w:type="dxa"/>
          </w:tcPr>
          <w:p w14:paraId="7FCC42A4"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$2,068</w:t>
            </w:r>
          </w:p>
        </w:tc>
        <w:tc>
          <w:tcPr>
            <w:tcW w:w="2720" w:type="dxa"/>
            <w:tcBorders>
              <w:top w:val="single" w:sz="4" w:space="0" w:color="auto"/>
              <w:left w:val="single" w:sz="4" w:space="0" w:color="auto"/>
              <w:bottom w:val="single" w:sz="4" w:space="0" w:color="auto"/>
              <w:right w:val="single" w:sz="4" w:space="0" w:color="auto"/>
            </w:tcBorders>
          </w:tcPr>
          <w:p w14:paraId="5A259D37" w14:textId="77777777" w:rsidR="00505B50" w:rsidRPr="00AC56E6" w:rsidRDefault="00505B50" w:rsidP="00C62753">
            <w:pPr>
              <w:spacing w:line="288" w:lineRule="auto"/>
              <w:rPr>
                <w:rFonts w:eastAsia="Calibri" w:cs="Arial"/>
                <w:sz w:val="20"/>
                <w:szCs w:val="22"/>
                <w:lang w:eastAsia="en-US"/>
              </w:rPr>
            </w:pPr>
            <w:r>
              <w:rPr>
                <w:rFonts w:cs="Arial"/>
                <w:sz w:val="20"/>
              </w:rPr>
              <w:t>$858.72</w:t>
            </w:r>
          </w:p>
        </w:tc>
      </w:tr>
      <w:tr w:rsidR="00505B50" w:rsidRPr="00AC56E6" w14:paraId="5519C541" w14:textId="77777777" w:rsidTr="00C62753">
        <w:trPr>
          <w:trHeight w:val="198"/>
        </w:trPr>
        <w:tc>
          <w:tcPr>
            <w:tcW w:w="3221" w:type="dxa"/>
          </w:tcPr>
          <w:p w14:paraId="43E19C41"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Sole parent, 1 child</w:t>
            </w:r>
          </w:p>
        </w:tc>
        <w:tc>
          <w:tcPr>
            <w:tcW w:w="3124" w:type="dxa"/>
          </w:tcPr>
          <w:p w14:paraId="4134342B"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$1,682</w:t>
            </w:r>
          </w:p>
        </w:tc>
        <w:tc>
          <w:tcPr>
            <w:tcW w:w="2720" w:type="dxa"/>
            <w:tcBorders>
              <w:top w:val="single" w:sz="4" w:space="0" w:color="auto"/>
              <w:left w:val="single" w:sz="4" w:space="0" w:color="auto"/>
              <w:bottom w:val="single" w:sz="4" w:space="0" w:color="auto"/>
              <w:right w:val="single" w:sz="4" w:space="0" w:color="auto"/>
            </w:tcBorders>
          </w:tcPr>
          <w:p w14:paraId="0AC22533" w14:textId="77777777" w:rsidR="00505B50" w:rsidRPr="00AC56E6" w:rsidRDefault="00505B50" w:rsidP="00C62753">
            <w:pPr>
              <w:spacing w:line="288" w:lineRule="auto"/>
              <w:rPr>
                <w:rFonts w:eastAsia="Calibri" w:cs="Arial"/>
                <w:sz w:val="20"/>
                <w:szCs w:val="22"/>
                <w:lang w:eastAsia="en-US"/>
              </w:rPr>
            </w:pPr>
            <w:r>
              <w:rPr>
                <w:rFonts w:cs="Arial"/>
                <w:sz w:val="20"/>
              </w:rPr>
              <w:t>$717.40</w:t>
            </w:r>
          </w:p>
        </w:tc>
      </w:tr>
      <w:tr w:rsidR="00505B50" w:rsidRPr="00AC56E6" w14:paraId="6776BF10" w14:textId="77777777" w:rsidTr="00C62753">
        <w:trPr>
          <w:trHeight w:val="168"/>
        </w:trPr>
        <w:tc>
          <w:tcPr>
            <w:tcW w:w="3221" w:type="dxa"/>
          </w:tcPr>
          <w:p w14:paraId="58B14380"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Sole parent, 2+ children</w:t>
            </w:r>
          </w:p>
        </w:tc>
        <w:tc>
          <w:tcPr>
            <w:tcW w:w="3124" w:type="dxa"/>
          </w:tcPr>
          <w:p w14:paraId="23776D21"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$1,962</w:t>
            </w:r>
          </w:p>
        </w:tc>
        <w:tc>
          <w:tcPr>
            <w:tcW w:w="2720" w:type="dxa"/>
            <w:tcBorders>
              <w:top w:val="single" w:sz="4" w:space="0" w:color="auto"/>
              <w:left w:val="single" w:sz="4" w:space="0" w:color="auto"/>
              <w:bottom w:val="single" w:sz="4" w:space="0" w:color="auto"/>
              <w:right w:val="single" w:sz="4" w:space="0" w:color="auto"/>
            </w:tcBorders>
          </w:tcPr>
          <w:p w14:paraId="37A2467B" w14:textId="77777777" w:rsidR="00505B50" w:rsidRPr="00AC56E6" w:rsidRDefault="00505B50" w:rsidP="00C62753">
            <w:pPr>
              <w:spacing w:line="288" w:lineRule="auto"/>
              <w:rPr>
                <w:rFonts w:eastAsia="Calibri" w:cs="Arial"/>
                <w:sz w:val="20"/>
                <w:szCs w:val="22"/>
                <w:lang w:eastAsia="en-US"/>
              </w:rPr>
            </w:pPr>
            <w:r>
              <w:rPr>
                <w:rFonts w:cs="Arial"/>
                <w:sz w:val="20"/>
              </w:rPr>
              <w:t>$755.82</w:t>
            </w:r>
          </w:p>
        </w:tc>
      </w:tr>
      <w:tr w:rsidR="00505B50" w:rsidRPr="00AC56E6" w14:paraId="1E1FF19F" w14:textId="77777777" w:rsidTr="00C62753">
        <w:trPr>
          <w:trHeight w:val="168"/>
        </w:trPr>
        <w:tc>
          <w:tcPr>
            <w:tcW w:w="9065" w:type="dxa"/>
            <w:gridSpan w:val="3"/>
            <w:tcBorders>
              <w:right w:val="single" w:sz="4" w:space="0" w:color="auto"/>
            </w:tcBorders>
            <w:shd w:val="clear" w:color="auto" w:fill="DBE5F1"/>
          </w:tcPr>
          <w:p w14:paraId="518CB59C" w14:textId="77777777" w:rsidR="00505B50" w:rsidRPr="00AC56E6" w:rsidRDefault="00505B50" w:rsidP="00C62753">
            <w:pPr>
              <w:spacing w:line="288" w:lineRule="auto"/>
              <w:rPr>
                <w:rFonts w:eastAsia="Calibri" w:cs="Arial"/>
                <w:sz w:val="20"/>
                <w:szCs w:val="22"/>
                <w:lang w:eastAsia="en-US"/>
              </w:rPr>
            </w:pPr>
            <w:r>
              <w:rPr>
                <w:rFonts w:eastAsia="Calibri" w:cs="Arial"/>
                <w:b/>
                <w:bCs/>
                <w:sz w:val="20"/>
                <w:szCs w:val="22"/>
                <w:lang w:eastAsia="en-US"/>
              </w:rPr>
              <w:t xml:space="preserve">Cash </w:t>
            </w:r>
            <w:r w:rsidRPr="00AC56E6">
              <w:rPr>
                <w:rFonts w:eastAsia="Calibri" w:cs="Arial"/>
                <w:b/>
                <w:bCs/>
                <w:sz w:val="20"/>
                <w:szCs w:val="22"/>
                <w:lang w:eastAsia="en-US"/>
              </w:rPr>
              <w:t>Assets limits</w:t>
            </w:r>
          </w:p>
        </w:tc>
      </w:tr>
      <w:tr w:rsidR="00505B50" w:rsidRPr="00AC56E6" w14:paraId="26EB2265" w14:textId="77777777" w:rsidTr="00C62753">
        <w:trPr>
          <w:trHeight w:val="168"/>
        </w:trPr>
        <w:tc>
          <w:tcPr>
            <w:tcW w:w="3221" w:type="dxa"/>
          </w:tcPr>
          <w:p w14:paraId="4A853355" w14:textId="77777777" w:rsidR="00505B50" w:rsidRPr="00AC56E6" w:rsidRDefault="00505B50" w:rsidP="00C62753">
            <w:pPr>
              <w:spacing w:line="288" w:lineRule="auto"/>
              <w:rPr>
                <w:rFonts w:eastAsia="Calibri" w:cs="Arial"/>
                <w:b/>
                <w:bCs/>
                <w:sz w:val="20"/>
                <w:szCs w:val="22"/>
                <w:lang w:eastAsia="en-US"/>
              </w:rPr>
            </w:pPr>
            <w:r w:rsidRPr="00AC56E6">
              <w:rPr>
                <w:rFonts w:eastAsia="Calibri" w:cs="Arial"/>
                <w:sz w:val="20"/>
                <w:szCs w:val="22"/>
                <w:lang w:eastAsia="en-US"/>
              </w:rPr>
              <w:t>Single</w:t>
            </w:r>
          </w:p>
        </w:tc>
        <w:tc>
          <w:tcPr>
            <w:tcW w:w="5844" w:type="dxa"/>
            <w:gridSpan w:val="2"/>
          </w:tcPr>
          <w:p w14:paraId="730F2429"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$8,100</w:t>
            </w:r>
          </w:p>
        </w:tc>
      </w:tr>
      <w:tr w:rsidR="00505B50" w:rsidRPr="00AC56E6" w14:paraId="31A8F3A7" w14:textId="77777777" w:rsidTr="00C62753">
        <w:trPr>
          <w:trHeight w:val="168"/>
        </w:trPr>
        <w:tc>
          <w:tcPr>
            <w:tcW w:w="3221" w:type="dxa"/>
          </w:tcPr>
          <w:p w14:paraId="25934CF1"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All other households</w:t>
            </w:r>
          </w:p>
        </w:tc>
        <w:tc>
          <w:tcPr>
            <w:tcW w:w="5844" w:type="dxa"/>
            <w:gridSpan w:val="2"/>
          </w:tcPr>
          <w:p w14:paraId="1EFB81A2" w14:textId="77777777" w:rsidR="00505B50" w:rsidRPr="00AC56E6" w:rsidRDefault="00505B50" w:rsidP="00C62753">
            <w:pPr>
              <w:spacing w:line="288" w:lineRule="auto"/>
              <w:rPr>
                <w:rFonts w:eastAsia="Calibri" w:cs="Arial"/>
                <w:sz w:val="20"/>
                <w:szCs w:val="22"/>
                <w:lang w:eastAsia="en-US"/>
              </w:rPr>
            </w:pPr>
            <w:r w:rsidRPr="00AC56E6">
              <w:rPr>
                <w:rFonts w:eastAsia="Calibri" w:cs="Arial"/>
                <w:sz w:val="20"/>
                <w:szCs w:val="22"/>
                <w:lang w:eastAsia="en-US"/>
              </w:rPr>
              <w:t>$16,200</w:t>
            </w:r>
          </w:p>
        </w:tc>
      </w:tr>
    </w:tbl>
    <w:p w14:paraId="69AF5559" w14:textId="77777777" w:rsidR="00505B50" w:rsidRDefault="00505B50" w:rsidP="002705E1">
      <w:pPr>
        <w:rPr>
          <w:lang w:val="en-NZ"/>
        </w:rPr>
      </w:pPr>
    </w:p>
    <w:p w14:paraId="7CE4BF73" w14:textId="19795326" w:rsidR="00922C28" w:rsidRDefault="004D4BCA" w:rsidP="002705E1">
      <w:pPr>
        <w:rPr>
          <w:lang w:val="en-NZ"/>
        </w:rPr>
      </w:pPr>
      <w:r>
        <w:rPr>
          <w:lang w:val="en-NZ"/>
        </w:rPr>
        <w:t>T</w:t>
      </w:r>
      <w:r w:rsidR="00EF269B">
        <w:rPr>
          <w:lang w:val="en-NZ"/>
        </w:rPr>
        <w:t xml:space="preserve">he maximum amount </w:t>
      </w:r>
      <w:r>
        <w:rPr>
          <w:lang w:val="en-NZ"/>
        </w:rPr>
        <w:t xml:space="preserve">HSPs </w:t>
      </w:r>
      <w:r w:rsidR="00EF269B">
        <w:rPr>
          <w:lang w:val="en-NZ"/>
        </w:rPr>
        <w:t xml:space="preserve">clients can receive is tied </w:t>
      </w:r>
      <w:r w:rsidR="002D6BD9">
        <w:rPr>
          <w:lang w:val="en-NZ"/>
        </w:rPr>
        <w:t xml:space="preserve">to </w:t>
      </w:r>
      <w:r>
        <w:rPr>
          <w:lang w:val="en-NZ"/>
        </w:rPr>
        <w:t>each of their</w:t>
      </w:r>
      <w:r w:rsidR="00EF269B">
        <w:rPr>
          <w:lang w:val="en-NZ"/>
        </w:rPr>
        <w:t xml:space="preserve"> housing-related cost</w:t>
      </w:r>
      <w:r>
        <w:rPr>
          <w:lang w:val="en-NZ"/>
        </w:rPr>
        <w:t xml:space="preserve">s, whereas for hardship there is one maximum entitlement for all costs. For example, an HSPs client can receive the maximum amount for bond and still receive the maximum amount for rent arrears, whereas an Advance or RAP client is restricted by their maximum balance and cannot receive additional assistance if they are required to exceed that balance. </w:t>
      </w:r>
      <w:r w:rsidR="00002885">
        <w:rPr>
          <w:lang w:val="en-NZ"/>
        </w:rPr>
        <w:t>The full list of payments under the HSP programme is set out in table three.</w:t>
      </w:r>
    </w:p>
    <w:p w14:paraId="6A24AD11" w14:textId="116912E1" w:rsidR="00864BB0" w:rsidRDefault="00864BB0" w:rsidP="002705E1">
      <w:pPr>
        <w:rPr>
          <w:lang w:val="en-NZ"/>
        </w:rPr>
      </w:pPr>
    </w:p>
    <w:p w14:paraId="0D2768F8" w14:textId="3473809B" w:rsidR="00475870" w:rsidRDefault="00475870" w:rsidP="002705E1">
      <w:pPr>
        <w:rPr>
          <w:lang w:val="en-NZ"/>
        </w:rPr>
      </w:pPr>
    </w:p>
    <w:p w14:paraId="4E1984DD" w14:textId="25989DC8" w:rsidR="004D4BCA" w:rsidRDefault="004D4BCA" w:rsidP="002705E1">
      <w:pPr>
        <w:rPr>
          <w:lang w:val="en-NZ"/>
        </w:rPr>
      </w:pPr>
    </w:p>
    <w:p w14:paraId="6AE9D8CC" w14:textId="282EED77" w:rsidR="00034509" w:rsidRDefault="00034509" w:rsidP="002705E1">
      <w:pPr>
        <w:rPr>
          <w:lang w:val="en-NZ"/>
        </w:rPr>
      </w:pPr>
    </w:p>
    <w:p w14:paraId="2B58C2AD" w14:textId="77777777" w:rsidR="00034509" w:rsidRDefault="00034509" w:rsidP="002705E1">
      <w:pPr>
        <w:rPr>
          <w:lang w:val="en-NZ"/>
        </w:rPr>
      </w:pPr>
    </w:p>
    <w:p w14:paraId="568B5088" w14:textId="3F95C409" w:rsidR="001B727F" w:rsidRPr="009F5C43" w:rsidRDefault="001B727F" w:rsidP="002705E1">
      <w:pPr>
        <w:rPr>
          <w:i/>
          <w:iCs/>
          <w:lang w:val="en-NZ"/>
        </w:rPr>
      </w:pPr>
      <w:r w:rsidRPr="009F5C43">
        <w:rPr>
          <w:i/>
          <w:iCs/>
          <w:lang w:val="en-NZ"/>
        </w:rPr>
        <w:lastRenderedPageBreak/>
        <w:t>T</w:t>
      </w:r>
      <w:r w:rsidR="0023393B" w:rsidRPr="009F5C43">
        <w:rPr>
          <w:i/>
          <w:iCs/>
          <w:lang w:val="en-NZ"/>
        </w:rPr>
        <w:t xml:space="preserve">able </w:t>
      </w:r>
      <w:r w:rsidR="00FA7753" w:rsidRPr="009F5C43">
        <w:rPr>
          <w:i/>
          <w:iCs/>
          <w:lang w:val="en-NZ"/>
        </w:rPr>
        <w:t>T</w:t>
      </w:r>
      <w:r w:rsidR="0023393B" w:rsidRPr="009F5C43">
        <w:rPr>
          <w:i/>
          <w:iCs/>
          <w:lang w:val="en-NZ"/>
        </w:rPr>
        <w:t xml:space="preserve">hree: </w:t>
      </w:r>
      <w:r w:rsidR="00E605CC" w:rsidRPr="009F5C43">
        <w:rPr>
          <w:i/>
          <w:iCs/>
          <w:lang w:val="en-NZ"/>
        </w:rPr>
        <w:t>L</w:t>
      </w:r>
      <w:r w:rsidR="0023393B" w:rsidRPr="009F5C43">
        <w:rPr>
          <w:i/>
          <w:iCs/>
          <w:lang w:val="en-NZ"/>
        </w:rPr>
        <w:t>ist of</w:t>
      </w:r>
      <w:r w:rsidRPr="009F5C43">
        <w:rPr>
          <w:i/>
          <w:iCs/>
          <w:lang w:val="en-NZ"/>
        </w:rPr>
        <w:t xml:space="preserve"> HSPs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Caption w:val=""/>
        <w:tblDescription w:val=""/>
      </w:tblPr>
      <w:tblGrid>
        <w:gridCol w:w="2369"/>
        <w:gridCol w:w="3291"/>
        <w:gridCol w:w="2031"/>
        <w:gridCol w:w="1359"/>
      </w:tblGrid>
      <w:tr w:rsidR="001B727F" w:rsidRPr="0023393B" w14:paraId="03DF6342" w14:textId="77777777" w:rsidTr="0023393B">
        <w:tc>
          <w:tcPr>
            <w:tcW w:w="2369" w:type="dxa"/>
            <w:shd w:val="clear" w:color="auto" w:fill="D9E2F3" w:themeFill="accent5" w:themeFillTint="33"/>
            <w:tcMar>
              <w:top w:w="80" w:type="dxa"/>
              <w:left w:w="80" w:type="dxa"/>
              <w:bottom w:w="80" w:type="dxa"/>
              <w:right w:w="80" w:type="dxa"/>
            </w:tcMar>
            <w:hideMark/>
          </w:tcPr>
          <w:p w14:paraId="184AA963" w14:textId="7B7CAAF1" w:rsidR="001B727F" w:rsidRPr="0023393B" w:rsidRDefault="001B727F" w:rsidP="0023393B">
            <w:pPr>
              <w:spacing w:before="20" w:after="20"/>
              <w:rPr>
                <w:rFonts w:cs="Arial"/>
                <w:b/>
                <w:bCs/>
                <w:color w:val="000000"/>
                <w:sz w:val="20"/>
                <w:lang w:val="en-NZ" w:eastAsia="en-NZ"/>
              </w:rPr>
            </w:pPr>
            <w:r w:rsidRPr="0023393B">
              <w:rPr>
                <w:rFonts w:cs="Arial"/>
                <w:b/>
                <w:bCs/>
                <w:color w:val="000000"/>
                <w:sz w:val="20"/>
                <w:lang w:val="en-NZ" w:eastAsia="en-NZ"/>
              </w:rPr>
              <w:t xml:space="preserve">Grant type </w:t>
            </w:r>
          </w:p>
        </w:tc>
        <w:tc>
          <w:tcPr>
            <w:tcW w:w="3291" w:type="dxa"/>
            <w:shd w:val="clear" w:color="auto" w:fill="D9E2F3" w:themeFill="accent5" w:themeFillTint="33"/>
            <w:tcMar>
              <w:top w:w="80" w:type="dxa"/>
              <w:left w:w="80" w:type="dxa"/>
              <w:bottom w:w="80" w:type="dxa"/>
              <w:right w:w="80" w:type="dxa"/>
            </w:tcMar>
            <w:hideMark/>
          </w:tcPr>
          <w:p w14:paraId="0350FA6F" w14:textId="77777777" w:rsidR="001B727F" w:rsidRPr="0023393B" w:rsidRDefault="001B727F" w:rsidP="0023393B">
            <w:pPr>
              <w:spacing w:before="20" w:after="20"/>
              <w:rPr>
                <w:rFonts w:cs="Arial"/>
                <w:color w:val="000000"/>
                <w:sz w:val="20"/>
                <w:lang w:val="en-NZ" w:eastAsia="en-NZ"/>
              </w:rPr>
            </w:pPr>
            <w:r w:rsidRPr="0023393B">
              <w:rPr>
                <w:rFonts w:cs="Arial"/>
                <w:b/>
                <w:bCs/>
                <w:color w:val="000000"/>
                <w:sz w:val="20"/>
                <w:lang w:val="en-NZ" w:eastAsia="en-NZ"/>
              </w:rPr>
              <w:t>Description</w:t>
            </w:r>
          </w:p>
        </w:tc>
        <w:tc>
          <w:tcPr>
            <w:tcW w:w="2031" w:type="dxa"/>
            <w:shd w:val="clear" w:color="auto" w:fill="D9E2F3" w:themeFill="accent5" w:themeFillTint="33"/>
            <w:tcMar>
              <w:top w:w="80" w:type="dxa"/>
              <w:left w:w="80" w:type="dxa"/>
              <w:bottom w:w="80" w:type="dxa"/>
              <w:right w:w="80" w:type="dxa"/>
            </w:tcMar>
            <w:hideMark/>
          </w:tcPr>
          <w:p w14:paraId="54A42208" w14:textId="6FCD143B" w:rsidR="001B727F" w:rsidRPr="0023393B" w:rsidRDefault="001B727F" w:rsidP="0023393B">
            <w:pPr>
              <w:spacing w:before="20" w:after="20"/>
              <w:rPr>
                <w:rFonts w:cs="Arial"/>
                <w:color w:val="000000"/>
                <w:sz w:val="20"/>
                <w:lang w:val="en-NZ" w:eastAsia="en-NZ"/>
              </w:rPr>
            </w:pPr>
            <w:r w:rsidRPr="0023393B">
              <w:rPr>
                <w:rFonts w:cs="Arial"/>
                <w:b/>
                <w:bCs/>
                <w:color w:val="000000"/>
                <w:sz w:val="20"/>
                <w:lang w:val="en-NZ" w:eastAsia="en-NZ"/>
              </w:rPr>
              <w:t>Recoverability</w:t>
            </w:r>
          </w:p>
        </w:tc>
        <w:tc>
          <w:tcPr>
            <w:tcW w:w="1359" w:type="dxa"/>
            <w:shd w:val="clear" w:color="auto" w:fill="D9E2F3" w:themeFill="accent5" w:themeFillTint="33"/>
            <w:tcMar>
              <w:top w:w="80" w:type="dxa"/>
              <w:left w:w="80" w:type="dxa"/>
              <w:bottom w:w="80" w:type="dxa"/>
              <w:right w:w="80" w:type="dxa"/>
            </w:tcMar>
            <w:hideMark/>
          </w:tcPr>
          <w:p w14:paraId="37BA5F1B" w14:textId="5DE3CA2D" w:rsidR="001B727F" w:rsidRPr="0023393B" w:rsidRDefault="00475870" w:rsidP="0023393B">
            <w:pPr>
              <w:spacing w:before="20" w:after="20"/>
              <w:rPr>
                <w:rFonts w:cs="Arial"/>
                <w:color w:val="000000"/>
                <w:sz w:val="20"/>
                <w:lang w:val="en-NZ" w:eastAsia="en-NZ"/>
              </w:rPr>
            </w:pPr>
            <w:r>
              <w:rPr>
                <w:rFonts w:cs="Arial"/>
                <w:b/>
                <w:bCs/>
                <w:color w:val="000000"/>
                <w:sz w:val="20"/>
                <w:lang w:val="en-NZ" w:eastAsia="en-NZ"/>
              </w:rPr>
              <w:t>M</w:t>
            </w:r>
            <w:r w:rsidRPr="0023393B">
              <w:rPr>
                <w:rFonts w:cs="Arial"/>
                <w:b/>
                <w:bCs/>
                <w:color w:val="000000"/>
                <w:sz w:val="20"/>
                <w:lang w:val="en-NZ" w:eastAsia="en-NZ"/>
              </w:rPr>
              <w:t xml:space="preserve">aximum </w:t>
            </w:r>
            <w:r>
              <w:rPr>
                <w:rFonts w:cs="Arial"/>
                <w:b/>
                <w:bCs/>
                <w:color w:val="000000"/>
                <w:sz w:val="20"/>
                <w:lang w:val="en-NZ" w:eastAsia="en-NZ"/>
              </w:rPr>
              <w:t>p</w:t>
            </w:r>
            <w:r w:rsidR="001B727F" w:rsidRPr="0023393B">
              <w:rPr>
                <w:rFonts w:cs="Arial"/>
                <w:b/>
                <w:bCs/>
                <w:color w:val="000000"/>
                <w:sz w:val="20"/>
                <w:lang w:val="en-NZ" w:eastAsia="en-NZ"/>
              </w:rPr>
              <w:t xml:space="preserve">ayment </w:t>
            </w:r>
          </w:p>
        </w:tc>
      </w:tr>
      <w:tr w:rsidR="001B727F" w:rsidRPr="0023393B" w14:paraId="35A04B13" w14:textId="77777777" w:rsidTr="0023393B">
        <w:tc>
          <w:tcPr>
            <w:tcW w:w="2369" w:type="dxa"/>
            <w:shd w:val="clear" w:color="auto" w:fill="FFFFFF"/>
            <w:tcMar>
              <w:top w:w="80" w:type="dxa"/>
              <w:left w:w="80" w:type="dxa"/>
              <w:bottom w:w="80" w:type="dxa"/>
              <w:right w:w="80" w:type="dxa"/>
            </w:tcMar>
          </w:tcPr>
          <w:p w14:paraId="4DFC190F" w14:textId="3C985389"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HSP Bond Grant</w:t>
            </w:r>
          </w:p>
        </w:tc>
        <w:tc>
          <w:tcPr>
            <w:tcW w:w="3291" w:type="dxa"/>
            <w:shd w:val="clear" w:color="auto" w:fill="FFFFFF"/>
            <w:tcMar>
              <w:top w:w="80" w:type="dxa"/>
              <w:left w:w="80" w:type="dxa"/>
              <w:bottom w:w="80" w:type="dxa"/>
              <w:right w:w="80" w:type="dxa"/>
            </w:tcMar>
          </w:tcPr>
          <w:p w14:paraId="5B5A3E66" w14:textId="24B73112" w:rsidR="001B727F" w:rsidRPr="0023393B" w:rsidRDefault="001B727F" w:rsidP="0023393B">
            <w:pPr>
              <w:spacing w:before="20" w:after="20"/>
              <w:rPr>
                <w:rFonts w:cs="Arial"/>
                <w:b/>
                <w:bCs/>
                <w:color w:val="000000"/>
                <w:sz w:val="20"/>
                <w:lang w:val="en-NZ" w:eastAsia="en-NZ"/>
              </w:rPr>
            </w:pPr>
            <w:r w:rsidRPr="0023393B">
              <w:rPr>
                <w:rFonts w:cs="Arial"/>
                <w:color w:val="000000"/>
                <w:sz w:val="20"/>
                <w:lang w:val="en-NZ" w:eastAsia="en-NZ"/>
              </w:rPr>
              <w:t>Assist</w:t>
            </w:r>
            <w:r w:rsidR="00D21B87" w:rsidRPr="0023393B">
              <w:rPr>
                <w:rFonts w:cs="Arial"/>
                <w:color w:val="000000"/>
                <w:sz w:val="20"/>
                <w:lang w:val="en-NZ" w:eastAsia="en-NZ"/>
              </w:rPr>
              <w:t>s</w:t>
            </w:r>
            <w:r w:rsidR="00475870">
              <w:rPr>
                <w:rFonts w:cs="Arial"/>
                <w:color w:val="000000"/>
                <w:sz w:val="20"/>
                <w:lang w:val="en-NZ" w:eastAsia="en-NZ"/>
              </w:rPr>
              <w:t xml:space="preserve"> clients</w:t>
            </w:r>
            <w:r w:rsidRPr="0023393B">
              <w:rPr>
                <w:rFonts w:cs="Arial"/>
                <w:color w:val="000000"/>
                <w:sz w:val="20"/>
                <w:lang w:val="en-NZ" w:eastAsia="en-NZ"/>
              </w:rPr>
              <w:t xml:space="preserve"> with </w:t>
            </w:r>
            <w:r w:rsidR="00475870">
              <w:rPr>
                <w:rFonts w:cs="Arial"/>
                <w:color w:val="000000"/>
                <w:sz w:val="20"/>
                <w:lang w:val="en-NZ" w:eastAsia="en-NZ"/>
              </w:rPr>
              <w:t xml:space="preserve">the </w:t>
            </w:r>
            <w:r w:rsidRPr="0023393B">
              <w:rPr>
                <w:rFonts w:cs="Arial"/>
                <w:color w:val="000000"/>
                <w:sz w:val="20"/>
                <w:lang w:val="en-NZ" w:eastAsia="en-NZ"/>
              </w:rPr>
              <w:t>cost of bond</w:t>
            </w:r>
            <w:r w:rsidR="00D21B87" w:rsidRPr="0023393B">
              <w:rPr>
                <w:rFonts w:cs="Arial"/>
                <w:color w:val="000000"/>
                <w:sz w:val="20"/>
                <w:lang w:val="en-NZ" w:eastAsia="en-NZ"/>
              </w:rPr>
              <w:t xml:space="preserve"> (4 weeks of rent)</w:t>
            </w:r>
          </w:p>
        </w:tc>
        <w:tc>
          <w:tcPr>
            <w:tcW w:w="2031" w:type="dxa"/>
            <w:shd w:val="clear" w:color="auto" w:fill="FFFFFF"/>
            <w:tcMar>
              <w:top w:w="80" w:type="dxa"/>
              <w:left w:w="80" w:type="dxa"/>
              <w:bottom w:w="80" w:type="dxa"/>
              <w:right w:w="80" w:type="dxa"/>
            </w:tcMar>
          </w:tcPr>
          <w:p w14:paraId="3018B9C1" w14:textId="72FA7AAD" w:rsidR="001B727F" w:rsidRPr="0023393B" w:rsidRDefault="001B727F" w:rsidP="0023393B">
            <w:pPr>
              <w:spacing w:before="20" w:after="20"/>
              <w:rPr>
                <w:rFonts w:cs="Arial"/>
                <w:b/>
                <w:bCs/>
                <w:color w:val="000000"/>
                <w:sz w:val="20"/>
                <w:lang w:val="en-NZ" w:eastAsia="en-NZ"/>
              </w:rPr>
            </w:pPr>
            <w:r w:rsidRPr="0023393B">
              <w:rPr>
                <w:rFonts w:cs="Arial"/>
                <w:color w:val="000000"/>
                <w:sz w:val="20"/>
                <w:lang w:val="en-NZ" w:eastAsia="en-NZ"/>
              </w:rPr>
              <w:t>Non-recoverable (incentive)</w:t>
            </w:r>
          </w:p>
        </w:tc>
        <w:tc>
          <w:tcPr>
            <w:tcW w:w="1359" w:type="dxa"/>
            <w:shd w:val="clear" w:color="auto" w:fill="FFFFFF"/>
            <w:tcMar>
              <w:top w:w="80" w:type="dxa"/>
              <w:left w:w="80" w:type="dxa"/>
              <w:bottom w:w="80" w:type="dxa"/>
              <w:right w:w="80" w:type="dxa"/>
            </w:tcMar>
          </w:tcPr>
          <w:p w14:paraId="3F9AEDC4" w14:textId="5E4F8C69" w:rsidR="001B727F" w:rsidRPr="0023393B" w:rsidRDefault="001B727F" w:rsidP="0023393B">
            <w:pPr>
              <w:spacing w:before="20" w:after="20"/>
              <w:rPr>
                <w:rFonts w:cs="Arial"/>
                <w:b/>
                <w:bCs/>
                <w:color w:val="000000"/>
                <w:sz w:val="20"/>
                <w:lang w:val="en-NZ" w:eastAsia="en-NZ"/>
              </w:rPr>
            </w:pPr>
            <w:r w:rsidRPr="0023393B">
              <w:rPr>
                <w:rFonts w:cs="Arial"/>
                <w:color w:val="000000"/>
                <w:sz w:val="20"/>
                <w:lang w:val="en-NZ" w:eastAsia="en-NZ"/>
              </w:rPr>
              <w:t>$2,000 per year</w:t>
            </w:r>
          </w:p>
        </w:tc>
      </w:tr>
      <w:tr w:rsidR="001B727F" w:rsidRPr="0023393B" w14:paraId="7AC0EA99" w14:textId="77777777" w:rsidTr="0023393B">
        <w:tc>
          <w:tcPr>
            <w:tcW w:w="2369" w:type="dxa"/>
            <w:shd w:val="clear" w:color="auto" w:fill="FFFFFF"/>
            <w:tcMar>
              <w:top w:w="80" w:type="dxa"/>
              <w:left w:w="80" w:type="dxa"/>
              <w:bottom w:w="80" w:type="dxa"/>
              <w:right w:w="80" w:type="dxa"/>
            </w:tcMar>
          </w:tcPr>
          <w:p w14:paraId="12DF1606" w14:textId="4395402C"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 xml:space="preserve">HSP Rent </w:t>
            </w:r>
            <w:r w:rsidR="00FA7753" w:rsidRPr="00475870">
              <w:rPr>
                <w:rFonts w:cs="Arial"/>
                <w:color w:val="000000"/>
                <w:sz w:val="20"/>
                <w:lang w:val="en-NZ" w:eastAsia="en-NZ"/>
              </w:rPr>
              <w:t>i</w:t>
            </w:r>
            <w:r w:rsidRPr="00475870">
              <w:rPr>
                <w:rFonts w:cs="Arial"/>
                <w:color w:val="000000"/>
                <w:sz w:val="20"/>
                <w:lang w:val="en-NZ" w:eastAsia="en-NZ"/>
              </w:rPr>
              <w:t>n Advance</w:t>
            </w:r>
          </w:p>
        </w:tc>
        <w:tc>
          <w:tcPr>
            <w:tcW w:w="3291" w:type="dxa"/>
            <w:shd w:val="clear" w:color="auto" w:fill="FFFFFF"/>
            <w:tcMar>
              <w:top w:w="80" w:type="dxa"/>
              <w:left w:w="80" w:type="dxa"/>
              <w:bottom w:w="80" w:type="dxa"/>
              <w:right w:w="80" w:type="dxa"/>
            </w:tcMar>
          </w:tcPr>
          <w:p w14:paraId="135C9AE1" w14:textId="6AF8E646" w:rsidR="001B727F" w:rsidRPr="0023393B" w:rsidRDefault="00AB1A47" w:rsidP="0023393B">
            <w:pPr>
              <w:spacing w:before="20" w:after="20"/>
              <w:rPr>
                <w:rFonts w:cs="Arial"/>
                <w:color w:val="000000"/>
                <w:sz w:val="20"/>
                <w:lang w:val="en-NZ" w:eastAsia="en-NZ"/>
              </w:rPr>
            </w:pPr>
            <w:r>
              <w:rPr>
                <w:rFonts w:cs="Arial"/>
                <w:color w:val="000000"/>
                <w:sz w:val="20"/>
                <w:lang w:val="en-NZ" w:eastAsia="en-NZ"/>
              </w:rPr>
              <w:t xml:space="preserve">Assists </w:t>
            </w:r>
            <w:r w:rsidR="00475870">
              <w:rPr>
                <w:rFonts w:cs="Arial"/>
                <w:color w:val="000000"/>
                <w:sz w:val="20"/>
                <w:lang w:val="en-NZ" w:eastAsia="en-NZ"/>
              </w:rPr>
              <w:t xml:space="preserve">clients </w:t>
            </w:r>
            <w:r>
              <w:rPr>
                <w:rFonts w:cs="Arial"/>
                <w:color w:val="000000"/>
                <w:sz w:val="20"/>
                <w:lang w:val="en-NZ" w:eastAsia="en-NZ"/>
              </w:rPr>
              <w:t xml:space="preserve">with rent required by landlords at the start of a </w:t>
            </w:r>
            <w:r w:rsidR="00FA7753">
              <w:rPr>
                <w:rFonts w:cs="Arial"/>
                <w:color w:val="000000"/>
                <w:sz w:val="20"/>
                <w:lang w:val="en-NZ" w:eastAsia="en-NZ"/>
              </w:rPr>
              <w:t xml:space="preserve">tenancy </w:t>
            </w:r>
            <w:r w:rsidR="00FA7753" w:rsidRPr="0023393B">
              <w:rPr>
                <w:rFonts w:cs="Arial"/>
                <w:color w:val="000000"/>
                <w:sz w:val="20"/>
                <w:lang w:val="en-NZ" w:eastAsia="en-NZ"/>
              </w:rPr>
              <w:t>(</w:t>
            </w:r>
            <w:r w:rsidR="00D21B87" w:rsidRPr="0023393B">
              <w:rPr>
                <w:rFonts w:cs="Arial"/>
                <w:color w:val="000000"/>
                <w:sz w:val="20"/>
                <w:lang w:val="en-NZ" w:eastAsia="en-NZ"/>
              </w:rPr>
              <w:t>2 weeks of rent)</w:t>
            </w:r>
          </w:p>
        </w:tc>
        <w:tc>
          <w:tcPr>
            <w:tcW w:w="2031" w:type="dxa"/>
            <w:shd w:val="clear" w:color="auto" w:fill="FFFFFF"/>
            <w:tcMar>
              <w:top w:w="80" w:type="dxa"/>
              <w:left w:w="80" w:type="dxa"/>
              <w:bottom w:w="80" w:type="dxa"/>
              <w:right w:w="80" w:type="dxa"/>
            </w:tcMar>
          </w:tcPr>
          <w:p w14:paraId="62AE7424" w14:textId="4016FFA3"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 xml:space="preserve">Non-recoverable (incentive) </w:t>
            </w:r>
          </w:p>
        </w:tc>
        <w:tc>
          <w:tcPr>
            <w:tcW w:w="1359" w:type="dxa"/>
            <w:shd w:val="clear" w:color="auto" w:fill="FFFFFF"/>
            <w:tcMar>
              <w:top w:w="80" w:type="dxa"/>
              <w:left w:w="80" w:type="dxa"/>
              <w:bottom w:w="80" w:type="dxa"/>
              <w:right w:w="80" w:type="dxa"/>
            </w:tcMar>
          </w:tcPr>
          <w:p w14:paraId="59AA7114" w14:textId="067AC2FF"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$1,000 per year</w:t>
            </w:r>
          </w:p>
        </w:tc>
      </w:tr>
      <w:tr w:rsidR="001B727F" w:rsidRPr="0023393B" w14:paraId="1D13B430" w14:textId="77777777" w:rsidTr="0023393B">
        <w:trPr>
          <w:trHeight w:val="583"/>
        </w:trPr>
        <w:tc>
          <w:tcPr>
            <w:tcW w:w="2369" w:type="dxa"/>
            <w:shd w:val="clear" w:color="auto" w:fill="FFFFFF"/>
            <w:tcMar>
              <w:top w:w="80" w:type="dxa"/>
              <w:left w:w="80" w:type="dxa"/>
              <w:bottom w:w="80" w:type="dxa"/>
              <w:right w:w="80" w:type="dxa"/>
            </w:tcMar>
          </w:tcPr>
          <w:p w14:paraId="5149DFAD" w14:textId="0C5072E1"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HSP Transition to Alternative Housing Grant</w:t>
            </w:r>
          </w:p>
        </w:tc>
        <w:tc>
          <w:tcPr>
            <w:tcW w:w="3291" w:type="dxa"/>
            <w:shd w:val="clear" w:color="auto" w:fill="FFFFFF"/>
            <w:tcMar>
              <w:top w:w="80" w:type="dxa"/>
              <w:left w:w="80" w:type="dxa"/>
              <w:bottom w:w="80" w:type="dxa"/>
              <w:right w:w="80" w:type="dxa"/>
            </w:tcMar>
          </w:tcPr>
          <w:p w14:paraId="1A16C0D9" w14:textId="31CD9582"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 xml:space="preserve">Incentive payment that </w:t>
            </w:r>
            <w:r w:rsidR="00AB1A47">
              <w:rPr>
                <w:rFonts w:cs="Arial"/>
                <w:color w:val="000000"/>
                <w:sz w:val="20"/>
                <w:lang w:val="en-NZ" w:eastAsia="en-NZ"/>
              </w:rPr>
              <w:t>can</w:t>
            </w:r>
            <w:r w:rsidR="00AB1A47" w:rsidRPr="0023393B">
              <w:rPr>
                <w:rFonts w:cs="Arial"/>
                <w:color w:val="000000"/>
                <w:sz w:val="20"/>
                <w:lang w:val="en-NZ" w:eastAsia="en-NZ"/>
              </w:rPr>
              <w:t xml:space="preserve"> </w:t>
            </w:r>
            <w:r w:rsidRPr="0023393B">
              <w:rPr>
                <w:rFonts w:cs="Arial"/>
                <w:color w:val="000000"/>
                <w:sz w:val="20"/>
                <w:lang w:val="en-NZ" w:eastAsia="en-NZ"/>
              </w:rPr>
              <w:t xml:space="preserve">be offered to clients </w:t>
            </w:r>
            <w:r w:rsidR="00475870">
              <w:rPr>
                <w:rFonts w:cs="Arial"/>
                <w:color w:val="000000"/>
                <w:sz w:val="20"/>
                <w:lang w:val="en-NZ" w:eastAsia="en-NZ"/>
              </w:rPr>
              <w:t xml:space="preserve">leaving public </w:t>
            </w:r>
            <w:r w:rsidR="00475870" w:rsidRPr="0023393B">
              <w:rPr>
                <w:rFonts w:cs="Arial"/>
                <w:color w:val="000000"/>
                <w:sz w:val="20"/>
                <w:lang w:val="en-NZ" w:eastAsia="en-NZ"/>
              </w:rPr>
              <w:t>housing</w:t>
            </w:r>
          </w:p>
        </w:tc>
        <w:tc>
          <w:tcPr>
            <w:tcW w:w="2031" w:type="dxa"/>
            <w:shd w:val="clear" w:color="auto" w:fill="FFFFFF"/>
            <w:tcMar>
              <w:top w:w="80" w:type="dxa"/>
              <w:left w:w="80" w:type="dxa"/>
              <w:bottom w:w="80" w:type="dxa"/>
              <w:right w:w="80" w:type="dxa"/>
            </w:tcMar>
          </w:tcPr>
          <w:p w14:paraId="75F105DE" w14:textId="21035604"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Non-recoverable (incentive)</w:t>
            </w:r>
          </w:p>
        </w:tc>
        <w:tc>
          <w:tcPr>
            <w:tcW w:w="1359" w:type="dxa"/>
            <w:shd w:val="clear" w:color="auto" w:fill="FFFFFF"/>
            <w:tcMar>
              <w:top w:w="80" w:type="dxa"/>
              <w:left w:w="80" w:type="dxa"/>
              <w:bottom w:w="80" w:type="dxa"/>
              <w:right w:w="80" w:type="dxa"/>
            </w:tcMar>
          </w:tcPr>
          <w:p w14:paraId="3A7B08F7" w14:textId="3F8EE9B4"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 xml:space="preserve">$3,000 (once per </w:t>
            </w:r>
            <w:r w:rsidR="00A45250">
              <w:rPr>
                <w:rFonts w:cs="Arial"/>
                <w:color w:val="000000"/>
                <w:sz w:val="20"/>
                <w:lang w:val="en-NZ" w:eastAsia="en-NZ"/>
              </w:rPr>
              <w:t>lifetime</w:t>
            </w:r>
            <w:r w:rsidRPr="0023393B">
              <w:rPr>
                <w:rFonts w:cs="Arial"/>
                <w:color w:val="000000"/>
                <w:sz w:val="20"/>
                <w:lang w:val="en-NZ" w:eastAsia="en-NZ"/>
              </w:rPr>
              <w:t>)</w:t>
            </w:r>
          </w:p>
        </w:tc>
      </w:tr>
      <w:tr w:rsidR="001B727F" w:rsidRPr="0023393B" w14:paraId="6E1AED6B" w14:textId="77777777" w:rsidTr="0023393B">
        <w:trPr>
          <w:trHeight w:val="583"/>
        </w:trPr>
        <w:tc>
          <w:tcPr>
            <w:tcW w:w="2369" w:type="dxa"/>
            <w:shd w:val="clear" w:color="auto" w:fill="FFFFFF"/>
            <w:tcMar>
              <w:top w:w="80" w:type="dxa"/>
              <w:left w:w="80" w:type="dxa"/>
              <w:bottom w:w="80" w:type="dxa"/>
              <w:right w:w="80" w:type="dxa"/>
            </w:tcMar>
            <w:hideMark/>
          </w:tcPr>
          <w:p w14:paraId="2BEF834A" w14:textId="77777777"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HSP Moving Assistance</w:t>
            </w:r>
          </w:p>
        </w:tc>
        <w:tc>
          <w:tcPr>
            <w:tcW w:w="3291" w:type="dxa"/>
            <w:shd w:val="clear" w:color="auto" w:fill="FFFFFF"/>
            <w:tcMar>
              <w:top w:w="80" w:type="dxa"/>
              <w:left w:w="80" w:type="dxa"/>
              <w:bottom w:w="80" w:type="dxa"/>
              <w:right w:w="80" w:type="dxa"/>
            </w:tcMar>
            <w:hideMark/>
          </w:tcPr>
          <w:p w14:paraId="1E8C7D16" w14:textId="653824E5" w:rsidR="001B727F" w:rsidRPr="0023393B" w:rsidRDefault="00AB1A47" w:rsidP="0023393B">
            <w:pPr>
              <w:spacing w:before="20" w:after="20"/>
              <w:rPr>
                <w:rFonts w:cs="Arial"/>
                <w:color w:val="000000"/>
                <w:sz w:val="20"/>
                <w:lang w:val="en-NZ" w:eastAsia="en-NZ"/>
              </w:rPr>
            </w:pPr>
            <w:r>
              <w:rPr>
                <w:rFonts w:cs="Arial"/>
                <w:color w:val="000000"/>
                <w:sz w:val="20"/>
                <w:lang w:val="en-NZ" w:eastAsia="en-NZ"/>
              </w:rPr>
              <w:t xml:space="preserve">Assists </w:t>
            </w:r>
            <w:r w:rsidR="00475870">
              <w:rPr>
                <w:rFonts w:cs="Arial"/>
                <w:color w:val="000000"/>
                <w:sz w:val="20"/>
                <w:lang w:val="en-NZ" w:eastAsia="en-NZ"/>
              </w:rPr>
              <w:t xml:space="preserve">clients </w:t>
            </w:r>
            <w:r>
              <w:rPr>
                <w:rFonts w:cs="Arial"/>
                <w:color w:val="000000"/>
                <w:sz w:val="20"/>
                <w:lang w:val="en-NZ" w:eastAsia="en-NZ"/>
              </w:rPr>
              <w:t xml:space="preserve">with the </w:t>
            </w:r>
            <w:r w:rsidR="00FA7753">
              <w:rPr>
                <w:rFonts w:cs="Arial"/>
                <w:color w:val="000000"/>
                <w:sz w:val="20"/>
                <w:lang w:val="en-NZ" w:eastAsia="en-NZ"/>
              </w:rPr>
              <w:t xml:space="preserve">costs </w:t>
            </w:r>
            <w:r w:rsidR="00FA7753" w:rsidRPr="0023393B">
              <w:rPr>
                <w:rFonts w:cs="Arial"/>
                <w:color w:val="000000"/>
                <w:sz w:val="20"/>
                <w:lang w:val="en-NZ" w:eastAsia="en-NZ"/>
              </w:rPr>
              <w:t>of</w:t>
            </w:r>
            <w:r w:rsidR="001B727F" w:rsidRPr="0023393B">
              <w:rPr>
                <w:rFonts w:cs="Arial"/>
                <w:color w:val="000000"/>
                <w:sz w:val="20"/>
                <w:lang w:val="en-NZ" w:eastAsia="en-NZ"/>
              </w:rPr>
              <w:t xml:space="preserve"> </w:t>
            </w:r>
            <w:r w:rsidR="00475870" w:rsidRPr="0023393B">
              <w:rPr>
                <w:rFonts w:cs="Arial"/>
                <w:color w:val="000000"/>
                <w:sz w:val="20"/>
                <w:lang w:val="en-NZ" w:eastAsia="en-NZ"/>
              </w:rPr>
              <w:t>moving to a new house</w:t>
            </w:r>
          </w:p>
        </w:tc>
        <w:tc>
          <w:tcPr>
            <w:tcW w:w="2031" w:type="dxa"/>
            <w:shd w:val="clear" w:color="auto" w:fill="FFFFFF"/>
            <w:tcMar>
              <w:top w:w="80" w:type="dxa"/>
              <w:left w:w="80" w:type="dxa"/>
              <w:bottom w:w="80" w:type="dxa"/>
              <w:right w:w="80" w:type="dxa"/>
            </w:tcMar>
            <w:hideMark/>
          </w:tcPr>
          <w:p w14:paraId="0EA7683F" w14:textId="10531BEC"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 xml:space="preserve">Recoverable </w:t>
            </w:r>
          </w:p>
        </w:tc>
        <w:tc>
          <w:tcPr>
            <w:tcW w:w="1359" w:type="dxa"/>
            <w:shd w:val="clear" w:color="auto" w:fill="FFFFFF"/>
            <w:tcMar>
              <w:top w:w="80" w:type="dxa"/>
              <w:left w:w="80" w:type="dxa"/>
              <w:bottom w:w="80" w:type="dxa"/>
              <w:right w:w="80" w:type="dxa"/>
            </w:tcMar>
            <w:hideMark/>
          </w:tcPr>
          <w:p w14:paraId="4756F5A7" w14:textId="4773D0A6"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$1,500 per year</w:t>
            </w:r>
          </w:p>
        </w:tc>
      </w:tr>
      <w:tr w:rsidR="001B727F" w:rsidRPr="0023393B" w14:paraId="717FA87C" w14:textId="77777777" w:rsidTr="0023393B">
        <w:tc>
          <w:tcPr>
            <w:tcW w:w="2369" w:type="dxa"/>
            <w:shd w:val="clear" w:color="auto" w:fill="FFFFFF"/>
            <w:tcMar>
              <w:top w:w="80" w:type="dxa"/>
              <w:left w:w="80" w:type="dxa"/>
              <w:bottom w:w="80" w:type="dxa"/>
              <w:right w:w="80" w:type="dxa"/>
            </w:tcMar>
            <w:hideMark/>
          </w:tcPr>
          <w:p w14:paraId="65285F52" w14:textId="77777777"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HSP Rent Arrears</w:t>
            </w:r>
          </w:p>
        </w:tc>
        <w:tc>
          <w:tcPr>
            <w:tcW w:w="3291" w:type="dxa"/>
            <w:shd w:val="clear" w:color="auto" w:fill="FFFFFF"/>
            <w:tcMar>
              <w:top w:w="80" w:type="dxa"/>
              <w:left w:w="80" w:type="dxa"/>
              <w:bottom w:w="80" w:type="dxa"/>
              <w:right w:w="80" w:type="dxa"/>
            </w:tcMar>
            <w:hideMark/>
          </w:tcPr>
          <w:p w14:paraId="58DDC593" w14:textId="5F16D54B" w:rsidR="001B727F" w:rsidRPr="0023393B" w:rsidRDefault="00AB1A47" w:rsidP="0023393B">
            <w:pPr>
              <w:spacing w:before="20" w:after="20"/>
              <w:rPr>
                <w:rFonts w:cs="Arial"/>
                <w:color w:val="000000"/>
                <w:sz w:val="20"/>
                <w:lang w:val="en-NZ" w:eastAsia="en-NZ"/>
              </w:rPr>
            </w:pPr>
            <w:r>
              <w:rPr>
                <w:rFonts w:cs="Arial"/>
                <w:color w:val="000000"/>
                <w:sz w:val="20"/>
                <w:lang w:val="en-NZ" w:eastAsia="en-NZ"/>
              </w:rPr>
              <w:t>Assists</w:t>
            </w:r>
            <w:r w:rsidRPr="0023393B">
              <w:rPr>
                <w:rFonts w:cs="Arial"/>
                <w:color w:val="000000"/>
                <w:sz w:val="20"/>
                <w:lang w:val="en-NZ" w:eastAsia="en-NZ"/>
              </w:rPr>
              <w:t xml:space="preserve"> </w:t>
            </w:r>
            <w:r w:rsidR="001B727F" w:rsidRPr="0023393B">
              <w:rPr>
                <w:rFonts w:cs="Arial"/>
                <w:color w:val="000000"/>
                <w:sz w:val="20"/>
                <w:lang w:val="en-NZ" w:eastAsia="en-NZ"/>
              </w:rPr>
              <w:t xml:space="preserve">clients who </w:t>
            </w:r>
            <w:r w:rsidR="00D21B87" w:rsidRPr="0023393B">
              <w:rPr>
                <w:rFonts w:cs="Arial"/>
                <w:color w:val="000000"/>
                <w:sz w:val="20"/>
                <w:lang w:val="en-NZ" w:eastAsia="en-NZ"/>
              </w:rPr>
              <w:t>are in</w:t>
            </w:r>
            <w:r w:rsidR="001B727F" w:rsidRPr="0023393B">
              <w:rPr>
                <w:rFonts w:cs="Arial"/>
                <w:color w:val="000000"/>
                <w:sz w:val="20"/>
                <w:lang w:val="en-NZ" w:eastAsia="en-NZ"/>
              </w:rPr>
              <w:t xml:space="preserve"> rent arrears and </w:t>
            </w:r>
            <w:r w:rsidR="00475870">
              <w:rPr>
                <w:rFonts w:cs="Arial"/>
                <w:color w:val="000000"/>
                <w:sz w:val="20"/>
                <w:lang w:val="en-NZ" w:eastAsia="en-NZ"/>
              </w:rPr>
              <w:t xml:space="preserve">at risk of losing </w:t>
            </w:r>
            <w:r w:rsidR="00D21B87" w:rsidRPr="0023393B">
              <w:rPr>
                <w:rFonts w:cs="Arial"/>
                <w:color w:val="000000"/>
                <w:sz w:val="20"/>
                <w:lang w:val="en-NZ" w:eastAsia="en-NZ"/>
              </w:rPr>
              <w:t xml:space="preserve">their tenancy </w:t>
            </w:r>
          </w:p>
        </w:tc>
        <w:tc>
          <w:tcPr>
            <w:tcW w:w="2031" w:type="dxa"/>
            <w:shd w:val="clear" w:color="auto" w:fill="FFFFFF"/>
            <w:tcMar>
              <w:top w:w="80" w:type="dxa"/>
              <w:left w:w="80" w:type="dxa"/>
              <w:bottom w:w="80" w:type="dxa"/>
              <w:right w:w="80" w:type="dxa"/>
            </w:tcMar>
            <w:hideMark/>
          </w:tcPr>
          <w:p w14:paraId="4EF16ABF" w14:textId="2C20113D"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Recoverable</w:t>
            </w:r>
          </w:p>
        </w:tc>
        <w:tc>
          <w:tcPr>
            <w:tcW w:w="1359" w:type="dxa"/>
            <w:shd w:val="clear" w:color="auto" w:fill="FFFFFF"/>
            <w:tcMar>
              <w:top w:w="80" w:type="dxa"/>
              <w:left w:w="80" w:type="dxa"/>
              <w:bottom w:w="80" w:type="dxa"/>
              <w:right w:w="80" w:type="dxa"/>
            </w:tcMar>
            <w:hideMark/>
          </w:tcPr>
          <w:p w14:paraId="1E991321" w14:textId="11D64AB9"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$2,000 per year</w:t>
            </w:r>
          </w:p>
        </w:tc>
      </w:tr>
      <w:tr w:rsidR="001B727F" w:rsidRPr="0023393B" w14:paraId="63B8B668" w14:textId="77777777" w:rsidTr="0023393B">
        <w:tc>
          <w:tcPr>
            <w:tcW w:w="2369" w:type="dxa"/>
            <w:shd w:val="clear" w:color="auto" w:fill="FFFFFF"/>
            <w:tcMar>
              <w:top w:w="80" w:type="dxa"/>
              <w:left w:w="80" w:type="dxa"/>
              <w:bottom w:w="80" w:type="dxa"/>
              <w:right w:w="80" w:type="dxa"/>
            </w:tcMar>
          </w:tcPr>
          <w:p w14:paraId="45865675" w14:textId="6A6EFFD3" w:rsidR="001B727F" w:rsidRPr="00475870" w:rsidRDefault="001B727F" w:rsidP="0023393B">
            <w:pPr>
              <w:spacing w:before="20" w:after="20"/>
              <w:rPr>
                <w:rFonts w:cs="Arial"/>
                <w:color w:val="000000"/>
                <w:sz w:val="20"/>
                <w:lang w:val="en-NZ" w:eastAsia="en-NZ"/>
              </w:rPr>
            </w:pPr>
            <w:r w:rsidRPr="00475870">
              <w:rPr>
                <w:rFonts w:cs="Arial"/>
                <w:color w:val="000000"/>
                <w:sz w:val="20"/>
                <w:lang w:val="en-NZ" w:eastAsia="en-NZ"/>
              </w:rPr>
              <w:t>HSP Tenancy Costs Cover</w:t>
            </w:r>
          </w:p>
        </w:tc>
        <w:tc>
          <w:tcPr>
            <w:tcW w:w="3291" w:type="dxa"/>
            <w:shd w:val="clear" w:color="auto" w:fill="FFFFFF"/>
            <w:tcMar>
              <w:top w:w="80" w:type="dxa"/>
              <w:left w:w="80" w:type="dxa"/>
              <w:bottom w:w="80" w:type="dxa"/>
              <w:right w:w="80" w:type="dxa"/>
            </w:tcMar>
          </w:tcPr>
          <w:p w14:paraId="4DAF97E0" w14:textId="3F592921"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Aims to reduce the (perceived) risks for landlords of letting to clients in disadvantaged groups</w:t>
            </w:r>
          </w:p>
        </w:tc>
        <w:tc>
          <w:tcPr>
            <w:tcW w:w="2031" w:type="dxa"/>
            <w:shd w:val="clear" w:color="auto" w:fill="FFFFFF"/>
            <w:tcMar>
              <w:top w:w="80" w:type="dxa"/>
              <w:left w:w="80" w:type="dxa"/>
              <w:bottom w:w="80" w:type="dxa"/>
              <w:right w:w="80" w:type="dxa"/>
            </w:tcMar>
          </w:tcPr>
          <w:p w14:paraId="64625041" w14:textId="324B20C8"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Recoverable</w:t>
            </w:r>
          </w:p>
        </w:tc>
        <w:tc>
          <w:tcPr>
            <w:tcW w:w="1359" w:type="dxa"/>
            <w:shd w:val="clear" w:color="auto" w:fill="FFFFFF"/>
            <w:tcMar>
              <w:top w:w="80" w:type="dxa"/>
              <w:left w:w="80" w:type="dxa"/>
              <w:bottom w:w="80" w:type="dxa"/>
              <w:right w:w="80" w:type="dxa"/>
            </w:tcMar>
          </w:tcPr>
          <w:p w14:paraId="2AADAC53" w14:textId="07C2FDF6" w:rsidR="001B727F" w:rsidRPr="0023393B" w:rsidRDefault="001B727F" w:rsidP="0023393B">
            <w:pPr>
              <w:spacing w:before="20" w:after="20"/>
              <w:rPr>
                <w:rFonts w:cs="Arial"/>
                <w:color w:val="000000"/>
                <w:sz w:val="20"/>
                <w:lang w:val="en-NZ" w:eastAsia="en-NZ"/>
              </w:rPr>
            </w:pPr>
            <w:r w:rsidRPr="0023393B">
              <w:rPr>
                <w:rFonts w:cs="Arial"/>
                <w:color w:val="000000"/>
                <w:sz w:val="20"/>
                <w:lang w:val="en-NZ" w:eastAsia="en-NZ"/>
              </w:rPr>
              <w:t>4 weeks of rent per year</w:t>
            </w:r>
          </w:p>
        </w:tc>
      </w:tr>
      <w:tr w:rsidR="00EF269B" w:rsidRPr="0023393B" w14:paraId="2E5B4DB9" w14:textId="77777777" w:rsidTr="0023393B">
        <w:tc>
          <w:tcPr>
            <w:tcW w:w="2369" w:type="dxa"/>
            <w:shd w:val="clear" w:color="auto" w:fill="FFFFFF"/>
            <w:tcMar>
              <w:top w:w="80" w:type="dxa"/>
              <w:left w:w="80" w:type="dxa"/>
              <w:bottom w:w="80" w:type="dxa"/>
              <w:right w:w="80" w:type="dxa"/>
            </w:tcMar>
          </w:tcPr>
          <w:p w14:paraId="6F41D1E7" w14:textId="4FFFE925" w:rsidR="00EF269B" w:rsidRPr="00475870" w:rsidRDefault="00EF269B" w:rsidP="0023393B">
            <w:pPr>
              <w:spacing w:before="20" w:after="20"/>
              <w:rPr>
                <w:rFonts w:cs="Arial"/>
                <w:color w:val="000000"/>
                <w:sz w:val="20"/>
                <w:lang w:val="en-NZ" w:eastAsia="en-NZ"/>
              </w:rPr>
            </w:pPr>
            <w:r>
              <w:rPr>
                <w:rFonts w:cs="Arial"/>
                <w:color w:val="000000"/>
                <w:sz w:val="20"/>
                <w:lang w:val="en-NZ" w:eastAsia="en-NZ"/>
              </w:rPr>
              <w:t>Maximum amount HSPs clients can receive in one year</w:t>
            </w:r>
          </w:p>
        </w:tc>
        <w:tc>
          <w:tcPr>
            <w:tcW w:w="3291" w:type="dxa"/>
            <w:shd w:val="clear" w:color="auto" w:fill="FFFFFF"/>
            <w:tcMar>
              <w:top w:w="80" w:type="dxa"/>
              <w:left w:w="80" w:type="dxa"/>
              <w:bottom w:w="80" w:type="dxa"/>
              <w:right w:w="80" w:type="dxa"/>
            </w:tcMar>
          </w:tcPr>
          <w:p w14:paraId="4B1E70BF" w14:textId="77777777" w:rsidR="00EF269B" w:rsidRPr="0023393B" w:rsidRDefault="00EF269B" w:rsidP="0023393B">
            <w:pPr>
              <w:spacing w:before="20" w:after="20"/>
              <w:rPr>
                <w:rFonts w:cs="Arial"/>
                <w:color w:val="000000"/>
                <w:sz w:val="20"/>
                <w:lang w:val="en-NZ" w:eastAsia="en-NZ"/>
              </w:rPr>
            </w:pPr>
          </w:p>
        </w:tc>
        <w:tc>
          <w:tcPr>
            <w:tcW w:w="2031" w:type="dxa"/>
            <w:shd w:val="clear" w:color="auto" w:fill="FFFFFF"/>
            <w:tcMar>
              <w:top w:w="80" w:type="dxa"/>
              <w:left w:w="80" w:type="dxa"/>
              <w:bottom w:w="80" w:type="dxa"/>
              <w:right w:w="80" w:type="dxa"/>
            </w:tcMar>
          </w:tcPr>
          <w:p w14:paraId="69D82387" w14:textId="77777777" w:rsidR="00EF269B" w:rsidRPr="0023393B" w:rsidRDefault="00EF269B" w:rsidP="0023393B">
            <w:pPr>
              <w:spacing w:before="20" w:after="20"/>
              <w:rPr>
                <w:rFonts w:cs="Arial"/>
                <w:color w:val="000000"/>
                <w:sz w:val="20"/>
                <w:lang w:val="en-NZ" w:eastAsia="en-NZ"/>
              </w:rPr>
            </w:pPr>
          </w:p>
        </w:tc>
        <w:tc>
          <w:tcPr>
            <w:tcW w:w="1359" w:type="dxa"/>
            <w:shd w:val="clear" w:color="auto" w:fill="FFFFFF"/>
            <w:tcMar>
              <w:top w:w="80" w:type="dxa"/>
              <w:left w:w="80" w:type="dxa"/>
              <w:bottom w:w="80" w:type="dxa"/>
              <w:right w:w="80" w:type="dxa"/>
            </w:tcMar>
          </w:tcPr>
          <w:p w14:paraId="23D7F193" w14:textId="00E0A4A1" w:rsidR="00EF269B" w:rsidRPr="0023393B" w:rsidRDefault="00EF269B" w:rsidP="0023393B">
            <w:pPr>
              <w:spacing w:before="20" w:after="20"/>
              <w:rPr>
                <w:rFonts w:cs="Arial"/>
                <w:color w:val="000000"/>
                <w:sz w:val="20"/>
                <w:lang w:val="en-NZ" w:eastAsia="en-NZ"/>
              </w:rPr>
            </w:pPr>
            <w:r>
              <w:rPr>
                <w:rFonts w:cs="Arial"/>
                <w:color w:val="000000"/>
                <w:sz w:val="20"/>
                <w:lang w:val="en-NZ" w:eastAsia="en-NZ"/>
              </w:rPr>
              <w:t>$9,500 +TCC (dependent on actual rent, TCC goes to landlord)</w:t>
            </w:r>
          </w:p>
        </w:tc>
      </w:tr>
    </w:tbl>
    <w:p w14:paraId="1BF3072E" w14:textId="0214EEC1" w:rsidR="001B727F" w:rsidRDefault="001B727F" w:rsidP="002705E1">
      <w:pPr>
        <w:rPr>
          <w:lang w:val="en-NZ"/>
        </w:rPr>
      </w:pPr>
    </w:p>
    <w:p w14:paraId="781808A0" w14:textId="235C554E" w:rsidR="00C45932" w:rsidRPr="0023393B" w:rsidRDefault="007E69A5" w:rsidP="002705E1">
      <w:pPr>
        <w:rPr>
          <w:b/>
          <w:bCs/>
          <w:lang w:val="en-NZ"/>
        </w:rPr>
      </w:pPr>
      <w:r w:rsidRPr="0023393B">
        <w:rPr>
          <w:b/>
          <w:bCs/>
          <w:lang w:val="en-NZ"/>
        </w:rPr>
        <w:t>Most payments for one-off housing-related assistance are made through Advances</w:t>
      </w:r>
    </w:p>
    <w:p w14:paraId="2FBE3183" w14:textId="1E45E627" w:rsidR="0049634A" w:rsidRDefault="007E69A5" w:rsidP="00EA3EA0">
      <w:pPr>
        <w:rPr>
          <w:lang w:val="en-NZ"/>
        </w:rPr>
      </w:pPr>
      <w:r>
        <w:rPr>
          <w:lang w:val="en-NZ"/>
        </w:rPr>
        <w:t xml:space="preserve">Advances and RAPs are funded from a demand-driven appropriation. This type of appropriation </w:t>
      </w:r>
      <w:proofErr w:type="gramStart"/>
      <w:r>
        <w:rPr>
          <w:lang w:val="en-NZ"/>
        </w:rPr>
        <w:t>is able to</w:t>
      </w:r>
      <w:proofErr w:type="gramEnd"/>
      <w:r>
        <w:rPr>
          <w:lang w:val="en-NZ"/>
        </w:rPr>
        <w:t xml:space="preserve"> respond to increases in demand. </w:t>
      </w:r>
      <w:r w:rsidR="00EA3EA0">
        <w:rPr>
          <w:lang w:val="en-NZ"/>
        </w:rPr>
        <w:t xml:space="preserve">HSPs are funded from a capped appropriation </w:t>
      </w:r>
      <w:r w:rsidR="007D6495" w:rsidRPr="00FA7753">
        <w:rPr>
          <w:lang w:val="en-NZ"/>
        </w:rPr>
        <w:t>of $</w:t>
      </w:r>
      <w:r w:rsidR="00FA34BA" w:rsidRPr="00FA7753">
        <w:rPr>
          <w:lang w:val="en-NZ"/>
        </w:rPr>
        <w:t>7</w:t>
      </w:r>
      <w:r w:rsidR="007D6495" w:rsidRPr="00FA7753">
        <w:rPr>
          <w:lang w:val="en-NZ"/>
        </w:rPr>
        <w:t>.2 million per</w:t>
      </w:r>
      <w:r w:rsidR="007D6495">
        <w:rPr>
          <w:lang w:val="en-NZ"/>
        </w:rPr>
        <w:t xml:space="preserve"> year, </w:t>
      </w:r>
      <w:r w:rsidR="00EA3EA0">
        <w:rPr>
          <w:lang w:val="en-NZ"/>
        </w:rPr>
        <w:t xml:space="preserve">which means that funding </w:t>
      </w:r>
      <w:r w:rsidR="000C2C70">
        <w:rPr>
          <w:lang w:val="en-NZ"/>
        </w:rPr>
        <w:t>can</w:t>
      </w:r>
      <w:r w:rsidR="00EA3EA0">
        <w:rPr>
          <w:lang w:val="en-NZ"/>
        </w:rPr>
        <w:t xml:space="preserve"> be exhausted if demand is </w:t>
      </w:r>
      <w:r w:rsidR="007D6495">
        <w:rPr>
          <w:lang w:val="en-NZ"/>
        </w:rPr>
        <w:t>greater</w:t>
      </w:r>
      <w:r w:rsidR="00EA3EA0">
        <w:rPr>
          <w:lang w:val="en-NZ"/>
        </w:rPr>
        <w:t xml:space="preserve"> than funds available. This type of </w:t>
      </w:r>
      <w:r w:rsidR="00EA3EA0" w:rsidRPr="009E4F70">
        <w:rPr>
          <w:lang w:val="en-NZ"/>
        </w:rPr>
        <w:t>appropriation requires careful management</w:t>
      </w:r>
      <w:r w:rsidR="00EA3EA0">
        <w:rPr>
          <w:lang w:val="en-NZ"/>
        </w:rPr>
        <w:t>. Before granting a</w:t>
      </w:r>
      <w:r w:rsidR="007D6495">
        <w:rPr>
          <w:lang w:val="en-NZ"/>
        </w:rPr>
        <w:t>n HSP, MSD staff must assess whether other assistance in respect of the cost is available to the client.</w:t>
      </w:r>
      <w:r w:rsidR="00FA7753">
        <w:rPr>
          <w:lang w:val="en-NZ"/>
        </w:rPr>
        <w:t xml:space="preserve"> </w:t>
      </w:r>
      <w:r w:rsidR="005354AA">
        <w:rPr>
          <w:lang w:val="en-NZ"/>
        </w:rPr>
        <w:t xml:space="preserve">Table </w:t>
      </w:r>
      <w:r w:rsidR="00CC6AE2">
        <w:rPr>
          <w:lang w:val="en-NZ"/>
        </w:rPr>
        <w:t>F</w:t>
      </w:r>
      <w:r w:rsidR="005354AA">
        <w:rPr>
          <w:lang w:val="en-NZ"/>
        </w:rPr>
        <w:t xml:space="preserve">our shows </w:t>
      </w:r>
      <w:proofErr w:type="gramStart"/>
      <w:r w:rsidR="005354AA">
        <w:rPr>
          <w:lang w:val="en-NZ"/>
        </w:rPr>
        <w:t xml:space="preserve">the </w:t>
      </w:r>
      <w:r w:rsidR="00FA7753">
        <w:rPr>
          <w:lang w:val="en-NZ"/>
        </w:rPr>
        <w:t>large majority of</w:t>
      </w:r>
      <w:proofErr w:type="gramEnd"/>
      <w:r w:rsidR="00FA7753">
        <w:rPr>
          <w:lang w:val="en-NZ"/>
        </w:rPr>
        <w:t xml:space="preserve"> lower-income </w:t>
      </w:r>
      <w:r w:rsidR="000C2C70">
        <w:rPr>
          <w:lang w:val="en-NZ"/>
        </w:rPr>
        <w:t>households who</w:t>
      </w:r>
      <w:r w:rsidR="00FA7753">
        <w:rPr>
          <w:lang w:val="en-NZ"/>
        </w:rPr>
        <w:t xml:space="preserve"> receive support from MSD for one-off housing-related needs are beneficiaries, paid via an Advance.</w:t>
      </w:r>
    </w:p>
    <w:p w14:paraId="651C6307" w14:textId="77777777" w:rsidR="00922C28" w:rsidRDefault="00922C28" w:rsidP="00EA3EA0">
      <w:pPr>
        <w:rPr>
          <w:lang w:val="en-NZ"/>
        </w:rPr>
      </w:pPr>
    </w:p>
    <w:p w14:paraId="5812403E" w14:textId="6A9D1226" w:rsidR="007D6495" w:rsidRPr="009F5C43" w:rsidRDefault="007D6495" w:rsidP="007D6495">
      <w:pPr>
        <w:rPr>
          <w:i/>
          <w:iCs/>
          <w:lang w:val="en-NZ"/>
        </w:rPr>
      </w:pPr>
      <w:r w:rsidRPr="009F5C43">
        <w:rPr>
          <w:i/>
          <w:iCs/>
          <w:lang w:val="en-NZ"/>
        </w:rPr>
        <w:t>Table</w:t>
      </w:r>
      <w:r w:rsidR="0023393B" w:rsidRPr="009F5C43">
        <w:rPr>
          <w:i/>
          <w:iCs/>
          <w:lang w:val="en-NZ"/>
        </w:rPr>
        <w:t xml:space="preserve"> </w:t>
      </w:r>
      <w:r w:rsidR="000C2C70" w:rsidRPr="009F5C43">
        <w:rPr>
          <w:i/>
          <w:iCs/>
          <w:lang w:val="en-NZ"/>
        </w:rPr>
        <w:t>F</w:t>
      </w:r>
      <w:r w:rsidR="0023393B" w:rsidRPr="009F5C43">
        <w:rPr>
          <w:i/>
          <w:iCs/>
          <w:lang w:val="en-NZ"/>
        </w:rPr>
        <w:t>our</w:t>
      </w:r>
      <w:r w:rsidRPr="009F5C43">
        <w:rPr>
          <w:i/>
          <w:iCs/>
          <w:lang w:val="en-NZ"/>
        </w:rPr>
        <w:t xml:space="preserve">: </w:t>
      </w:r>
      <w:r w:rsidR="00E605CC" w:rsidRPr="009F5C43">
        <w:rPr>
          <w:i/>
          <w:iCs/>
          <w:lang w:val="en-NZ"/>
        </w:rPr>
        <w:t>T</w:t>
      </w:r>
      <w:r w:rsidRPr="009F5C43">
        <w:rPr>
          <w:i/>
          <w:iCs/>
          <w:lang w:val="en-NZ"/>
        </w:rPr>
        <w:t>otal payments for bond, rent in advance and rent arrears in 2020</w:t>
      </w:r>
    </w:p>
    <w:tbl>
      <w:tblPr>
        <w:tblStyle w:val="TableGrid"/>
        <w:tblW w:w="0" w:type="auto"/>
        <w:tblLook w:val="04A0" w:firstRow="1" w:lastRow="0" w:firstColumn="1" w:lastColumn="0" w:noHBand="0" w:noVBand="1"/>
      </w:tblPr>
      <w:tblGrid>
        <w:gridCol w:w="2188"/>
        <w:gridCol w:w="1268"/>
        <w:gridCol w:w="1635"/>
        <w:gridCol w:w="1359"/>
        <w:gridCol w:w="1315"/>
        <w:gridCol w:w="1295"/>
      </w:tblGrid>
      <w:tr w:rsidR="0082636D" w:rsidRPr="00E949EF" w14:paraId="3CF5FE84" w14:textId="19B042D6" w:rsidTr="00922C28">
        <w:trPr>
          <w:trHeight w:val="519"/>
        </w:trPr>
        <w:tc>
          <w:tcPr>
            <w:tcW w:w="2188" w:type="dxa"/>
            <w:shd w:val="clear" w:color="auto" w:fill="DEEAF6" w:themeFill="accent1" w:themeFillTint="33"/>
          </w:tcPr>
          <w:p w14:paraId="4F377F43" w14:textId="2655A9AE" w:rsidR="0082636D" w:rsidRPr="00E949EF" w:rsidRDefault="0049634A" w:rsidP="00922C28">
            <w:pPr>
              <w:jc w:val="left"/>
              <w:rPr>
                <w:b/>
                <w:bCs/>
                <w:sz w:val="20"/>
                <w:szCs w:val="18"/>
                <w:lang w:val="en-NZ"/>
              </w:rPr>
            </w:pPr>
            <w:r>
              <w:rPr>
                <w:b/>
                <w:bCs/>
                <w:sz w:val="20"/>
                <w:szCs w:val="18"/>
                <w:lang w:val="en-NZ"/>
              </w:rPr>
              <w:t xml:space="preserve">Programme </w:t>
            </w:r>
          </w:p>
        </w:tc>
        <w:tc>
          <w:tcPr>
            <w:tcW w:w="1268" w:type="dxa"/>
            <w:shd w:val="clear" w:color="auto" w:fill="DEEAF6" w:themeFill="accent1" w:themeFillTint="33"/>
          </w:tcPr>
          <w:p w14:paraId="1F1A0708" w14:textId="77777777" w:rsidR="0082636D" w:rsidRPr="00E949EF" w:rsidRDefault="0082636D" w:rsidP="00922C28">
            <w:pPr>
              <w:jc w:val="left"/>
              <w:rPr>
                <w:b/>
                <w:bCs/>
                <w:sz w:val="20"/>
                <w:szCs w:val="18"/>
                <w:lang w:val="en-NZ"/>
              </w:rPr>
            </w:pPr>
            <w:r w:rsidRPr="00E949EF">
              <w:rPr>
                <w:b/>
                <w:bCs/>
                <w:sz w:val="20"/>
                <w:szCs w:val="18"/>
                <w:lang w:val="en-NZ"/>
              </w:rPr>
              <w:t xml:space="preserve">Bond </w:t>
            </w:r>
          </w:p>
        </w:tc>
        <w:tc>
          <w:tcPr>
            <w:tcW w:w="1635" w:type="dxa"/>
            <w:shd w:val="clear" w:color="auto" w:fill="DEEAF6" w:themeFill="accent1" w:themeFillTint="33"/>
          </w:tcPr>
          <w:p w14:paraId="448C81A4" w14:textId="77777777" w:rsidR="0082636D" w:rsidRPr="00E949EF" w:rsidRDefault="0082636D" w:rsidP="00922C28">
            <w:pPr>
              <w:jc w:val="left"/>
              <w:rPr>
                <w:b/>
                <w:bCs/>
                <w:sz w:val="20"/>
                <w:szCs w:val="18"/>
                <w:lang w:val="en-NZ"/>
              </w:rPr>
            </w:pPr>
            <w:r w:rsidRPr="00E949EF">
              <w:rPr>
                <w:b/>
                <w:bCs/>
                <w:sz w:val="20"/>
                <w:szCs w:val="18"/>
                <w:lang w:val="en-NZ"/>
              </w:rPr>
              <w:t xml:space="preserve">Rent in advance </w:t>
            </w:r>
          </w:p>
        </w:tc>
        <w:tc>
          <w:tcPr>
            <w:tcW w:w="1359" w:type="dxa"/>
            <w:shd w:val="clear" w:color="auto" w:fill="DEEAF6" w:themeFill="accent1" w:themeFillTint="33"/>
          </w:tcPr>
          <w:p w14:paraId="5D565235" w14:textId="77777777" w:rsidR="0082636D" w:rsidRPr="00E949EF" w:rsidRDefault="0082636D" w:rsidP="00922C28">
            <w:pPr>
              <w:jc w:val="left"/>
              <w:rPr>
                <w:b/>
                <w:bCs/>
                <w:sz w:val="20"/>
                <w:szCs w:val="18"/>
                <w:lang w:val="en-NZ"/>
              </w:rPr>
            </w:pPr>
            <w:r w:rsidRPr="00E949EF">
              <w:rPr>
                <w:b/>
                <w:bCs/>
                <w:sz w:val="20"/>
                <w:szCs w:val="18"/>
                <w:lang w:val="en-NZ"/>
              </w:rPr>
              <w:t>Rent arrears</w:t>
            </w:r>
          </w:p>
        </w:tc>
        <w:tc>
          <w:tcPr>
            <w:tcW w:w="1315" w:type="dxa"/>
            <w:shd w:val="clear" w:color="auto" w:fill="DEEAF6" w:themeFill="accent1" w:themeFillTint="33"/>
          </w:tcPr>
          <w:p w14:paraId="539CAF18" w14:textId="77777777" w:rsidR="0082636D" w:rsidRPr="00E949EF" w:rsidRDefault="0082636D" w:rsidP="00922C28">
            <w:pPr>
              <w:jc w:val="left"/>
              <w:rPr>
                <w:b/>
                <w:bCs/>
                <w:sz w:val="20"/>
                <w:szCs w:val="18"/>
                <w:lang w:val="en-NZ"/>
              </w:rPr>
            </w:pPr>
            <w:r w:rsidRPr="00E949EF">
              <w:rPr>
                <w:b/>
                <w:bCs/>
                <w:sz w:val="20"/>
                <w:szCs w:val="18"/>
                <w:lang w:val="en-NZ"/>
              </w:rPr>
              <w:t xml:space="preserve">Payments </w:t>
            </w:r>
          </w:p>
        </w:tc>
        <w:tc>
          <w:tcPr>
            <w:tcW w:w="1295" w:type="dxa"/>
            <w:shd w:val="clear" w:color="auto" w:fill="DEEAF6" w:themeFill="accent1" w:themeFillTint="33"/>
          </w:tcPr>
          <w:p w14:paraId="1A00D8B2" w14:textId="3091D3A4" w:rsidR="0082636D" w:rsidRPr="00E949EF" w:rsidRDefault="0082636D" w:rsidP="00922C28">
            <w:pPr>
              <w:jc w:val="left"/>
              <w:rPr>
                <w:b/>
                <w:bCs/>
                <w:sz w:val="20"/>
                <w:szCs w:val="18"/>
                <w:lang w:val="en-NZ"/>
              </w:rPr>
            </w:pPr>
            <w:r>
              <w:rPr>
                <w:b/>
                <w:bCs/>
                <w:sz w:val="20"/>
                <w:szCs w:val="18"/>
                <w:lang w:val="en-NZ"/>
              </w:rPr>
              <w:t xml:space="preserve">Percentage </w:t>
            </w:r>
          </w:p>
        </w:tc>
      </w:tr>
      <w:tr w:rsidR="0082636D" w:rsidRPr="00E949EF" w14:paraId="2A0A34B1" w14:textId="2D85ED0C" w:rsidTr="000C2C70">
        <w:tc>
          <w:tcPr>
            <w:tcW w:w="2188" w:type="dxa"/>
          </w:tcPr>
          <w:p w14:paraId="4431DCC7" w14:textId="77777777" w:rsidR="0082636D" w:rsidRPr="00E949EF" w:rsidRDefault="0082636D" w:rsidP="00D505C2">
            <w:pPr>
              <w:rPr>
                <w:sz w:val="20"/>
                <w:szCs w:val="18"/>
                <w:lang w:val="en-NZ"/>
              </w:rPr>
            </w:pPr>
            <w:r w:rsidRPr="00E949EF">
              <w:rPr>
                <w:sz w:val="20"/>
                <w:szCs w:val="18"/>
                <w:lang w:val="en-NZ"/>
              </w:rPr>
              <w:t>Advances</w:t>
            </w:r>
          </w:p>
        </w:tc>
        <w:tc>
          <w:tcPr>
            <w:tcW w:w="1268" w:type="dxa"/>
          </w:tcPr>
          <w:p w14:paraId="47EF9B6E" w14:textId="77777777" w:rsidR="0082636D" w:rsidRPr="00E949EF" w:rsidRDefault="0082636D" w:rsidP="00D505C2">
            <w:pPr>
              <w:rPr>
                <w:sz w:val="20"/>
                <w:szCs w:val="18"/>
                <w:lang w:val="en-NZ"/>
              </w:rPr>
            </w:pPr>
            <w:r w:rsidRPr="00E949EF">
              <w:rPr>
                <w:sz w:val="20"/>
                <w:szCs w:val="18"/>
                <w:lang w:val="en-NZ"/>
              </w:rPr>
              <w:t>34,830</w:t>
            </w:r>
          </w:p>
        </w:tc>
        <w:tc>
          <w:tcPr>
            <w:tcW w:w="1635" w:type="dxa"/>
          </w:tcPr>
          <w:p w14:paraId="4E2A9C55" w14:textId="77777777" w:rsidR="0082636D" w:rsidRPr="00E949EF" w:rsidRDefault="0082636D" w:rsidP="00D505C2">
            <w:pPr>
              <w:rPr>
                <w:sz w:val="20"/>
                <w:szCs w:val="18"/>
                <w:lang w:val="en-NZ"/>
              </w:rPr>
            </w:pPr>
            <w:r w:rsidRPr="00E949EF">
              <w:rPr>
                <w:sz w:val="20"/>
                <w:szCs w:val="18"/>
                <w:lang w:val="en-NZ"/>
              </w:rPr>
              <w:t>39,119</w:t>
            </w:r>
          </w:p>
        </w:tc>
        <w:tc>
          <w:tcPr>
            <w:tcW w:w="1359" w:type="dxa"/>
          </w:tcPr>
          <w:p w14:paraId="53BC4CC2" w14:textId="77777777" w:rsidR="0082636D" w:rsidRPr="00E949EF" w:rsidRDefault="0082636D" w:rsidP="00D505C2">
            <w:pPr>
              <w:rPr>
                <w:sz w:val="20"/>
                <w:szCs w:val="18"/>
                <w:lang w:val="en-NZ"/>
              </w:rPr>
            </w:pPr>
            <w:r w:rsidRPr="00E949EF">
              <w:rPr>
                <w:sz w:val="20"/>
                <w:szCs w:val="18"/>
                <w:lang w:val="en-NZ"/>
              </w:rPr>
              <w:t>21,334</w:t>
            </w:r>
          </w:p>
        </w:tc>
        <w:tc>
          <w:tcPr>
            <w:tcW w:w="1315" w:type="dxa"/>
          </w:tcPr>
          <w:p w14:paraId="79D98D2F" w14:textId="77777777" w:rsidR="0082636D" w:rsidRPr="00E949EF" w:rsidRDefault="0082636D" w:rsidP="00D505C2">
            <w:pPr>
              <w:rPr>
                <w:sz w:val="20"/>
                <w:szCs w:val="18"/>
                <w:lang w:val="en-NZ"/>
              </w:rPr>
            </w:pPr>
            <w:r w:rsidRPr="00E949EF">
              <w:rPr>
                <w:rFonts w:ascii="Arial Mäori" w:hAnsi="Arial Mäori"/>
                <w:b/>
                <w:bCs/>
                <w:color w:val="000000"/>
                <w:sz w:val="20"/>
                <w:szCs w:val="18"/>
              </w:rPr>
              <w:t>95,283</w:t>
            </w:r>
          </w:p>
        </w:tc>
        <w:tc>
          <w:tcPr>
            <w:tcW w:w="1295" w:type="dxa"/>
          </w:tcPr>
          <w:p w14:paraId="05E3AAAC" w14:textId="0D2322BE" w:rsidR="0082636D" w:rsidRPr="0049634A" w:rsidRDefault="0082636D" w:rsidP="00D505C2">
            <w:pPr>
              <w:rPr>
                <w:rFonts w:ascii="Arial Mäori" w:hAnsi="Arial Mäori"/>
                <w:color w:val="000000"/>
                <w:sz w:val="20"/>
                <w:szCs w:val="18"/>
              </w:rPr>
            </w:pPr>
            <w:r w:rsidRPr="0049634A">
              <w:rPr>
                <w:rFonts w:ascii="Arial Mäori" w:hAnsi="Arial Mäori"/>
                <w:color w:val="000000"/>
                <w:sz w:val="20"/>
                <w:szCs w:val="18"/>
              </w:rPr>
              <w:t>78%</w:t>
            </w:r>
          </w:p>
        </w:tc>
      </w:tr>
      <w:tr w:rsidR="0082636D" w:rsidRPr="00E949EF" w14:paraId="72BA85F5" w14:textId="0A173CA3" w:rsidTr="000C2C70">
        <w:tc>
          <w:tcPr>
            <w:tcW w:w="2188" w:type="dxa"/>
          </w:tcPr>
          <w:p w14:paraId="64944470" w14:textId="77777777" w:rsidR="0082636D" w:rsidRPr="00E949EF" w:rsidRDefault="0082636D" w:rsidP="00D505C2">
            <w:pPr>
              <w:rPr>
                <w:sz w:val="20"/>
                <w:szCs w:val="18"/>
                <w:lang w:val="en-NZ"/>
              </w:rPr>
            </w:pPr>
            <w:r w:rsidRPr="00E949EF">
              <w:rPr>
                <w:sz w:val="20"/>
                <w:szCs w:val="18"/>
                <w:lang w:val="en-NZ"/>
              </w:rPr>
              <w:t>RAPs</w:t>
            </w:r>
          </w:p>
        </w:tc>
        <w:tc>
          <w:tcPr>
            <w:tcW w:w="1268" w:type="dxa"/>
          </w:tcPr>
          <w:p w14:paraId="27126A3C" w14:textId="77777777" w:rsidR="0082636D" w:rsidRPr="00E949EF" w:rsidRDefault="0082636D" w:rsidP="00D505C2">
            <w:pPr>
              <w:rPr>
                <w:sz w:val="20"/>
                <w:szCs w:val="18"/>
                <w:lang w:val="en-NZ"/>
              </w:rPr>
            </w:pPr>
            <w:r w:rsidRPr="00E949EF">
              <w:rPr>
                <w:sz w:val="20"/>
                <w:szCs w:val="18"/>
                <w:lang w:val="en-NZ"/>
              </w:rPr>
              <w:t>5,074</w:t>
            </w:r>
          </w:p>
        </w:tc>
        <w:tc>
          <w:tcPr>
            <w:tcW w:w="1635" w:type="dxa"/>
          </w:tcPr>
          <w:p w14:paraId="088248B5" w14:textId="77777777" w:rsidR="0082636D" w:rsidRPr="00E949EF" w:rsidRDefault="0082636D" w:rsidP="00D505C2">
            <w:pPr>
              <w:rPr>
                <w:sz w:val="20"/>
                <w:szCs w:val="18"/>
                <w:lang w:val="en-NZ"/>
              </w:rPr>
            </w:pPr>
            <w:r w:rsidRPr="00E949EF">
              <w:rPr>
                <w:sz w:val="20"/>
                <w:szCs w:val="18"/>
                <w:lang w:val="en-NZ"/>
              </w:rPr>
              <w:t>5,314</w:t>
            </w:r>
          </w:p>
        </w:tc>
        <w:tc>
          <w:tcPr>
            <w:tcW w:w="1359" w:type="dxa"/>
          </w:tcPr>
          <w:p w14:paraId="092BF11E" w14:textId="77777777" w:rsidR="0082636D" w:rsidRPr="00E949EF" w:rsidRDefault="0082636D" w:rsidP="00D505C2">
            <w:pPr>
              <w:rPr>
                <w:sz w:val="20"/>
                <w:szCs w:val="18"/>
                <w:lang w:val="en-NZ"/>
              </w:rPr>
            </w:pPr>
            <w:r w:rsidRPr="00E949EF">
              <w:rPr>
                <w:sz w:val="20"/>
                <w:szCs w:val="18"/>
                <w:lang w:val="en-NZ"/>
              </w:rPr>
              <w:t>6,826</w:t>
            </w:r>
          </w:p>
        </w:tc>
        <w:tc>
          <w:tcPr>
            <w:tcW w:w="1315" w:type="dxa"/>
          </w:tcPr>
          <w:p w14:paraId="75CDC990" w14:textId="77777777" w:rsidR="0082636D" w:rsidRPr="00E949EF" w:rsidRDefault="0082636D" w:rsidP="00D505C2">
            <w:pPr>
              <w:rPr>
                <w:sz w:val="20"/>
                <w:szCs w:val="18"/>
                <w:lang w:val="en-NZ"/>
              </w:rPr>
            </w:pPr>
            <w:r w:rsidRPr="00E949EF">
              <w:rPr>
                <w:rFonts w:ascii="Arial Mäori" w:hAnsi="Arial Mäori"/>
                <w:b/>
                <w:bCs/>
                <w:color w:val="000000"/>
                <w:sz w:val="20"/>
                <w:szCs w:val="18"/>
              </w:rPr>
              <w:t>17,214</w:t>
            </w:r>
          </w:p>
        </w:tc>
        <w:tc>
          <w:tcPr>
            <w:tcW w:w="1295" w:type="dxa"/>
          </w:tcPr>
          <w:p w14:paraId="387DFCE0" w14:textId="38016D37" w:rsidR="0082636D" w:rsidRPr="0049634A" w:rsidRDefault="0082636D" w:rsidP="00D505C2">
            <w:pPr>
              <w:rPr>
                <w:rFonts w:ascii="Arial Mäori" w:hAnsi="Arial Mäori"/>
                <w:color w:val="000000"/>
                <w:sz w:val="20"/>
                <w:szCs w:val="18"/>
              </w:rPr>
            </w:pPr>
            <w:r w:rsidRPr="0049634A">
              <w:rPr>
                <w:rFonts w:ascii="Arial Mäori" w:hAnsi="Arial Mäori"/>
                <w:color w:val="000000"/>
                <w:sz w:val="20"/>
                <w:szCs w:val="18"/>
              </w:rPr>
              <w:t>14%</w:t>
            </w:r>
          </w:p>
        </w:tc>
      </w:tr>
      <w:tr w:rsidR="0082636D" w:rsidRPr="00E949EF" w14:paraId="0A5107A5" w14:textId="7BD3CEDA" w:rsidTr="000C2C70">
        <w:tc>
          <w:tcPr>
            <w:tcW w:w="2188" w:type="dxa"/>
          </w:tcPr>
          <w:p w14:paraId="7CD3CEE3" w14:textId="77777777" w:rsidR="0082636D" w:rsidRPr="00E949EF" w:rsidRDefault="0082636D" w:rsidP="00D505C2">
            <w:pPr>
              <w:rPr>
                <w:sz w:val="20"/>
                <w:szCs w:val="18"/>
                <w:lang w:val="en-NZ"/>
              </w:rPr>
            </w:pPr>
            <w:r w:rsidRPr="00E949EF">
              <w:rPr>
                <w:sz w:val="20"/>
                <w:szCs w:val="18"/>
                <w:lang w:val="en-NZ"/>
              </w:rPr>
              <w:t>HSPs</w:t>
            </w:r>
          </w:p>
        </w:tc>
        <w:tc>
          <w:tcPr>
            <w:tcW w:w="1268" w:type="dxa"/>
            <w:shd w:val="clear" w:color="auto" w:fill="FFFFFF" w:themeFill="background1"/>
          </w:tcPr>
          <w:p w14:paraId="64B4C41D" w14:textId="77777777" w:rsidR="0082636D" w:rsidRPr="00E949EF" w:rsidRDefault="0082636D" w:rsidP="00D505C2">
            <w:pPr>
              <w:rPr>
                <w:sz w:val="20"/>
                <w:szCs w:val="18"/>
                <w:lang w:val="en-NZ"/>
              </w:rPr>
            </w:pPr>
            <w:r w:rsidRPr="00E949EF">
              <w:rPr>
                <w:sz w:val="20"/>
                <w:szCs w:val="18"/>
                <w:lang w:val="en-NZ"/>
              </w:rPr>
              <w:t>3,251*</w:t>
            </w:r>
          </w:p>
        </w:tc>
        <w:tc>
          <w:tcPr>
            <w:tcW w:w="1635" w:type="dxa"/>
            <w:shd w:val="clear" w:color="auto" w:fill="FFFFFF" w:themeFill="background1"/>
          </w:tcPr>
          <w:p w14:paraId="05D46AE0" w14:textId="77777777" w:rsidR="0082636D" w:rsidRPr="00E949EF" w:rsidRDefault="0082636D" w:rsidP="00D505C2">
            <w:pPr>
              <w:rPr>
                <w:sz w:val="20"/>
                <w:szCs w:val="18"/>
                <w:lang w:val="en-NZ"/>
              </w:rPr>
            </w:pPr>
            <w:r w:rsidRPr="00E949EF">
              <w:rPr>
                <w:sz w:val="20"/>
                <w:szCs w:val="18"/>
                <w:lang w:val="en-NZ"/>
              </w:rPr>
              <w:t>1,774*</w:t>
            </w:r>
          </w:p>
        </w:tc>
        <w:tc>
          <w:tcPr>
            <w:tcW w:w="1359" w:type="dxa"/>
          </w:tcPr>
          <w:p w14:paraId="4114BACA" w14:textId="77777777" w:rsidR="0082636D" w:rsidRPr="00E949EF" w:rsidRDefault="0082636D" w:rsidP="00D505C2">
            <w:pPr>
              <w:rPr>
                <w:sz w:val="20"/>
                <w:szCs w:val="18"/>
                <w:lang w:val="en-NZ"/>
              </w:rPr>
            </w:pPr>
            <w:r w:rsidRPr="00E949EF">
              <w:rPr>
                <w:sz w:val="20"/>
                <w:szCs w:val="18"/>
                <w:lang w:val="en-NZ"/>
              </w:rPr>
              <w:t>4,984</w:t>
            </w:r>
          </w:p>
        </w:tc>
        <w:tc>
          <w:tcPr>
            <w:tcW w:w="1315" w:type="dxa"/>
          </w:tcPr>
          <w:p w14:paraId="534E9FB0" w14:textId="77777777" w:rsidR="0082636D" w:rsidRPr="00E949EF" w:rsidRDefault="0082636D" w:rsidP="00D505C2">
            <w:pPr>
              <w:rPr>
                <w:sz w:val="20"/>
                <w:szCs w:val="18"/>
                <w:lang w:val="en-NZ"/>
              </w:rPr>
            </w:pPr>
            <w:r w:rsidRPr="00E949EF">
              <w:rPr>
                <w:rFonts w:ascii="Arial Mäori" w:hAnsi="Arial Mäori"/>
                <w:b/>
                <w:bCs/>
                <w:color w:val="000000"/>
                <w:sz w:val="20"/>
                <w:szCs w:val="18"/>
              </w:rPr>
              <w:t>10,009</w:t>
            </w:r>
          </w:p>
        </w:tc>
        <w:tc>
          <w:tcPr>
            <w:tcW w:w="1295" w:type="dxa"/>
          </w:tcPr>
          <w:p w14:paraId="07B379E9" w14:textId="6BCBE5FC" w:rsidR="0082636D" w:rsidRPr="0049634A" w:rsidRDefault="0082636D" w:rsidP="00D505C2">
            <w:pPr>
              <w:rPr>
                <w:rFonts w:ascii="Arial Mäori" w:hAnsi="Arial Mäori"/>
                <w:color w:val="000000"/>
                <w:sz w:val="20"/>
                <w:szCs w:val="18"/>
              </w:rPr>
            </w:pPr>
            <w:r w:rsidRPr="0049634A">
              <w:rPr>
                <w:rFonts w:ascii="Arial Mäori" w:hAnsi="Arial Mäori"/>
                <w:color w:val="000000"/>
                <w:sz w:val="20"/>
                <w:szCs w:val="18"/>
              </w:rPr>
              <w:t>8%</w:t>
            </w:r>
          </w:p>
        </w:tc>
      </w:tr>
      <w:tr w:rsidR="0082636D" w:rsidRPr="00E949EF" w14:paraId="19413E14" w14:textId="0B5884BD" w:rsidTr="000C2C70">
        <w:tc>
          <w:tcPr>
            <w:tcW w:w="2188" w:type="dxa"/>
          </w:tcPr>
          <w:p w14:paraId="619EFD36" w14:textId="77777777" w:rsidR="0082636D" w:rsidRPr="00E949EF" w:rsidRDefault="0082636D" w:rsidP="00D505C2">
            <w:pPr>
              <w:rPr>
                <w:b/>
                <w:bCs/>
                <w:sz w:val="20"/>
                <w:szCs w:val="18"/>
                <w:lang w:val="en-NZ"/>
              </w:rPr>
            </w:pPr>
            <w:r w:rsidRPr="00E949EF">
              <w:rPr>
                <w:b/>
                <w:bCs/>
                <w:sz w:val="20"/>
                <w:szCs w:val="18"/>
                <w:lang w:val="en-NZ"/>
              </w:rPr>
              <w:t>Total all</w:t>
            </w:r>
          </w:p>
        </w:tc>
        <w:tc>
          <w:tcPr>
            <w:tcW w:w="1268" w:type="dxa"/>
          </w:tcPr>
          <w:p w14:paraId="2B64EA45" w14:textId="77777777" w:rsidR="0082636D" w:rsidRPr="00E949EF" w:rsidRDefault="0082636D" w:rsidP="00D505C2">
            <w:pPr>
              <w:rPr>
                <w:sz w:val="20"/>
                <w:szCs w:val="18"/>
                <w:lang w:val="en-NZ"/>
              </w:rPr>
            </w:pPr>
            <w:r w:rsidRPr="00E949EF">
              <w:rPr>
                <w:rFonts w:cs="Arial"/>
                <w:b/>
                <w:bCs/>
                <w:color w:val="000000"/>
                <w:sz w:val="20"/>
                <w:szCs w:val="18"/>
              </w:rPr>
              <w:t>43,155</w:t>
            </w:r>
          </w:p>
        </w:tc>
        <w:tc>
          <w:tcPr>
            <w:tcW w:w="1635" w:type="dxa"/>
          </w:tcPr>
          <w:p w14:paraId="597C10E3" w14:textId="77777777" w:rsidR="0082636D" w:rsidRPr="00E949EF" w:rsidRDefault="0082636D" w:rsidP="00D505C2">
            <w:pPr>
              <w:rPr>
                <w:sz w:val="20"/>
                <w:szCs w:val="18"/>
                <w:lang w:val="en-NZ"/>
              </w:rPr>
            </w:pPr>
            <w:r w:rsidRPr="00E949EF">
              <w:rPr>
                <w:rFonts w:cs="Arial"/>
                <w:b/>
                <w:bCs/>
                <w:color w:val="000000"/>
                <w:sz w:val="20"/>
                <w:szCs w:val="18"/>
              </w:rPr>
              <w:t>46,207</w:t>
            </w:r>
          </w:p>
        </w:tc>
        <w:tc>
          <w:tcPr>
            <w:tcW w:w="1359" w:type="dxa"/>
          </w:tcPr>
          <w:p w14:paraId="07A0BAAC" w14:textId="77777777" w:rsidR="0082636D" w:rsidRPr="00E949EF" w:rsidRDefault="0082636D" w:rsidP="00D505C2">
            <w:pPr>
              <w:rPr>
                <w:sz w:val="20"/>
                <w:szCs w:val="18"/>
                <w:lang w:val="en-NZ"/>
              </w:rPr>
            </w:pPr>
            <w:r w:rsidRPr="00E949EF">
              <w:rPr>
                <w:rFonts w:cs="Arial"/>
                <w:b/>
                <w:bCs/>
                <w:color w:val="000000"/>
                <w:sz w:val="20"/>
                <w:szCs w:val="18"/>
              </w:rPr>
              <w:t>33,144</w:t>
            </w:r>
          </w:p>
        </w:tc>
        <w:tc>
          <w:tcPr>
            <w:tcW w:w="1315" w:type="dxa"/>
          </w:tcPr>
          <w:p w14:paraId="3C2602AB" w14:textId="77777777" w:rsidR="0082636D" w:rsidRPr="00E949EF" w:rsidRDefault="0082636D" w:rsidP="00D505C2">
            <w:pPr>
              <w:rPr>
                <w:rFonts w:cs="Arial"/>
                <w:b/>
                <w:bCs/>
                <w:color w:val="000000"/>
                <w:sz w:val="20"/>
                <w:szCs w:val="18"/>
              </w:rPr>
            </w:pPr>
            <w:r w:rsidRPr="00E949EF">
              <w:rPr>
                <w:rFonts w:ascii="Arial Mäori" w:hAnsi="Arial Mäori"/>
                <w:b/>
                <w:bCs/>
                <w:color w:val="000000"/>
                <w:sz w:val="20"/>
                <w:szCs w:val="18"/>
              </w:rPr>
              <w:t>122,506</w:t>
            </w:r>
          </w:p>
        </w:tc>
        <w:tc>
          <w:tcPr>
            <w:tcW w:w="1295" w:type="dxa"/>
          </w:tcPr>
          <w:p w14:paraId="5DE8F6C3" w14:textId="64AA911E" w:rsidR="0082636D" w:rsidRPr="0049634A" w:rsidRDefault="0082636D" w:rsidP="00D505C2">
            <w:pPr>
              <w:rPr>
                <w:rFonts w:ascii="Arial Mäori" w:hAnsi="Arial Mäori"/>
                <w:b/>
                <w:bCs/>
                <w:color w:val="000000"/>
                <w:sz w:val="20"/>
                <w:szCs w:val="18"/>
              </w:rPr>
            </w:pPr>
            <w:r w:rsidRPr="0049634A">
              <w:rPr>
                <w:rFonts w:ascii="Arial Mäori" w:hAnsi="Arial Mäori"/>
                <w:b/>
                <w:bCs/>
                <w:color w:val="000000"/>
                <w:sz w:val="20"/>
                <w:szCs w:val="18"/>
              </w:rPr>
              <w:t>100%</w:t>
            </w:r>
          </w:p>
        </w:tc>
      </w:tr>
    </w:tbl>
    <w:p w14:paraId="76F74494" w14:textId="1586D60D" w:rsidR="007D6495" w:rsidRDefault="007D6495" w:rsidP="007D6495">
      <w:pPr>
        <w:rPr>
          <w:lang w:val="en-NZ"/>
        </w:rPr>
      </w:pPr>
      <w:r>
        <w:rPr>
          <w:lang w:val="en-NZ"/>
        </w:rPr>
        <w:t>*</w:t>
      </w:r>
      <w:proofErr w:type="gramStart"/>
      <w:r>
        <w:rPr>
          <w:lang w:val="en-NZ"/>
        </w:rPr>
        <w:t>indicates</w:t>
      </w:r>
      <w:proofErr w:type="gramEnd"/>
      <w:r>
        <w:rPr>
          <w:lang w:val="en-NZ"/>
        </w:rPr>
        <w:t xml:space="preserve"> </w:t>
      </w:r>
      <w:r w:rsidR="000C2C70">
        <w:rPr>
          <w:lang w:val="en-NZ"/>
        </w:rPr>
        <w:t xml:space="preserve">non-recoverable </w:t>
      </w:r>
      <w:r>
        <w:rPr>
          <w:lang w:val="en-NZ"/>
        </w:rPr>
        <w:t xml:space="preserve">payment </w:t>
      </w:r>
      <w:r w:rsidR="000C2C70">
        <w:rPr>
          <w:lang w:val="en-NZ"/>
        </w:rPr>
        <w:t xml:space="preserve"> </w:t>
      </w:r>
    </w:p>
    <w:p w14:paraId="09C87BD7" w14:textId="4FB5A45A" w:rsidR="00922C28" w:rsidRDefault="008240F2" w:rsidP="007D6495">
      <w:pPr>
        <w:rPr>
          <w:lang w:val="en-NZ"/>
        </w:rPr>
      </w:pPr>
      <w:r>
        <w:rPr>
          <w:lang w:val="en-NZ"/>
        </w:rPr>
        <w:lastRenderedPageBreak/>
        <w:t>In addition to the main payments for housing-related hardship in Table Four, Table Five shows the remaining housing-related hardship assistance payments only available through HSPs.</w:t>
      </w:r>
    </w:p>
    <w:p w14:paraId="344F5D43" w14:textId="102D3540" w:rsidR="00864BB0" w:rsidRPr="009F5C43" w:rsidRDefault="00E605CC" w:rsidP="007D6495">
      <w:pPr>
        <w:rPr>
          <w:i/>
          <w:iCs/>
          <w:lang w:val="en-NZ"/>
        </w:rPr>
      </w:pPr>
      <w:r w:rsidRPr="009F5C43">
        <w:rPr>
          <w:i/>
          <w:iCs/>
          <w:lang w:val="en-NZ"/>
        </w:rPr>
        <w:t xml:space="preserve">Table </w:t>
      </w:r>
      <w:r w:rsidR="000C2C70" w:rsidRPr="009F5C43">
        <w:rPr>
          <w:i/>
          <w:iCs/>
          <w:lang w:val="en-NZ"/>
        </w:rPr>
        <w:t>F</w:t>
      </w:r>
      <w:r w:rsidRPr="009F5C43">
        <w:rPr>
          <w:i/>
          <w:iCs/>
          <w:lang w:val="en-NZ"/>
        </w:rPr>
        <w:t xml:space="preserve">ive: </w:t>
      </w:r>
      <w:r w:rsidR="00FA34BA" w:rsidRPr="009F5C43">
        <w:rPr>
          <w:i/>
          <w:iCs/>
          <w:lang w:val="en-NZ"/>
        </w:rPr>
        <w:t>Remaining</w:t>
      </w:r>
      <w:r w:rsidRPr="009F5C43">
        <w:rPr>
          <w:i/>
          <w:iCs/>
          <w:lang w:val="en-NZ"/>
        </w:rPr>
        <w:t xml:space="preserve"> HSP payments</w:t>
      </w:r>
      <w:r w:rsidR="00FA34BA" w:rsidRPr="009F5C43">
        <w:rPr>
          <w:i/>
          <w:iCs/>
          <w:lang w:val="en-NZ"/>
        </w:rPr>
        <w:t xml:space="preserve"> (</w:t>
      </w:r>
      <w:r w:rsidR="00922C28" w:rsidRPr="009F5C43">
        <w:rPr>
          <w:i/>
          <w:iCs/>
          <w:lang w:val="en-NZ"/>
        </w:rPr>
        <w:t>less frequently granted</w:t>
      </w:r>
      <w:r w:rsidR="00FA34BA" w:rsidRPr="009F5C43">
        <w:rPr>
          <w:i/>
          <w:iCs/>
          <w:lang w:val="en-NZ"/>
        </w:rPr>
        <w:t xml:space="preserve"> payments)</w:t>
      </w:r>
    </w:p>
    <w:tbl>
      <w:tblPr>
        <w:tblStyle w:val="TableGrid"/>
        <w:tblW w:w="7132" w:type="dxa"/>
        <w:tblLook w:val="04A0" w:firstRow="1" w:lastRow="0" w:firstColumn="1" w:lastColumn="0" w:noHBand="0" w:noVBand="1"/>
      </w:tblPr>
      <w:tblGrid>
        <w:gridCol w:w="4522"/>
        <w:gridCol w:w="2610"/>
      </w:tblGrid>
      <w:tr w:rsidR="007D6495" w:rsidRPr="00E949EF" w14:paraId="0309475A" w14:textId="77777777" w:rsidTr="00D505C2">
        <w:trPr>
          <w:trHeight w:val="237"/>
        </w:trPr>
        <w:tc>
          <w:tcPr>
            <w:tcW w:w="4522" w:type="dxa"/>
            <w:noWrap/>
          </w:tcPr>
          <w:p w14:paraId="070ECE44" w14:textId="77777777" w:rsidR="007D6495" w:rsidRPr="00E949EF" w:rsidRDefault="007D6495" w:rsidP="00D505C2">
            <w:pPr>
              <w:rPr>
                <w:sz w:val="20"/>
                <w:szCs w:val="18"/>
              </w:rPr>
            </w:pPr>
            <w:r w:rsidRPr="00E949EF">
              <w:rPr>
                <w:b/>
                <w:bCs/>
                <w:sz w:val="20"/>
                <w:szCs w:val="18"/>
                <w:lang w:val="en-NZ"/>
              </w:rPr>
              <w:t>Other HSPs not listed above</w:t>
            </w:r>
          </w:p>
        </w:tc>
        <w:tc>
          <w:tcPr>
            <w:tcW w:w="2610" w:type="dxa"/>
            <w:noWrap/>
          </w:tcPr>
          <w:p w14:paraId="5E0BBAC7" w14:textId="77777777" w:rsidR="007D6495" w:rsidRPr="00E949EF" w:rsidRDefault="007D6495" w:rsidP="00D505C2">
            <w:pPr>
              <w:rPr>
                <w:b/>
                <w:bCs/>
                <w:sz w:val="20"/>
                <w:szCs w:val="18"/>
              </w:rPr>
            </w:pPr>
            <w:r w:rsidRPr="00E949EF">
              <w:rPr>
                <w:b/>
                <w:bCs/>
                <w:sz w:val="20"/>
                <w:szCs w:val="18"/>
              </w:rPr>
              <w:t xml:space="preserve">Payments  </w:t>
            </w:r>
          </w:p>
        </w:tc>
      </w:tr>
      <w:tr w:rsidR="007D6495" w:rsidRPr="00E949EF" w14:paraId="0196A236" w14:textId="77777777" w:rsidTr="00D505C2">
        <w:trPr>
          <w:trHeight w:val="237"/>
        </w:trPr>
        <w:tc>
          <w:tcPr>
            <w:tcW w:w="4522" w:type="dxa"/>
            <w:noWrap/>
            <w:hideMark/>
          </w:tcPr>
          <w:p w14:paraId="1603001F" w14:textId="77777777" w:rsidR="007D6495" w:rsidRPr="00E949EF" w:rsidRDefault="007D6495" w:rsidP="00D505C2">
            <w:pPr>
              <w:rPr>
                <w:sz w:val="20"/>
                <w:szCs w:val="18"/>
                <w:lang w:val="en-NZ"/>
              </w:rPr>
            </w:pPr>
            <w:r w:rsidRPr="00E949EF">
              <w:rPr>
                <w:sz w:val="20"/>
                <w:szCs w:val="18"/>
              </w:rPr>
              <w:t>HSP Moving Assistance</w:t>
            </w:r>
          </w:p>
        </w:tc>
        <w:tc>
          <w:tcPr>
            <w:tcW w:w="2610" w:type="dxa"/>
            <w:noWrap/>
            <w:hideMark/>
          </w:tcPr>
          <w:p w14:paraId="0C285020" w14:textId="77777777" w:rsidR="007D6495" w:rsidRPr="00E949EF" w:rsidRDefault="007D6495" w:rsidP="00D505C2">
            <w:pPr>
              <w:jc w:val="left"/>
              <w:rPr>
                <w:sz w:val="20"/>
                <w:szCs w:val="18"/>
              </w:rPr>
            </w:pPr>
            <w:r w:rsidRPr="00E949EF">
              <w:rPr>
                <w:sz w:val="20"/>
                <w:szCs w:val="18"/>
              </w:rPr>
              <w:t>673</w:t>
            </w:r>
          </w:p>
        </w:tc>
      </w:tr>
      <w:tr w:rsidR="007D6495" w:rsidRPr="00E949EF" w14:paraId="715C4650" w14:textId="77777777" w:rsidTr="00D505C2">
        <w:trPr>
          <w:trHeight w:val="237"/>
        </w:trPr>
        <w:tc>
          <w:tcPr>
            <w:tcW w:w="4522" w:type="dxa"/>
            <w:noWrap/>
            <w:hideMark/>
          </w:tcPr>
          <w:p w14:paraId="0AD9A925" w14:textId="77777777" w:rsidR="007D6495" w:rsidRPr="00E949EF" w:rsidRDefault="007D6495" w:rsidP="00D505C2">
            <w:pPr>
              <w:jc w:val="left"/>
              <w:rPr>
                <w:sz w:val="20"/>
                <w:szCs w:val="18"/>
              </w:rPr>
            </w:pPr>
            <w:r w:rsidRPr="00E949EF">
              <w:rPr>
                <w:sz w:val="20"/>
                <w:szCs w:val="18"/>
              </w:rPr>
              <w:t>HSP Tenancy Costs</w:t>
            </w:r>
            <w:r>
              <w:rPr>
                <w:sz w:val="20"/>
                <w:szCs w:val="18"/>
              </w:rPr>
              <w:t xml:space="preserve"> </w:t>
            </w:r>
            <w:r w:rsidRPr="00E949EF">
              <w:rPr>
                <w:sz w:val="20"/>
                <w:szCs w:val="18"/>
              </w:rPr>
              <w:t>Cover</w:t>
            </w:r>
          </w:p>
        </w:tc>
        <w:tc>
          <w:tcPr>
            <w:tcW w:w="2610" w:type="dxa"/>
            <w:noWrap/>
            <w:hideMark/>
          </w:tcPr>
          <w:p w14:paraId="5B3A9468" w14:textId="77777777" w:rsidR="007D6495" w:rsidRPr="00E949EF" w:rsidRDefault="007D6495" w:rsidP="00D505C2">
            <w:pPr>
              <w:jc w:val="left"/>
              <w:rPr>
                <w:sz w:val="20"/>
                <w:szCs w:val="18"/>
              </w:rPr>
            </w:pPr>
            <w:r w:rsidRPr="00E949EF">
              <w:rPr>
                <w:sz w:val="20"/>
                <w:szCs w:val="18"/>
              </w:rPr>
              <w:t>43</w:t>
            </w:r>
          </w:p>
        </w:tc>
      </w:tr>
      <w:tr w:rsidR="007D6495" w:rsidRPr="00E949EF" w14:paraId="4364950F" w14:textId="77777777" w:rsidTr="0049634A">
        <w:trPr>
          <w:trHeight w:val="237"/>
        </w:trPr>
        <w:tc>
          <w:tcPr>
            <w:tcW w:w="4522" w:type="dxa"/>
            <w:noWrap/>
            <w:hideMark/>
          </w:tcPr>
          <w:p w14:paraId="7C025C33" w14:textId="77777777" w:rsidR="007D6495" w:rsidRPr="00E949EF" w:rsidRDefault="007D6495" w:rsidP="00D505C2">
            <w:pPr>
              <w:jc w:val="left"/>
              <w:rPr>
                <w:sz w:val="20"/>
                <w:szCs w:val="18"/>
              </w:rPr>
            </w:pPr>
            <w:r w:rsidRPr="00E949EF">
              <w:rPr>
                <w:sz w:val="20"/>
                <w:szCs w:val="18"/>
              </w:rPr>
              <w:t>HSP Transition to Alternative Housing Grant</w:t>
            </w:r>
          </w:p>
        </w:tc>
        <w:tc>
          <w:tcPr>
            <w:tcW w:w="2610" w:type="dxa"/>
            <w:shd w:val="clear" w:color="auto" w:fill="FFFFFF" w:themeFill="background1"/>
            <w:noWrap/>
            <w:hideMark/>
          </w:tcPr>
          <w:p w14:paraId="01981B86" w14:textId="77777777" w:rsidR="007D6495" w:rsidRPr="00E949EF" w:rsidRDefault="007D6495" w:rsidP="00D505C2">
            <w:pPr>
              <w:jc w:val="left"/>
              <w:rPr>
                <w:sz w:val="20"/>
                <w:szCs w:val="18"/>
              </w:rPr>
            </w:pPr>
            <w:r w:rsidRPr="00E949EF">
              <w:rPr>
                <w:sz w:val="20"/>
                <w:szCs w:val="18"/>
              </w:rPr>
              <w:t>91*</w:t>
            </w:r>
          </w:p>
        </w:tc>
      </w:tr>
      <w:tr w:rsidR="007D6495" w:rsidRPr="00E949EF" w14:paraId="589275EA" w14:textId="77777777" w:rsidTr="00D505C2">
        <w:trPr>
          <w:trHeight w:val="237"/>
        </w:trPr>
        <w:tc>
          <w:tcPr>
            <w:tcW w:w="4522" w:type="dxa"/>
            <w:noWrap/>
            <w:hideMark/>
          </w:tcPr>
          <w:p w14:paraId="04B72ED4" w14:textId="77777777" w:rsidR="007D6495" w:rsidRPr="00E949EF" w:rsidRDefault="007D6495" w:rsidP="00D505C2">
            <w:pPr>
              <w:jc w:val="left"/>
              <w:rPr>
                <w:b/>
                <w:bCs/>
                <w:sz w:val="20"/>
                <w:szCs w:val="18"/>
              </w:rPr>
            </w:pPr>
            <w:r w:rsidRPr="00E949EF">
              <w:rPr>
                <w:b/>
                <w:bCs/>
                <w:sz w:val="20"/>
                <w:szCs w:val="18"/>
              </w:rPr>
              <w:t>Total</w:t>
            </w:r>
          </w:p>
        </w:tc>
        <w:tc>
          <w:tcPr>
            <w:tcW w:w="2610" w:type="dxa"/>
            <w:noWrap/>
            <w:hideMark/>
          </w:tcPr>
          <w:p w14:paraId="028C39CF" w14:textId="77777777" w:rsidR="007D6495" w:rsidRPr="00E949EF" w:rsidRDefault="007D6495" w:rsidP="00D505C2">
            <w:pPr>
              <w:jc w:val="left"/>
              <w:rPr>
                <w:b/>
                <w:bCs/>
                <w:sz w:val="20"/>
                <w:szCs w:val="18"/>
              </w:rPr>
            </w:pPr>
            <w:r w:rsidRPr="00E949EF">
              <w:rPr>
                <w:b/>
                <w:bCs/>
                <w:sz w:val="20"/>
                <w:szCs w:val="18"/>
              </w:rPr>
              <w:t>807</w:t>
            </w:r>
          </w:p>
        </w:tc>
      </w:tr>
    </w:tbl>
    <w:p w14:paraId="771050DE" w14:textId="44B0AF25" w:rsidR="001B727F" w:rsidRDefault="001B727F" w:rsidP="002705E1">
      <w:pPr>
        <w:rPr>
          <w:lang w:val="en-NZ"/>
        </w:rPr>
      </w:pPr>
    </w:p>
    <w:p w14:paraId="478EFC4A" w14:textId="553E55CF" w:rsidR="00E901E5" w:rsidRPr="00E901E5" w:rsidRDefault="007D78A1" w:rsidP="00E901E5">
      <w:pPr>
        <w:pStyle w:val="Heading3"/>
        <w:rPr>
          <w:lang w:val="en-NZ"/>
        </w:rPr>
      </w:pPr>
      <w:r w:rsidRPr="00A864A5">
        <w:rPr>
          <w:lang w:val="en-NZ"/>
        </w:rPr>
        <w:t>What is the policy problem</w:t>
      </w:r>
      <w:r w:rsidR="002352C4">
        <w:rPr>
          <w:lang w:val="en-NZ"/>
        </w:rPr>
        <w:t xml:space="preserve"> or opportunity</w:t>
      </w:r>
      <w:r w:rsidRPr="00A864A5">
        <w:rPr>
          <w:lang w:val="en-NZ"/>
        </w:rPr>
        <w:t>?</w:t>
      </w:r>
    </w:p>
    <w:p w14:paraId="7E0C1CAE" w14:textId="47FFC479" w:rsidR="00427E3D" w:rsidRDefault="00427E3D" w:rsidP="009B5F6B">
      <w:pPr>
        <w:rPr>
          <w:lang w:val="en-NZ"/>
        </w:rPr>
      </w:pPr>
      <w:r>
        <w:rPr>
          <w:lang w:val="en-NZ"/>
        </w:rPr>
        <w:t>There are two key policy problems with the current structure of housing-</w:t>
      </w:r>
      <w:r w:rsidR="001569AD">
        <w:rPr>
          <w:lang w:val="en-NZ"/>
        </w:rPr>
        <w:t>related</w:t>
      </w:r>
      <w:r>
        <w:rPr>
          <w:lang w:val="en-NZ"/>
        </w:rPr>
        <w:t xml:space="preserve"> hardship assistance.</w:t>
      </w:r>
    </w:p>
    <w:p w14:paraId="576AF6EF" w14:textId="0FB8EF7F" w:rsidR="00F80C35" w:rsidRDefault="00F80C35" w:rsidP="00F80C35">
      <w:pPr>
        <w:pStyle w:val="ListParagraph"/>
        <w:numPr>
          <w:ilvl w:val="0"/>
          <w:numId w:val="41"/>
        </w:numPr>
        <w:ind w:left="1080"/>
        <w:contextualSpacing w:val="0"/>
        <w:rPr>
          <w:lang w:val="en-NZ"/>
        </w:rPr>
      </w:pPr>
      <w:r>
        <w:rPr>
          <w:lang w:val="en-NZ"/>
        </w:rPr>
        <w:t xml:space="preserve">Worsening housing market conditions have constrained the ability of </w:t>
      </w:r>
      <w:r w:rsidR="009F6FEB">
        <w:rPr>
          <w:lang w:val="en-NZ"/>
        </w:rPr>
        <w:t>h</w:t>
      </w:r>
      <w:r w:rsidR="00DD0A71" w:rsidRPr="0049634A">
        <w:rPr>
          <w:lang w:val="en-NZ"/>
        </w:rPr>
        <w:t xml:space="preserve">ousing-related </w:t>
      </w:r>
      <w:r w:rsidR="0049634A" w:rsidRPr="0049634A">
        <w:rPr>
          <w:lang w:val="en-NZ"/>
        </w:rPr>
        <w:t>hardship</w:t>
      </w:r>
      <w:r w:rsidR="00DD0A71" w:rsidRPr="0049634A">
        <w:rPr>
          <w:lang w:val="en-NZ"/>
        </w:rPr>
        <w:t xml:space="preserve"> assistance and HSPs </w:t>
      </w:r>
      <w:r w:rsidR="009B5F6B" w:rsidRPr="0049634A">
        <w:rPr>
          <w:lang w:val="en-NZ"/>
        </w:rPr>
        <w:t xml:space="preserve">to </w:t>
      </w:r>
      <w:r>
        <w:rPr>
          <w:lang w:val="en-NZ"/>
        </w:rPr>
        <w:t>help lower-income households to access and sustain a private tenancy</w:t>
      </w:r>
      <w:r w:rsidR="00276C40">
        <w:rPr>
          <w:lang w:val="en-NZ"/>
        </w:rPr>
        <w:t xml:space="preserve">, meaning they </w:t>
      </w:r>
      <w:r w:rsidR="00B345CF">
        <w:rPr>
          <w:lang w:val="en-NZ"/>
        </w:rPr>
        <w:t>do not</w:t>
      </w:r>
      <w:r>
        <w:rPr>
          <w:lang w:val="en-NZ"/>
        </w:rPr>
        <w:t xml:space="preserve"> always function as they were intended to, as</w:t>
      </w:r>
      <w:r w:rsidR="009B5F6B" w:rsidRPr="0049634A">
        <w:rPr>
          <w:lang w:val="en-NZ"/>
        </w:rPr>
        <w:t xml:space="preserve"> </w:t>
      </w:r>
    </w:p>
    <w:p w14:paraId="5AB76746" w14:textId="08DAB35F" w:rsidR="00F80C35" w:rsidRDefault="00F80C35" w:rsidP="00F80C35">
      <w:pPr>
        <w:pStyle w:val="ListParagraph"/>
        <w:numPr>
          <w:ilvl w:val="1"/>
          <w:numId w:val="41"/>
        </w:numPr>
        <w:ind w:left="2154" w:hanging="357"/>
        <w:contextualSpacing w:val="0"/>
        <w:rPr>
          <w:lang w:val="en-NZ"/>
        </w:rPr>
      </w:pPr>
      <w:r>
        <w:rPr>
          <w:lang w:val="en-NZ"/>
        </w:rPr>
        <w:t>t</w:t>
      </w:r>
      <w:r w:rsidR="00E605CC">
        <w:rPr>
          <w:lang w:val="en-NZ"/>
        </w:rPr>
        <w:t>he maximum payments available do not</w:t>
      </w:r>
      <w:r w:rsidR="009B5F6B" w:rsidRPr="0049634A">
        <w:rPr>
          <w:lang w:val="en-NZ"/>
        </w:rPr>
        <w:t xml:space="preserve"> </w:t>
      </w:r>
      <w:r w:rsidR="00B345CF">
        <w:rPr>
          <w:lang w:val="en-NZ"/>
        </w:rPr>
        <w:t xml:space="preserve">always </w:t>
      </w:r>
      <w:r w:rsidR="0049634A" w:rsidRPr="0049634A">
        <w:rPr>
          <w:lang w:val="en-NZ"/>
        </w:rPr>
        <w:t>reflect current rents</w:t>
      </w:r>
      <w:r w:rsidR="00B345CF">
        <w:rPr>
          <w:lang w:val="en-NZ"/>
        </w:rPr>
        <w:t xml:space="preserve"> of clients</w:t>
      </w:r>
      <w:r w:rsidR="0049634A" w:rsidRPr="0049634A">
        <w:rPr>
          <w:lang w:val="en-NZ"/>
        </w:rPr>
        <w:t xml:space="preserve"> </w:t>
      </w:r>
      <w:r w:rsidR="005354AA">
        <w:rPr>
          <w:lang w:val="en-NZ"/>
        </w:rPr>
        <w:t xml:space="preserve">and are </w:t>
      </w:r>
      <w:r w:rsidR="00B345CF">
        <w:rPr>
          <w:lang w:val="en-NZ"/>
        </w:rPr>
        <w:t xml:space="preserve">therefore not </w:t>
      </w:r>
      <w:r>
        <w:rPr>
          <w:lang w:val="en-NZ"/>
        </w:rPr>
        <w:t>provid</w:t>
      </w:r>
      <w:r w:rsidR="00B345CF">
        <w:rPr>
          <w:lang w:val="en-NZ"/>
        </w:rPr>
        <w:t>ing</w:t>
      </w:r>
      <w:r>
        <w:rPr>
          <w:lang w:val="en-NZ"/>
        </w:rPr>
        <w:t xml:space="preserve"> adequate support</w:t>
      </w:r>
      <w:r w:rsidR="000C2C70">
        <w:rPr>
          <w:lang w:val="en-NZ"/>
        </w:rPr>
        <w:t xml:space="preserve"> </w:t>
      </w:r>
    </w:p>
    <w:p w14:paraId="1DEBC2B4" w14:textId="4CAA353B" w:rsidR="00427E3D" w:rsidRPr="00F80C35" w:rsidRDefault="001607C2" w:rsidP="00F80C35">
      <w:pPr>
        <w:pStyle w:val="ListParagraph"/>
        <w:numPr>
          <w:ilvl w:val="1"/>
          <w:numId w:val="41"/>
        </w:numPr>
        <w:ind w:left="2154" w:hanging="357"/>
        <w:contextualSpacing w:val="0"/>
        <w:rPr>
          <w:lang w:val="en-NZ"/>
        </w:rPr>
      </w:pPr>
      <w:r>
        <w:rPr>
          <w:lang w:val="en-NZ"/>
        </w:rPr>
        <w:t xml:space="preserve">the cap on </w:t>
      </w:r>
      <w:r w:rsidR="00F80C35">
        <w:rPr>
          <w:lang w:val="en-NZ"/>
        </w:rPr>
        <w:t xml:space="preserve">the </w:t>
      </w:r>
      <w:r>
        <w:rPr>
          <w:lang w:val="en-NZ"/>
        </w:rPr>
        <w:t xml:space="preserve">frequency </w:t>
      </w:r>
      <w:r w:rsidR="00F80C35">
        <w:rPr>
          <w:lang w:val="en-NZ"/>
        </w:rPr>
        <w:t>payments can be made</w:t>
      </w:r>
      <w:r>
        <w:rPr>
          <w:lang w:val="en-NZ"/>
        </w:rPr>
        <w:t xml:space="preserve"> prevents lower-income households who </w:t>
      </w:r>
      <w:r w:rsidR="00BF48B0">
        <w:rPr>
          <w:lang w:val="en-NZ"/>
        </w:rPr>
        <w:t>move</w:t>
      </w:r>
      <w:r w:rsidR="00A7577B">
        <w:rPr>
          <w:lang w:val="en-NZ"/>
        </w:rPr>
        <w:t xml:space="preserve"> more</w:t>
      </w:r>
      <w:r w:rsidR="00BF48B0">
        <w:rPr>
          <w:lang w:val="en-NZ"/>
        </w:rPr>
        <w:t xml:space="preserve"> frequently</w:t>
      </w:r>
      <w:r w:rsidR="00B345CF">
        <w:rPr>
          <w:lang w:val="en-NZ"/>
        </w:rPr>
        <w:t xml:space="preserve"> and require more assistance from receiving adequate support</w:t>
      </w:r>
      <w:r>
        <w:rPr>
          <w:lang w:val="en-NZ"/>
        </w:rPr>
        <w:t xml:space="preserve">. </w:t>
      </w:r>
    </w:p>
    <w:p w14:paraId="4A3BC5E7" w14:textId="5A4ABCD1" w:rsidR="009B5F6B" w:rsidRPr="0049634A" w:rsidRDefault="00427E3D" w:rsidP="0049634A">
      <w:pPr>
        <w:pStyle w:val="ListParagraph"/>
        <w:numPr>
          <w:ilvl w:val="0"/>
          <w:numId w:val="41"/>
        </w:numPr>
        <w:ind w:left="1080"/>
        <w:rPr>
          <w:lang w:val="en-NZ"/>
        </w:rPr>
      </w:pPr>
      <w:r w:rsidRPr="0049634A">
        <w:rPr>
          <w:lang w:val="en-NZ"/>
        </w:rPr>
        <w:t xml:space="preserve">The </w:t>
      </w:r>
      <w:r w:rsidR="0049634A" w:rsidRPr="0049634A">
        <w:rPr>
          <w:lang w:val="en-NZ"/>
        </w:rPr>
        <w:t xml:space="preserve">current </w:t>
      </w:r>
      <w:r w:rsidR="00A7577B" w:rsidRPr="0049634A">
        <w:rPr>
          <w:lang w:val="en-NZ"/>
        </w:rPr>
        <w:t>structure</w:t>
      </w:r>
      <w:r w:rsidR="00A7577B">
        <w:rPr>
          <w:lang w:val="en-NZ"/>
        </w:rPr>
        <w:t xml:space="preserve"> of</w:t>
      </w:r>
      <w:r w:rsidR="00A7577B" w:rsidRPr="0049634A">
        <w:rPr>
          <w:lang w:val="en-NZ"/>
        </w:rPr>
        <w:t xml:space="preserve"> </w:t>
      </w:r>
      <w:r w:rsidR="0049634A" w:rsidRPr="0049634A">
        <w:rPr>
          <w:lang w:val="en-NZ"/>
        </w:rPr>
        <w:t>support (where there are three different programmes targeting three different group</w:t>
      </w:r>
      <w:r w:rsidR="00A7577B">
        <w:rPr>
          <w:lang w:val="en-NZ"/>
        </w:rPr>
        <w:t>s</w:t>
      </w:r>
      <w:r w:rsidR="0049634A" w:rsidRPr="0049634A">
        <w:rPr>
          <w:lang w:val="en-NZ"/>
        </w:rPr>
        <w:t xml:space="preserve">) </w:t>
      </w:r>
      <w:r w:rsidR="00BF48B0">
        <w:rPr>
          <w:lang w:val="en-NZ"/>
        </w:rPr>
        <w:t>creates</w:t>
      </w:r>
      <w:r w:rsidRPr="0049634A">
        <w:rPr>
          <w:lang w:val="en-NZ"/>
        </w:rPr>
        <w:t xml:space="preserve"> two-tiers of </w:t>
      </w:r>
      <w:r w:rsidR="00DD2E66" w:rsidRPr="0049634A">
        <w:rPr>
          <w:lang w:val="en-NZ"/>
        </w:rPr>
        <w:t>assistance</w:t>
      </w:r>
      <w:r w:rsidRPr="0049634A">
        <w:rPr>
          <w:lang w:val="en-NZ"/>
        </w:rPr>
        <w:t xml:space="preserve">, </w:t>
      </w:r>
      <w:r w:rsidR="00DD2E66" w:rsidRPr="0049634A">
        <w:rPr>
          <w:lang w:val="en-NZ"/>
        </w:rPr>
        <w:t>where</w:t>
      </w:r>
      <w:r w:rsidRPr="0049634A">
        <w:rPr>
          <w:lang w:val="en-NZ"/>
        </w:rPr>
        <w:t xml:space="preserve"> </w:t>
      </w:r>
      <w:r w:rsidR="00DD2E66" w:rsidRPr="0049634A">
        <w:rPr>
          <w:lang w:val="en-NZ"/>
        </w:rPr>
        <w:t xml:space="preserve">households with </w:t>
      </w:r>
      <w:r w:rsidRPr="0049634A">
        <w:rPr>
          <w:lang w:val="en-NZ"/>
        </w:rPr>
        <w:t>higher-income</w:t>
      </w:r>
      <w:r w:rsidR="004E02DF">
        <w:rPr>
          <w:lang w:val="en-NZ"/>
        </w:rPr>
        <w:t>s</w:t>
      </w:r>
      <w:r w:rsidR="00DD0A71" w:rsidRPr="0049634A">
        <w:rPr>
          <w:lang w:val="en-NZ"/>
        </w:rPr>
        <w:t xml:space="preserve"> and/or </w:t>
      </w:r>
      <w:r w:rsidR="00DD2E66" w:rsidRPr="0049634A">
        <w:rPr>
          <w:lang w:val="en-NZ"/>
        </w:rPr>
        <w:t xml:space="preserve">assets </w:t>
      </w:r>
      <w:proofErr w:type="gramStart"/>
      <w:r w:rsidR="00964C08" w:rsidRPr="0049634A">
        <w:rPr>
          <w:lang w:val="en-NZ"/>
        </w:rPr>
        <w:t xml:space="preserve">are </w:t>
      </w:r>
      <w:r w:rsidR="00DD0A71" w:rsidRPr="0049634A">
        <w:rPr>
          <w:lang w:val="en-NZ"/>
        </w:rPr>
        <w:t>able to</w:t>
      </w:r>
      <w:proofErr w:type="gramEnd"/>
      <w:r w:rsidR="00DD0A71" w:rsidRPr="0049634A">
        <w:rPr>
          <w:lang w:val="en-NZ"/>
        </w:rPr>
        <w:t xml:space="preserve"> receive more generous assistance</w:t>
      </w:r>
      <w:r w:rsidR="00E605CC">
        <w:rPr>
          <w:lang w:val="en-NZ"/>
        </w:rPr>
        <w:t xml:space="preserve"> </w:t>
      </w:r>
      <w:r w:rsidR="00BF48B0">
        <w:rPr>
          <w:lang w:val="en-NZ"/>
        </w:rPr>
        <w:t>and do not have to repay it</w:t>
      </w:r>
      <w:r w:rsidR="00922C28">
        <w:rPr>
          <w:lang w:val="en-NZ"/>
        </w:rPr>
        <w:t xml:space="preserve">, </w:t>
      </w:r>
      <w:r w:rsidR="00DD0A71" w:rsidRPr="0049634A">
        <w:rPr>
          <w:lang w:val="en-NZ"/>
        </w:rPr>
        <w:t xml:space="preserve">compared </w:t>
      </w:r>
      <w:r w:rsidR="0049634A" w:rsidRPr="0049634A">
        <w:rPr>
          <w:lang w:val="en-NZ"/>
        </w:rPr>
        <w:t>to lower</w:t>
      </w:r>
      <w:r w:rsidR="00DD2E66" w:rsidRPr="0049634A">
        <w:rPr>
          <w:lang w:val="en-NZ"/>
        </w:rPr>
        <w:t>-income households</w:t>
      </w:r>
      <w:r w:rsidR="00922C28">
        <w:rPr>
          <w:lang w:val="en-NZ"/>
        </w:rPr>
        <w:t xml:space="preserve"> </w:t>
      </w:r>
      <w:r w:rsidR="00E605CC">
        <w:rPr>
          <w:lang w:val="en-NZ"/>
        </w:rPr>
        <w:t>(Advances and RAPs</w:t>
      </w:r>
      <w:r w:rsidR="00922C28">
        <w:rPr>
          <w:lang w:val="en-NZ"/>
        </w:rPr>
        <w:t xml:space="preserve"> clients</w:t>
      </w:r>
      <w:r w:rsidR="00E605CC">
        <w:rPr>
          <w:lang w:val="en-NZ"/>
        </w:rPr>
        <w:t>)</w:t>
      </w:r>
      <w:r w:rsidR="00FA34BA">
        <w:rPr>
          <w:lang w:val="en-NZ"/>
        </w:rPr>
        <w:t>.</w:t>
      </w:r>
    </w:p>
    <w:p w14:paraId="1B418D5F" w14:textId="5F95916B" w:rsidR="00DB366E" w:rsidRDefault="00DB366E" w:rsidP="009B5F6B">
      <w:pPr>
        <w:rPr>
          <w:lang w:val="en-NZ"/>
        </w:rPr>
      </w:pPr>
      <w:r>
        <w:rPr>
          <w:lang w:val="en-NZ"/>
        </w:rPr>
        <w:t>In addition to these problems</w:t>
      </w:r>
      <w:r w:rsidR="00DD0A71">
        <w:rPr>
          <w:lang w:val="en-NZ"/>
        </w:rPr>
        <w:t>, there are several other issues relating to available support:</w:t>
      </w:r>
    </w:p>
    <w:p w14:paraId="4A9F9E83" w14:textId="2BF8FF5C" w:rsidR="0049634A" w:rsidRDefault="00DD0A71" w:rsidP="001607C2">
      <w:pPr>
        <w:pStyle w:val="ListParagraph"/>
        <w:numPr>
          <w:ilvl w:val="0"/>
          <w:numId w:val="41"/>
        </w:numPr>
        <w:ind w:left="1134" w:hanging="414"/>
        <w:contextualSpacing w:val="0"/>
        <w:rPr>
          <w:lang w:val="en-NZ"/>
        </w:rPr>
      </w:pPr>
      <w:r w:rsidRPr="0049634A">
        <w:rPr>
          <w:lang w:val="en-NZ"/>
        </w:rPr>
        <w:t xml:space="preserve">The </w:t>
      </w:r>
      <w:r w:rsidR="004C709A" w:rsidRPr="0049634A">
        <w:rPr>
          <w:lang w:val="en-NZ"/>
        </w:rPr>
        <w:t xml:space="preserve">multiple </w:t>
      </w:r>
      <w:r w:rsidR="007C2532" w:rsidRPr="0049634A">
        <w:rPr>
          <w:lang w:val="en-NZ"/>
        </w:rPr>
        <w:t>supports available (Advances, RAPs and HSPs)</w:t>
      </w:r>
      <w:r w:rsidRPr="0049634A">
        <w:rPr>
          <w:lang w:val="en-NZ"/>
        </w:rPr>
        <w:t xml:space="preserve"> means that </w:t>
      </w:r>
      <w:r w:rsidR="00E605CC">
        <w:rPr>
          <w:lang w:val="en-NZ"/>
        </w:rPr>
        <w:t xml:space="preserve">the </w:t>
      </w:r>
      <w:r w:rsidR="004E02DF">
        <w:rPr>
          <w:lang w:val="en-NZ"/>
        </w:rPr>
        <w:t xml:space="preserve">available </w:t>
      </w:r>
      <w:r w:rsidR="00E605CC">
        <w:rPr>
          <w:lang w:val="en-NZ"/>
        </w:rPr>
        <w:t xml:space="preserve">assistance is not </w:t>
      </w:r>
      <w:r w:rsidR="00E605CC" w:rsidRPr="0049634A">
        <w:rPr>
          <w:lang w:val="en-NZ"/>
        </w:rPr>
        <w:t xml:space="preserve">transparent to clients </w:t>
      </w:r>
      <w:r w:rsidR="00E605CC">
        <w:rPr>
          <w:lang w:val="en-NZ"/>
        </w:rPr>
        <w:t xml:space="preserve">and </w:t>
      </w:r>
      <w:r w:rsidR="0049634A" w:rsidRPr="0049634A">
        <w:rPr>
          <w:lang w:val="en-NZ"/>
        </w:rPr>
        <w:t>administering payments is overly</w:t>
      </w:r>
      <w:r w:rsidRPr="0049634A">
        <w:rPr>
          <w:lang w:val="en-NZ"/>
        </w:rPr>
        <w:t xml:space="preserve"> complex for </w:t>
      </w:r>
      <w:r w:rsidR="00E605CC">
        <w:rPr>
          <w:lang w:val="en-NZ"/>
        </w:rPr>
        <w:t xml:space="preserve">MSD </w:t>
      </w:r>
      <w:r w:rsidRPr="0049634A">
        <w:rPr>
          <w:lang w:val="en-NZ"/>
        </w:rPr>
        <w:t>staff</w:t>
      </w:r>
      <w:r w:rsidR="00E977E9">
        <w:rPr>
          <w:lang w:val="en-NZ"/>
        </w:rPr>
        <w:t>.</w:t>
      </w:r>
      <w:r w:rsidR="004E02DF">
        <w:rPr>
          <w:lang w:val="en-NZ"/>
        </w:rPr>
        <w:t xml:space="preserve"> </w:t>
      </w:r>
    </w:p>
    <w:p w14:paraId="1667249F" w14:textId="1C9B8695" w:rsidR="00DD0A71" w:rsidRDefault="0049634A" w:rsidP="001607C2">
      <w:pPr>
        <w:pStyle w:val="ListParagraph"/>
        <w:numPr>
          <w:ilvl w:val="0"/>
          <w:numId w:val="41"/>
        </w:numPr>
        <w:ind w:left="1134" w:hanging="414"/>
        <w:contextualSpacing w:val="0"/>
        <w:rPr>
          <w:lang w:val="en-NZ"/>
        </w:rPr>
      </w:pPr>
      <w:r>
        <w:rPr>
          <w:lang w:val="en-NZ"/>
        </w:rPr>
        <w:t>T</w:t>
      </w:r>
      <w:r w:rsidR="00DD0A71" w:rsidRPr="0049634A">
        <w:rPr>
          <w:lang w:val="en-NZ"/>
        </w:rPr>
        <w:t xml:space="preserve">here are gaps in support for </w:t>
      </w:r>
      <w:r>
        <w:rPr>
          <w:lang w:val="en-NZ"/>
        </w:rPr>
        <w:t xml:space="preserve">certain groups </w:t>
      </w:r>
      <w:r w:rsidR="00DD0A71" w:rsidRPr="0049634A">
        <w:rPr>
          <w:lang w:val="en-NZ"/>
        </w:rPr>
        <w:t>in vulnerable housing situations</w:t>
      </w:r>
      <w:r w:rsidR="00E605CC">
        <w:rPr>
          <w:lang w:val="en-NZ"/>
        </w:rPr>
        <w:t xml:space="preserve">, </w:t>
      </w:r>
      <w:r w:rsidR="00DD0A71" w:rsidRPr="0049634A">
        <w:rPr>
          <w:lang w:val="en-NZ"/>
        </w:rPr>
        <w:t>such as</w:t>
      </w:r>
      <w:r>
        <w:rPr>
          <w:lang w:val="en-NZ"/>
        </w:rPr>
        <w:t xml:space="preserve"> people in emergency housing, and people with disabilities</w:t>
      </w:r>
      <w:r w:rsidR="00E977E9">
        <w:rPr>
          <w:lang w:val="en-NZ"/>
        </w:rPr>
        <w:t>.</w:t>
      </w:r>
    </w:p>
    <w:p w14:paraId="460C0EA7" w14:textId="67D2166B" w:rsidR="00FA34BA" w:rsidRDefault="000C2C70" w:rsidP="001607C2">
      <w:pPr>
        <w:pStyle w:val="ListParagraph"/>
        <w:numPr>
          <w:ilvl w:val="0"/>
          <w:numId w:val="41"/>
        </w:numPr>
        <w:ind w:left="1134" w:hanging="414"/>
        <w:contextualSpacing w:val="0"/>
        <w:rPr>
          <w:lang w:val="en-NZ"/>
        </w:rPr>
      </w:pPr>
      <w:r>
        <w:rPr>
          <w:lang w:val="en-NZ"/>
        </w:rPr>
        <w:t>There are</w:t>
      </w:r>
      <w:r w:rsidR="00E605CC">
        <w:rPr>
          <w:lang w:val="en-NZ"/>
        </w:rPr>
        <w:t xml:space="preserve"> </w:t>
      </w:r>
      <w:r w:rsidR="005354AA">
        <w:rPr>
          <w:lang w:val="en-NZ"/>
        </w:rPr>
        <w:t xml:space="preserve">a </w:t>
      </w:r>
      <w:r w:rsidR="00E605CC">
        <w:rPr>
          <w:lang w:val="en-NZ"/>
        </w:rPr>
        <w:t xml:space="preserve">range of other </w:t>
      </w:r>
      <w:r w:rsidR="001607C2">
        <w:rPr>
          <w:lang w:val="en-NZ"/>
        </w:rPr>
        <w:t>minor policy issues</w:t>
      </w:r>
      <w:r w:rsidR="00E605CC">
        <w:rPr>
          <w:lang w:val="en-NZ"/>
        </w:rPr>
        <w:t xml:space="preserve"> with the current housing-related hardship assistance, including</w:t>
      </w:r>
      <w:r w:rsidR="00FA34BA">
        <w:rPr>
          <w:lang w:val="en-NZ"/>
        </w:rPr>
        <w:t>:</w:t>
      </w:r>
    </w:p>
    <w:p w14:paraId="364F0774" w14:textId="6B3BF801" w:rsidR="001607C2" w:rsidRDefault="002528A3" w:rsidP="00FA34BA">
      <w:pPr>
        <w:pStyle w:val="ListParagraph"/>
        <w:numPr>
          <w:ilvl w:val="1"/>
          <w:numId w:val="41"/>
        </w:numPr>
        <w:contextualSpacing w:val="0"/>
        <w:rPr>
          <w:lang w:val="en-NZ"/>
        </w:rPr>
      </w:pPr>
      <w:r>
        <w:rPr>
          <w:lang w:val="en-NZ"/>
        </w:rPr>
        <w:t xml:space="preserve">the </w:t>
      </w:r>
      <w:r w:rsidR="00FA34BA">
        <w:rPr>
          <w:lang w:val="en-NZ"/>
        </w:rPr>
        <w:t xml:space="preserve">length of time </w:t>
      </w:r>
      <w:r w:rsidR="004E02DF">
        <w:rPr>
          <w:lang w:val="en-NZ"/>
        </w:rPr>
        <w:t xml:space="preserve">the </w:t>
      </w:r>
      <w:r w:rsidR="00922C28">
        <w:rPr>
          <w:lang w:val="en-NZ"/>
        </w:rPr>
        <w:t>T</w:t>
      </w:r>
      <w:r w:rsidR="00FA34BA">
        <w:rPr>
          <w:lang w:val="en-NZ"/>
        </w:rPr>
        <w:t xml:space="preserve">enancy </w:t>
      </w:r>
      <w:r w:rsidR="00922C28">
        <w:rPr>
          <w:lang w:val="en-NZ"/>
        </w:rPr>
        <w:t>C</w:t>
      </w:r>
      <w:r w:rsidR="00FA34BA">
        <w:rPr>
          <w:lang w:val="en-NZ"/>
        </w:rPr>
        <w:t xml:space="preserve">osts </w:t>
      </w:r>
      <w:r w:rsidR="00922C28">
        <w:rPr>
          <w:lang w:val="en-NZ"/>
        </w:rPr>
        <w:t>C</w:t>
      </w:r>
      <w:r w:rsidR="00FA34BA">
        <w:rPr>
          <w:lang w:val="en-NZ"/>
        </w:rPr>
        <w:t xml:space="preserve">over </w:t>
      </w:r>
      <w:r w:rsidR="00922C28">
        <w:rPr>
          <w:lang w:val="en-NZ"/>
        </w:rPr>
        <w:t xml:space="preserve">HSP </w:t>
      </w:r>
      <w:r w:rsidR="00FA34BA">
        <w:rPr>
          <w:lang w:val="en-NZ"/>
        </w:rPr>
        <w:t>lasts (</w:t>
      </w:r>
      <w:r w:rsidR="000C2C70">
        <w:rPr>
          <w:lang w:val="en-NZ"/>
        </w:rPr>
        <w:t xml:space="preserve">it currently </w:t>
      </w:r>
      <w:r w:rsidR="00FA34BA">
        <w:rPr>
          <w:lang w:val="en-NZ"/>
        </w:rPr>
        <w:t xml:space="preserve">ends at 12 months even if </w:t>
      </w:r>
      <w:r w:rsidR="000C2C70">
        <w:rPr>
          <w:lang w:val="en-NZ"/>
        </w:rPr>
        <w:t xml:space="preserve">the </w:t>
      </w:r>
      <w:r w:rsidR="00FA34BA">
        <w:rPr>
          <w:lang w:val="en-NZ"/>
        </w:rPr>
        <w:t>tenancy is extended)</w:t>
      </w:r>
    </w:p>
    <w:p w14:paraId="0F237555" w14:textId="602BAFE8" w:rsidR="0049634A" w:rsidRPr="00ED4332" w:rsidRDefault="002528A3" w:rsidP="0049634A">
      <w:pPr>
        <w:pStyle w:val="ListParagraph"/>
        <w:numPr>
          <w:ilvl w:val="1"/>
          <w:numId w:val="41"/>
        </w:numPr>
        <w:contextualSpacing w:val="0"/>
        <w:rPr>
          <w:lang w:val="en-NZ"/>
        </w:rPr>
      </w:pPr>
      <w:r>
        <w:rPr>
          <w:lang w:val="en-NZ"/>
        </w:rPr>
        <w:t xml:space="preserve">some </w:t>
      </w:r>
      <w:r w:rsidR="00ED4332">
        <w:rPr>
          <w:lang w:val="en-NZ"/>
        </w:rPr>
        <w:t>b</w:t>
      </w:r>
      <w:r w:rsidR="00FA34BA">
        <w:rPr>
          <w:lang w:val="en-NZ"/>
        </w:rPr>
        <w:t xml:space="preserve">oarders </w:t>
      </w:r>
      <w:r w:rsidR="004E02DF">
        <w:rPr>
          <w:lang w:val="en-NZ"/>
        </w:rPr>
        <w:t xml:space="preserve">are </w:t>
      </w:r>
      <w:r w:rsidR="00ED4332">
        <w:rPr>
          <w:lang w:val="en-NZ"/>
        </w:rPr>
        <w:t>not able to receive support. This is where a boarder does not qualify for</w:t>
      </w:r>
      <w:r w:rsidR="00FA34BA">
        <w:rPr>
          <w:lang w:val="en-NZ"/>
        </w:rPr>
        <w:t xml:space="preserve"> </w:t>
      </w:r>
      <w:r w:rsidR="00ED4332">
        <w:rPr>
          <w:lang w:val="en-NZ"/>
        </w:rPr>
        <w:t>hardship</w:t>
      </w:r>
      <w:r w:rsidR="00FA34BA">
        <w:rPr>
          <w:lang w:val="en-NZ"/>
        </w:rPr>
        <w:t xml:space="preserve"> assistance </w:t>
      </w:r>
      <w:r w:rsidR="00ED4332">
        <w:rPr>
          <w:lang w:val="en-NZ"/>
        </w:rPr>
        <w:t xml:space="preserve">due to income/assets but who would be eligible for HSPs if it was not for the requirement to be a signatory of a tenancy agreement.   </w:t>
      </w:r>
    </w:p>
    <w:p w14:paraId="68F011F9" w14:textId="6B439363" w:rsidR="0049634A" w:rsidRDefault="0049634A" w:rsidP="0049634A">
      <w:pPr>
        <w:rPr>
          <w:lang w:val="en-NZ"/>
        </w:rPr>
      </w:pPr>
    </w:p>
    <w:p w14:paraId="677A54C9" w14:textId="5B1385B3" w:rsidR="00922C28" w:rsidRDefault="00922C28" w:rsidP="0049634A">
      <w:pPr>
        <w:rPr>
          <w:lang w:val="en-NZ"/>
        </w:rPr>
      </w:pPr>
    </w:p>
    <w:p w14:paraId="16FD0656" w14:textId="03E8D0B6" w:rsidR="00922C28" w:rsidRDefault="00922C28" w:rsidP="0049634A">
      <w:pPr>
        <w:rPr>
          <w:lang w:val="en-NZ"/>
        </w:rPr>
      </w:pPr>
    </w:p>
    <w:p w14:paraId="267EFC54" w14:textId="7D652BED" w:rsidR="00F80C35" w:rsidRPr="00AB64FB" w:rsidRDefault="00103D62" w:rsidP="0049634A">
      <w:pPr>
        <w:pStyle w:val="Heading4"/>
        <w:numPr>
          <w:ilvl w:val="0"/>
          <w:numId w:val="35"/>
        </w:numPr>
        <w:rPr>
          <w:color w:val="auto"/>
          <w:lang w:val="en-NZ"/>
        </w:rPr>
      </w:pPr>
      <w:r w:rsidRPr="00AB64FB">
        <w:rPr>
          <w:color w:val="auto"/>
          <w:lang w:val="en-NZ"/>
        </w:rPr>
        <w:t>W</w:t>
      </w:r>
      <w:r w:rsidR="00F80C35" w:rsidRPr="00AB64FB">
        <w:rPr>
          <w:color w:val="auto"/>
          <w:lang w:val="en-NZ"/>
        </w:rPr>
        <w:t xml:space="preserve">orsening housing market conditions have constrained the ability of support to function as it was intended </w:t>
      </w:r>
    </w:p>
    <w:p w14:paraId="2D07E798" w14:textId="0937FFFB" w:rsidR="008A2AA6" w:rsidRPr="00AB64FB" w:rsidRDefault="00F80C35" w:rsidP="00F80C35">
      <w:pPr>
        <w:pStyle w:val="Heading4"/>
        <w:rPr>
          <w:color w:val="auto"/>
          <w:lang w:val="en-NZ"/>
        </w:rPr>
      </w:pPr>
      <w:proofErr w:type="spellStart"/>
      <w:r w:rsidRPr="00AB64FB">
        <w:rPr>
          <w:color w:val="auto"/>
          <w:lang w:val="en-NZ"/>
        </w:rPr>
        <w:t>i</w:t>
      </w:r>
      <w:proofErr w:type="spellEnd"/>
      <w:r w:rsidRPr="00AB64FB">
        <w:rPr>
          <w:color w:val="auto"/>
          <w:lang w:val="en-NZ"/>
        </w:rPr>
        <w:t xml:space="preserve">) </w:t>
      </w:r>
      <w:r w:rsidR="008A2AA6" w:rsidRPr="00AB64FB">
        <w:rPr>
          <w:color w:val="auto"/>
          <w:lang w:val="en-NZ"/>
        </w:rPr>
        <w:t xml:space="preserve">Support has not kept pace with increases in rents </w:t>
      </w:r>
    </w:p>
    <w:p w14:paraId="2D2511F6" w14:textId="2E502176" w:rsidR="00CC44B5" w:rsidRPr="00FF297F" w:rsidRDefault="00FF297F" w:rsidP="00FF297F">
      <w:pPr>
        <w:rPr>
          <w:i/>
          <w:iCs/>
          <w:lang w:val="en-NZ"/>
        </w:rPr>
      </w:pPr>
      <w:r w:rsidRPr="00FF297F">
        <w:rPr>
          <w:i/>
          <w:iCs/>
          <w:lang w:val="en-NZ"/>
        </w:rPr>
        <w:t>H</w:t>
      </w:r>
      <w:r w:rsidR="00816760" w:rsidRPr="00FF297F">
        <w:rPr>
          <w:i/>
          <w:iCs/>
          <w:lang w:val="en-NZ"/>
        </w:rPr>
        <w:t xml:space="preserve">ousing-related hardship assistance </w:t>
      </w:r>
      <w:r>
        <w:rPr>
          <w:i/>
          <w:iCs/>
          <w:lang w:val="en-NZ"/>
        </w:rPr>
        <w:t>maxima (Advances and RAPs)</w:t>
      </w:r>
    </w:p>
    <w:p w14:paraId="7E9089E3" w14:textId="16169D7C" w:rsidR="00E26B9C" w:rsidRDefault="00ED4332" w:rsidP="00816760">
      <w:pPr>
        <w:rPr>
          <w:lang w:val="en-NZ"/>
        </w:rPr>
      </w:pPr>
      <w:r>
        <w:rPr>
          <w:lang w:val="en-NZ"/>
        </w:rPr>
        <w:t>T</w:t>
      </w:r>
      <w:r w:rsidR="00E26B9C">
        <w:rPr>
          <w:lang w:val="en-NZ"/>
        </w:rPr>
        <w:t>he maximum amount of assistance</w:t>
      </w:r>
      <w:r w:rsidR="000C2C70">
        <w:rPr>
          <w:lang w:val="en-NZ"/>
        </w:rPr>
        <w:t xml:space="preserve"> that</w:t>
      </w:r>
      <w:r w:rsidR="00E26B9C">
        <w:rPr>
          <w:lang w:val="en-NZ"/>
        </w:rPr>
        <w:t xml:space="preserve"> </w:t>
      </w:r>
      <w:r>
        <w:rPr>
          <w:lang w:val="en-NZ"/>
        </w:rPr>
        <w:t xml:space="preserve">Advance </w:t>
      </w:r>
      <w:r w:rsidR="00E26B9C">
        <w:rPr>
          <w:lang w:val="en-NZ"/>
        </w:rPr>
        <w:t xml:space="preserve">clients can receive for housing-related costs </w:t>
      </w:r>
      <w:r w:rsidR="00261F14">
        <w:rPr>
          <w:lang w:val="en-NZ"/>
        </w:rPr>
        <w:t xml:space="preserve">is linked </w:t>
      </w:r>
      <w:r w:rsidR="005354AA">
        <w:rPr>
          <w:lang w:val="en-NZ"/>
        </w:rPr>
        <w:t xml:space="preserve">to </w:t>
      </w:r>
      <w:r w:rsidR="00E26B9C">
        <w:rPr>
          <w:lang w:val="en-NZ"/>
        </w:rPr>
        <w:t>main benefit rates</w:t>
      </w:r>
      <w:r>
        <w:rPr>
          <w:lang w:val="en-NZ"/>
        </w:rPr>
        <w:t xml:space="preserve">. A client is eligible to receive an advance of </w:t>
      </w:r>
      <w:r w:rsidR="00C17C73">
        <w:rPr>
          <w:lang w:val="en-NZ"/>
        </w:rPr>
        <w:t xml:space="preserve">six weeks of the appropriate benefit </w:t>
      </w:r>
      <w:r w:rsidR="003C4FF2">
        <w:rPr>
          <w:lang w:val="en-NZ"/>
        </w:rPr>
        <w:t>rate unless</w:t>
      </w:r>
      <w:r w:rsidR="00C17C73">
        <w:rPr>
          <w:lang w:val="en-NZ"/>
        </w:rPr>
        <w:t xml:space="preserve"> exceptional circumstances exist</w:t>
      </w:r>
      <w:r>
        <w:rPr>
          <w:lang w:val="en-NZ"/>
        </w:rPr>
        <w:t>. This means</w:t>
      </w:r>
      <w:r w:rsidR="003C4FF2">
        <w:rPr>
          <w:lang w:val="en-NZ"/>
        </w:rPr>
        <w:t xml:space="preserve"> that how much support increases </w:t>
      </w:r>
      <w:proofErr w:type="gramStart"/>
      <w:r w:rsidR="003C4FF2">
        <w:rPr>
          <w:lang w:val="en-NZ"/>
        </w:rPr>
        <w:t>is</w:t>
      </w:r>
      <w:proofErr w:type="gramEnd"/>
      <w:r w:rsidR="003C4FF2">
        <w:rPr>
          <w:lang w:val="en-NZ"/>
        </w:rPr>
        <w:t xml:space="preserve"> dependent </w:t>
      </w:r>
      <w:r w:rsidR="005354AA">
        <w:rPr>
          <w:lang w:val="en-NZ"/>
        </w:rPr>
        <w:t xml:space="preserve">on </w:t>
      </w:r>
      <w:r w:rsidR="003C4FF2">
        <w:rPr>
          <w:lang w:val="en-NZ"/>
        </w:rPr>
        <w:t>how much main benefits increase.</w:t>
      </w:r>
      <w:r w:rsidR="00E26B9C">
        <w:rPr>
          <w:lang w:val="en-NZ"/>
        </w:rPr>
        <w:t xml:space="preserve"> While benefits have </w:t>
      </w:r>
      <w:r w:rsidR="003C4FF2">
        <w:rPr>
          <w:lang w:val="en-NZ"/>
        </w:rPr>
        <w:t>risen</w:t>
      </w:r>
      <w:r w:rsidR="00E26B9C">
        <w:rPr>
          <w:lang w:val="en-NZ"/>
        </w:rPr>
        <w:t>,</w:t>
      </w:r>
      <w:r w:rsidR="00375544">
        <w:rPr>
          <w:lang w:val="en-NZ"/>
        </w:rPr>
        <w:t xml:space="preserve"> particularly in recent years,</w:t>
      </w:r>
      <w:r w:rsidR="00E26B9C">
        <w:rPr>
          <w:lang w:val="en-NZ"/>
        </w:rPr>
        <w:t xml:space="preserve"> housing costs have </w:t>
      </w:r>
      <w:r w:rsidR="0004324B">
        <w:rPr>
          <w:lang w:val="en-NZ"/>
        </w:rPr>
        <w:t>outpaced</w:t>
      </w:r>
      <w:r w:rsidR="00E26B9C">
        <w:rPr>
          <w:lang w:val="en-NZ"/>
        </w:rPr>
        <w:t xml:space="preserve"> </w:t>
      </w:r>
      <w:r w:rsidR="003C4FF2">
        <w:rPr>
          <w:lang w:val="en-NZ"/>
        </w:rPr>
        <w:t>them</w:t>
      </w:r>
      <w:r w:rsidR="00E26B9C">
        <w:rPr>
          <w:lang w:val="en-NZ"/>
        </w:rPr>
        <w:t xml:space="preserve">. </w:t>
      </w:r>
    </w:p>
    <w:p w14:paraId="4A62A492" w14:textId="19019FAC" w:rsidR="00ED5FFF" w:rsidRPr="003B0729" w:rsidRDefault="00C17C73" w:rsidP="00816760">
      <w:pPr>
        <w:rPr>
          <w:lang w:val="en-NZ"/>
        </w:rPr>
      </w:pPr>
      <w:bookmarkStart w:id="11" w:name="_Hlk99538881"/>
      <w:r>
        <w:rPr>
          <w:lang w:val="en-NZ"/>
        </w:rPr>
        <w:t>S</w:t>
      </w:r>
      <w:r w:rsidR="00E26B9C" w:rsidRPr="00ED5FFF">
        <w:rPr>
          <w:lang w:val="en-NZ"/>
        </w:rPr>
        <w:t>ince 19</w:t>
      </w:r>
      <w:r w:rsidR="00ED5FFF" w:rsidRPr="00ED5FFF">
        <w:rPr>
          <w:lang w:val="en-NZ"/>
        </w:rPr>
        <w:t>9</w:t>
      </w:r>
      <w:r w:rsidR="00D814E5">
        <w:rPr>
          <w:lang w:val="en-NZ"/>
        </w:rPr>
        <w:t>9</w:t>
      </w:r>
      <w:r>
        <w:rPr>
          <w:lang w:val="en-NZ"/>
        </w:rPr>
        <w:t>,</w:t>
      </w:r>
      <w:r w:rsidR="00ED5FFF" w:rsidRPr="00ED5FFF">
        <w:rPr>
          <w:lang w:val="en-NZ"/>
        </w:rPr>
        <w:t xml:space="preserve"> </w:t>
      </w:r>
      <w:r>
        <w:rPr>
          <w:lang w:val="en-NZ"/>
        </w:rPr>
        <w:t xml:space="preserve">the after-tax weekly rate of </w:t>
      </w:r>
      <w:r w:rsidR="00ED5FFF" w:rsidRPr="00ED5FFF">
        <w:rPr>
          <w:lang w:val="en-NZ"/>
        </w:rPr>
        <w:t>Jobseeker Support (</w:t>
      </w:r>
      <w:r w:rsidR="00676F79">
        <w:rPr>
          <w:lang w:val="en-NZ"/>
        </w:rPr>
        <w:t>known at the time as</w:t>
      </w:r>
      <w:r w:rsidR="00676F79" w:rsidRPr="00ED5FFF">
        <w:rPr>
          <w:lang w:val="en-NZ"/>
        </w:rPr>
        <w:t xml:space="preserve"> </w:t>
      </w:r>
      <w:r w:rsidR="00ED5FFF" w:rsidRPr="00ED5FFF">
        <w:rPr>
          <w:lang w:val="en-NZ"/>
        </w:rPr>
        <w:t xml:space="preserve">Community Wage) for a single person </w:t>
      </w:r>
      <w:r w:rsidR="000C2C70">
        <w:rPr>
          <w:lang w:val="en-NZ"/>
        </w:rPr>
        <w:t xml:space="preserve">aged </w:t>
      </w:r>
      <w:r w:rsidR="00ED5FFF" w:rsidRPr="00ED5FFF">
        <w:rPr>
          <w:lang w:val="en-NZ"/>
        </w:rPr>
        <w:t>25</w:t>
      </w:r>
      <w:r w:rsidR="000C2C70">
        <w:rPr>
          <w:lang w:val="en-NZ"/>
        </w:rPr>
        <w:t xml:space="preserve"> </w:t>
      </w:r>
      <w:r w:rsidR="0083242D">
        <w:rPr>
          <w:lang w:val="en-NZ"/>
        </w:rPr>
        <w:t>and over</w:t>
      </w:r>
      <w:r w:rsidR="00A0259E">
        <w:rPr>
          <w:lang w:val="en-NZ"/>
        </w:rPr>
        <w:t xml:space="preserve"> </w:t>
      </w:r>
      <w:r w:rsidR="00ED5FFF" w:rsidRPr="00ED5FFF">
        <w:rPr>
          <w:lang w:val="en-NZ"/>
        </w:rPr>
        <w:t xml:space="preserve">has </w:t>
      </w:r>
      <w:r w:rsidR="0004324B">
        <w:rPr>
          <w:lang w:val="en-NZ"/>
        </w:rPr>
        <w:t>risen</w:t>
      </w:r>
      <w:r w:rsidR="00DB2427">
        <w:rPr>
          <w:lang w:val="en-NZ"/>
        </w:rPr>
        <w:t xml:space="preserve"> </w:t>
      </w:r>
      <w:r w:rsidR="00D814E5">
        <w:rPr>
          <w:lang w:val="en-NZ"/>
        </w:rPr>
        <w:t>60</w:t>
      </w:r>
      <w:r>
        <w:rPr>
          <w:lang w:val="en-NZ"/>
        </w:rPr>
        <w:t xml:space="preserve"> percent</w:t>
      </w:r>
      <w:r w:rsidR="006A3E86">
        <w:rPr>
          <w:lang w:val="en-NZ"/>
        </w:rPr>
        <w:t>. T</w:t>
      </w:r>
      <w:r w:rsidR="00A0259E">
        <w:rPr>
          <w:lang w:val="en-NZ"/>
        </w:rPr>
        <w:t xml:space="preserve">he rate for </w:t>
      </w:r>
      <w:r w:rsidR="00FD5B74">
        <w:rPr>
          <w:lang w:val="en-NZ"/>
        </w:rPr>
        <w:t xml:space="preserve">a couple with </w:t>
      </w:r>
      <w:r w:rsidR="00A0259E">
        <w:rPr>
          <w:lang w:val="en-NZ"/>
        </w:rPr>
        <w:t>child</w:t>
      </w:r>
      <w:r w:rsidR="001700D1">
        <w:rPr>
          <w:lang w:val="en-NZ"/>
        </w:rPr>
        <w:t>ren</w:t>
      </w:r>
      <w:r w:rsidR="00A0259E">
        <w:rPr>
          <w:lang w:val="en-NZ"/>
        </w:rPr>
        <w:t xml:space="preserve"> has </w:t>
      </w:r>
      <w:r w:rsidR="0004324B">
        <w:rPr>
          <w:lang w:val="en-NZ"/>
        </w:rPr>
        <w:t>risen</w:t>
      </w:r>
      <w:r w:rsidR="00A0259E">
        <w:rPr>
          <w:lang w:val="en-NZ"/>
        </w:rPr>
        <w:t xml:space="preserve"> </w:t>
      </w:r>
      <w:r w:rsidR="006A3E86">
        <w:rPr>
          <w:lang w:val="en-NZ"/>
        </w:rPr>
        <w:t xml:space="preserve">by </w:t>
      </w:r>
      <w:r w:rsidR="00D814E5">
        <w:rPr>
          <w:lang w:val="en-NZ"/>
        </w:rPr>
        <w:t>56</w:t>
      </w:r>
      <w:r>
        <w:rPr>
          <w:lang w:val="en-NZ"/>
        </w:rPr>
        <w:t xml:space="preserve"> percent</w:t>
      </w:r>
      <w:r w:rsidR="006A3E86">
        <w:rPr>
          <w:lang w:val="en-NZ"/>
        </w:rPr>
        <w:t>.</w:t>
      </w:r>
      <w:r w:rsidR="00A0259E">
        <w:rPr>
          <w:lang w:val="en-NZ"/>
        </w:rPr>
        <w:t xml:space="preserve"> </w:t>
      </w:r>
      <w:r w:rsidR="00ED5FFF">
        <w:rPr>
          <w:lang w:val="en-NZ"/>
        </w:rPr>
        <w:t xml:space="preserve">Over </w:t>
      </w:r>
      <w:r w:rsidR="00CE23FE">
        <w:rPr>
          <w:lang w:val="en-NZ"/>
        </w:rPr>
        <w:t>the same timeframe</w:t>
      </w:r>
      <w:r w:rsidR="00ED5FFF">
        <w:rPr>
          <w:lang w:val="en-NZ"/>
        </w:rPr>
        <w:t xml:space="preserve">, </w:t>
      </w:r>
      <w:r w:rsidR="00A0259E">
        <w:rPr>
          <w:lang w:val="en-NZ"/>
        </w:rPr>
        <w:t xml:space="preserve">the median </w:t>
      </w:r>
      <w:r w:rsidR="00ED5FFF">
        <w:rPr>
          <w:lang w:val="en-NZ"/>
        </w:rPr>
        <w:t>rent</w:t>
      </w:r>
      <w:r w:rsidR="00A0259E">
        <w:rPr>
          <w:lang w:val="en-NZ"/>
        </w:rPr>
        <w:t xml:space="preserve"> has</w:t>
      </w:r>
      <w:r w:rsidR="00ED5FFF">
        <w:rPr>
          <w:lang w:val="en-NZ"/>
        </w:rPr>
        <w:t xml:space="preserve"> increased</w:t>
      </w:r>
      <w:r w:rsidR="0083242D">
        <w:rPr>
          <w:lang w:val="en-NZ"/>
        </w:rPr>
        <w:t xml:space="preserve"> </w:t>
      </w:r>
      <w:r w:rsidR="00112231">
        <w:rPr>
          <w:lang w:val="en-NZ"/>
        </w:rPr>
        <w:t xml:space="preserve">by </w:t>
      </w:r>
      <w:r w:rsidR="00D814E5">
        <w:rPr>
          <w:lang w:val="en-NZ"/>
        </w:rPr>
        <w:t>174</w:t>
      </w:r>
      <w:r>
        <w:rPr>
          <w:lang w:val="en-NZ"/>
        </w:rPr>
        <w:t xml:space="preserve"> percent</w:t>
      </w:r>
      <w:r w:rsidR="00686D7D">
        <w:rPr>
          <w:lang w:val="en-NZ"/>
        </w:rPr>
        <w:t xml:space="preserve"> </w:t>
      </w:r>
      <w:r w:rsidR="00261F14">
        <w:rPr>
          <w:lang w:val="en-NZ"/>
        </w:rPr>
        <w:t>(</w:t>
      </w:r>
      <w:r w:rsidR="00686D7D">
        <w:rPr>
          <w:lang w:val="en-NZ"/>
        </w:rPr>
        <w:t xml:space="preserve">based on MBIE </w:t>
      </w:r>
      <w:r>
        <w:rPr>
          <w:lang w:val="en-NZ"/>
        </w:rPr>
        <w:t xml:space="preserve">tenancy </w:t>
      </w:r>
      <w:r w:rsidR="00686D7D">
        <w:rPr>
          <w:lang w:val="en-NZ"/>
        </w:rPr>
        <w:t xml:space="preserve">bond data). </w:t>
      </w:r>
      <w:bookmarkEnd w:id="11"/>
      <w:r w:rsidR="008A4DA5">
        <w:rPr>
          <w:lang w:val="en-NZ"/>
        </w:rPr>
        <w:t xml:space="preserve">From </w:t>
      </w:r>
      <w:r w:rsidR="00261F14">
        <w:rPr>
          <w:lang w:val="en-NZ"/>
        </w:rPr>
        <w:t>199</w:t>
      </w:r>
      <w:r w:rsidR="00D814E5">
        <w:rPr>
          <w:lang w:val="en-NZ"/>
        </w:rPr>
        <w:t>9</w:t>
      </w:r>
      <w:r w:rsidR="00261F14">
        <w:rPr>
          <w:lang w:val="en-NZ"/>
        </w:rPr>
        <w:t xml:space="preserve"> </w:t>
      </w:r>
      <w:r w:rsidR="008A4DA5">
        <w:rPr>
          <w:lang w:val="en-NZ"/>
        </w:rPr>
        <w:t>to present, c</w:t>
      </w:r>
      <w:r w:rsidR="00A0259E">
        <w:rPr>
          <w:lang w:val="en-NZ"/>
        </w:rPr>
        <w:t xml:space="preserve">hanges to benefit rates have </w:t>
      </w:r>
      <w:r w:rsidR="008A4DA5">
        <w:rPr>
          <w:lang w:val="en-NZ"/>
        </w:rPr>
        <w:t>not matched</w:t>
      </w:r>
      <w:r w:rsidR="00A0259E">
        <w:rPr>
          <w:lang w:val="en-NZ"/>
        </w:rPr>
        <w:t xml:space="preserve"> increase</w:t>
      </w:r>
      <w:r w:rsidR="008A4DA5">
        <w:rPr>
          <w:lang w:val="en-NZ"/>
        </w:rPr>
        <w:t>s</w:t>
      </w:r>
      <w:r w:rsidR="00A0259E">
        <w:rPr>
          <w:lang w:val="en-NZ"/>
        </w:rPr>
        <w:t xml:space="preserve"> in rents</w:t>
      </w:r>
      <w:r w:rsidR="007B6E5C">
        <w:rPr>
          <w:lang w:val="en-NZ"/>
        </w:rPr>
        <w:t xml:space="preserve">, leaving clients with access </w:t>
      </w:r>
      <w:r w:rsidR="008A4DA5">
        <w:rPr>
          <w:lang w:val="en-NZ"/>
        </w:rPr>
        <w:t xml:space="preserve">to </w:t>
      </w:r>
      <w:r w:rsidR="007B6E5C">
        <w:rPr>
          <w:lang w:val="en-NZ"/>
        </w:rPr>
        <w:t>less assistance</w:t>
      </w:r>
      <w:r w:rsidR="00D814E5">
        <w:rPr>
          <w:lang w:val="en-NZ"/>
        </w:rPr>
        <w:t xml:space="preserve"> (or diminished purchasing power)</w:t>
      </w:r>
      <w:r w:rsidR="007B6E5C">
        <w:rPr>
          <w:lang w:val="en-NZ"/>
        </w:rPr>
        <w:t xml:space="preserve"> </w:t>
      </w:r>
      <w:r w:rsidR="0004324B">
        <w:rPr>
          <w:lang w:val="en-NZ"/>
        </w:rPr>
        <w:t xml:space="preserve">for their housing-related costs </w:t>
      </w:r>
      <w:r w:rsidR="007B6E5C">
        <w:rPr>
          <w:lang w:val="en-NZ"/>
        </w:rPr>
        <w:t>relative to rents.</w:t>
      </w:r>
      <w:r w:rsidR="00DB2427">
        <w:rPr>
          <w:rStyle w:val="FootnoteReference"/>
          <w:lang w:val="en-NZ"/>
        </w:rPr>
        <w:footnoteReference w:id="5"/>
      </w:r>
      <w:r w:rsidR="007B6E5C">
        <w:rPr>
          <w:lang w:val="en-NZ"/>
        </w:rPr>
        <w:t xml:space="preserve">  </w:t>
      </w:r>
      <w:r w:rsidR="0004324B">
        <w:rPr>
          <w:lang w:val="en-NZ"/>
        </w:rPr>
        <w:t xml:space="preserve"> </w:t>
      </w:r>
    </w:p>
    <w:p w14:paraId="4104028C" w14:textId="74C94A73" w:rsidR="00D21C14" w:rsidRDefault="0004324B" w:rsidP="00816760">
      <w:pPr>
        <w:rPr>
          <w:lang w:val="en-NZ"/>
        </w:rPr>
      </w:pPr>
      <w:r>
        <w:rPr>
          <w:lang w:val="en-NZ"/>
        </w:rPr>
        <w:t xml:space="preserve">The </w:t>
      </w:r>
      <w:r w:rsidR="00802FD2">
        <w:rPr>
          <w:lang w:val="en-NZ"/>
        </w:rPr>
        <w:t>difference in</w:t>
      </w:r>
      <w:r>
        <w:rPr>
          <w:lang w:val="en-NZ"/>
        </w:rPr>
        <w:t xml:space="preserve"> purchasing power of a</w:t>
      </w:r>
      <w:r w:rsidR="00170629">
        <w:rPr>
          <w:lang w:val="en-NZ"/>
        </w:rPr>
        <w:t>n</w:t>
      </w:r>
      <w:r>
        <w:rPr>
          <w:lang w:val="en-NZ"/>
        </w:rPr>
        <w:t xml:space="preserve"> advance </w:t>
      </w:r>
      <w:r w:rsidR="00170629">
        <w:rPr>
          <w:lang w:val="en-NZ"/>
        </w:rPr>
        <w:t xml:space="preserve">(six weeks of benefit) </w:t>
      </w:r>
      <w:r>
        <w:rPr>
          <w:lang w:val="en-NZ"/>
        </w:rPr>
        <w:t>for a couple with two children</w:t>
      </w:r>
      <w:r w:rsidR="00170629">
        <w:rPr>
          <w:lang w:val="en-NZ"/>
        </w:rPr>
        <w:t xml:space="preserve"> receiving Jobseeker Support</w:t>
      </w:r>
      <w:r>
        <w:rPr>
          <w:lang w:val="en-NZ"/>
        </w:rPr>
        <w:t xml:space="preserve"> in 199</w:t>
      </w:r>
      <w:r w:rsidR="00D814E5">
        <w:rPr>
          <w:lang w:val="en-NZ"/>
        </w:rPr>
        <w:t>9</w:t>
      </w:r>
      <w:r>
        <w:rPr>
          <w:lang w:val="en-NZ"/>
        </w:rPr>
        <w:t xml:space="preserve"> and 2021</w:t>
      </w:r>
      <w:r w:rsidR="00802FD2">
        <w:rPr>
          <w:lang w:val="en-NZ"/>
        </w:rPr>
        <w:t xml:space="preserve"> is shown in </w:t>
      </w:r>
      <w:r w:rsidR="008240F2">
        <w:rPr>
          <w:lang w:val="en-NZ"/>
        </w:rPr>
        <w:t>T</w:t>
      </w:r>
      <w:r w:rsidR="00802FD2">
        <w:rPr>
          <w:lang w:val="en-NZ"/>
        </w:rPr>
        <w:t xml:space="preserve">able </w:t>
      </w:r>
      <w:r w:rsidR="008240F2">
        <w:rPr>
          <w:lang w:val="en-NZ"/>
        </w:rPr>
        <w:t>S</w:t>
      </w:r>
      <w:r w:rsidR="00802FD2">
        <w:rPr>
          <w:lang w:val="en-NZ"/>
        </w:rPr>
        <w:t>ix</w:t>
      </w:r>
      <w:r>
        <w:rPr>
          <w:lang w:val="en-NZ"/>
        </w:rPr>
        <w:t xml:space="preserve">. </w:t>
      </w:r>
    </w:p>
    <w:p w14:paraId="77D7B932" w14:textId="668FD1F6" w:rsidR="00BF48B0" w:rsidRDefault="00BF48B0" w:rsidP="00816760">
      <w:pPr>
        <w:rPr>
          <w:lang w:val="en-NZ"/>
        </w:rPr>
      </w:pPr>
      <w:r w:rsidRPr="009F5C43">
        <w:rPr>
          <w:i/>
          <w:iCs/>
          <w:lang w:val="en-NZ"/>
        </w:rPr>
        <w:t xml:space="preserve">Table </w:t>
      </w:r>
      <w:r w:rsidR="000C2C70" w:rsidRPr="009F5C43">
        <w:rPr>
          <w:i/>
          <w:iCs/>
          <w:lang w:val="en-NZ"/>
        </w:rPr>
        <w:t>S</w:t>
      </w:r>
      <w:r w:rsidRPr="009F5C43">
        <w:rPr>
          <w:i/>
          <w:iCs/>
          <w:lang w:val="en-NZ"/>
        </w:rPr>
        <w:t xml:space="preserve">ix: </w:t>
      </w:r>
      <w:r w:rsidR="00D814E5" w:rsidRPr="009F5C43">
        <w:rPr>
          <w:i/>
          <w:iCs/>
          <w:lang w:val="en-NZ"/>
        </w:rPr>
        <w:t>C</w:t>
      </w:r>
      <w:r w:rsidRPr="009F5C43">
        <w:rPr>
          <w:i/>
          <w:iCs/>
          <w:lang w:val="en-NZ"/>
        </w:rPr>
        <w:t>omparison between 1999 and 2021 of relative support provided by an Advance</w:t>
      </w:r>
      <w:r>
        <w:rPr>
          <w:lang w:val="en-NZ"/>
        </w:rPr>
        <w:t xml:space="preserve">  </w:t>
      </w:r>
    </w:p>
    <w:tbl>
      <w:tblPr>
        <w:tblStyle w:val="TableGrid"/>
        <w:tblW w:w="0" w:type="auto"/>
        <w:tblLook w:val="04A0" w:firstRow="1" w:lastRow="0" w:firstColumn="1" w:lastColumn="0" w:noHBand="0" w:noVBand="1"/>
      </w:tblPr>
      <w:tblGrid>
        <w:gridCol w:w="2265"/>
        <w:gridCol w:w="2265"/>
        <w:gridCol w:w="2265"/>
        <w:gridCol w:w="2265"/>
      </w:tblGrid>
      <w:tr w:rsidR="00D21C14" w14:paraId="5980E2D4" w14:textId="77777777" w:rsidTr="00A404A1">
        <w:tc>
          <w:tcPr>
            <w:tcW w:w="2265" w:type="dxa"/>
            <w:shd w:val="clear" w:color="auto" w:fill="DEEAF6" w:themeFill="accent1" w:themeFillTint="33"/>
          </w:tcPr>
          <w:p w14:paraId="18AAABBA" w14:textId="77777777" w:rsidR="00D21C14" w:rsidRPr="00E977E9" w:rsidRDefault="00D21C14" w:rsidP="00816760">
            <w:pPr>
              <w:rPr>
                <w:sz w:val="20"/>
                <w:szCs w:val="18"/>
                <w:lang w:val="en-NZ"/>
              </w:rPr>
            </w:pPr>
          </w:p>
        </w:tc>
        <w:tc>
          <w:tcPr>
            <w:tcW w:w="2265" w:type="dxa"/>
            <w:shd w:val="clear" w:color="auto" w:fill="DEEAF6" w:themeFill="accent1" w:themeFillTint="33"/>
          </w:tcPr>
          <w:p w14:paraId="668ABCC2" w14:textId="64EA3245" w:rsidR="00D21C14" w:rsidRPr="00E977E9" w:rsidRDefault="00D06A48" w:rsidP="00D21C14">
            <w:pPr>
              <w:jc w:val="left"/>
              <w:rPr>
                <w:sz w:val="20"/>
                <w:szCs w:val="18"/>
                <w:lang w:val="en-NZ"/>
              </w:rPr>
            </w:pPr>
            <w:r w:rsidRPr="00E977E9">
              <w:rPr>
                <w:sz w:val="20"/>
                <w:szCs w:val="18"/>
                <w:lang w:val="en-NZ"/>
              </w:rPr>
              <w:t xml:space="preserve">6 weeks </w:t>
            </w:r>
            <w:r w:rsidR="00D21C14" w:rsidRPr="00E977E9">
              <w:rPr>
                <w:sz w:val="20"/>
                <w:szCs w:val="18"/>
                <w:lang w:val="en-NZ"/>
              </w:rPr>
              <w:t>benefit for couple with two children</w:t>
            </w:r>
            <w:r w:rsidR="00112231">
              <w:rPr>
                <w:sz w:val="20"/>
                <w:szCs w:val="18"/>
                <w:lang w:val="en-NZ"/>
              </w:rPr>
              <w:t xml:space="preserve"> (maximum entitlement for an Advance)</w:t>
            </w:r>
          </w:p>
        </w:tc>
        <w:tc>
          <w:tcPr>
            <w:tcW w:w="2265" w:type="dxa"/>
            <w:shd w:val="clear" w:color="auto" w:fill="DEEAF6" w:themeFill="accent1" w:themeFillTint="33"/>
          </w:tcPr>
          <w:p w14:paraId="73785589" w14:textId="2E4173CE" w:rsidR="00D21C14" w:rsidRPr="00E977E9" w:rsidRDefault="00D06A48" w:rsidP="00D06A48">
            <w:pPr>
              <w:jc w:val="left"/>
              <w:rPr>
                <w:sz w:val="20"/>
                <w:szCs w:val="18"/>
                <w:lang w:val="en-NZ"/>
              </w:rPr>
            </w:pPr>
            <w:r w:rsidRPr="00E977E9">
              <w:rPr>
                <w:sz w:val="20"/>
                <w:szCs w:val="18"/>
                <w:lang w:val="en-NZ"/>
              </w:rPr>
              <w:t>6 weeks rent</w:t>
            </w:r>
            <w:r w:rsidR="00D21C14" w:rsidRPr="00E977E9">
              <w:rPr>
                <w:sz w:val="20"/>
                <w:szCs w:val="18"/>
                <w:lang w:val="en-NZ"/>
              </w:rPr>
              <w:t xml:space="preserve"> for couple with two children</w:t>
            </w:r>
            <w:r w:rsidRPr="00E977E9">
              <w:rPr>
                <w:sz w:val="20"/>
                <w:szCs w:val="18"/>
                <w:lang w:val="en-NZ"/>
              </w:rPr>
              <w:t xml:space="preserve"> (bond +</w:t>
            </w:r>
            <w:r w:rsidR="00967EA1">
              <w:rPr>
                <w:sz w:val="20"/>
                <w:szCs w:val="18"/>
                <w:lang w:val="en-NZ"/>
              </w:rPr>
              <w:t xml:space="preserve"> </w:t>
            </w:r>
            <w:r w:rsidRPr="00E977E9">
              <w:rPr>
                <w:sz w:val="20"/>
                <w:szCs w:val="18"/>
                <w:lang w:val="en-NZ"/>
              </w:rPr>
              <w:t>rent in advance)</w:t>
            </w:r>
          </w:p>
        </w:tc>
        <w:tc>
          <w:tcPr>
            <w:tcW w:w="2265" w:type="dxa"/>
            <w:shd w:val="clear" w:color="auto" w:fill="DEEAF6" w:themeFill="accent1" w:themeFillTint="33"/>
          </w:tcPr>
          <w:p w14:paraId="6A765AA9" w14:textId="596B99DF" w:rsidR="00D21C14" w:rsidRPr="00E977E9" w:rsidRDefault="00D06A48" w:rsidP="00D06A48">
            <w:pPr>
              <w:jc w:val="left"/>
              <w:rPr>
                <w:sz w:val="20"/>
                <w:szCs w:val="18"/>
                <w:lang w:val="en-NZ"/>
              </w:rPr>
            </w:pPr>
            <w:r w:rsidRPr="00E977E9">
              <w:rPr>
                <w:sz w:val="20"/>
                <w:szCs w:val="18"/>
                <w:lang w:val="en-NZ"/>
              </w:rPr>
              <w:t>Difference between maxima (6 weeks benefit) and actual payment required</w:t>
            </w:r>
          </w:p>
        </w:tc>
      </w:tr>
      <w:tr w:rsidR="00D21C14" w14:paraId="678F3B0F" w14:textId="77777777" w:rsidTr="00D06A48">
        <w:tc>
          <w:tcPr>
            <w:tcW w:w="2265" w:type="dxa"/>
          </w:tcPr>
          <w:p w14:paraId="408ACC43" w14:textId="3D6772FD" w:rsidR="00D06A48" w:rsidRPr="00E977E9" w:rsidRDefault="00D21C14" w:rsidP="00D06A48">
            <w:pPr>
              <w:jc w:val="left"/>
              <w:rPr>
                <w:sz w:val="20"/>
                <w:szCs w:val="18"/>
                <w:lang w:val="en-NZ"/>
              </w:rPr>
            </w:pPr>
            <w:r w:rsidRPr="00E977E9">
              <w:rPr>
                <w:sz w:val="20"/>
                <w:szCs w:val="18"/>
                <w:lang w:val="en-NZ"/>
              </w:rPr>
              <w:t>1 October 199</w:t>
            </w:r>
            <w:r w:rsidR="00ED4332" w:rsidRPr="00E977E9">
              <w:rPr>
                <w:sz w:val="20"/>
                <w:szCs w:val="18"/>
                <w:lang w:val="en-NZ"/>
              </w:rPr>
              <w:t>9</w:t>
            </w:r>
          </w:p>
        </w:tc>
        <w:tc>
          <w:tcPr>
            <w:tcW w:w="2265" w:type="dxa"/>
          </w:tcPr>
          <w:p w14:paraId="27CAF9BD" w14:textId="0DE91779" w:rsidR="00A8262B" w:rsidRPr="00E977E9" w:rsidRDefault="005A6F04" w:rsidP="00816760">
            <w:pPr>
              <w:rPr>
                <w:sz w:val="20"/>
                <w:szCs w:val="18"/>
                <w:lang w:val="en-NZ"/>
              </w:rPr>
            </w:pPr>
            <w:r>
              <w:rPr>
                <w:sz w:val="20"/>
                <w:szCs w:val="18"/>
                <w:lang w:val="en-NZ"/>
              </w:rPr>
              <w:t>$</w:t>
            </w:r>
            <w:r w:rsidR="00A8262B" w:rsidRPr="00E977E9">
              <w:rPr>
                <w:sz w:val="20"/>
                <w:szCs w:val="18"/>
                <w:lang w:val="en-NZ"/>
              </w:rPr>
              <w:t>1</w:t>
            </w:r>
            <w:r>
              <w:rPr>
                <w:sz w:val="20"/>
                <w:szCs w:val="18"/>
                <w:lang w:val="en-NZ"/>
              </w:rPr>
              <w:t>,</w:t>
            </w:r>
            <w:r w:rsidR="00A8262B" w:rsidRPr="00E977E9">
              <w:rPr>
                <w:sz w:val="20"/>
                <w:szCs w:val="18"/>
                <w:lang w:val="en-NZ"/>
              </w:rPr>
              <w:t>848.72</w:t>
            </w:r>
          </w:p>
        </w:tc>
        <w:tc>
          <w:tcPr>
            <w:tcW w:w="2265" w:type="dxa"/>
          </w:tcPr>
          <w:p w14:paraId="30DB8182" w14:textId="7BC9F73B" w:rsidR="00D21C14" w:rsidRPr="00E977E9" w:rsidRDefault="00A8262B" w:rsidP="00816760">
            <w:pPr>
              <w:rPr>
                <w:sz w:val="20"/>
                <w:szCs w:val="18"/>
                <w:lang w:val="en-NZ"/>
              </w:rPr>
            </w:pPr>
            <w:r w:rsidRPr="00E977E9">
              <w:rPr>
                <w:sz w:val="20"/>
                <w:szCs w:val="18"/>
                <w:lang w:val="en-NZ"/>
              </w:rPr>
              <w:t>$1,194</w:t>
            </w:r>
          </w:p>
        </w:tc>
        <w:tc>
          <w:tcPr>
            <w:tcW w:w="2265" w:type="dxa"/>
          </w:tcPr>
          <w:p w14:paraId="70041464" w14:textId="214E85F8" w:rsidR="00D21C14" w:rsidRPr="00E977E9" w:rsidRDefault="00A8262B" w:rsidP="00816760">
            <w:pPr>
              <w:rPr>
                <w:sz w:val="20"/>
                <w:szCs w:val="18"/>
                <w:lang w:val="en-NZ"/>
              </w:rPr>
            </w:pPr>
            <w:r w:rsidRPr="00E977E9">
              <w:rPr>
                <w:sz w:val="20"/>
                <w:szCs w:val="18"/>
                <w:lang w:val="en-NZ"/>
              </w:rPr>
              <w:t>$654.71</w:t>
            </w:r>
          </w:p>
        </w:tc>
      </w:tr>
      <w:tr w:rsidR="00D21C14" w14:paraId="19740143" w14:textId="77777777" w:rsidTr="00D06A48">
        <w:tc>
          <w:tcPr>
            <w:tcW w:w="2265" w:type="dxa"/>
          </w:tcPr>
          <w:p w14:paraId="7CD99CAA" w14:textId="363FEB86" w:rsidR="00D21C14" w:rsidRPr="00E977E9" w:rsidRDefault="00D21C14" w:rsidP="00816760">
            <w:pPr>
              <w:rPr>
                <w:sz w:val="20"/>
                <w:szCs w:val="18"/>
                <w:lang w:val="en-NZ"/>
              </w:rPr>
            </w:pPr>
            <w:r w:rsidRPr="00E977E9">
              <w:rPr>
                <w:sz w:val="20"/>
                <w:szCs w:val="18"/>
                <w:lang w:val="en-NZ"/>
              </w:rPr>
              <w:t>1</w:t>
            </w:r>
            <w:r w:rsidR="00CE23FE" w:rsidRPr="00E977E9">
              <w:rPr>
                <w:sz w:val="20"/>
                <w:szCs w:val="18"/>
                <w:lang w:val="en-NZ"/>
              </w:rPr>
              <w:t xml:space="preserve"> </w:t>
            </w:r>
            <w:r w:rsidR="00D06A48" w:rsidRPr="00E977E9">
              <w:rPr>
                <w:sz w:val="20"/>
                <w:szCs w:val="18"/>
                <w:lang w:val="en-NZ"/>
              </w:rPr>
              <w:t xml:space="preserve">October 2021 </w:t>
            </w:r>
          </w:p>
        </w:tc>
        <w:tc>
          <w:tcPr>
            <w:tcW w:w="2265" w:type="dxa"/>
          </w:tcPr>
          <w:p w14:paraId="435C2D61" w14:textId="66AE38D0" w:rsidR="00D21C14" w:rsidRPr="00E977E9" w:rsidRDefault="00D06A48" w:rsidP="00816760">
            <w:pPr>
              <w:rPr>
                <w:sz w:val="20"/>
                <w:szCs w:val="18"/>
                <w:lang w:val="en-NZ"/>
              </w:rPr>
            </w:pPr>
            <w:r w:rsidRPr="00E977E9">
              <w:rPr>
                <w:sz w:val="20"/>
                <w:szCs w:val="18"/>
                <w:lang w:val="en-NZ"/>
              </w:rPr>
              <w:t>$2</w:t>
            </w:r>
            <w:r w:rsidR="00676F79" w:rsidRPr="00E977E9">
              <w:rPr>
                <w:sz w:val="20"/>
                <w:szCs w:val="18"/>
                <w:lang w:val="en-NZ"/>
              </w:rPr>
              <w:t>,</w:t>
            </w:r>
            <w:r w:rsidRPr="00E977E9">
              <w:rPr>
                <w:sz w:val="20"/>
                <w:szCs w:val="18"/>
                <w:lang w:val="en-NZ"/>
              </w:rPr>
              <w:t xml:space="preserve">887.80 </w:t>
            </w:r>
          </w:p>
        </w:tc>
        <w:tc>
          <w:tcPr>
            <w:tcW w:w="2265" w:type="dxa"/>
          </w:tcPr>
          <w:p w14:paraId="4245B363" w14:textId="50EF5FF3" w:rsidR="00D21C14" w:rsidRPr="00E977E9" w:rsidRDefault="00D06A48" w:rsidP="00816760">
            <w:pPr>
              <w:rPr>
                <w:sz w:val="20"/>
                <w:szCs w:val="18"/>
                <w:lang w:val="en-NZ"/>
              </w:rPr>
            </w:pPr>
            <w:r w:rsidRPr="00E977E9">
              <w:rPr>
                <w:sz w:val="20"/>
                <w:szCs w:val="18"/>
                <w:lang w:val="en-NZ"/>
              </w:rPr>
              <w:t>$2,</w:t>
            </w:r>
            <w:r w:rsidR="001D5D03" w:rsidRPr="00E977E9">
              <w:rPr>
                <w:sz w:val="20"/>
                <w:szCs w:val="18"/>
                <w:lang w:val="en-NZ"/>
              </w:rPr>
              <w:t xml:space="preserve">880 </w:t>
            </w:r>
          </w:p>
        </w:tc>
        <w:tc>
          <w:tcPr>
            <w:tcW w:w="2265" w:type="dxa"/>
          </w:tcPr>
          <w:p w14:paraId="06FFABF1" w14:textId="73B624C5" w:rsidR="00D21C14" w:rsidRPr="00E977E9" w:rsidRDefault="001D5D03" w:rsidP="00816760">
            <w:pPr>
              <w:rPr>
                <w:sz w:val="20"/>
                <w:szCs w:val="18"/>
                <w:lang w:val="en-NZ"/>
              </w:rPr>
            </w:pPr>
            <w:r w:rsidRPr="00E977E9">
              <w:rPr>
                <w:sz w:val="20"/>
                <w:szCs w:val="18"/>
                <w:lang w:val="en-NZ"/>
              </w:rPr>
              <w:t>$7.80</w:t>
            </w:r>
          </w:p>
        </w:tc>
      </w:tr>
    </w:tbl>
    <w:p w14:paraId="5FA884BE" w14:textId="54E5AA84" w:rsidR="00E73992" w:rsidRDefault="00103D62" w:rsidP="00220FF8">
      <w:pPr>
        <w:rPr>
          <w:lang w:val="en-NZ"/>
        </w:rPr>
      </w:pPr>
      <w:r w:rsidRPr="00103D62">
        <w:rPr>
          <w:lang w:val="en-NZ"/>
        </w:rPr>
        <w:t xml:space="preserve">In 1999, when the current Advance programme was introduced, rents were more affordable relative to benefit rates. Households accessing an Advance for housing costs would not necessarily reach their maximum entitlement to pay for their housing costs. </w:t>
      </w:r>
      <w:r w:rsidR="00D505C2" w:rsidRPr="00103D62">
        <w:rPr>
          <w:lang w:val="en-NZ"/>
        </w:rPr>
        <w:t xml:space="preserve">If rents continue to rise faster than benefit rates, </w:t>
      </w:r>
      <w:r w:rsidR="003D7693" w:rsidRPr="00103D62">
        <w:rPr>
          <w:lang w:val="en-NZ"/>
        </w:rPr>
        <w:t xml:space="preserve">beneficiary households </w:t>
      </w:r>
      <w:r w:rsidRPr="00103D62">
        <w:rPr>
          <w:lang w:val="en-NZ"/>
        </w:rPr>
        <w:t xml:space="preserve">risk facing a </w:t>
      </w:r>
      <w:r w:rsidR="00A820EA" w:rsidRPr="00103D62">
        <w:rPr>
          <w:lang w:val="en-NZ"/>
        </w:rPr>
        <w:t xml:space="preserve">deficit between the amount of </w:t>
      </w:r>
      <w:r w:rsidR="00964C08" w:rsidRPr="00103D62">
        <w:rPr>
          <w:lang w:val="en-NZ"/>
        </w:rPr>
        <w:t xml:space="preserve">housing-related </w:t>
      </w:r>
      <w:r w:rsidR="00A820EA" w:rsidRPr="00103D62">
        <w:rPr>
          <w:lang w:val="en-NZ"/>
        </w:rPr>
        <w:t>assistance</w:t>
      </w:r>
      <w:r w:rsidR="000C2C70" w:rsidRPr="00103D62">
        <w:rPr>
          <w:lang w:val="en-NZ"/>
        </w:rPr>
        <w:t xml:space="preserve"> </w:t>
      </w:r>
      <w:r w:rsidR="00A820EA" w:rsidRPr="00103D62">
        <w:rPr>
          <w:lang w:val="en-NZ"/>
        </w:rPr>
        <w:t xml:space="preserve">they </w:t>
      </w:r>
      <w:r w:rsidRPr="00103D62">
        <w:rPr>
          <w:lang w:val="en-NZ"/>
        </w:rPr>
        <w:t>are entitled to</w:t>
      </w:r>
      <w:r w:rsidR="00A820EA" w:rsidRPr="00103D62">
        <w:rPr>
          <w:lang w:val="en-NZ"/>
        </w:rPr>
        <w:t xml:space="preserve"> and </w:t>
      </w:r>
      <w:r w:rsidR="00C17C73" w:rsidRPr="00103D62">
        <w:rPr>
          <w:lang w:val="en-NZ"/>
        </w:rPr>
        <w:t xml:space="preserve">the funds that </w:t>
      </w:r>
      <w:r w:rsidR="00652FA2" w:rsidRPr="00103D62">
        <w:rPr>
          <w:lang w:val="en-NZ"/>
        </w:rPr>
        <w:t>they require to access</w:t>
      </w:r>
      <w:r w:rsidRPr="00103D62">
        <w:rPr>
          <w:lang w:val="en-NZ"/>
        </w:rPr>
        <w:t xml:space="preserve"> and/or</w:t>
      </w:r>
      <w:r w:rsidR="00DF132E">
        <w:rPr>
          <w:lang w:val="en-NZ"/>
        </w:rPr>
        <w:t xml:space="preserve"> sustain</w:t>
      </w:r>
      <w:r w:rsidR="00652FA2" w:rsidRPr="00103D62">
        <w:rPr>
          <w:lang w:val="en-NZ"/>
        </w:rPr>
        <w:t xml:space="preserve"> a rental property</w:t>
      </w:r>
      <w:r w:rsidR="00A820EA" w:rsidRPr="00103D62">
        <w:rPr>
          <w:lang w:val="en-NZ"/>
        </w:rPr>
        <w:t xml:space="preserve">. </w:t>
      </w:r>
      <w:r w:rsidR="00261F14" w:rsidRPr="00103D62">
        <w:rPr>
          <w:lang w:val="en-NZ"/>
        </w:rPr>
        <w:t xml:space="preserve">Outdated </w:t>
      </w:r>
      <w:r w:rsidR="00C17C73" w:rsidRPr="00103D62">
        <w:rPr>
          <w:lang w:val="en-NZ"/>
        </w:rPr>
        <w:t>maximum payment</w:t>
      </w:r>
      <w:r w:rsidRPr="00103D62">
        <w:rPr>
          <w:lang w:val="en-NZ"/>
        </w:rPr>
        <w:t>s</w:t>
      </w:r>
      <w:r w:rsidR="00C17C73" w:rsidRPr="00103D62">
        <w:rPr>
          <w:lang w:val="en-NZ"/>
        </w:rPr>
        <w:t xml:space="preserve"> </w:t>
      </w:r>
      <w:r w:rsidR="00170629" w:rsidRPr="00103D62">
        <w:rPr>
          <w:lang w:val="en-NZ"/>
        </w:rPr>
        <w:t xml:space="preserve">are </w:t>
      </w:r>
      <w:r w:rsidR="00D03774" w:rsidRPr="00103D62">
        <w:rPr>
          <w:lang w:val="en-NZ"/>
        </w:rPr>
        <w:t xml:space="preserve">also an issue for clients’ </w:t>
      </w:r>
      <w:r w:rsidR="00170629" w:rsidRPr="00103D62">
        <w:rPr>
          <w:lang w:val="en-NZ"/>
        </w:rPr>
        <w:t xml:space="preserve">overall </w:t>
      </w:r>
      <w:r w:rsidR="00D03774" w:rsidRPr="00103D62">
        <w:rPr>
          <w:lang w:val="en-NZ"/>
        </w:rPr>
        <w:t>Advance balance</w:t>
      </w:r>
      <w:r w:rsidR="00DF132E">
        <w:rPr>
          <w:lang w:val="en-NZ"/>
        </w:rPr>
        <w:t>. I</w:t>
      </w:r>
      <w:r w:rsidRPr="00103D62">
        <w:rPr>
          <w:lang w:val="en-NZ"/>
        </w:rPr>
        <w:t xml:space="preserve">f a household </w:t>
      </w:r>
      <w:r w:rsidR="00DF132E">
        <w:rPr>
          <w:lang w:val="en-NZ"/>
        </w:rPr>
        <w:t>uses</w:t>
      </w:r>
      <w:r w:rsidRPr="00103D62">
        <w:rPr>
          <w:lang w:val="en-NZ"/>
        </w:rPr>
        <w:t xml:space="preserve"> their whole maximum balance on housing, they are unable to use an advance for other essential needs</w:t>
      </w:r>
      <w:r w:rsidR="00170629" w:rsidRPr="00103D62">
        <w:rPr>
          <w:lang w:val="en-NZ"/>
        </w:rPr>
        <w:t xml:space="preserve"> (</w:t>
      </w:r>
      <w:r w:rsidRPr="00103D62">
        <w:rPr>
          <w:lang w:val="en-NZ"/>
        </w:rPr>
        <w:t>such as</w:t>
      </w:r>
      <w:r w:rsidR="00CE23FE" w:rsidRPr="00103D62">
        <w:rPr>
          <w:lang w:val="en-NZ"/>
        </w:rPr>
        <w:t xml:space="preserve"> food, electricity</w:t>
      </w:r>
      <w:r w:rsidR="000C2C70" w:rsidRPr="00103D62">
        <w:rPr>
          <w:lang w:val="en-NZ"/>
        </w:rPr>
        <w:t xml:space="preserve">, </w:t>
      </w:r>
      <w:r w:rsidR="00CE23FE" w:rsidRPr="00103D62">
        <w:rPr>
          <w:lang w:val="en-NZ"/>
        </w:rPr>
        <w:t>heating,</w:t>
      </w:r>
      <w:r w:rsidR="000C2C70" w:rsidRPr="00103D62">
        <w:rPr>
          <w:lang w:val="en-NZ"/>
        </w:rPr>
        <w:t xml:space="preserve"> and</w:t>
      </w:r>
      <w:r w:rsidR="00CE23FE" w:rsidRPr="00103D62">
        <w:rPr>
          <w:lang w:val="en-NZ"/>
        </w:rPr>
        <w:t xml:space="preserve"> internet</w:t>
      </w:r>
      <w:r w:rsidR="00170629" w:rsidRPr="00103D62">
        <w:rPr>
          <w:lang w:val="en-NZ"/>
        </w:rPr>
        <w:t>)</w:t>
      </w:r>
      <w:r w:rsidR="00D03774" w:rsidRPr="00103D62">
        <w:rPr>
          <w:lang w:val="en-NZ"/>
        </w:rPr>
        <w:t>.</w:t>
      </w:r>
      <w:r w:rsidR="000C2C70" w:rsidRPr="00103D62">
        <w:rPr>
          <w:rStyle w:val="FootnoteReference"/>
          <w:lang w:val="en-NZ"/>
        </w:rPr>
        <w:footnoteReference w:id="6"/>
      </w:r>
      <w:r w:rsidR="00D03774" w:rsidRPr="00103D62">
        <w:rPr>
          <w:lang w:val="en-NZ"/>
        </w:rPr>
        <w:t xml:space="preserve"> </w:t>
      </w:r>
      <w:r w:rsidR="00170629" w:rsidRPr="00103D62">
        <w:rPr>
          <w:lang w:val="en-NZ"/>
        </w:rPr>
        <w:t>T</w:t>
      </w:r>
      <w:r w:rsidR="00D505C2" w:rsidRPr="00103D62">
        <w:rPr>
          <w:lang w:val="en-NZ"/>
        </w:rPr>
        <w:t xml:space="preserve">he only way an eligible client can receive assistance </w:t>
      </w:r>
      <w:r w:rsidR="00DF132E">
        <w:rPr>
          <w:lang w:val="en-NZ"/>
        </w:rPr>
        <w:t>above</w:t>
      </w:r>
      <w:r w:rsidR="00D505C2" w:rsidRPr="00103D62">
        <w:rPr>
          <w:lang w:val="en-NZ"/>
        </w:rPr>
        <w:t xml:space="preserve"> the </w:t>
      </w:r>
      <w:r w:rsidR="00C17C73" w:rsidRPr="00103D62">
        <w:rPr>
          <w:lang w:val="en-NZ"/>
        </w:rPr>
        <w:t xml:space="preserve">maximum </w:t>
      </w:r>
      <w:r w:rsidR="00D505C2" w:rsidRPr="00103D62">
        <w:rPr>
          <w:lang w:val="en-NZ"/>
        </w:rPr>
        <w:t xml:space="preserve">is </w:t>
      </w:r>
      <w:r w:rsidR="00DF132E">
        <w:rPr>
          <w:lang w:val="en-NZ"/>
        </w:rPr>
        <w:t>for</w:t>
      </w:r>
      <w:r w:rsidR="00C17C73" w:rsidRPr="00103D62">
        <w:rPr>
          <w:lang w:val="en-NZ"/>
        </w:rPr>
        <w:t xml:space="preserve"> MSD </w:t>
      </w:r>
      <w:r w:rsidR="00DF132E">
        <w:rPr>
          <w:lang w:val="en-NZ"/>
        </w:rPr>
        <w:t xml:space="preserve">staff </w:t>
      </w:r>
      <w:r w:rsidR="00C17C73" w:rsidRPr="00103D62">
        <w:rPr>
          <w:lang w:val="en-NZ"/>
        </w:rPr>
        <w:t xml:space="preserve">to determine that </w:t>
      </w:r>
      <w:r w:rsidR="00DF132E">
        <w:rPr>
          <w:lang w:val="en-NZ"/>
        </w:rPr>
        <w:t>they have</w:t>
      </w:r>
      <w:r w:rsidR="00C17C73" w:rsidRPr="00103D62">
        <w:rPr>
          <w:lang w:val="en-NZ"/>
        </w:rPr>
        <w:t xml:space="preserve"> </w:t>
      </w:r>
      <w:r w:rsidR="00D03774" w:rsidRPr="00103D62">
        <w:rPr>
          <w:lang w:val="en-NZ"/>
        </w:rPr>
        <w:t>exceptional circumstances</w:t>
      </w:r>
      <w:r w:rsidR="004B5FD9" w:rsidRPr="00103D62">
        <w:rPr>
          <w:lang w:val="en-NZ"/>
        </w:rPr>
        <w:t>.</w:t>
      </w:r>
      <w:r w:rsidR="004B5FD9">
        <w:rPr>
          <w:lang w:val="en-NZ"/>
        </w:rPr>
        <w:t xml:space="preserve"> </w:t>
      </w:r>
    </w:p>
    <w:p w14:paraId="3FBB97F1" w14:textId="0C015106" w:rsidR="00D814E5" w:rsidRDefault="00652FA2" w:rsidP="00816760">
      <w:pPr>
        <w:rPr>
          <w:lang w:val="en-NZ"/>
        </w:rPr>
      </w:pPr>
      <w:r>
        <w:rPr>
          <w:lang w:val="en-NZ"/>
        </w:rPr>
        <w:t xml:space="preserve">For non-beneficiary households </w:t>
      </w:r>
      <w:r w:rsidR="00170629">
        <w:rPr>
          <w:lang w:val="en-NZ"/>
        </w:rPr>
        <w:t>requiring</w:t>
      </w:r>
      <w:r>
        <w:rPr>
          <w:lang w:val="en-NZ"/>
        </w:rPr>
        <w:t xml:space="preserve"> assistance to access a rental property, the limits are even more restrictive. At present, the maximum limit for bond and rent payments through a RAP is $600, regardless of family size.</w:t>
      </w:r>
      <w:r w:rsidR="00E33CB8">
        <w:rPr>
          <w:lang w:val="en-NZ"/>
        </w:rPr>
        <w:t xml:space="preserve"> </w:t>
      </w:r>
      <w:r w:rsidR="00E33CB8" w:rsidRPr="00E33CB8">
        <w:rPr>
          <w:lang w:val="en-NZ"/>
        </w:rPr>
        <w:t>A three</w:t>
      </w:r>
      <w:r w:rsidR="007D3460">
        <w:rPr>
          <w:lang w:val="en-NZ"/>
        </w:rPr>
        <w:t>-</w:t>
      </w:r>
      <w:r w:rsidR="00E33CB8" w:rsidRPr="00E33CB8">
        <w:rPr>
          <w:lang w:val="en-NZ"/>
        </w:rPr>
        <w:t xml:space="preserve">bedroom house </w:t>
      </w:r>
      <w:r w:rsidR="008508EB">
        <w:rPr>
          <w:lang w:val="en-NZ"/>
        </w:rPr>
        <w:t xml:space="preserve">for a family </w:t>
      </w:r>
      <w:r w:rsidR="00E33CB8" w:rsidRPr="00E33CB8">
        <w:rPr>
          <w:lang w:val="en-NZ"/>
        </w:rPr>
        <w:t>to rent at the lower quartile in Manukau</w:t>
      </w:r>
      <w:r w:rsidR="00DD32B5">
        <w:rPr>
          <w:lang w:val="en-NZ"/>
        </w:rPr>
        <w:t>, Auckland</w:t>
      </w:r>
      <w:r w:rsidR="00ED4332">
        <w:rPr>
          <w:lang w:val="en-NZ"/>
        </w:rPr>
        <w:t xml:space="preserve"> </w:t>
      </w:r>
      <w:r w:rsidR="00E33CB8" w:rsidRPr="00E33CB8">
        <w:rPr>
          <w:lang w:val="en-NZ"/>
        </w:rPr>
        <w:t>for example, would cost $2</w:t>
      </w:r>
      <w:r w:rsidR="00605CC5">
        <w:rPr>
          <w:lang w:val="en-NZ"/>
        </w:rPr>
        <w:t>,</w:t>
      </w:r>
      <w:r w:rsidR="00E33CB8" w:rsidRPr="00E33CB8">
        <w:rPr>
          <w:lang w:val="en-NZ"/>
        </w:rPr>
        <w:t>400 for bond and $1</w:t>
      </w:r>
      <w:r w:rsidR="00605CC5">
        <w:rPr>
          <w:lang w:val="en-NZ"/>
        </w:rPr>
        <w:t>,</w:t>
      </w:r>
      <w:r w:rsidR="00E33CB8" w:rsidRPr="00E33CB8">
        <w:rPr>
          <w:lang w:val="en-NZ"/>
        </w:rPr>
        <w:t xml:space="preserve">200 for </w:t>
      </w:r>
      <w:r w:rsidR="00E33CB8" w:rsidRPr="00E33CB8">
        <w:rPr>
          <w:lang w:val="en-NZ"/>
        </w:rPr>
        <w:lastRenderedPageBreak/>
        <w:t xml:space="preserve">rent in advance. While MSD </w:t>
      </w:r>
      <w:r w:rsidR="008508EB">
        <w:rPr>
          <w:lang w:val="en-NZ"/>
        </w:rPr>
        <w:t>staff</w:t>
      </w:r>
      <w:r w:rsidR="00E33CB8" w:rsidRPr="00E33CB8">
        <w:rPr>
          <w:lang w:val="en-NZ"/>
        </w:rPr>
        <w:t xml:space="preserve"> have discretion to exceed the maxima for RAPs, this is only in exceptional circumstances</w:t>
      </w:r>
      <w:r w:rsidR="00DD32B5">
        <w:rPr>
          <w:lang w:val="en-NZ"/>
        </w:rPr>
        <w:t>.</w:t>
      </w:r>
      <w:r w:rsidR="00E33CB8" w:rsidRPr="00E33CB8">
        <w:rPr>
          <w:lang w:val="en-NZ"/>
        </w:rPr>
        <w:t xml:space="preserve"> </w:t>
      </w:r>
    </w:p>
    <w:p w14:paraId="497F1F32" w14:textId="77777777" w:rsidR="00F80C35" w:rsidRDefault="00F80C35" w:rsidP="00816760">
      <w:pPr>
        <w:rPr>
          <w:lang w:val="en-NZ"/>
        </w:rPr>
      </w:pPr>
    </w:p>
    <w:p w14:paraId="2DE23F07" w14:textId="0AA4CDCE" w:rsidR="00652FA2" w:rsidRPr="00FF297F" w:rsidRDefault="00652FA2" w:rsidP="00816760">
      <w:pPr>
        <w:rPr>
          <w:i/>
          <w:iCs/>
          <w:lang w:val="en-NZ"/>
        </w:rPr>
      </w:pPr>
      <w:r w:rsidRPr="00FF297F">
        <w:rPr>
          <w:i/>
          <w:iCs/>
          <w:lang w:val="en-NZ"/>
        </w:rPr>
        <w:t xml:space="preserve">HSPs </w:t>
      </w:r>
      <w:r w:rsidR="007E04A9" w:rsidRPr="00FF297F">
        <w:rPr>
          <w:i/>
          <w:iCs/>
          <w:lang w:val="en-NZ"/>
        </w:rPr>
        <w:t>maxim</w:t>
      </w:r>
      <w:r w:rsidR="007E04A9">
        <w:rPr>
          <w:i/>
          <w:iCs/>
          <w:lang w:val="en-NZ"/>
        </w:rPr>
        <w:t>um amounts</w:t>
      </w:r>
      <w:r w:rsidRPr="00FF297F">
        <w:rPr>
          <w:i/>
          <w:iCs/>
          <w:lang w:val="en-NZ"/>
        </w:rPr>
        <w:t xml:space="preserve"> </w:t>
      </w:r>
      <w:r w:rsidR="00371142">
        <w:rPr>
          <w:i/>
          <w:iCs/>
          <w:lang w:val="en-NZ"/>
        </w:rPr>
        <w:t>(available to higher-income households</w:t>
      </w:r>
      <w:r w:rsidR="00CE23FE">
        <w:rPr>
          <w:i/>
          <w:iCs/>
          <w:lang w:val="en-NZ"/>
        </w:rPr>
        <w:t xml:space="preserve"> and households with higher assets</w:t>
      </w:r>
      <w:r w:rsidR="00371142">
        <w:rPr>
          <w:i/>
          <w:iCs/>
          <w:lang w:val="en-NZ"/>
        </w:rPr>
        <w:t>)</w:t>
      </w:r>
    </w:p>
    <w:p w14:paraId="76F9033A" w14:textId="22FBE98A" w:rsidR="00652FA2" w:rsidRDefault="00DD32B5" w:rsidP="00816760">
      <w:pPr>
        <w:rPr>
          <w:lang w:val="en-NZ"/>
        </w:rPr>
      </w:pPr>
      <w:r>
        <w:rPr>
          <w:lang w:val="en-NZ"/>
        </w:rPr>
        <w:t>Within the HSP programme the maximum payment for</w:t>
      </w:r>
      <w:r w:rsidR="00566CA4">
        <w:rPr>
          <w:lang w:val="en-NZ"/>
        </w:rPr>
        <w:t xml:space="preserve"> bond and rent arrears is $2</w:t>
      </w:r>
      <w:r w:rsidR="00964C08">
        <w:rPr>
          <w:lang w:val="en-NZ"/>
        </w:rPr>
        <w:t>,</w:t>
      </w:r>
      <w:r w:rsidR="00566CA4">
        <w:rPr>
          <w:lang w:val="en-NZ"/>
        </w:rPr>
        <w:t>000, and $1</w:t>
      </w:r>
      <w:r w:rsidR="00964C08">
        <w:rPr>
          <w:lang w:val="en-NZ"/>
        </w:rPr>
        <w:t>,</w:t>
      </w:r>
      <w:r w:rsidR="00566CA4">
        <w:rPr>
          <w:lang w:val="en-NZ"/>
        </w:rPr>
        <w:t xml:space="preserve">000 for rent in advance. These limits have not increased since 2014 when </w:t>
      </w:r>
      <w:r w:rsidR="00D505C2">
        <w:rPr>
          <w:lang w:val="en-NZ"/>
        </w:rPr>
        <w:t xml:space="preserve">they </w:t>
      </w:r>
      <w:r w:rsidR="00566CA4">
        <w:rPr>
          <w:lang w:val="en-NZ"/>
        </w:rPr>
        <w:t>were first introduce</w:t>
      </w:r>
      <w:r w:rsidR="00FE0452">
        <w:rPr>
          <w:lang w:val="en-NZ"/>
        </w:rPr>
        <w:t>d</w:t>
      </w:r>
      <w:r w:rsidR="00566CA4">
        <w:rPr>
          <w:lang w:val="en-NZ"/>
        </w:rPr>
        <w:t xml:space="preserve"> (2019 for the rent arrears payment). Since </w:t>
      </w:r>
      <w:r w:rsidR="00193D80">
        <w:rPr>
          <w:lang w:val="en-NZ"/>
        </w:rPr>
        <w:t xml:space="preserve">June </w:t>
      </w:r>
      <w:r w:rsidR="00566CA4">
        <w:rPr>
          <w:lang w:val="en-NZ"/>
        </w:rPr>
        <w:t>2014</w:t>
      </w:r>
      <w:r>
        <w:rPr>
          <w:lang w:val="en-NZ"/>
        </w:rPr>
        <w:t>,</w:t>
      </w:r>
      <w:r w:rsidR="00193D80">
        <w:rPr>
          <w:lang w:val="en-NZ"/>
        </w:rPr>
        <w:t xml:space="preserve"> when HSPs were introduced,</w:t>
      </w:r>
      <w:r w:rsidR="00566CA4">
        <w:rPr>
          <w:lang w:val="en-NZ"/>
        </w:rPr>
        <w:t xml:space="preserve"> the average rent for </w:t>
      </w:r>
      <w:r w:rsidR="00D505C2">
        <w:rPr>
          <w:lang w:val="en-NZ"/>
        </w:rPr>
        <w:t xml:space="preserve">lower-income clients </w:t>
      </w:r>
      <w:r w:rsidR="00566CA4">
        <w:rPr>
          <w:lang w:val="en-NZ"/>
        </w:rPr>
        <w:t xml:space="preserve">has increased </w:t>
      </w:r>
      <w:r w:rsidR="00193D80">
        <w:rPr>
          <w:lang w:val="en-NZ"/>
        </w:rPr>
        <w:t>35</w:t>
      </w:r>
      <w:r>
        <w:rPr>
          <w:lang w:val="en-NZ"/>
        </w:rPr>
        <w:t xml:space="preserve"> percent</w:t>
      </w:r>
      <w:r w:rsidR="003E5255">
        <w:rPr>
          <w:lang w:val="en-NZ"/>
        </w:rPr>
        <w:t xml:space="preserve"> (to February 2022).</w:t>
      </w:r>
      <w:r w:rsidR="00193D80">
        <w:rPr>
          <w:rStyle w:val="FootnoteReference"/>
          <w:lang w:val="en-NZ"/>
        </w:rPr>
        <w:footnoteReference w:id="7"/>
      </w:r>
      <w:r w:rsidR="003E5255">
        <w:rPr>
          <w:lang w:val="en-NZ"/>
        </w:rPr>
        <w:t xml:space="preserve"> </w:t>
      </w:r>
    </w:p>
    <w:p w14:paraId="717A2591" w14:textId="20047D48" w:rsidR="00C8788B" w:rsidRDefault="008B49CC" w:rsidP="00816760">
      <w:pPr>
        <w:rPr>
          <w:lang w:val="en-NZ"/>
        </w:rPr>
      </w:pPr>
      <w:r>
        <w:rPr>
          <w:lang w:val="en-NZ"/>
        </w:rPr>
        <w:t xml:space="preserve">Under current settings, the maximum a client can receive when accessing a new </w:t>
      </w:r>
      <w:r w:rsidR="00AF1729">
        <w:rPr>
          <w:lang w:val="en-NZ"/>
        </w:rPr>
        <w:t>tenancy</w:t>
      </w:r>
      <w:r>
        <w:rPr>
          <w:lang w:val="en-NZ"/>
        </w:rPr>
        <w:t xml:space="preserve"> for bond and rent in advance is $3</w:t>
      </w:r>
      <w:r w:rsidR="00964C08">
        <w:rPr>
          <w:lang w:val="en-NZ"/>
        </w:rPr>
        <w:t>,</w:t>
      </w:r>
      <w:r>
        <w:rPr>
          <w:lang w:val="en-NZ"/>
        </w:rPr>
        <w:t>000 in total</w:t>
      </w:r>
      <w:r w:rsidR="00C8788B">
        <w:rPr>
          <w:lang w:val="en-NZ"/>
        </w:rPr>
        <w:t xml:space="preserve"> ($2,000 for bond and $1,000 for rent in advance)</w:t>
      </w:r>
      <w:r>
        <w:rPr>
          <w:lang w:val="en-NZ"/>
        </w:rPr>
        <w:t xml:space="preserve">. </w:t>
      </w:r>
      <w:r w:rsidR="00110D8C">
        <w:rPr>
          <w:lang w:val="en-NZ"/>
        </w:rPr>
        <w:t xml:space="preserve">While this total is higher than the Advances (for almost all households) and RAPs maximum payments, they can still be inadequate for larger households. </w:t>
      </w:r>
      <w:r w:rsidR="00EE58BF">
        <w:rPr>
          <w:lang w:val="en-NZ"/>
        </w:rPr>
        <w:t>For larger families looking for properties costing over $500</w:t>
      </w:r>
      <w:r w:rsidR="00E33CB8">
        <w:rPr>
          <w:lang w:val="en-NZ"/>
        </w:rPr>
        <w:t xml:space="preserve"> per week</w:t>
      </w:r>
      <w:r w:rsidR="00EE58BF">
        <w:rPr>
          <w:lang w:val="en-NZ"/>
        </w:rPr>
        <w:t xml:space="preserve">, </w:t>
      </w:r>
      <w:r w:rsidR="00170629">
        <w:rPr>
          <w:lang w:val="en-NZ"/>
        </w:rPr>
        <w:t>$3</w:t>
      </w:r>
      <w:r w:rsidR="00964C08">
        <w:rPr>
          <w:lang w:val="en-NZ"/>
        </w:rPr>
        <w:t>,</w:t>
      </w:r>
      <w:r w:rsidR="00170629">
        <w:rPr>
          <w:lang w:val="en-NZ"/>
        </w:rPr>
        <w:t>000</w:t>
      </w:r>
      <w:r w:rsidR="00EE58BF">
        <w:rPr>
          <w:lang w:val="en-NZ"/>
        </w:rPr>
        <w:t xml:space="preserve"> is insufficient to cover </w:t>
      </w:r>
      <w:r w:rsidR="00E33CB8">
        <w:rPr>
          <w:lang w:val="en-NZ"/>
        </w:rPr>
        <w:t xml:space="preserve">both </w:t>
      </w:r>
      <w:r w:rsidR="00EE58BF">
        <w:rPr>
          <w:lang w:val="en-NZ"/>
        </w:rPr>
        <w:t>bond and rent in advance.</w:t>
      </w:r>
      <w:r w:rsidR="00CE23FE">
        <w:rPr>
          <w:lang w:val="en-NZ"/>
        </w:rPr>
        <w:t xml:space="preserve"> </w:t>
      </w:r>
    </w:p>
    <w:p w14:paraId="10EBC1D8" w14:textId="58B23EC0" w:rsidR="000D52D3" w:rsidRDefault="00CE23FE" w:rsidP="00816760">
      <w:pPr>
        <w:rPr>
          <w:lang w:val="en-NZ"/>
        </w:rPr>
      </w:pPr>
      <w:r>
        <w:rPr>
          <w:lang w:val="en-NZ"/>
        </w:rPr>
        <w:t>T</w:t>
      </w:r>
      <w:r w:rsidR="00EE58BF">
        <w:rPr>
          <w:lang w:val="en-NZ"/>
        </w:rPr>
        <w:t xml:space="preserve">he </w:t>
      </w:r>
      <w:r w:rsidR="00C8788B">
        <w:rPr>
          <w:lang w:val="en-NZ"/>
        </w:rPr>
        <w:t xml:space="preserve">current HSPs </w:t>
      </w:r>
      <w:r w:rsidR="00EE58BF">
        <w:rPr>
          <w:lang w:val="en-NZ"/>
        </w:rPr>
        <w:t>maxima disadvantage</w:t>
      </w:r>
      <w:r w:rsidR="00AF1729">
        <w:rPr>
          <w:lang w:val="en-NZ"/>
        </w:rPr>
        <w:t xml:space="preserve"> larger households, such as</w:t>
      </w:r>
      <w:r w:rsidR="00EE58BF">
        <w:rPr>
          <w:lang w:val="en-NZ"/>
        </w:rPr>
        <w:t xml:space="preserve"> families with children</w:t>
      </w:r>
      <w:r w:rsidR="00AF1729">
        <w:rPr>
          <w:lang w:val="en-NZ"/>
        </w:rPr>
        <w:t xml:space="preserve"> </w:t>
      </w:r>
      <w:r w:rsidR="001334CB" w:rsidRPr="001334CB">
        <w:rPr>
          <w:lang w:val="en-NZ"/>
        </w:rPr>
        <w:t xml:space="preserve">and multi-generational families. </w:t>
      </w:r>
      <w:r w:rsidR="00C8788B">
        <w:rPr>
          <w:lang w:val="en-NZ"/>
        </w:rPr>
        <w:t xml:space="preserve">These settings can disproportionately impact Pacific </w:t>
      </w:r>
      <w:proofErr w:type="gramStart"/>
      <w:r w:rsidR="00C8788B">
        <w:rPr>
          <w:lang w:val="en-NZ"/>
        </w:rPr>
        <w:t>peoples</w:t>
      </w:r>
      <w:r w:rsidR="00AF1729">
        <w:rPr>
          <w:lang w:val="en-NZ"/>
        </w:rPr>
        <w:t xml:space="preserve"> in particular</w:t>
      </w:r>
      <w:proofErr w:type="gramEnd"/>
      <w:r w:rsidR="00C8788B">
        <w:rPr>
          <w:lang w:val="en-NZ"/>
        </w:rPr>
        <w:t xml:space="preserve">. </w:t>
      </w:r>
      <w:r w:rsidR="00DD32B5">
        <w:rPr>
          <w:lang w:val="en-NZ"/>
        </w:rPr>
        <w:t xml:space="preserve">Around </w:t>
      </w:r>
      <w:r w:rsidR="001334CB" w:rsidRPr="001334CB">
        <w:rPr>
          <w:lang w:val="en-NZ"/>
        </w:rPr>
        <w:t>25</w:t>
      </w:r>
      <w:r w:rsidR="00DD32B5">
        <w:rPr>
          <w:lang w:val="en-NZ"/>
        </w:rPr>
        <w:t xml:space="preserve"> percent of </w:t>
      </w:r>
      <w:r w:rsidR="001334CB" w:rsidRPr="001334CB">
        <w:rPr>
          <w:lang w:val="en-NZ"/>
        </w:rPr>
        <w:t xml:space="preserve">Pacific households comprise </w:t>
      </w:r>
      <w:r w:rsidR="00DD32B5">
        <w:rPr>
          <w:lang w:val="en-NZ"/>
        </w:rPr>
        <w:t xml:space="preserve">seven </w:t>
      </w:r>
      <w:r w:rsidR="00C8788B">
        <w:rPr>
          <w:lang w:val="en-NZ"/>
        </w:rPr>
        <w:t>or more</w:t>
      </w:r>
      <w:r w:rsidR="001334CB" w:rsidRPr="001334CB">
        <w:rPr>
          <w:lang w:val="en-NZ"/>
        </w:rPr>
        <w:t xml:space="preserve"> people, compared with 6</w:t>
      </w:r>
      <w:r w:rsidR="00DD32B5">
        <w:rPr>
          <w:lang w:val="en-NZ"/>
        </w:rPr>
        <w:t xml:space="preserve"> percent</w:t>
      </w:r>
      <w:r w:rsidR="001334CB" w:rsidRPr="001334CB">
        <w:rPr>
          <w:lang w:val="en-NZ"/>
        </w:rPr>
        <w:t xml:space="preserve"> </w:t>
      </w:r>
      <w:r w:rsidR="00DD32B5">
        <w:rPr>
          <w:lang w:val="en-NZ"/>
        </w:rPr>
        <w:t xml:space="preserve">for </w:t>
      </w:r>
      <w:r w:rsidR="001334CB" w:rsidRPr="001334CB">
        <w:rPr>
          <w:lang w:val="en-NZ"/>
        </w:rPr>
        <w:t xml:space="preserve">non-Pacific families. </w:t>
      </w:r>
      <w:r w:rsidR="001334CB">
        <w:rPr>
          <w:lang w:val="en-NZ"/>
        </w:rPr>
        <w:t xml:space="preserve">Further, </w:t>
      </w:r>
      <w:r w:rsidR="001334CB" w:rsidRPr="001334CB">
        <w:rPr>
          <w:lang w:val="en-NZ"/>
        </w:rPr>
        <w:t>Pacific people</w:t>
      </w:r>
      <w:r w:rsidR="00AF1729">
        <w:rPr>
          <w:lang w:val="en-NZ"/>
        </w:rPr>
        <w:t>s</w:t>
      </w:r>
      <w:r w:rsidR="001334CB" w:rsidRPr="001334CB">
        <w:rPr>
          <w:lang w:val="en-NZ"/>
        </w:rPr>
        <w:t xml:space="preserve"> experience the highest level of severe crowding and living in uninhabitable housing across all ethnicities.</w:t>
      </w:r>
      <w:r w:rsidR="00EE58BF">
        <w:rPr>
          <w:lang w:val="en-NZ"/>
        </w:rPr>
        <w:t xml:space="preserve"> </w:t>
      </w:r>
      <w:r w:rsidR="00AF1729">
        <w:rPr>
          <w:lang w:val="en-NZ"/>
        </w:rPr>
        <w:t>If</w:t>
      </w:r>
      <w:r w:rsidR="00EE58BF">
        <w:rPr>
          <w:lang w:val="en-NZ"/>
        </w:rPr>
        <w:t xml:space="preserve"> rents continue to increase</w:t>
      </w:r>
      <w:r w:rsidR="00C8788B">
        <w:rPr>
          <w:lang w:val="en-NZ"/>
        </w:rPr>
        <w:t xml:space="preserve"> faster than wages</w:t>
      </w:r>
      <w:r w:rsidR="00EE58BF">
        <w:rPr>
          <w:lang w:val="en-NZ"/>
        </w:rPr>
        <w:t>, families with children</w:t>
      </w:r>
      <w:r w:rsidR="00C8788B">
        <w:rPr>
          <w:lang w:val="en-NZ"/>
        </w:rPr>
        <w:t xml:space="preserve"> and</w:t>
      </w:r>
      <w:r w:rsidR="00A404A1">
        <w:rPr>
          <w:lang w:val="en-NZ"/>
        </w:rPr>
        <w:t xml:space="preserve"> </w:t>
      </w:r>
      <w:r w:rsidR="001334CB">
        <w:rPr>
          <w:lang w:val="en-NZ"/>
        </w:rPr>
        <w:t>larger multigenerational families</w:t>
      </w:r>
      <w:r w:rsidR="00EE58BF">
        <w:rPr>
          <w:lang w:val="en-NZ"/>
        </w:rPr>
        <w:t xml:space="preserve"> </w:t>
      </w:r>
      <w:r w:rsidR="00AF1729">
        <w:rPr>
          <w:lang w:val="en-NZ"/>
        </w:rPr>
        <w:t xml:space="preserve">will be placed </w:t>
      </w:r>
      <w:r w:rsidR="00EE58BF">
        <w:rPr>
          <w:lang w:val="en-NZ"/>
        </w:rPr>
        <w:t xml:space="preserve">under increasing financial pressure. </w:t>
      </w:r>
    </w:p>
    <w:p w14:paraId="60E4D728" w14:textId="17FA3DB3" w:rsidR="001607C2" w:rsidRPr="00AB64FB" w:rsidRDefault="00F80C35" w:rsidP="001607C2">
      <w:pPr>
        <w:pStyle w:val="Heading4"/>
        <w:rPr>
          <w:color w:val="auto"/>
          <w:lang w:val="en-NZ"/>
        </w:rPr>
      </w:pPr>
      <w:r w:rsidRPr="00AB64FB">
        <w:rPr>
          <w:color w:val="auto"/>
          <w:lang w:val="en-NZ"/>
        </w:rPr>
        <w:t xml:space="preserve">ii) </w:t>
      </w:r>
      <w:r w:rsidR="001607C2" w:rsidRPr="00AB64FB">
        <w:rPr>
          <w:color w:val="auto"/>
          <w:lang w:val="en-NZ"/>
        </w:rPr>
        <w:t>The cap on frequency prevents clients from receiving</w:t>
      </w:r>
      <w:r w:rsidR="008508EB" w:rsidRPr="00AB64FB">
        <w:rPr>
          <w:color w:val="auto"/>
          <w:lang w:val="en-NZ"/>
        </w:rPr>
        <w:t xml:space="preserve"> they</w:t>
      </w:r>
      <w:r w:rsidR="001607C2" w:rsidRPr="00AB64FB">
        <w:rPr>
          <w:color w:val="auto"/>
          <w:lang w:val="en-NZ"/>
        </w:rPr>
        <w:t xml:space="preserve"> support they require </w:t>
      </w:r>
    </w:p>
    <w:p w14:paraId="640A5830" w14:textId="27233A1E" w:rsidR="001607C2" w:rsidRDefault="00103D62" w:rsidP="00816760">
      <w:pPr>
        <w:rPr>
          <w:lang w:val="en-NZ"/>
        </w:rPr>
      </w:pPr>
      <w:r>
        <w:rPr>
          <w:lang w:val="en-NZ"/>
        </w:rPr>
        <w:t>An HSP</w:t>
      </w:r>
      <w:r w:rsidR="001607C2">
        <w:rPr>
          <w:lang w:val="en-NZ"/>
        </w:rPr>
        <w:t xml:space="preserve"> client is only able to receive a maximum of one grant per year</w:t>
      </w:r>
      <w:r>
        <w:rPr>
          <w:lang w:val="en-NZ"/>
        </w:rPr>
        <w:t xml:space="preserve"> (for each payment type)</w:t>
      </w:r>
      <w:r w:rsidR="001607C2">
        <w:rPr>
          <w:lang w:val="en-NZ"/>
        </w:rPr>
        <w:t>.</w:t>
      </w:r>
      <w:r w:rsidR="00ED4332">
        <w:rPr>
          <w:rStyle w:val="FootnoteReference"/>
          <w:lang w:val="en-NZ"/>
        </w:rPr>
        <w:footnoteReference w:id="8"/>
      </w:r>
      <w:r w:rsidR="001607C2">
        <w:rPr>
          <w:lang w:val="en-NZ"/>
        </w:rPr>
        <w:t xml:space="preserve"> This means that if they </w:t>
      </w:r>
      <w:r w:rsidR="00AF1729">
        <w:rPr>
          <w:lang w:val="en-NZ"/>
        </w:rPr>
        <w:t>need</w:t>
      </w:r>
      <w:r>
        <w:rPr>
          <w:lang w:val="en-NZ"/>
        </w:rPr>
        <w:t xml:space="preserve"> to </w:t>
      </w:r>
      <w:r w:rsidR="00561744">
        <w:rPr>
          <w:lang w:val="en-NZ"/>
        </w:rPr>
        <w:t>move to a new house</w:t>
      </w:r>
      <w:r w:rsidR="008508EB">
        <w:rPr>
          <w:lang w:val="en-NZ"/>
        </w:rPr>
        <w:t xml:space="preserve"> </w:t>
      </w:r>
      <w:r w:rsidR="001607C2">
        <w:rPr>
          <w:lang w:val="en-NZ"/>
        </w:rPr>
        <w:t xml:space="preserve">more than once in a year, they are unable to receive further support. Only if an HSP client’s income and assets drop sufficiently low so that they become eligible for a hardship assistance are they able to receive further support for one-off housing-related needs. </w:t>
      </w:r>
    </w:p>
    <w:p w14:paraId="4370FD02" w14:textId="5E157260" w:rsidR="001607C2" w:rsidRDefault="00621519" w:rsidP="00816760">
      <w:pPr>
        <w:rPr>
          <w:lang w:val="en-NZ"/>
        </w:rPr>
      </w:pPr>
      <w:r>
        <w:rPr>
          <w:lang w:val="en-NZ"/>
        </w:rPr>
        <w:t xml:space="preserve">For Advances and RAPs clients, the limit on the number of times a client can receive a payment is often more restrictive than HSPs. </w:t>
      </w:r>
      <w:r w:rsidR="00AF1729">
        <w:rPr>
          <w:lang w:val="en-NZ"/>
        </w:rPr>
        <w:t>Although t</w:t>
      </w:r>
      <w:r>
        <w:rPr>
          <w:lang w:val="en-NZ"/>
        </w:rPr>
        <w:t>echnically there is no limit</w:t>
      </w:r>
      <w:r w:rsidR="001607C2">
        <w:rPr>
          <w:lang w:val="en-NZ"/>
        </w:rPr>
        <w:t>,</w:t>
      </w:r>
      <w:r w:rsidR="00561744">
        <w:rPr>
          <w:lang w:val="en-NZ"/>
        </w:rPr>
        <w:t xml:space="preserve"> </w:t>
      </w:r>
      <w:r>
        <w:rPr>
          <w:lang w:val="en-NZ"/>
        </w:rPr>
        <w:t>the</w:t>
      </w:r>
      <w:r w:rsidR="00561744">
        <w:rPr>
          <w:lang w:val="en-NZ"/>
        </w:rPr>
        <w:t xml:space="preserve"> maximum limits on the amount of financial assistance</w:t>
      </w:r>
      <w:r w:rsidR="00AF1729">
        <w:rPr>
          <w:lang w:val="en-NZ"/>
        </w:rPr>
        <w:t xml:space="preserve"> for Advances and RAPS</w:t>
      </w:r>
      <w:r w:rsidR="00561744">
        <w:rPr>
          <w:lang w:val="en-NZ"/>
        </w:rPr>
        <w:t xml:space="preserve"> </w:t>
      </w:r>
      <w:r>
        <w:rPr>
          <w:lang w:val="en-NZ"/>
        </w:rPr>
        <w:t>act as a</w:t>
      </w:r>
      <w:r w:rsidR="00AF1729">
        <w:rPr>
          <w:lang w:val="en-NZ"/>
        </w:rPr>
        <w:t xml:space="preserve"> natural</w:t>
      </w:r>
      <w:r>
        <w:rPr>
          <w:lang w:val="en-NZ"/>
        </w:rPr>
        <w:t xml:space="preserve"> cap on the number of times a client can receive assistance. </w:t>
      </w:r>
      <w:r w:rsidR="00103D62">
        <w:rPr>
          <w:lang w:val="en-NZ"/>
        </w:rPr>
        <w:t xml:space="preserve">The maximum limits for Advances and RAPs act as a </w:t>
      </w:r>
      <w:r w:rsidR="00D643DE">
        <w:rPr>
          <w:lang w:val="en-NZ"/>
        </w:rPr>
        <w:t>natural limit</w:t>
      </w:r>
      <w:r w:rsidR="00103D62">
        <w:rPr>
          <w:lang w:val="en-NZ"/>
        </w:rPr>
        <w:t xml:space="preserve"> because </w:t>
      </w:r>
      <w:proofErr w:type="gramStart"/>
      <w:r>
        <w:rPr>
          <w:lang w:val="en-NZ"/>
        </w:rPr>
        <w:t>in order to</w:t>
      </w:r>
      <w:proofErr w:type="gramEnd"/>
      <w:r>
        <w:rPr>
          <w:lang w:val="en-NZ"/>
        </w:rPr>
        <w:t xml:space="preserve"> receive another Advance or RAP, a client is required to pay down their balance, and this is difficult given the incomes and assets levels of these clients. </w:t>
      </w:r>
      <w:r w:rsidR="00864BB0">
        <w:rPr>
          <w:lang w:val="en-NZ"/>
        </w:rPr>
        <w:t>The only way</w:t>
      </w:r>
      <w:r w:rsidR="008508EB">
        <w:rPr>
          <w:lang w:val="en-NZ"/>
        </w:rPr>
        <w:t xml:space="preserve"> that</w:t>
      </w:r>
      <w:r w:rsidR="00864BB0">
        <w:rPr>
          <w:lang w:val="en-NZ"/>
        </w:rPr>
        <w:t xml:space="preserve"> an Advance or RAP client </w:t>
      </w:r>
      <w:proofErr w:type="gramStart"/>
      <w:r w:rsidR="00864BB0">
        <w:rPr>
          <w:lang w:val="en-NZ"/>
        </w:rPr>
        <w:t>is able to</w:t>
      </w:r>
      <w:proofErr w:type="gramEnd"/>
      <w:r w:rsidR="00864BB0">
        <w:rPr>
          <w:lang w:val="en-NZ"/>
        </w:rPr>
        <w:t xml:space="preserve"> circumvent the cap is </w:t>
      </w:r>
      <w:r w:rsidR="008508EB">
        <w:rPr>
          <w:lang w:val="en-NZ"/>
        </w:rPr>
        <w:t>to have</w:t>
      </w:r>
      <w:r w:rsidR="00864BB0">
        <w:rPr>
          <w:lang w:val="en-NZ"/>
        </w:rPr>
        <w:t xml:space="preserve"> exceptional circumstance. </w:t>
      </w:r>
    </w:p>
    <w:p w14:paraId="11DF601F" w14:textId="080D9E65" w:rsidR="00864BB0" w:rsidRDefault="00864BB0" w:rsidP="00816760">
      <w:pPr>
        <w:rPr>
          <w:lang w:val="en-NZ"/>
        </w:rPr>
      </w:pPr>
      <w:r>
        <w:rPr>
          <w:lang w:val="en-NZ"/>
        </w:rPr>
        <w:t xml:space="preserve">The </w:t>
      </w:r>
      <w:r w:rsidR="00621519">
        <w:rPr>
          <w:lang w:val="en-NZ"/>
        </w:rPr>
        <w:t xml:space="preserve">restrictions on the number of times lower-income households </w:t>
      </w:r>
      <w:proofErr w:type="gramStart"/>
      <w:r w:rsidR="00621519">
        <w:rPr>
          <w:lang w:val="en-NZ"/>
        </w:rPr>
        <w:t>are able to</w:t>
      </w:r>
      <w:proofErr w:type="gramEnd"/>
      <w:r w:rsidR="00621519">
        <w:rPr>
          <w:lang w:val="en-NZ"/>
        </w:rPr>
        <w:t xml:space="preserve"> receive housing-related hardship assistance can result in poor housing outcomes, by preventing households in need from access</w:t>
      </w:r>
      <w:r w:rsidR="009F5C43">
        <w:rPr>
          <w:lang w:val="en-NZ"/>
        </w:rPr>
        <w:t xml:space="preserve">ing </w:t>
      </w:r>
      <w:r w:rsidR="00621519">
        <w:rPr>
          <w:lang w:val="en-NZ"/>
        </w:rPr>
        <w:t xml:space="preserve">assistance. </w:t>
      </w:r>
      <w:r w:rsidR="009F5C43">
        <w:rPr>
          <w:lang w:val="en-NZ"/>
        </w:rPr>
        <w:t xml:space="preserve">This issue is exacerbated </w:t>
      </w:r>
      <w:r w:rsidR="00621519">
        <w:rPr>
          <w:lang w:val="en-NZ"/>
        </w:rPr>
        <w:t>given that lower-income households move more frequently than higher-income households in the rental market</w:t>
      </w:r>
      <w:r w:rsidR="009F5C43">
        <w:rPr>
          <w:lang w:val="en-NZ"/>
        </w:rPr>
        <w:t xml:space="preserve">. </w:t>
      </w:r>
    </w:p>
    <w:p w14:paraId="2CED6B11" w14:textId="2B3146D1" w:rsidR="00D643DE" w:rsidRDefault="00D643DE" w:rsidP="00816760">
      <w:pPr>
        <w:rPr>
          <w:lang w:val="en-NZ"/>
        </w:rPr>
      </w:pPr>
    </w:p>
    <w:p w14:paraId="1C767906" w14:textId="77777777" w:rsidR="00D643DE" w:rsidRDefault="00D643DE" w:rsidP="00816760">
      <w:pPr>
        <w:rPr>
          <w:lang w:val="en-NZ"/>
        </w:rPr>
      </w:pPr>
    </w:p>
    <w:p w14:paraId="5FF29066" w14:textId="77777777" w:rsidR="009F5C43" w:rsidRDefault="009F5C43" w:rsidP="00816760">
      <w:pPr>
        <w:rPr>
          <w:lang w:val="en-NZ"/>
        </w:rPr>
      </w:pPr>
    </w:p>
    <w:p w14:paraId="2ABD7D46" w14:textId="3C4274A0" w:rsidR="008A2AA6" w:rsidRPr="00AB64FB" w:rsidRDefault="008A2AA6" w:rsidP="00A404A1">
      <w:pPr>
        <w:pStyle w:val="Heading4"/>
        <w:numPr>
          <w:ilvl w:val="0"/>
          <w:numId w:val="35"/>
        </w:numPr>
        <w:rPr>
          <w:color w:val="auto"/>
          <w:lang w:val="en-NZ"/>
        </w:rPr>
      </w:pPr>
      <w:r w:rsidRPr="00AB64FB">
        <w:rPr>
          <w:color w:val="auto"/>
          <w:lang w:val="en-NZ"/>
        </w:rPr>
        <w:t xml:space="preserve">The introduction of HSPs created a two-tiered and inequitable housing support system </w:t>
      </w:r>
    </w:p>
    <w:p w14:paraId="7874DBB4" w14:textId="3A98BD1C" w:rsidR="00B76AC4" w:rsidRDefault="00B76AC4" w:rsidP="00A94309">
      <w:pPr>
        <w:rPr>
          <w:lang w:val="en-NZ"/>
        </w:rPr>
      </w:pPr>
      <w:r>
        <w:rPr>
          <w:lang w:val="en-NZ"/>
        </w:rPr>
        <w:t xml:space="preserve">In 2014 </w:t>
      </w:r>
      <w:r w:rsidR="00B8615F">
        <w:rPr>
          <w:lang w:val="en-NZ"/>
        </w:rPr>
        <w:t xml:space="preserve">HSPs </w:t>
      </w:r>
      <w:r w:rsidR="00A94309">
        <w:rPr>
          <w:lang w:val="en-NZ"/>
        </w:rPr>
        <w:t xml:space="preserve">were introduced with the intention that they would support and </w:t>
      </w:r>
      <w:r w:rsidR="00B8615F">
        <w:rPr>
          <w:lang w:val="en-NZ"/>
        </w:rPr>
        <w:t>incentivise public housing tenants to access a private tenancy.</w:t>
      </w:r>
      <w:r w:rsidR="00A94309">
        <w:rPr>
          <w:lang w:val="en-NZ"/>
        </w:rPr>
        <w:t xml:space="preserve"> T</w:t>
      </w:r>
      <w:r w:rsidR="00B8615F">
        <w:rPr>
          <w:lang w:val="en-NZ"/>
        </w:rPr>
        <w:t xml:space="preserve">he income and asset limits were set higher than </w:t>
      </w:r>
      <w:r w:rsidR="00A94309">
        <w:rPr>
          <w:lang w:val="en-NZ"/>
        </w:rPr>
        <w:t>hardship assistance</w:t>
      </w:r>
      <w:r w:rsidR="00A94309" w:rsidRPr="00A94309">
        <w:rPr>
          <w:lang w:val="en-NZ"/>
        </w:rPr>
        <w:t xml:space="preserve"> </w:t>
      </w:r>
      <w:r w:rsidR="00A94309">
        <w:rPr>
          <w:lang w:val="en-NZ"/>
        </w:rPr>
        <w:t xml:space="preserve">to reach a wider group of households. Despite a different policy intent, HSPs provided for some of the same housing-related costs. </w:t>
      </w:r>
    </w:p>
    <w:p w14:paraId="7F646CFD" w14:textId="77777777" w:rsidR="00B76AC4" w:rsidRDefault="00B76AC4" w:rsidP="00B76AC4">
      <w:pPr>
        <w:rPr>
          <w:lang w:val="en-NZ"/>
        </w:rPr>
      </w:pPr>
      <w:r>
        <w:rPr>
          <w:lang w:val="en-NZ"/>
        </w:rPr>
        <w:t>There are two key differences between HSPs and other housing-related hardship assistance (Advances and RAPs) that make HSPs a more generous form of housing assistance:</w:t>
      </w:r>
    </w:p>
    <w:p w14:paraId="4AB61C72" w14:textId="77777777" w:rsidR="00B76AC4" w:rsidRDefault="00B76AC4" w:rsidP="00B76AC4">
      <w:pPr>
        <w:pStyle w:val="ListParagraph"/>
        <w:numPr>
          <w:ilvl w:val="0"/>
          <w:numId w:val="43"/>
        </w:numPr>
        <w:ind w:left="714" w:hanging="357"/>
        <w:contextualSpacing w:val="0"/>
        <w:rPr>
          <w:lang w:val="en-NZ"/>
        </w:rPr>
      </w:pPr>
      <w:r>
        <w:rPr>
          <w:lang w:val="en-NZ"/>
        </w:rPr>
        <w:t>Bond and rent in advance are non-recoverable for HSPs clients but recoverable for hardship assistance clients</w:t>
      </w:r>
    </w:p>
    <w:p w14:paraId="5CD8ACA7" w14:textId="2D25C2AA" w:rsidR="00B76AC4" w:rsidRPr="00B76AC4" w:rsidRDefault="00B76AC4" w:rsidP="00A94309">
      <w:pPr>
        <w:pStyle w:val="ListParagraph"/>
        <w:numPr>
          <w:ilvl w:val="0"/>
          <w:numId w:val="43"/>
        </w:numPr>
        <w:ind w:left="714" w:hanging="357"/>
        <w:contextualSpacing w:val="0"/>
        <w:rPr>
          <w:lang w:val="en-NZ"/>
        </w:rPr>
      </w:pPr>
      <w:r w:rsidRPr="009C7DAB">
        <w:rPr>
          <w:lang w:val="en-NZ"/>
        </w:rPr>
        <w:t>HSPs clients can receive more total assistance than Advances/RAPs clients</w:t>
      </w:r>
      <w:r>
        <w:rPr>
          <w:rStyle w:val="FootnoteReference"/>
          <w:lang w:val="en-NZ"/>
        </w:rPr>
        <w:footnoteReference w:id="9"/>
      </w:r>
    </w:p>
    <w:p w14:paraId="0CD4B627" w14:textId="7E0800F1" w:rsidR="00B76AC4" w:rsidRDefault="00B76AC4" w:rsidP="00B76AC4">
      <w:pPr>
        <w:rPr>
          <w:lang w:val="en-NZ"/>
        </w:rPr>
      </w:pPr>
      <w:r>
        <w:rPr>
          <w:lang w:val="en-NZ"/>
        </w:rPr>
        <w:t>Two-tiers of assistance were created because u</w:t>
      </w:r>
      <w:r w:rsidR="00A94309">
        <w:rPr>
          <w:lang w:val="en-NZ"/>
        </w:rPr>
        <w:t xml:space="preserve">nlike hardship assistance, </w:t>
      </w:r>
      <w:r w:rsidR="00A94309" w:rsidRPr="003D2C63">
        <w:rPr>
          <w:lang w:val="en-NZ"/>
        </w:rPr>
        <w:t xml:space="preserve">HSPs </w:t>
      </w:r>
      <w:r w:rsidR="00A94309">
        <w:rPr>
          <w:lang w:val="en-NZ"/>
        </w:rPr>
        <w:t>are funded through a capped appropriation</w:t>
      </w:r>
      <w:r>
        <w:rPr>
          <w:lang w:val="en-NZ"/>
        </w:rPr>
        <w:t>. This type of appropriation</w:t>
      </w:r>
      <w:r w:rsidR="00A94309">
        <w:rPr>
          <w:lang w:val="en-NZ"/>
        </w:rPr>
        <w:t xml:space="preserve"> means that </w:t>
      </w:r>
      <w:r>
        <w:rPr>
          <w:lang w:val="en-NZ"/>
        </w:rPr>
        <w:t xml:space="preserve">if demand increases above the available cap, </w:t>
      </w:r>
      <w:r w:rsidR="00A94309">
        <w:rPr>
          <w:lang w:val="en-NZ"/>
        </w:rPr>
        <w:t>funding can be exhausted. To limit the number of payments made,</w:t>
      </w:r>
      <w:r>
        <w:rPr>
          <w:lang w:val="en-NZ"/>
        </w:rPr>
        <w:t xml:space="preserve"> </w:t>
      </w:r>
      <w:proofErr w:type="gramStart"/>
      <w:r>
        <w:rPr>
          <w:lang w:val="en-NZ"/>
        </w:rPr>
        <w:t>in order to</w:t>
      </w:r>
      <w:proofErr w:type="gramEnd"/>
      <w:r>
        <w:rPr>
          <w:lang w:val="en-NZ"/>
        </w:rPr>
        <w:t xml:space="preserve"> qualify for an HSPs, clients must not be able to receive an Advance or RAP. If clients do qualify for hardship assistance, they are not eligible for an HSP, excluding them from more generous support. </w:t>
      </w:r>
      <w:r w:rsidR="00802FD2">
        <w:rPr>
          <w:lang w:val="en-NZ"/>
        </w:rPr>
        <w:t xml:space="preserve">Graph </w:t>
      </w:r>
      <w:r w:rsidR="00967EA1">
        <w:rPr>
          <w:lang w:val="en-NZ"/>
        </w:rPr>
        <w:t>O</w:t>
      </w:r>
      <w:r w:rsidR="00802FD2">
        <w:rPr>
          <w:lang w:val="en-NZ"/>
        </w:rPr>
        <w:t>ne shows the income limit inequity between hardship assistance and HSPs</w:t>
      </w:r>
      <w:r w:rsidR="00967EA1">
        <w:rPr>
          <w:lang w:val="en-NZ"/>
        </w:rPr>
        <w:t xml:space="preserve"> (1 April 2018)</w:t>
      </w:r>
      <w:r w:rsidR="00802FD2">
        <w:rPr>
          <w:lang w:val="en-NZ"/>
        </w:rPr>
        <w:t>.</w:t>
      </w:r>
    </w:p>
    <w:p w14:paraId="6716EFAE" w14:textId="3741DFE1" w:rsidR="003D2C63" w:rsidRDefault="003D2C63" w:rsidP="008A2AA6">
      <w:pPr>
        <w:rPr>
          <w:lang w:val="en-NZ"/>
        </w:rPr>
      </w:pPr>
    </w:p>
    <w:p w14:paraId="4D93C0BC" w14:textId="321B3ED4" w:rsidR="00CD7B1C" w:rsidRPr="00E977E9" w:rsidRDefault="00CD7B1C" w:rsidP="008A2AA6">
      <w:pPr>
        <w:rPr>
          <w:rFonts w:cs="Arial"/>
          <w:i/>
          <w:iCs/>
          <w:szCs w:val="18"/>
          <w:lang w:val="en-NZ" w:eastAsia="ja-JP"/>
        </w:rPr>
      </w:pPr>
      <w:r w:rsidRPr="00E977E9">
        <w:rPr>
          <w:rFonts w:cs="Arial"/>
          <w:i/>
          <w:iCs/>
          <w:szCs w:val="18"/>
          <w:lang w:val="en-NZ" w:eastAsia="ja-JP"/>
        </w:rPr>
        <w:t xml:space="preserve">Graph </w:t>
      </w:r>
      <w:r w:rsidR="005F2A39" w:rsidRPr="00E977E9">
        <w:rPr>
          <w:rFonts w:cs="Arial"/>
          <w:i/>
          <w:iCs/>
          <w:szCs w:val="18"/>
          <w:lang w:val="en-NZ" w:eastAsia="ja-JP"/>
        </w:rPr>
        <w:t>O</w:t>
      </w:r>
      <w:r w:rsidRPr="00E977E9">
        <w:rPr>
          <w:rFonts w:cs="Arial"/>
          <w:i/>
          <w:iCs/>
          <w:szCs w:val="18"/>
          <w:lang w:val="en-NZ" w:eastAsia="ja-JP"/>
        </w:rPr>
        <w:t xml:space="preserve">ne: </w:t>
      </w:r>
      <w:r w:rsidR="00D643DE">
        <w:rPr>
          <w:rFonts w:cs="Arial"/>
          <w:i/>
          <w:iCs/>
          <w:szCs w:val="18"/>
          <w:lang w:val="en-NZ" w:eastAsia="ja-JP"/>
        </w:rPr>
        <w:t>C</w:t>
      </w:r>
      <w:r w:rsidRPr="00E977E9">
        <w:rPr>
          <w:rFonts w:cs="Arial"/>
          <w:i/>
          <w:iCs/>
          <w:szCs w:val="18"/>
          <w:lang w:val="en-NZ" w:eastAsia="ja-JP"/>
        </w:rPr>
        <w:t xml:space="preserve">omparison of income limits </w:t>
      </w:r>
      <w:r w:rsidR="00D643DE">
        <w:rPr>
          <w:rFonts w:cs="Arial"/>
          <w:i/>
          <w:iCs/>
          <w:szCs w:val="18"/>
          <w:lang w:val="en-NZ" w:eastAsia="ja-JP"/>
        </w:rPr>
        <w:t xml:space="preserve">between </w:t>
      </w:r>
      <w:r w:rsidRPr="00E977E9">
        <w:rPr>
          <w:rFonts w:cs="Arial"/>
          <w:i/>
          <w:iCs/>
          <w:szCs w:val="18"/>
          <w:lang w:val="en-NZ" w:eastAsia="ja-JP"/>
        </w:rPr>
        <w:t>Advances</w:t>
      </w:r>
      <w:r w:rsidR="00D643DE">
        <w:rPr>
          <w:rFonts w:cs="Arial"/>
          <w:i/>
          <w:iCs/>
          <w:szCs w:val="18"/>
          <w:lang w:val="en-NZ" w:eastAsia="ja-JP"/>
        </w:rPr>
        <w:t>/</w:t>
      </w:r>
      <w:r w:rsidRPr="00E977E9">
        <w:rPr>
          <w:rFonts w:cs="Arial"/>
          <w:i/>
          <w:iCs/>
          <w:szCs w:val="18"/>
          <w:lang w:val="en-NZ" w:eastAsia="ja-JP"/>
        </w:rPr>
        <w:t>RAPs and HSPs</w:t>
      </w:r>
      <w:r w:rsidR="00967EA1">
        <w:rPr>
          <w:rFonts w:cs="Arial"/>
          <w:i/>
          <w:iCs/>
          <w:szCs w:val="18"/>
          <w:lang w:val="en-NZ" w:eastAsia="ja-JP"/>
        </w:rPr>
        <w:t xml:space="preserve"> (2021)</w:t>
      </w:r>
    </w:p>
    <w:p w14:paraId="4FAFE697" w14:textId="66336EAF" w:rsidR="00CD7B1C" w:rsidRDefault="00CD7B1C" w:rsidP="008A2AA6">
      <w:pPr>
        <w:rPr>
          <w:lang w:val="en-NZ"/>
        </w:rPr>
      </w:pPr>
      <w:r>
        <w:rPr>
          <w:noProof/>
        </w:rPr>
        <w:drawing>
          <wp:inline distT="0" distB="0" distL="0" distR="0" wp14:anchorId="25A264BE" wp14:editId="650258E0">
            <wp:extent cx="5154930" cy="2877835"/>
            <wp:effectExtent l="0" t="0" r="7620" b="17780"/>
            <wp:docPr id="2" name="Chart 2">
              <a:extLst xmlns:a="http://schemas.openxmlformats.org/drawingml/2006/main">
                <a:ext uri="{FF2B5EF4-FFF2-40B4-BE49-F238E27FC236}">
                  <a16:creationId xmlns:a16="http://schemas.microsoft.com/office/drawing/2014/main" id="{89180024-22B1-4353-8F19-5E548B5347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E2A1DDE" w14:textId="77777777" w:rsidR="00A404A1" w:rsidRDefault="00A404A1" w:rsidP="008A2AA6">
      <w:pPr>
        <w:rPr>
          <w:lang w:val="en-NZ"/>
        </w:rPr>
      </w:pPr>
    </w:p>
    <w:p w14:paraId="2E31D347" w14:textId="00DC3835" w:rsidR="00200886" w:rsidRDefault="00200886" w:rsidP="00A404A1">
      <w:pPr>
        <w:rPr>
          <w:lang w:val="en-NZ"/>
        </w:rPr>
      </w:pPr>
    </w:p>
    <w:p w14:paraId="1B650AD2" w14:textId="77777777" w:rsidR="00B76AC4" w:rsidRDefault="00B76AC4" w:rsidP="00A404A1">
      <w:pPr>
        <w:rPr>
          <w:lang w:val="en-NZ"/>
        </w:rPr>
      </w:pPr>
    </w:p>
    <w:p w14:paraId="34CBA7E5" w14:textId="3D95515A" w:rsidR="00511BF2" w:rsidRPr="00AB64FB" w:rsidRDefault="00511BF2" w:rsidP="00A404A1">
      <w:pPr>
        <w:pStyle w:val="Heading4"/>
        <w:numPr>
          <w:ilvl w:val="0"/>
          <w:numId w:val="35"/>
        </w:numPr>
        <w:rPr>
          <w:color w:val="auto"/>
          <w:lang w:val="en-NZ"/>
        </w:rPr>
      </w:pPr>
      <w:r w:rsidRPr="00AB64FB">
        <w:rPr>
          <w:color w:val="auto"/>
          <w:lang w:val="en-NZ"/>
        </w:rPr>
        <w:t xml:space="preserve">The system is overly complex </w:t>
      </w:r>
    </w:p>
    <w:p w14:paraId="03F4C27A" w14:textId="2FD321C7" w:rsidR="00511BF2" w:rsidRDefault="00511BF2" w:rsidP="00511BF2">
      <w:pPr>
        <w:rPr>
          <w:lang w:val="en-NZ"/>
        </w:rPr>
      </w:pPr>
      <w:r>
        <w:rPr>
          <w:lang w:val="en-NZ"/>
        </w:rPr>
        <w:t xml:space="preserve">In their 2019 Report, the Welfare Expert Advisory Group (WEAG) noted that </w:t>
      </w:r>
      <w:r w:rsidRPr="0023132E">
        <w:rPr>
          <w:lang w:val="en-NZ"/>
        </w:rPr>
        <w:t xml:space="preserve">the income support system </w:t>
      </w:r>
      <w:r>
        <w:rPr>
          <w:lang w:val="en-NZ"/>
        </w:rPr>
        <w:t xml:space="preserve">needs to </w:t>
      </w:r>
      <w:r w:rsidRPr="0023132E">
        <w:rPr>
          <w:lang w:val="en-NZ"/>
        </w:rPr>
        <w:t>be simplified so</w:t>
      </w:r>
      <w:r w:rsidR="005F2A39">
        <w:rPr>
          <w:lang w:val="en-NZ"/>
        </w:rPr>
        <w:t xml:space="preserve"> that</w:t>
      </w:r>
      <w:r w:rsidRPr="0023132E">
        <w:rPr>
          <w:lang w:val="en-NZ"/>
        </w:rPr>
        <w:t xml:space="preserve"> </w:t>
      </w:r>
      <w:r w:rsidR="00BC0BB2">
        <w:rPr>
          <w:lang w:val="en-NZ"/>
        </w:rPr>
        <w:t>clients</w:t>
      </w:r>
      <w:r w:rsidR="00BC0BB2" w:rsidRPr="0023132E">
        <w:rPr>
          <w:lang w:val="en-NZ"/>
        </w:rPr>
        <w:t xml:space="preserve"> </w:t>
      </w:r>
      <w:r w:rsidRPr="0023132E">
        <w:rPr>
          <w:lang w:val="en-NZ"/>
        </w:rPr>
        <w:t xml:space="preserve">and </w:t>
      </w:r>
      <w:r w:rsidR="00BC0BB2">
        <w:rPr>
          <w:lang w:val="en-NZ"/>
        </w:rPr>
        <w:t xml:space="preserve">MSD </w:t>
      </w:r>
      <w:r w:rsidRPr="0023132E">
        <w:rPr>
          <w:lang w:val="en-NZ"/>
        </w:rPr>
        <w:t>staff can more readily engage with the system</w:t>
      </w:r>
      <w:r>
        <w:rPr>
          <w:lang w:val="en-NZ"/>
        </w:rPr>
        <w:t xml:space="preserve">. Having three different programmes (Advances, RAPs and HSPs) for one-off housing-related payments makes the system non-transparent for clients and complicated </w:t>
      </w:r>
      <w:r w:rsidR="006F51EC">
        <w:rPr>
          <w:lang w:val="en-NZ"/>
        </w:rPr>
        <w:t xml:space="preserve">for </w:t>
      </w:r>
      <w:r>
        <w:rPr>
          <w:lang w:val="en-NZ"/>
        </w:rPr>
        <w:t xml:space="preserve">staff to administer. </w:t>
      </w:r>
    </w:p>
    <w:p w14:paraId="782D93AA" w14:textId="6EE4DE1E" w:rsidR="009B431C" w:rsidRDefault="009B431C" w:rsidP="00511BF2">
      <w:pPr>
        <w:rPr>
          <w:lang w:val="en-NZ"/>
        </w:rPr>
      </w:pPr>
      <w:r w:rsidRPr="002705E1">
        <w:rPr>
          <w:lang w:val="en-NZ"/>
        </w:rPr>
        <w:t xml:space="preserve">The </w:t>
      </w:r>
      <w:r>
        <w:rPr>
          <w:lang w:val="en-NZ"/>
        </w:rPr>
        <w:t xml:space="preserve">multiple programmes </w:t>
      </w:r>
      <w:r w:rsidRPr="002705E1">
        <w:rPr>
          <w:lang w:val="en-NZ"/>
        </w:rPr>
        <w:t>for housing assistance</w:t>
      </w:r>
      <w:r>
        <w:rPr>
          <w:lang w:val="en-NZ"/>
        </w:rPr>
        <w:t xml:space="preserve"> and the various policy settings to consider create complexity when MSD staff are administering support. MSD staff </w:t>
      </w:r>
      <w:r w:rsidR="00B1101D">
        <w:rPr>
          <w:lang w:val="en-NZ"/>
        </w:rPr>
        <w:t xml:space="preserve">have </w:t>
      </w:r>
      <w:r>
        <w:rPr>
          <w:lang w:val="en-NZ"/>
        </w:rPr>
        <w:t>indicate</w:t>
      </w:r>
      <w:r w:rsidR="00B1101D">
        <w:rPr>
          <w:lang w:val="en-NZ"/>
        </w:rPr>
        <w:t>d</w:t>
      </w:r>
      <w:r>
        <w:rPr>
          <w:lang w:val="en-NZ"/>
        </w:rPr>
        <w:t xml:space="preserve"> that HSPs are </w:t>
      </w:r>
      <w:r w:rsidR="00B1101D">
        <w:rPr>
          <w:lang w:val="en-NZ"/>
        </w:rPr>
        <w:t xml:space="preserve">particularly </w:t>
      </w:r>
      <w:r>
        <w:rPr>
          <w:lang w:val="en-NZ"/>
        </w:rPr>
        <w:t xml:space="preserve">difficult to use as the </w:t>
      </w:r>
      <w:r w:rsidR="00BC0BB2">
        <w:rPr>
          <w:lang w:val="en-NZ"/>
        </w:rPr>
        <w:t xml:space="preserve">current </w:t>
      </w:r>
      <w:r>
        <w:rPr>
          <w:lang w:val="en-NZ"/>
        </w:rPr>
        <w:t xml:space="preserve">IT system </w:t>
      </w:r>
      <w:r w:rsidR="00BC0BB2">
        <w:rPr>
          <w:lang w:val="en-NZ"/>
        </w:rPr>
        <w:t xml:space="preserve">was </w:t>
      </w:r>
      <w:r>
        <w:rPr>
          <w:lang w:val="en-NZ"/>
        </w:rPr>
        <w:t>designed to reflect the policy intent of HSPs being a payment of last resort</w:t>
      </w:r>
      <w:r w:rsidR="00B1101D">
        <w:rPr>
          <w:lang w:val="en-NZ"/>
        </w:rPr>
        <w:t xml:space="preserve"> (there are more steps for staff to complete before granting an HSP)</w:t>
      </w:r>
      <w:r>
        <w:rPr>
          <w:lang w:val="en-NZ"/>
        </w:rPr>
        <w:t>.</w:t>
      </w:r>
    </w:p>
    <w:p w14:paraId="32562C77" w14:textId="3FE33A53" w:rsidR="00A404A1" w:rsidRDefault="00A404A1" w:rsidP="00511BF2">
      <w:pPr>
        <w:rPr>
          <w:lang w:val="en-NZ"/>
        </w:rPr>
      </w:pPr>
      <w:r>
        <w:rPr>
          <w:lang w:val="en-NZ"/>
        </w:rPr>
        <w:t>Evidence of administrative complexity was seen following the</w:t>
      </w:r>
      <w:r w:rsidR="006460C5">
        <w:rPr>
          <w:lang w:val="en-NZ"/>
        </w:rPr>
        <w:t xml:space="preserve"> introduction of</w:t>
      </w:r>
      <w:r>
        <w:rPr>
          <w:lang w:val="en-NZ"/>
        </w:rPr>
        <w:t xml:space="preserve"> </w:t>
      </w:r>
      <w:r w:rsidR="006460C5">
        <w:rPr>
          <w:lang w:val="en-NZ"/>
        </w:rPr>
        <w:t xml:space="preserve">temporary changes made </w:t>
      </w:r>
      <w:r w:rsidR="005F2A39">
        <w:rPr>
          <w:lang w:val="en-NZ"/>
        </w:rPr>
        <w:t xml:space="preserve">to </w:t>
      </w:r>
      <w:r w:rsidR="006460C5">
        <w:rPr>
          <w:lang w:val="en-NZ"/>
        </w:rPr>
        <w:t xml:space="preserve">the </w:t>
      </w:r>
      <w:r w:rsidR="005F2A39">
        <w:rPr>
          <w:lang w:val="en-NZ"/>
        </w:rPr>
        <w:t xml:space="preserve">(recoverable) </w:t>
      </w:r>
      <w:r w:rsidR="006460C5">
        <w:rPr>
          <w:lang w:val="en-NZ"/>
        </w:rPr>
        <w:t>rent arrears HSP in July 2020.</w:t>
      </w:r>
      <w:r w:rsidR="006460C5" w:rsidRPr="006460C5">
        <w:rPr>
          <w:lang w:val="en-NZ"/>
        </w:rPr>
        <w:t xml:space="preserve"> </w:t>
      </w:r>
      <w:r w:rsidR="00BC0BB2">
        <w:rPr>
          <w:lang w:val="en-NZ"/>
        </w:rPr>
        <w:t>As part of the</w:t>
      </w:r>
      <w:r w:rsidR="005F2A39">
        <w:rPr>
          <w:lang w:val="en-NZ"/>
        </w:rPr>
        <w:t xml:space="preserve"> Government’s</w:t>
      </w:r>
      <w:r w:rsidR="00BC0BB2">
        <w:rPr>
          <w:lang w:val="en-NZ"/>
        </w:rPr>
        <w:t xml:space="preserve"> COVID-19 response, t</w:t>
      </w:r>
      <w:r w:rsidR="006460C5">
        <w:rPr>
          <w:lang w:val="en-NZ"/>
        </w:rPr>
        <w:t>he changes enabled clients to be able to receive up to $4,000 in the first instance.</w:t>
      </w:r>
      <w:r w:rsidR="006460C5">
        <w:rPr>
          <w:rStyle w:val="FootnoteReference"/>
          <w:lang w:val="en-NZ"/>
        </w:rPr>
        <w:footnoteReference w:id="10"/>
      </w:r>
      <w:r w:rsidR="006460C5">
        <w:rPr>
          <w:lang w:val="en-NZ"/>
        </w:rPr>
        <w:t xml:space="preserve"> The changes also enabled Advances and RAPs clients to receive assistance </w:t>
      </w:r>
      <w:r w:rsidR="00D643DE">
        <w:rPr>
          <w:lang w:val="en-NZ"/>
        </w:rPr>
        <w:t>for</w:t>
      </w:r>
      <w:r w:rsidR="00BC0BB2">
        <w:rPr>
          <w:lang w:val="en-NZ"/>
        </w:rPr>
        <w:t xml:space="preserve"> rent arrears via the HSP programme </w:t>
      </w:r>
      <w:r w:rsidR="006460C5">
        <w:rPr>
          <w:lang w:val="en-NZ"/>
        </w:rPr>
        <w:t xml:space="preserve">without it impacting on their maximum </w:t>
      </w:r>
      <w:r w:rsidR="00B11BE1">
        <w:rPr>
          <w:lang w:val="en-NZ"/>
        </w:rPr>
        <w:t xml:space="preserve">Advance/RAP balance </w:t>
      </w:r>
      <w:r w:rsidR="006460C5">
        <w:rPr>
          <w:lang w:val="en-NZ"/>
        </w:rPr>
        <w:t xml:space="preserve">(six weeks of the applicable main benefit for Advances clients and $600 for RAPs clients). </w:t>
      </w:r>
      <w:r w:rsidR="007C63CC" w:rsidRPr="001607C2">
        <w:rPr>
          <w:lang w:val="en-NZ"/>
        </w:rPr>
        <w:t>Following the implementation of</w:t>
      </w:r>
      <w:r w:rsidR="006460C5" w:rsidRPr="001607C2">
        <w:rPr>
          <w:lang w:val="en-NZ"/>
        </w:rPr>
        <w:t xml:space="preserve"> these policy changes, Advances and RAPs rent arrears payments only reduced</w:t>
      </w:r>
      <w:r w:rsidR="005F2A39">
        <w:rPr>
          <w:lang w:val="en-NZ"/>
        </w:rPr>
        <w:t xml:space="preserve"> by</w:t>
      </w:r>
      <w:r w:rsidR="006460C5" w:rsidRPr="001607C2">
        <w:rPr>
          <w:lang w:val="en-NZ"/>
        </w:rPr>
        <w:t xml:space="preserve"> 19 percent, despite it being </w:t>
      </w:r>
      <w:r w:rsidR="007C63CC" w:rsidRPr="001607C2">
        <w:rPr>
          <w:lang w:val="en-NZ"/>
        </w:rPr>
        <w:t>preferable</w:t>
      </w:r>
      <w:r w:rsidR="006460C5" w:rsidRPr="001607C2">
        <w:rPr>
          <w:lang w:val="en-NZ"/>
        </w:rPr>
        <w:t xml:space="preserve"> for </w:t>
      </w:r>
      <w:r w:rsidR="007C63CC" w:rsidRPr="001607C2">
        <w:rPr>
          <w:lang w:val="en-NZ"/>
        </w:rPr>
        <w:t>every</w:t>
      </w:r>
      <w:r w:rsidR="006460C5" w:rsidRPr="001607C2">
        <w:rPr>
          <w:lang w:val="en-NZ"/>
        </w:rPr>
        <w:t xml:space="preserve"> client to receive an HSP</w:t>
      </w:r>
      <w:r w:rsidR="007C63CC" w:rsidRPr="001607C2">
        <w:rPr>
          <w:lang w:val="en-NZ"/>
        </w:rPr>
        <w:t xml:space="preserve"> over an Advance or RAP</w:t>
      </w:r>
      <w:r w:rsidR="001607C2" w:rsidRPr="001607C2">
        <w:rPr>
          <w:lang w:val="en-NZ"/>
        </w:rPr>
        <w:t xml:space="preserve">, </w:t>
      </w:r>
      <w:proofErr w:type="gramStart"/>
      <w:r w:rsidR="001607C2" w:rsidRPr="001607C2">
        <w:rPr>
          <w:lang w:val="en-NZ"/>
        </w:rPr>
        <w:t>so as to</w:t>
      </w:r>
      <w:proofErr w:type="gramEnd"/>
      <w:r w:rsidR="001607C2" w:rsidRPr="001607C2">
        <w:rPr>
          <w:lang w:val="en-NZ"/>
        </w:rPr>
        <w:t xml:space="preserve"> not</w:t>
      </w:r>
      <w:r w:rsidR="006460C5" w:rsidRPr="001607C2">
        <w:rPr>
          <w:lang w:val="en-NZ"/>
        </w:rPr>
        <w:t xml:space="preserve"> impact on </w:t>
      </w:r>
      <w:r w:rsidR="001607C2" w:rsidRPr="001607C2">
        <w:rPr>
          <w:lang w:val="en-NZ"/>
        </w:rPr>
        <w:t>their</w:t>
      </w:r>
      <w:r w:rsidR="006460C5" w:rsidRPr="001607C2">
        <w:rPr>
          <w:lang w:val="en-NZ"/>
        </w:rPr>
        <w:t xml:space="preserve"> overall </w:t>
      </w:r>
      <w:r w:rsidR="00B11BE1">
        <w:rPr>
          <w:lang w:val="en-NZ"/>
        </w:rPr>
        <w:t>Advance/RAP balance</w:t>
      </w:r>
      <w:r w:rsidR="001607C2" w:rsidRPr="001607C2">
        <w:rPr>
          <w:lang w:val="en-NZ"/>
        </w:rPr>
        <w:t>. C</w:t>
      </w:r>
      <w:r w:rsidR="006460C5" w:rsidRPr="001607C2">
        <w:rPr>
          <w:lang w:val="en-NZ"/>
        </w:rPr>
        <w:t>lients who did not receive a</w:t>
      </w:r>
      <w:r w:rsidR="002C165B">
        <w:rPr>
          <w:lang w:val="en-NZ"/>
        </w:rPr>
        <w:t xml:space="preserve"> </w:t>
      </w:r>
      <w:r w:rsidR="006460C5" w:rsidRPr="001607C2">
        <w:rPr>
          <w:lang w:val="en-NZ"/>
        </w:rPr>
        <w:t xml:space="preserve">rent arrears </w:t>
      </w:r>
      <w:r w:rsidR="002C165B" w:rsidRPr="001607C2">
        <w:rPr>
          <w:lang w:val="en-NZ"/>
        </w:rPr>
        <w:t xml:space="preserve">HSP </w:t>
      </w:r>
      <w:r w:rsidR="00B11BE1" w:rsidRPr="001607C2">
        <w:rPr>
          <w:lang w:val="en-NZ"/>
        </w:rPr>
        <w:t>payment</w:t>
      </w:r>
      <w:r w:rsidR="001607C2" w:rsidRPr="001607C2">
        <w:rPr>
          <w:lang w:val="en-NZ"/>
        </w:rPr>
        <w:t xml:space="preserve"> but </w:t>
      </w:r>
      <w:r w:rsidR="005F2A39">
        <w:rPr>
          <w:lang w:val="en-NZ"/>
        </w:rPr>
        <w:t xml:space="preserve">received </w:t>
      </w:r>
      <w:r w:rsidR="001607C2" w:rsidRPr="001607C2">
        <w:rPr>
          <w:lang w:val="en-NZ"/>
        </w:rPr>
        <w:t xml:space="preserve">an Advance or RAP instead were </w:t>
      </w:r>
      <w:r w:rsidR="006460C5" w:rsidRPr="001607C2">
        <w:rPr>
          <w:lang w:val="en-NZ"/>
        </w:rPr>
        <w:t xml:space="preserve">potentially </w:t>
      </w:r>
      <w:r w:rsidR="001607C2" w:rsidRPr="001607C2">
        <w:rPr>
          <w:lang w:val="en-NZ"/>
        </w:rPr>
        <w:t>prevented</w:t>
      </w:r>
      <w:r w:rsidR="006460C5" w:rsidRPr="001607C2">
        <w:rPr>
          <w:lang w:val="en-NZ"/>
        </w:rPr>
        <w:t xml:space="preserve"> from accessing hardship assistance for other essential items</w:t>
      </w:r>
      <w:r w:rsidR="001607C2" w:rsidRPr="001607C2">
        <w:rPr>
          <w:lang w:val="en-NZ"/>
        </w:rPr>
        <w:t xml:space="preserve"> due to </w:t>
      </w:r>
      <w:r w:rsidR="002C165B">
        <w:rPr>
          <w:lang w:val="en-NZ"/>
        </w:rPr>
        <w:t>that assistance counting towards their Advance or RAP balance</w:t>
      </w:r>
      <w:r w:rsidR="006460C5" w:rsidRPr="001607C2">
        <w:rPr>
          <w:lang w:val="en-NZ"/>
        </w:rPr>
        <w:t xml:space="preserve">. The temporary HSPs rent arrears assistance changes are </w:t>
      </w:r>
      <w:r w:rsidR="00D643DE">
        <w:rPr>
          <w:lang w:val="en-NZ"/>
        </w:rPr>
        <w:t>evidence</w:t>
      </w:r>
      <w:r w:rsidR="006460C5" w:rsidRPr="001607C2">
        <w:rPr>
          <w:lang w:val="en-NZ"/>
        </w:rPr>
        <w:t xml:space="preserve"> of the system being complicated and confusing for staff, to the extent that clients are receiving less favourable assistance.</w:t>
      </w:r>
    </w:p>
    <w:p w14:paraId="4455EC6C" w14:textId="302544E7" w:rsidR="00185632" w:rsidRDefault="00D643DE" w:rsidP="00511BF2">
      <w:pPr>
        <w:rPr>
          <w:lang w:val="en-NZ"/>
        </w:rPr>
      </w:pPr>
      <w:r>
        <w:rPr>
          <w:lang w:val="en-NZ"/>
        </w:rPr>
        <w:t>The legislation is also complex. The</w:t>
      </w:r>
      <w:r w:rsidR="00185632" w:rsidRPr="00185632">
        <w:rPr>
          <w:lang w:val="en-NZ"/>
        </w:rPr>
        <w:t xml:space="preserve"> </w:t>
      </w:r>
      <w:r w:rsidR="00185632">
        <w:rPr>
          <w:lang w:val="en-NZ"/>
        </w:rPr>
        <w:t>financial assistance available is set out in three different pieces of secondary legislation</w:t>
      </w:r>
      <w:r w:rsidR="00BC0BB2">
        <w:rPr>
          <w:lang w:val="en-NZ"/>
        </w:rPr>
        <w:t xml:space="preserve"> under the Social Security Act 2018</w:t>
      </w:r>
      <w:r w:rsidR="00185632">
        <w:rPr>
          <w:lang w:val="en-NZ"/>
        </w:rPr>
        <w:t>:</w:t>
      </w:r>
    </w:p>
    <w:p w14:paraId="6EAFBB0E" w14:textId="70B7963C" w:rsidR="00185632" w:rsidRPr="003B0729" w:rsidRDefault="00185632" w:rsidP="005F2A39">
      <w:pPr>
        <w:pStyle w:val="ListParagraph"/>
        <w:numPr>
          <w:ilvl w:val="0"/>
          <w:numId w:val="44"/>
        </w:numPr>
        <w:ind w:left="1077" w:hanging="357"/>
        <w:contextualSpacing w:val="0"/>
        <w:rPr>
          <w:lang w:val="en-NZ"/>
        </w:rPr>
      </w:pPr>
      <w:r w:rsidRPr="003B0729">
        <w:rPr>
          <w:lang w:val="en-NZ"/>
        </w:rPr>
        <w:t xml:space="preserve">Housing Support Assistance </w:t>
      </w:r>
      <w:r w:rsidR="00BC0BB2">
        <w:rPr>
          <w:lang w:val="en-NZ"/>
        </w:rPr>
        <w:t xml:space="preserve">Welfare </w:t>
      </w:r>
      <w:r w:rsidRPr="003B0729">
        <w:rPr>
          <w:lang w:val="en-NZ"/>
        </w:rPr>
        <w:t>Programme</w:t>
      </w:r>
      <w:r>
        <w:rPr>
          <w:lang w:val="en-NZ"/>
        </w:rPr>
        <w:t xml:space="preserve"> (for HSPs)</w:t>
      </w:r>
      <w:r w:rsidRPr="003B0729">
        <w:rPr>
          <w:lang w:val="en-NZ"/>
        </w:rPr>
        <w:t xml:space="preserve"> </w:t>
      </w:r>
    </w:p>
    <w:p w14:paraId="54C92DDB" w14:textId="2FA242B1" w:rsidR="00185632" w:rsidRPr="003B0729" w:rsidRDefault="00185632" w:rsidP="005F2A39">
      <w:pPr>
        <w:pStyle w:val="ListParagraph"/>
        <w:numPr>
          <w:ilvl w:val="0"/>
          <w:numId w:val="44"/>
        </w:numPr>
        <w:ind w:left="1077" w:hanging="357"/>
        <w:contextualSpacing w:val="0"/>
        <w:rPr>
          <w:lang w:val="en-NZ"/>
        </w:rPr>
      </w:pPr>
      <w:r>
        <w:rPr>
          <w:lang w:val="en-NZ"/>
        </w:rPr>
        <w:t xml:space="preserve">The </w:t>
      </w:r>
      <w:r w:rsidR="00B11BE1">
        <w:rPr>
          <w:lang w:val="en-NZ"/>
        </w:rPr>
        <w:t xml:space="preserve">Ministerial </w:t>
      </w:r>
      <w:r w:rsidRPr="00185632">
        <w:rPr>
          <w:lang w:val="en-NZ"/>
        </w:rPr>
        <w:t>Direction on Advance Payments of Instalments of Benefit</w:t>
      </w:r>
      <w:r w:rsidRPr="003B0729">
        <w:rPr>
          <w:lang w:val="en-NZ"/>
        </w:rPr>
        <w:t xml:space="preserve"> </w:t>
      </w:r>
      <w:r w:rsidR="00BC0BB2">
        <w:rPr>
          <w:lang w:val="en-NZ"/>
        </w:rPr>
        <w:t>(for Advances)</w:t>
      </w:r>
    </w:p>
    <w:p w14:paraId="44F1158E" w14:textId="2F2EE1A7" w:rsidR="00185632" w:rsidRPr="003B0729" w:rsidRDefault="00185632" w:rsidP="005F2A39">
      <w:pPr>
        <w:pStyle w:val="ListParagraph"/>
        <w:numPr>
          <w:ilvl w:val="0"/>
          <w:numId w:val="44"/>
        </w:numPr>
        <w:ind w:left="1077" w:hanging="357"/>
        <w:contextualSpacing w:val="0"/>
        <w:rPr>
          <w:lang w:val="en-NZ"/>
        </w:rPr>
      </w:pPr>
      <w:r>
        <w:rPr>
          <w:lang w:val="en-NZ"/>
        </w:rPr>
        <w:t xml:space="preserve">The </w:t>
      </w:r>
      <w:r w:rsidRPr="00185632">
        <w:rPr>
          <w:lang w:val="en-NZ"/>
        </w:rPr>
        <w:t xml:space="preserve">Recoverable Assistance </w:t>
      </w:r>
      <w:r w:rsidR="00BC0BB2">
        <w:rPr>
          <w:lang w:val="en-NZ"/>
        </w:rPr>
        <w:t xml:space="preserve">Welfare </w:t>
      </w:r>
      <w:r w:rsidRPr="00185632">
        <w:rPr>
          <w:lang w:val="en-NZ"/>
        </w:rPr>
        <w:t>Programme</w:t>
      </w:r>
      <w:r w:rsidRPr="003B0729">
        <w:rPr>
          <w:lang w:val="en-NZ"/>
        </w:rPr>
        <w:t xml:space="preserve"> </w:t>
      </w:r>
      <w:r w:rsidR="00BC0BB2">
        <w:rPr>
          <w:lang w:val="en-NZ"/>
        </w:rPr>
        <w:t>(for RAPs)</w:t>
      </w:r>
      <w:r w:rsidR="00E977E9">
        <w:rPr>
          <w:lang w:val="en-NZ"/>
        </w:rPr>
        <w:t>.</w:t>
      </w:r>
    </w:p>
    <w:p w14:paraId="1CA4004A" w14:textId="0FDC12CD" w:rsidR="00185632" w:rsidRDefault="000E1D97" w:rsidP="00511BF2">
      <w:pPr>
        <w:rPr>
          <w:lang w:val="en-NZ"/>
        </w:rPr>
      </w:pPr>
      <w:r>
        <w:rPr>
          <w:lang w:val="en-NZ"/>
        </w:rPr>
        <w:t xml:space="preserve">Having multiple </w:t>
      </w:r>
      <w:r w:rsidR="00D643DE">
        <w:rPr>
          <w:lang w:val="en-NZ"/>
        </w:rPr>
        <w:t>pieces of secondary legislation</w:t>
      </w:r>
      <w:r w:rsidR="00D643DE" w:rsidRPr="00185632">
        <w:rPr>
          <w:lang w:val="en-NZ"/>
        </w:rPr>
        <w:t xml:space="preserve"> </w:t>
      </w:r>
      <w:r w:rsidR="00185632">
        <w:rPr>
          <w:lang w:val="en-NZ"/>
        </w:rPr>
        <w:t xml:space="preserve">for the same types of housing-related costs </w:t>
      </w:r>
      <w:r w:rsidR="00185632" w:rsidRPr="00185632">
        <w:rPr>
          <w:lang w:val="en-NZ"/>
        </w:rPr>
        <w:t xml:space="preserve">contributes to complexities in understanding and administering </w:t>
      </w:r>
      <w:r w:rsidR="00185632">
        <w:rPr>
          <w:lang w:val="en-NZ"/>
        </w:rPr>
        <w:t xml:space="preserve">the available </w:t>
      </w:r>
      <w:proofErr w:type="gramStart"/>
      <w:r w:rsidR="00185632">
        <w:rPr>
          <w:lang w:val="en-NZ"/>
        </w:rPr>
        <w:t xml:space="preserve">support, </w:t>
      </w:r>
      <w:r>
        <w:rPr>
          <w:lang w:val="en-NZ"/>
        </w:rPr>
        <w:t>and</w:t>
      </w:r>
      <w:proofErr w:type="gramEnd"/>
      <w:r>
        <w:rPr>
          <w:lang w:val="en-NZ"/>
        </w:rPr>
        <w:t xml:space="preserve"> </w:t>
      </w:r>
      <w:r w:rsidR="00185632" w:rsidRPr="00185632">
        <w:rPr>
          <w:lang w:val="en-NZ"/>
        </w:rPr>
        <w:t>create</w:t>
      </w:r>
      <w:r>
        <w:rPr>
          <w:lang w:val="en-NZ"/>
        </w:rPr>
        <w:t>s</w:t>
      </w:r>
      <w:r w:rsidR="00185632" w:rsidRPr="00185632">
        <w:rPr>
          <w:lang w:val="en-NZ"/>
        </w:rPr>
        <w:t xml:space="preserve"> challenges to keeping </w:t>
      </w:r>
      <w:r>
        <w:rPr>
          <w:lang w:val="en-NZ"/>
        </w:rPr>
        <w:t>those settings up</w:t>
      </w:r>
      <w:r w:rsidR="00185632" w:rsidRPr="00185632">
        <w:rPr>
          <w:lang w:val="en-NZ"/>
        </w:rPr>
        <w:t xml:space="preserve"> to date and fit for purpose.</w:t>
      </w:r>
    </w:p>
    <w:p w14:paraId="5FD58455" w14:textId="2B7BF05F" w:rsidR="00511BF2" w:rsidRDefault="009F5C43" w:rsidP="00511BF2">
      <w:pPr>
        <w:rPr>
          <w:lang w:val="en-NZ"/>
        </w:rPr>
      </w:pPr>
      <w:r>
        <w:rPr>
          <w:lang w:val="en-NZ"/>
        </w:rPr>
        <w:t>From a client perspective, t</w:t>
      </w:r>
      <w:r w:rsidR="00157847">
        <w:rPr>
          <w:lang w:val="en-NZ"/>
        </w:rPr>
        <w:t xml:space="preserve">he multiple programmes </w:t>
      </w:r>
      <w:r>
        <w:rPr>
          <w:lang w:val="en-NZ"/>
        </w:rPr>
        <w:t xml:space="preserve">can </w:t>
      </w:r>
      <w:r w:rsidR="00157847">
        <w:rPr>
          <w:lang w:val="en-NZ"/>
        </w:rPr>
        <w:t>make available support non-</w:t>
      </w:r>
      <w:r w:rsidR="00F37A24">
        <w:rPr>
          <w:lang w:val="en-NZ"/>
        </w:rPr>
        <w:t>transparent</w:t>
      </w:r>
      <w:r w:rsidR="00157847">
        <w:rPr>
          <w:lang w:val="en-NZ"/>
        </w:rPr>
        <w:t>. E</w:t>
      </w:r>
      <w:r w:rsidR="00511BF2">
        <w:rPr>
          <w:lang w:val="en-NZ"/>
        </w:rPr>
        <w:t xml:space="preserve">ach programme has different eligibility criteria, </w:t>
      </w:r>
      <w:proofErr w:type="gramStart"/>
      <w:r w:rsidR="00511BF2">
        <w:rPr>
          <w:lang w:val="en-NZ"/>
        </w:rPr>
        <w:t>obligations</w:t>
      </w:r>
      <w:proofErr w:type="gramEnd"/>
      <w:r w:rsidR="00511BF2">
        <w:rPr>
          <w:lang w:val="en-NZ"/>
        </w:rPr>
        <w:t xml:space="preserve"> and payment settings. At first gla</w:t>
      </w:r>
      <w:r w:rsidR="00D74047">
        <w:rPr>
          <w:lang w:val="en-NZ"/>
        </w:rPr>
        <w:t>n</w:t>
      </w:r>
      <w:r w:rsidR="00511BF2">
        <w:rPr>
          <w:lang w:val="en-NZ"/>
        </w:rPr>
        <w:t xml:space="preserve">ce </w:t>
      </w:r>
      <w:r>
        <w:rPr>
          <w:lang w:val="en-NZ"/>
        </w:rPr>
        <w:t>lower-income households</w:t>
      </w:r>
      <w:r w:rsidR="00511BF2">
        <w:rPr>
          <w:lang w:val="en-NZ"/>
        </w:rPr>
        <w:t xml:space="preserve"> who come under the income and asset limits for HSPs can qualify for assistance, however the ‘payment of last resort’ setting excludes any client who </w:t>
      </w:r>
      <w:r w:rsidR="00BC0BB2">
        <w:rPr>
          <w:lang w:val="en-NZ"/>
        </w:rPr>
        <w:t xml:space="preserve">would otherwise qualify </w:t>
      </w:r>
      <w:r w:rsidR="00511BF2">
        <w:rPr>
          <w:lang w:val="en-NZ"/>
        </w:rPr>
        <w:t xml:space="preserve">for an Advance or RAP. The </w:t>
      </w:r>
      <w:r w:rsidR="00897E2B">
        <w:rPr>
          <w:lang w:val="en-NZ"/>
        </w:rPr>
        <w:t xml:space="preserve">complexity of the system leads to a </w:t>
      </w:r>
      <w:r w:rsidR="00811ABE">
        <w:rPr>
          <w:lang w:val="en-NZ"/>
        </w:rPr>
        <w:t xml:space="preserve">lack </w:t>
      </w:r>
      <w:r w:rsidR="00802FD2">
        <w:rPr>
          <w:lang w:val="en-NZ"/>
        </w:rPr>
        <w:t xml:space="preserve">of </w:t>
      </w:r>
      <w:r w:rsidR="00811ABE">
        <w:rPr>
          <w:lang w:val="en-NZ"/>
        </w:rPr>
        <w:t>clarity</w:t>
      </w:r>
      <w:r w:rsidR="00897E2B">
        <w:rPr>
          <w:lang w:val="en-NZ"/>
        </w:rPr>
        <w:t xml:space="preserve"> around what support is available, </w:t>
      </w:r>
      <w:r w:rsidR="00511BF2">
        <w:rPr>
          <w:lang w:val="en-NZ"/>
        </w:rPr>
        <w:t>requir</w:t>
      </w:r>
      <w:r w:rsidR="00897E2B">
        <w:rPr>
          <w:lang w:val="en-NZ"/>
        </w:rPr>
        <w:t>ing</w:t>
      </w:r>
      <w:r w:rsidR="00511BF2">
        <w:rPr>
          <w:lang w:val="en-NZ"/>
        </w:rPr>
        <w:t xml:space="preserve"> detailed knowledge of the system to understand </w:t>
      </w:r>
      <w:r w:rsidR="00897E2B">
        <w:rPr>
          <w:lang w:val="en-NZ"/>
        </w:rPr>
        <w:t>how it works</w:t>
      </w:r>
      <w:r w:rsidR="00511BF2">
        <w:rPr>
          <w:lang w:val="en-NZ"/>
        </w:rPr>
        <w:t>. It is likely that the complexity of the programmes is preventing take-up among eligible clients from being higher</w:t>
      </w:r>
      <w:r w:rsidR="00157847">
        <w:rPr>
          <w:lang w:val="en-NZ"/>
        </w:rPr>
        <w:t xml:space="preserve">, particularly among </w:t>
      </w:r>
      <w:proofErr w:type="gramStart"/>
      <w:r w:rsidR="00157847">
        <w:rPr>
          <w:lang w:val="en-NZ"/>
        </w:rPr>
        <w:t>lower-income</w:t>
      </w:r>
      <w:proofErr w:type="gramEnd"/>
      <w:r w:rsidR="00157847">
        <w:rPr>
          <w:lang w:val="en-NZ"/>
        </w:rPr>
        <w:t xml:space="preserve"> working households (eligible for RAPs and HSPs)</w:t>
      </w:r>
      <w:r w:rsidR="005F2A39">
        <w:rPr>
          <w:lang w:val="en-NZ"/>
        </w:rPr>
        <w:t>.</w:t>
      </w:r>
    </w:p>
    <w:p w14:paraId="6B24B414" w14:textId="77777777" w:rsidR="009F5C43" w:rsidRDefault="009F5C43" w:rsidP="00511BF2">
      <w:pPr>
        <w:rPr>
          <w:lang w:val="en-NZ"/>
        </w:rPr>
      </w:pPr>
    </w:p>
    <w:p w14:paraId="44A2B9E8" w14:textId="6988D27D" w:rsidR="007B0025" w:rsidRPr="00AB64FB" w:rsidRDefault="007B0025" w:rsidP="001607C2">
      <w:pPr>
        <w:pStyle w:val="Heading4"/>
        <w:numPr>
          <w:ilvl w:val="0"/>
          <w:numId w:val="35"/>
        </w:numPr>
        <w:rPr>
          <w:color w:val="auto"/>
          <w:lang w:val="en-NZ"/>
        </w:rPr>
      </w:pPr>
      <w:r w:rsidRPr="00AB64FB">
        <w:rPr>
          <w:color w:val="auto"/>
          <w:lang w:val="en-NZ"/>
        </w:rPr>
        <w:lastRenderedPageBreak/>
        <w:t>There are likely gaps in the support currently available</w:t>
      </w:r>
    </w:p>
    <w:p w14:paraId="6F5A97C2" w14:textId="6D7A6359" w:rsidR="002E2F27" w:rsidRDefault="007B0025" w:rsidP="002E2F27">
      <w:pPr>
        <w:rPr>
          <w:lang w:val="en-NZ"/>
        </w:rPr>
      </w:pPr>
      <w:r>
        <w:rPr>
          <w:lang w:val="en-NZ"/>
        </w:rPr>
        <w:t xml:space="preserve">The housing-related hardship cost categories (bond, rent in advance and rent arrears) and the payments available through HSPs are well-defined and prescriptive. The current categories do not enable costs to be covered where there is no available grant. </w:t>
      </w:r>
      <w:r w:rsidR="002E2F27">
        <w:rPr>
          <w:lang w:val="en-NZ"/>
        </w:rPr>
        <w:t xml:space="preserve">Examples of costs not currently </w:t>
      </w:r>
      <w:r w:rsidR="00811ABE">
        <w:rPr>
          <w:lang w:val="en-NZ"/>
        </w:rPr>
        <w:t xml:space="preserve">covered </w:t>
      </w:r>
      <w:r w:rsidR="002E2F27">
        <w:rPr>
          <w:lang w:val="en-NZ"/>
        </w:rPr>
        <w:t>include</w:t>
      </w:r>
      <w:r w:rsidR="005F2A39">
        <w:rPr>
          <w:lang w:val="en-NZ"/>
        </w:rPr>
        <w:t xml:space="preserve"> the following</w:t>
      </w:r>
      <w:r w:rsidR="002E2F27">
        <w:rPr>
          <w:lang w:val="en-NZ"/>
        </w:rPr>
        <w:t>:</w:t>
      </w:r>
    </w:p>
    <w:p w14:paraId="159AD618" w14:textId="5E1CE787" w:rsidR="002456C4" w:rsidRPr="002E2F27" w:rsidRDefault="002E2F27" w:rsidP="001010F8">
      <w:pPr>
        <w:pStyle w:val="ListParagraph"/>
        <w:numPr>
          <w:ilvl w:val="0"/>
          <w:numId w:val="38"/>
        </w:numPr>
        <w:rPr>
          <w:lang w:val="en-NZ"/>
        </w:rPr>
      </w:pPr>
      <w:r>
        <w:rPr>
          <w:lang w:val="en-NZ"/>
        </w:rPr>
        <w:t>S</w:t>
      </w:r>
      <w:r w:rsidR="002456C4" w:rsidRPr="002E2F27">
        <w:rPr>
          <w:lang w:val="en-NZ"/>
        </w:rPr>
        <w:t xml:space="preserve">upporting emergency housing clients to access and sustain accommodation in the private rental market. Emergency housing clients are in </w:t>
      </w:r>
      <w:r w:rsidR="00811ABE">
        <w:rPr>
          <w:lang w:val="en-NZ"/>
        </w:rPr>
        <w:t xml:space="preserve">a </w:t>
      </w:r>
      <w:r w:rsidR="002456C4" w:rsidRPr="002E2F27">
        <w:rPr>
          <w:lang w:val="en-NZ"/>
        </w:rPr>
        <w:t xml:space="preserve">precarious housing situation. </w:t>
      </w:r>
      <w:r w:rsidR="00F57FEB" w:rsidRPr="002E2F27">
        <w:rPr>
          <w:lang w:val="en-NZ"/>
        </w:rPr>
        <w:t xml:space="preserve">Clients in emergency housing </w:t>
      </w:r>
      <w:r w:rsidR="00811ABE">
        <w:rPr>
          <w:lang w:val="en-NZ"/>
        </w:rPr>
        <w:t xml:space="preserve">often </w:t>
      </w:r>
      <w:r w:rsidR="00F57FEB" w:rsidRPr="002E2F27">
        <w:rPr>
          <w:lang w:val="en-NZ"/>
        </w:rPr>
        <w:t>face additional costs that clients in a private rental do not</w:t>
      </w:r>
      <w:r w:rsidR="006014D0">
        <w:rPr>
          <w:lang w:val="en-NZ"/>
        </w:rPr>
        <w:t>, for example, storage costs</w:t>
      </w:r>
      <w:r w:rsidR="00F57FEB" w:rsidRPr="002E2F27">
        <w:rPr>
          <w:lang w:val="en-NZ"/>
        </w:rPr>
        <w:t xml:space="preserve">. </w:t>
      </w:r>
    </w:p>
    <w:p w14:paraId="506CC840" w14:textId="347C0195" w:rsidR="00F57FEB" w:rsidRDefault="002E2F27" w:rsidP="002456C4">
      <w:pPr>
        <w:pStyle w:val="ListParagraph"/>
        <w:numPr>
          <w:ilvl w:val="0"/>
          <w:numId w:val="37"/>
        </w:numPr>
        <w:rPr>
          <w:lang w:val="en-NZ"/>
        </w:rPr>
      </w:pPr>
      <w:r>
        <w:rPr>
          <w:lang w:val="en-NZ"/>
        </w:rPr>
        <w:t xml:space="preserve">Supporting tenants who are in a tenancy to maintain the property in a reasonable condition </w:t>
      </w:r>
      <w:proofErr w:type="gramStart"/>
      <w:r>
        <w:rPr>
          <w:lang w:val="en-NZ"/>
        </w:rPr>
        <w:t>so as to</w:t>
      </w:r>
      <w:proofErr w:type="gramEnd"/>
      <w:r>
        <w:rPr>
          <w:lang w:val="en-NZ"/>
        </w:rPr>
        <w:t xml:space="preserve"> avoid eviction.</w:t>
      </w:r>
      <w:r>
        <w:rPr>
          <w:rStyle w:val="FootnoteReference"/>
          <w:lang w:val="en-NZ"/>
        </w:rPr>
        <w:footnoteReference w:id="11"/>
      </w:r>
      <w:r>
        <w:rPr>
          <w:lang w:val="en-NZ"/>
        </w:rPr>
        <w:t xml:space="preserve"> </w:t>
      </w:r>
    </w:p>
    <w:p w14:paraId="52D316B9" w14:textId="6EF14A91" w:rsidR="005F2A39" w:rsidRDefault="002E2F27" w:rsidP="005F2A39">
      <w:pPr>
        <w:pStyle w:val="ListParagraph"/>
        <w:numPr>
          <w:ilvl w:val="0"/>
          <w:numId w:val="37"/>
        </w:numPr>
        <w:rPr>
          <w:lang w:val="en-NZ"/>
        </w:rPr>
      </w:pPr>
      <w:r>
        <w:rPr>
          <w:lang w:val="en-NZ"/>
        </w:rPr>
        <w:t xml:space="preserve">Supporting </w:t>
      </w:r>
      <w:r w:rsidR="00811ABE">
        <w:rPr>
          <w:lang w:val="en-NZ"/>
        </w:rPr>
        <w:t xml:space="preserve">tenants </w:t>
      </w:r>
      <w:r>
        <w:rPr>
          <w:lang w:val="en-NZ"/>
        </w:rPr>
        <w:t xml:space="preserve">who are in a private tenancy but require </w:t>
      </w:r>
      <w:r w:rsidR="002B004B">
        <w:rPr>
          <w:lang w:val="en-NZ"/>
        </w:rPr>
        <w:t xml:space="preserve">assistance with </w:t>
      </w:r>
      <w:r>
        <w:rPr>
          <w:lang w:val="en-NZ"/>
        </w:rPr>
        <w:t>minor modifications to ensure the property is accessible</w:t>
      </w:r>
      <w:r w:rsidR="00E977E9">
        <w:rPr>
          <w:lang w:val="en-NZ"/>
        </w:rPr>
        <w:t>.</w:t>
      </w:r>
      <w:r>
        <w:rPr>
          <w:rStyle w:val="FootnoteReference"/>
          <w:lang w:val="en-NZ"/>
        </w:rPr>
        <w:footnoteReference w:id="12"/>
      </w:r>
    </w:p>
    <w:p w14:paraId="20CF6679" w14:textId="77777777" w:rsidR="005F2A39" w:rsidRPr="005F2A39" w:rsidRDefault="005F2A39" w:rsidP="005F2A39">
      <w:pPr>
        <w:pStyle w:val="ListParagraph"/>
        <w:ind w:left="720"/>
        <w:rPr>
          <w:lang w:val="en-NZ"/>
        </w:rPr>
      </w:pPr>
    </w:p>
    <w:p w14:paraId="73AFA261" w14:textId="729404C9" w:rsidR="002E2F27" w:rsidRPr="00AB64FB" w:rsidRDefault="002E2F27" w:rsidP="001607C2">
      <w:pPr>
        <w:pStyle w:val="Heading4"/>
        <w:numPr>
          <w:ilvl w:val="0"/>
          <w:numId w:val="35"/>
        </w:numPr>
        <w:rPr>
          <w:color w:val="auto"/>
          <w:lang w:val="en-NZ"/>
        </w:rPr>
      </w:pPr>
      <w:r w:rsidRPr="00AB64FB">
        <w:rPr>
          <w:color w:val="auto"/>
          <w:lang w:val="en-NZ"/>
        </w:rPr>
        <w:t>Other minor policy issues with current programmes</w:t>
      </w:r>
    </w:p>
    <w:p w14:paraId="33F54F36" w14:textId="632996FA" w:rsidR="002E2F27" w:rsidRDefault="002E2F27" w:rsidP="002E2F27">
      <w:pPr>
        <w:rPr>
          <w:lang w:val="en-NZ"/>
        </w:rPr>
      </w:pPr>
      <w:r>
        <w:rPr>
          <w:lang w:val="en-NZ"/>
        </w:rPr>
        <w:t xml:space="preserve">There are </w:t>
      </w:r>
      <w:r w:rsidR="005F2A39">
        <w:rPr>
          <w:lang w:val="en-NZ"/>
        </w:rPr>
        <w:t xml:space="preserve">issues with </w:t>
      </w:r>
      <w:r>
        <w:rPr>
          <w:lang w:val="en-NZ"/>
        </w:rPr>
        <w:t>minor policy settings under the current HSPs programme:</w:t>
      </w:r>
    </w:p>
    <w:p w14:paraId="64EC9AB7" w14:textId="53DD2391" w:rsidR="002E2F27" w:rsidRPr="007C63CC" w:rsidRDefault="00A65088" w:rsidP="002E2F27">
      <w:pPr>
        <w:pStyle w:val="ListParagraph"/>
        <w:numPr>
          <w:ilvl w:val="0"/>
          <w:numId w:val="25"/>
        </w:numPr>
        <w:ind w:left="714" w:hanging="357"/>
        <w:contextualSpacing w:val="0"/>
      </w:pPr>
      <w:r>
        <w:t>T</w:t>
      </w:r>
      <w:r w:rsidR="002E2F27">
        <w:t>he duration of Tenancy Costs Cover</w:t>
      </w:r>
      <w:r>
        <w:t xml:space="preserve"> </w:t>
      </w:r>
      <w:r w:rsidR="002E2F27" w:rsidRPr="00705EFA">
        <w:t>is currently available once per tenancy, and only if tenancy has ended within 12 months of commencement</w:t>
      </w:r>
      <w:r w:rsidR="002B004B">
        <w:t xml:space="preserve"> is the landlord able to receive payment</w:t>
      </w:r>
      <w:r w:rsidR="002E2F27" w:rsidRPr="00705EFA">
        <w:t xml:space="preserve">. </w:t>
      </w:r>
      <w:r w:rsidR="003835E5">
        <w:t>This setting may be inhibiting landlords from renting to certain clients due to a perceived risk they may cause damage to the property after a period of 12 months. E</w:t>
      </w:r>
      <w:r w:rsidR="002E2F27">
        <w:t xml:space="preserve">xtending </w:t>
      </w:r>
      <w:r w:rsidR="002E2F27" w:rsidRPr="00705EFA">
        <w:t xml:space="preserve">this type of cover for the entire length of the tenancy </w:t>
      </w:r>
      <w:r>
        <w:t>would</w:t>
      </w:r>
      <w:r w:rsidR="002E2F27" w:rsidRPr="00705EFA">
        <w:t xml:space="preserve"> give the landlord higher security over any additional costs (not covered by the bond) that may need to be paid for at the end </w:t>
      </w:r>
      <w:r w:rsidR="002E2F27" w:rsidRPr="007C63CC">
        <w:t>of the tenancy.</w:t>
      </w:r>
    </w:p>
    <w:p w14:paraId="509010D7" w14:textId="56AE4E6F" w:rsidR="002E2F27" w:rsidRPr="00FA34BA" w:rsidRDefault="003835E5" w:rsidP="002E2F27">
      <w:pPr>
        <w:pStyle w:val="ListParagraph"/>
        <w:numPr>
          <w:ilvl w:val="0"/>
          <w:numId w:val="25"/>
        </w:numPr>
        <w:ind w:left="714" w:hanging="357"/>
        <w:contextualSpacing w:val="0"/>
      </w:pPr>
      <w:r w:rsidRPr="007C63CC">
        <w:t>Advances and RAPs settings enable boarders</w:t>
      </w:r>
      <w:r w:rsidR="00BD509D">
        <w:t xml:space="preserve"> (and other shared housing situations)</w:t>
      </w:r>
      <w:r w:rsidRPr="007C63CC">
        <w:t xml:space="preserve"> to receive housing-related assistance, however HSPs settings exclude this group. </w:t>
      </w:r>
      <w:r w:rsidR="007C63CC">
        <w:t xml:space="preserve">To be eligible for an HSP a client must </w:t>
      </w:r>
      <w:r w:rsidR="007C63CC" w:rsidRPr="007C63CC">
        <w:t>be a signatory of a tenancy agreement</w:t>
      </w:r>
      <w:r w:rsidR="007C63CC">
        <w:t xml:space="preserve">. </w:t>
      </w:r>
      <w:r w:rsidRPr="007C63CC">
        <w:t xml:space="preserve">There are likely </w:t>
      </w:r>
      <w:proofErr w:type="gramStart"/>
      <w:r w:rsidRPr="007C63CC">
        <w:t>lower-income</w:t>
      </w:r>
      <w:proofErr w:type="gramEnd"/>
      <w:r w:rsidRPr="007C63CC">
        <w:t xml:space="preserve"> working households boarding </w:t>
      </w:r>
      <w:r w:rsidR="007C63CC">
        <w:t>missing out on support since they</w:t>
      </w:r>
      <w:r w:rsidRPr="007C63CC">
        <w:t xml:space="preserve"> </w:t>
      </w:r>
      <w:r w:rsidR="002B004B">
        <w:t xml:space="preserve">do </w:t>
      </w:r>
      <w:r w:rsidRPr="007C63CC">
        <w:t xml:space="preserve">not qualify RAPs due to their income or assets and </w:t>
      </w:r>
      <w:r w:rsidR="002B004B">
        <w:t>also</w:t>
      </w:r>
      <w:r w:rsidR="005F2A39">
        <w:t xml:space="preserve"> do not</w:t>
      </w:r>
      <w:r w:rsidRPr="007C63CC">
        <w:t xml:space="preserve"> qualify for HSPs due to the requirement to be a signatory of a tenancy agreement. </w:t>
      </w:r>
      <w:r w:rsidR="007C63CC">
        <w:t xml:space="preserve"> </w:t>
      </w:r>
    </w:p>
    <w:p w14:paraId="6D8A74CC" w14:textId="540F07B7" w:rsidR="002E2F27" w:rsidRDefault="002E2F27" w:rsidP="003835E5">
      <w:pPr>
        <w:rPr>
          <w:lang w:val="en-NZ"/>
        </w:rPr>
      </w:pPr>
    </w:p>
    <w:p w14:paraId="3EC75AF4" w14:textId="7803DD2D" w:rsidR="005F2A39" w:rsidRDefault="005F2A39" w:rsidP="003835E5">
      <w:pPr>
        <w:rPr>
          <w:lang w:val="en-NZ"/>
        </w:rPr>
      </w:pPr>
    </w:p>
    <w:p w14:paraId="4748F3EB" w14:textId="54C25FDA" w:rsidR="002B004B" w:rsidRDefault="002B004B" w:rsidP="003835E5">
      <w:pPr>
        <w:rPr>
          <w:lang w:val="en-NZ"/>
        </w:rPr>
      </w:pPr>
    </w:p>
    <w:p w14:paraId="3FE41419" w14:textId="2BE3DE1F" w:rsidR="002B004B" w:rsidRDefault="002B004B" w:rsidP="003835E5">
      <w:pPr>
        <w:rPr>
          <w:lang w:val="en-NZ"/>
        </w:rPr>
      </w:pPr>
    </w:p>
    <w:p w14:paraId="5FCD1956" w14:textId="5A51DC6C" w:rsidR="002B004B" w:rsidRDefault="002B004B" w:rsidP="003835E5">
      <w:pPr>
        <w:rPr>
          <w:lang w:val="en-NZ"/>
        </w:rPr>
      </w:pPr>
    </w:p>
    <w:p w14:paraId="1181EF75" w14:textId="40CC1546" w:rsidR="002B004B" w:rsidRDefault="002B004B" w:rsidP="003835E5">
      <w:pPr>
        <w:rPr>
          <w:lang w:val="en-NZ"/>
        </w:rPr>
      </w:pPr>
    </w:p>
    <w:p w14:paraId="7058F9FD" w14:textId="77777777" w:rsidR="002B004B" w:rsidRPr="002E2F27" w:rsidRDefault="002B004B" w:rsidP="003835E5">
      <w:pPr>
        <w:rPr>
          <w:lang w:val="en-NZ"/>
        </w:rPr>
      </w:pPr>
    </w:p>
    <w:p w14:paraId="59BB5BCF" w14:textId="16E9F0CF" w:rsidR="007037C4" w:rsidRPr="00847E6E" w:rsidRDefault="007037C4" w:rsidP="00715855">
      <w:pPr>
        <w:pStyle w:val="Heading3"/>
        <w:spacing w:before="360"/>
        <w:rPr>
          <w:lang w:val="en-NZ"/>
        </w:rPr>
      </w:pPr>
      <w:r w:rsidRPr="00A864A5">
        <w:rPr>
          <w:lang w:val="en-NZ"/>
        </w:rPr>
        <w:lastRenderedPageBreak/>
        <w:t xml:space="preserve">What objectives </w:t>
      </w:r>
      <w:r w:rsidR="00CB08AA">
        <w:rPr>
          <w:lang w:val="en-NZ"/>
        </w:rPr>
        <w:t xml:space="preserve">are </w:t>
      </w:r>
      <w:r w:rsidR="00D6670E">
        <w:rPr>
          <w:lang w:val="en-NZ"/>
        </w:rPr>
        <w:t>sought</w:t>
      </w:r>
      <w:r w:rsidRPr="00A864A5">
        <w:rPr>
          <w:lang w:val="en-NZ"/>
        </w:rPr>
        <w:t xml:space="preserve"> in relation to th</w:t>
      </w:r>
      <w:r w:rsidR="0052670F">
        <w:rPr>
          <w:lang w:val="en-NZ"/>
        </w:rPr>
        <w:t>e</w:t>
      </w:r>
      <w:r w:rsidRPr="00A864A5">
        <w:rPr>
          <w:lang w:val="en-NZ"/>
        </w:rPr>
        <w:t xml:space="preserve"> policy problem?</w:t>
      </w:r>
    </w:p>
    <w:bookmarkEnd w:id="5"/>
    <w:bookmarkEnd w:id="6"/>
    <w:bookmarkEnd w:id="7"/>
    <w:bookmarkEnd w:id="8"/>
    <w:bookmarkEnd w:id="9"/>
    <w:p w14:paraId="6BAD29D8" w14:textId="59B10A7D" w:rsidR="00380BF0" w:rsidRPr="00380BF0" w:rsidRDefault="00380BF0" w:rsidP="00380BF0">
      <w:pPr>
        <w:jc w:val="both"/>
        <w:rPr>
          <w:lang w:val="en-NZ"/>
        </w:rPr>
      </w:pPr>
      <w:r w:rsidRPr="00380BF0">
        <w:rPr>
          <w:lang w:val="en-NZ"/>
        </w:rPr>
        <w:t xml:space="preserve">To improve </w:t>
      </w:r>
      <w:r w:rsidR="00811ABE">
        <w:rPr>
          <w:lang w:val="en-NZ"/>
        </w:rPr>
        <w:t>the availability of housing-related support</w:t>
      </w:r>
      <w:r w:rsidRPr="00380BF0">
        <w:rPr>
          <w:lang w:val="en-NZ"/>
        </w:rPr>
        <w:t xml:space="preserve">, </w:t>
      </w:r>
      <w:r w:rsidR="00352F2F">
        <w:rPr>
          <w:lang w:val="en-NZ"/>
        </w:rPr>
        <w:t>MSD and HUD</w:t>
      </w:r>
      <w:r w:rsidR="00352F2F" w:rsidRPr="00380BF0">
        <w:rPr>
          <w:lang w:val="en-NZ"/>
        </w:rPr>
        <w:t xml:space="preserve"> </w:t>
      </w:r>
      <w:r w:rsidRPr="00380BF0">
        <w:rPr>
          <w:lang w:val="en-NZ"/>
        </w:rPr>
        <w:t xml:space="preserve">have </w:t>
      </w:r>
      <w:r w:rsidR="00F37A24">
        <w:rPr>
          <w:lang w:val="en-NZ"/>
        </w:rPr>
        <w:t>developed</w:t>
      </w:r>
      <w:r w:rsidRPr="00380BF0">
        <w:rPr>
          <w:lang w:val="en-NZ"/>
        </w:rPr>
        <w:t xml:space="preserve"> an initiative </w:t>
      </w:r>
      <w:r w:rsidR="003835E5">
        <w:rPr>
          <w:lang w:val="en-NZ"/>
        </w:rPr>
        <w:t>for</w:t>
      </w:r>
      <w:r w:rsidR="00A07067">
        <w:rPr>
          <w:lang w:val="en-NZ"/>
        </w:rPr>
        <w:t xml:space="preserve"> </w:t>
      </w:r>
      <w:r w:rsidR="00811ABE">
        <w:rPr>
          <w:lang w:val="en-NZ"/>
        </w:rPr>
        <w:t>Cabinet consideration</w:t>
      </w:r>
      <w:r w:rsidRPr="00380BF0">
        <w:rPr>
          <w:lang w:val="en-NZ"/>
        </w:rPr>
        <w:t xml:space="preserve"> </w:t>
      </w:r>
      <w:r w:rsidR="00B84F32">
        <w:rPr>
          <w:lang w:val="en-NZ"/>
        </w:rPr>
        <w:t xml:space="preserve">which aims </w:t>
      </w:r>
      <w:r>
        <w:rPr>
          <w:lang w:val="en-NZ"/>
        </w:rPr>
        <w:t xml:space="preserve">to achieve the following objectives: </w:t>
      </w:r>
    </w:p>
    <w:p w14:paraId="6D2B2ED7" w14:textId="01DC3A55" w:rsidR="00380BF0" w:rsidRPr="00380BF0" w:rsidRDefault="005F2A39" w:rsidP="00084332">
      <w:pPr>
        <w:pStyle w:val="ListParagraph"/>
        <w:numPr>
          <w:ilvl w:val="0"/>
          <w:numId w:val="6"/>
        </w:numPr>
        <w:ind w:left="714" w:hanging="357"/>
        <w:contextualSpacing w:val="0"/>
        <w:jc w:val="both"/>
        <w:rPr>
          <w:lang w:val="en-NZ"/>
        </w:rPr>
      </w:pPr>
      <w:r w:rsidRPr="00380BF0">
        <w:rPr>
          <w:lang w:val="en-NZ"/>
        </w:rPr>
        <w:t>E</w:t>
      </w:r>
      <w:r w:rsidR="00380BF0" w:rsidRPr="00380BF0">
        <w:rPr>
          <w:lang w:val="en-NZ"/>
        </w:rPr>
        <w:t>nsur</w:t>
      </w:r>
      <w:r w:rsidR="002B004B">
        <w:rPr>
          <w:lang w:val="en-NZ"/>
        </w:rPr>
        <w:t>e</w:t>
      </w:r>
      <w:r w:rsidR="006014D0">
        <w:rPr>
          <w:lang w:val="en-NZ"/>
        </w:rPr>
        <w:t xml:space="preserve"> </w:t>
      </w:r>
      <w:r>
        <w:rPr>
          <w:lang w:val="en-NZ"/>
        </w:rPr>
        <w:t>that</w:t>
      </w:r>
      <w:r w:rsidR="00380BF0" w:rsidRPr="00380BF0">
        <w:rPr>
          <w:lang w:val="en-NZ"/>
        </w:rPr>
        <w:t xml:space="preserve"> </w:t>
      </w:r>
      <w:r w:rsidR="00703A87">
        <w:rPr>
          <w:lang w:val="en-NZ"/>
        </w:rPr>
        <w:t xml:space="preserve">all housing-related hardship </w:t>
      </w:r>
      <w:r w:rsidR="00380BF0" w:rsidRPr="00380BF0">
        <w:rPr>
          <w:lang w:val="en-NZ"/>
        </w:rPr>
        <w:t xml:space="preserve">assistance </w:t>
      </w:r>
      <w:r w:rsidR="00352F2F" w:rsidRPr="00380BF0">
        <w:rPr>
          <w:lang w:val="en-NZ"/>
        </w:rPr>
        <w:t xml:space="preserve">is adequate in the current rental market  </w:t>
      </w:r>
    </w:p>
    <w:p w14:paraId="2CB0D32F" w14:textId="38AC575A" w:rsidR="00380BF0" w:rsidRPr="00380BF0" w:rsidRDefault="00E939F4" w:rsidP="00084332">
      <w:pPr>
        <w:pStyle w:val="ListParagraph"/>
        <w:numPr>
          <w:ilvl w:val="0"/>
          <w:numId w:val="6"/>
        </w:numPr>
        <w:ind w:left="714" w:hanging="357"/>
        <w:contextualSpacing w:val="0"/>
        <w:jc w:val="both"/>
        <w:rPr>
          <w:lang w:val="en-NZ"/>
        </w:rPr>
      </w:pPr>
      <w:r>
        <w:rPr>
          <w:lang w:val="en-NZ"/>
        </w:rPr>
        <w:t>E</w:t>
      </w:r>
      <w:r w:rsidRPr="00380BF0">
        <w:rPr>
          <w:lang w:val="en-NZ"/>
        </w:rPr>
        <w:t>nsur</w:t>
      </w:r>
      <w:r>
        <w:rPr>
          <w:lang w:val="en-NZ"/>
        </w:rPr>
        <w:t>e</w:t>
      </w:r>
      <w:r w:rsidRPr="00380BF0">
        <w:rPr>
          <w:lang w:val="en-NZ"/>
        </w:rPr>
        <w:t xml:space="preserve"> </w:t>
      </w:r>
      <w:r w:rsidR="005F2A39">
        <w:rPr>
          <w:lang w:val="en-NZ"/>
        </w:rPr>
        <w:t xml:space="preserve">that </w:t>
      </w:r>
      <w:r w:rsidR="00380BF0" w:rsidRPr="00380BF0">
        <w:rPr>
          <w:lang w:val="en-NZ"/>
        </w:rPr>
        <w:t xml:space="preserve">assistance is equitable </w:t>
      </w:r>
      <w:r w:rsidR="00352F2F">
        <w:rPr>
          <w:lang w:val="en-NZ"/>
        </w:rPr>
        <w:t xml:space="preserve">for all eligible households </w:t>
      </w:r>
    </w:p>
    <w:p w14:paraId="60C6CF32" w14:textId="1B984629" w:rsidR="008321F8" w:rsidRDefault="00E939F4" w:rsidP="00983F04">
      <w:pPr>
        <w:pStyle w:val="ListParagraph"/>
        <w:numPr>
          <w:ilvl w:val="0"/>
          <w:numId w:val="6"/>
        </w:numPr>
        <w:ind w:left="714" w:hanging="357"/>
        <w:contextualSpacing w:val="0"/>
        <w:jc w:val="both"/>
        <w:rPr>
          <w:lang w:val="en-NZ"/>
        </w:rPr>
      </w:pPr>
      <w:r>
        <w:rPr>
          <w:lang w:val="en-NZ"/>
        </w:rPr>
        <w:t>E</w:t>
      </w:r>
      <w:r w:rsidRPr="00380BF0">
        <w:rPr>
          <w:lang w:val="en-NZ"/>
        </w:rPr>
        <w:t>nsur</w:t>
      </w:r>
      <w:r>
        <w:rPr>
          <w:lang w:val="en-NZ"/>
        </w:rPr>
        <w:t xml:space="preserve">e </w:t>
      </w:r>
      <w:r w:rsidR="005F2A39">
        <w:rPr>
          <w:lang w:val="en-NZ"/>
        </w:rPr>
        <w:t>that</w:t>
      </w:r>
      <w:r w:rsidR="00380BF0" w:rsidRPr="00380BF0">
        <w:rPr>
          <w:lang w:val="en-NZ"/>
        </w:rPr>
        <w:t xml:space="preserve"> assistance </w:t>
      </w:r>
      <w:r w:rsidR="00352F2F">
        <w:rPr>
          <w:lang w:val="en-NZ"/>
        </w:rPr>
        <w:t xml:space="preserve">is </w:t>
      </w:r>
      <w:r w:rsidR="00811ABE">
        <w:rPr>
          <w:lang w:val="en-NZ"/>
        </w:rPr>
        <w:t xml:space="preserve">and easy to understand for potential clients and </w:t>
      </w:r>
      <w:r w:rsidR="00B84F32">
        <w:rPr>
          <w:lang w:val="en-NZ"/>
        </w:rPr>
        <w:t>simple</w:t>
      </w:r>
      <w:r w:rsidR="00352F2F">
        <w:rPr>
          <w:lang w:val="en-NZ"/>
        </w:rPr>
        <w:t xml:space="preserve"> to administer for MSD staff</w:t>
      </w:r>
      <w:r w:rsidR="005F2A39">
        <w:rPr>
          <w:lang w:val="en-NZ"/>
        </w:rPr>
        <w:t>.</w:t>
      </w:r>
    </w:p>
    <w:p w14:paraId="5DAAA658" w14:textId="77777777" w:rsidR="00AB64FB" w:rsidRPr="00AB64FB" w:rsidRDefault="00AB64FB" w:rsidP="00AB64FB">
      <w:pPr>
        <w:jc w:val="both"/>
        <w:rPr>
          <w:lang w:val="en-NZ"/>
        </w:rPr>
      </w:pPr>
    </w:p>
    <w:p w14:paraId="2B635B3D" w14:textId="7A24A31D" w:rsidR="008321F8" w:rsidRDefault="00F402DF" w:rsidP="00CD4B62">
      <w:pPr>
        <w:pStyle w:val="Heading2"/>
        <w:rPr>
          <w:lang w:val="en-NZ"/>
        </w:rPr>
      </w:pPr>
      <w:r w:rsidRPr="00A864A5">
        <w:rPr>
          <w:lang w:val="en-NZ"/>
        </w:rPr>
        <w:t xml:space="preserve">Section 2: </w:t>
      </w:r>
      <w:r w:rsidR="001C4A82">
        <w:rPr>
          <w:lang w:val="en-NZ"/>
        </w:rPr>
        <w:t xml:space="preserve">Deciding </w:t>
      </w:r>
      <w:r w:rsidR="005275ED">
        <w:rPr>
          <w:lang w:val="en-NZ"/>
        </w:rPr>
        <w:t>upon an option</w:t>
      </w:r>
      <w:r w:rsidR="007336C9">
        <w:rPr>
          <w:lang w:val="en-NZ"/>
        </w:rPr>
        <w:t xml:space="preserve"> </w:t>
      </w:r>
      <w:r w:rsidR="005C38A2">
        <w:rPr>
          <w:lang w:val="en-NZ"/>
        </w:rPr>
        <w:t>to address the policy problem</w:t>
      </w:r>
    </w:p>
    <w:p w14:paraId="3A199392" w14:textId="6935EA4D" w:rsidR="008321F8" w:rsidRDefault="008321F8" w:rsidP="008321F8">
      <w:pPr>
        <w:pStyle w:val="Heading3"/>
        <w:rPr>
          <w:lang w:val="en-NZ"/>
        </w:rPr>
      </w:pPr>
      <w:r w:rsidRPr="00A864A5">
        <w:rPr>
          <w:lang w:val="en-NZ"/>
        </w:rPr>
        <w:t xml:space="preserve">What criteria will </w:t>
      </w:r>
      <w:r w:rsidR="007336C9">
        <w:rPr>
          <w:lang w:val="en-NZ"/>
        </w:rPr>
        <w:t>be used</w:t>
      </w:r>
      <w:r w:rsidR="003A6757">
        <w:rPr>
          <w:lang w:val="en-NZ"/>
        </w:rPr>
        <w:t xml:space="preserve"> to</w:t>
      </w:r>
      <w:r w:rsidRPr="00A864A5">
        <w:rPr>
          <w:lang w:val="en-NZ"/>
        </w:rPr>
        <w:t xml:space="preserve"> </w:t>
      </w:r>
      <w:r w:rsidR="003A6757">
        <w:rPr>
          <w:lang w:val="en-NZ"/>
        </w:rPr>
        <w:t>compare</w:t>
      </w:r>
      <w:r w:rsidRPr="00A864A5">
        <w:rPr>
          <w:lang w:val="en-NZ"/>
        </w:rPr>
        <w:t xml:space="preserve"> options </w:t>
      </w:r>
      <w:r w:rsidR="003A6757">
        <w:rPr>
          <w:lang w:val="en-NZ"/>
        </w:rPr>
        <w:t>to</w:t>
      </w:r>
      <w:r w:rsidRPr="00A864A5">
        <w:rPr>
          <w:lang w:val="en-NZ"/>
        </w:rPr>
        <w:t xml:space="preserve"> the status quo?</w:t>
      </w:r>
    </w:p>
    <w:p w14:paraId="546A68A8" w14:textId="2B4059E4" w:rsidR="00452B4D" w:rsidRDefault="00452B4D" w:rsidP="00452B4D">
      <w:pPr>
        <w:rPr>
          <w:lang w:val="en-NZ"/>
        </w:rPr>
      </w:pPr>
      <w:r>
        <w:rPr>
          <w:lang w:val="en-NZ"/>
        </w:rPr>
        <w:t xml:space="preserve">Each option </w:t>
      </w:r>
      <w:r w:rsidR="00B84F32">
        <w:rPr>
          <w:lang w:val="en-NZ"/>
        </w:rPr>
        <w:t>is</w:t>
      </w:r>
      <w:r>
        <w:rPr>
          <w:lang w:val="en-NZ"/>
        </w:rPr>
        <w:t xml:space="preserve"> assessed against the following criteria to identify the extent to which </w:t>
      </w:r>
      <w:r w:rsidR="00B84F32">
        <w:rPr>
          <w:lang w:val="en-NZ"/>
        </w:rPr>
        <w:t>it</w:t>
      </w:r>
      <w:r>
        <w:rPr>
          <w:lang w:val="en-NZ"/>
        </w:rPr>
        <w:t>:</w:t>
      </w:r>
    </w:p>
    <w:p w14:paraId="44CAF4EE" w14:textId="74565786" w:rsidR="00452B4D" w:rsidRDefault="00E939F4" w:rsidP="00B84F32">
      <w:pPr>
        <w:pStyle w:val="ListParagraph"/>
        <w:numPr>
          <w:ilvl w:val="0"/>
          <w:numId w:val="39"/>
        </w:numPr>
        <w:ind w:left="714" w:hanging="357"/>
        <w:contextualSpacing w:val="0"/>
        <w:rPr>
          <w:lang w:val="en-NZ"/>
        </w:rPr>
      </w:pPr>
      <w:r>
        <w:rPr>
          <w:lang w:val="en-NZ"/>
        </w:rPr>
        <w:t xml:space="preserve">Improves </w:t>
      </w:r>
      <w:r w:rsidR="00452B4D">
        <w:rPr>
          <w:lang w:val="en-NZ"/>
        </w:rPr>
        <w:t xml:space="preserve">housing-related outcomes by supporting more lower-income households to access and sustain a private tenancy, including supporting people </w:t>
      </w:r>
      <w:r w:rsidR="00811ABE">
        <w:rPr>
          <w:lang w:val="en-NZ"/>
        </w:rPr>
        <w:t xml:space="preserve">to remain </w:t>
      </w:r>
      <w:r w:rsidR="00452B4D">
        <w:rPr>
          <w:lang w:val="en-NZ"/>
        </w:rPr>
        <w:t>out of emergency, transitional and public housing</w:t>
      </w:r>
    </w:p>
    <w:p w14:paraId="40A106E7" w14:textId="17B9C1C4" w:rsidR="00452B4D" w:rsidRDefault="00E939F4" w:rsidP="00B84F32">
      <w:pPr>
        <w:pStyle w:val="ListParagraph"/>
        <w:numPr>
          <w:ilvl w:val="0"/>
          <w:numId w:val="39"/>
        </w:numPr>
        <w:ind w:left="714" w:hanging="357"/>
        <w:contextualSpacing w:val="0"/>
        <w:rPr>
          <w:lang w:val="en-NZ"/>
        </w:rPr>
      </w:pPr>
      <w:r>
        <w:rPr>
          <w:lang w:val="en-NZ"/>
        </w:rPr>
        <w:t xml:space="preserve">Improves </w:t>
      </w:r>
      <w:r w:rsidR="00452B4D">
        <w:rPr>
          <w:lang w:val="en-NZ"/>
        </w:rPr>
        <w:t>equity among lower-income households</w:t>
      </w:r>
    </w:p>
    <w:p w14:paraId="4FAABC33" w14:textId="6388878C" w:rsidR="00452B4D" w:rsidRPr="00B11BE1" w:rsidRDefault="00E939F4" w:rsidP="00B11BE1">
      <w:pPr>
        <w:pStyle w:val="ListParagraph"/>
        <w:numPr>
          <w:ilvl w:val="0"/>
          <w:numId w:val="39"/>
        </w:numPr>
        <w:ind w:left="714" w:hanging="357"/>
        <w:contextualSpacing w:val="0"/>
        <w:rPr>
          <w:lang w:val="en-NZ"/>
        </w:rPr>
      </w:pPr>
      <w:r>
        <w:rPr>
          <w:lang w:val="en-NZ"/>
        </w:rPr>
        <w:t xml:space="preserve">Simplifies </w:t>
      </w:r>
      <w:r w:rsidR="00C879A1">
        <w:rPr>
          <w:lang w:val="en-NZ"/>
        </w:rPr>
        <w:t>one-off housing-related payments for staff and lower-income households</w:t>
      </w:r>
    </w:p>
    <w:p w14:paraId="58223096" w14:textId="2AB79A4F" w:rsidR="00452B4D" w:rsidRPr="00452B4D" w:rsidRDefault="00E939F4" w:rsidP="00B84F32">
      <w:pPr>
        <w:pStyle w:val="ListParagraph"/>
        <w:numPr>
          <w:ilvl w:val="0"/>
          <w:numId w:val="39"/>
        </w:numPr>
        <w:ind w:left="714" w:hanging="357"/>
        <w:contextualSpacing w:val="0"/>
        <w:rPr>
          <w:lang w:val="en-NZ"/>
        </w:rPr>
      </w:pPr>
      <w:r>
        <w:rPr>
          <w:lang w:val="en-NZ"/>
        </w:rPr>
        <w:t xml:space="preserve">Is </w:t>
      </w:r>
      <w:r w:rsidR="00452B4D">
        <w:rPr>
          <w:lang w:val="en-NZ"/>
        </w:rPr>
        <w:t xml:space="preserve">feasible, </w:t>
      </w:r>
      <w:r w:rsidR="00F21344">
        <w:rPr>
          <w:lang w:val="en-NZ"/>
        </w:rPr>
        <w:t>in terms of</w:t>
      </w:r>
      <w:r w:rsidR="00452B4D">
        <w:rPr>
          <w:lang w:val="en-NZ"/>
        </w:rPr>
        <w:t xml:space="preserve"> </w:t>
      </w:r>
      <w:r w:rsidR="00983F04">
        <w:rPr>
          <w:lang w:val="en-NZ"/>
        </w:rPr>
        <w:t>implementation</w:t>
      </w:r>
      <w:r w:rsidR="00452B4D">
        <w:rPr>
          <w:lang w:val="en-NZ"/>
        </w:rPr>
        <w:t xml:space="preserve"> and cost</w:t>
      </w:r>
      <w:r w:rsidR="00B11BE1">
        <w:rPr>
          <w:lang w:val="en-NZ"/>
        </w:rPr>
        <w:t>.</w:t>
      </w:r>
    </w:p>
    <w:p w14:paraId="3252D892" w14:textId="6EAB8221" w:rsidR="00E52B84" w:rsidRPr="00CD4B62" w:rsidRDefault="007D78A1" w:rsidP="00CD4B62">
      <w:pPr>
        <w:pStyle w:val="Heading3"/>
        <w:rPr>
          <w:lang w:val="en-NZ"/>
        </w:rPr>
      </w:pPr>
      <w:r w:rsidRPr="00A864A5">
        <w:rPr>
          <w:lang w:val="en-NZ"/>
        </w:rPr>
        <w:t xml:space="preserve">What scope </w:t>
      </w:r>
      <w:r w:rsidR="003A6757">
        <w:rPr>
          <w:lang w:val="en-NZ"/>
        </w:rPr>
        <w:t>will</w:t>
      </w:r>
      <w:r w:rsidRPr="00A864A5">
        <w:rPr>
          <w:lang w:val="en-NZ"/>
        </w:rPr>
        <w:t xml:space="preserve"> </w:t>
      </w:r>
      <w:r w:rsidR="007336C9">
        <w:rPr>
          <w:lang w:val="en-NZ"/>
        </w:rPr>
        <w:t>options be considered</w:t>
      </w:r>
      <w:r w:rsidRPr="00A864A5">
        <w:rPr>
          <w:lang w:val="en-NZ"/>
        </w:rPr>
        <w:t xml:space="preserve"> within?</w:t>
      </w:r>
    </w:p>
    <w:p w14:paraId="0093F832" w14:textId="514BB597" w:rsidR="004772F9" w:rsidRDefault="000C715A" w:rsidP="004772F9">
      <w:pPr>
        <w:rPr>
          <w:lang w:val="en-NZ"/>
        </w:rPr>
      </w:pPr>
      <w:r>
        <w:rPr>
          <w:lang w:val="en-NZ"/>
        </w:rPr>
        <w:t xml:space="preserve">In June 2021, MSD and HUD </w:t>
      </w:r>
      <w:r w:rsidR="006A666B">
        <w:rPr>
          <w:lang w:val="en-NZ"/>
        </w:rPr>
        <w:t>sought Ministers’ direction on the potential scope of the HSPs review.</w:t>
      </w:r>
      <w:r w:rsidR="006A666B">
        <w:rPr>
          <w:rStyle w:val="FootnoteReference"/>
          <w:lang w:val="en-NZ"/>
        </w:rPr>
        <w:footnoteReference w:id="13"/>
      </w:r>
      <w:r w:rsidR="006A666B">
        <w:rPr>
          <w:lang w:val="en-NZ"/>
        </w:rPr>
        <w:t xml:space="preserve"> There were two approaches for consideration:</w:t>
      </w:r>
    </w:p>
    <w:p w14:paraId="4CFEA168" w14:textId="24F4D9AB" w:rsidR="006A666B" w:rsidRDefault="006A666B" w:rsidP="004772F9">
      <w:pPr>
        <w:rPr>
          <w:highlight w:val="green"/>
          <w:lang w:val="en-NZ"/>
        </w:rPr>
      </w:pPr>
      <w:r w:rsidRPr="006A666B">
        <w:rPr>
          <w:b/>
          <w:bCs/>
          <w:lang w:val="en-NZ"/>
        </w:rPr>
        <w:t>Approach One</w:t>
      </w:r>
      <w:r w:rsidRPr="006A666B">
        <w:rPr>
          <w:lang w:val="en-NZ"/>
        </w:rPr>
        <w:t xml:space="preserve"> – Focused changes to existing products in the HSP programme, including increasing the amount and duration of assistance and tweaks to eligibility criteria. Housing-related Hardship Assistance would remain unaltered. This option would focus more on incrementally improving each product and tweaks to operational processes</w:t>
      </w:r>
      <w:r w:rsidR="00983F04">
        <w:rPr>
          <w:lang w:val="en-NZ"/>
        </w:rPr>
        <w:t>.</w:t>
      </w:r>
    </w:p>
    <w:p w14:paraId="0BF00369" w14:textId="0509C597" w:rsidR="004772F9" w:rsidRDefault="004772F9" w:rsidP="004772F9">
      <w:pPr>
        <w:rPr>
          <w:lang w:val="en-NZ"/>
        </w:rPr>
      </w:pPr>
      <w:r w:rsidRPr="006A666B">
        <w:rPr>
          <w:b/>
          <w:bCs/>
          <w:lang w:val="en-NZ"/>
        </w:rPr>
        <w:t>Approach Two</w:t>
      </w:r>
      <w:r w:rsidRPr="004772F9">
        <w:rPr>
          <w:lang w:val="en-NZ"/>
        </w:rPr>
        <w:t xml:space="preserve"> </w:t>
      </w:r>
      <w:r w:rsidRPr="008C32D9">
        <w:rPr>
          <w:b/>
          <w:bCs/>
          <w:lang w:val="en-NZ"/>
        </w:rPr>
        <w:t>(</w:t>
      </w:r>
      <w:r w:rsidR="009F1ED5">
        <w:rPr>
          <w:b/>
          <w:bCs/>
          <w:lang w:val="en-NZ"/>
        </w:rPr>
        <w:t xml:space="preserve">Proposed </w:t>
      </w:r>
      <w:r w:rsidRPr="008C32D9">
        <w:rPr>
          <w:b/>
          <w:bCs/>
          <w:lang w:val="en-NZ"/>
        </w:rPr>
        <w:t xml:space="preserve">approach) </w:t>
      </w:r>
      <w:r w:rsidRPr="004772F9">
        <w:rPr>
          <w:lang w:val="en-NZ"/>
        </w:rPr>
        <w:t>– Comprehensive changes to policy settings for all HSPs, including consideration of merging housing-related Hardship Assistance</w:t>
      </w:r>
      <w:r w:rsidR="009F1ED5">
        <w:rPr>
          <w:lang w:val="en-NZ"/>
        </w:rPr>
        <w:t xml:space="preserve"> (Advances and RAPs) and</w:t>
      </w:r>
      <w:r w:rsidRPr="004772F9">
        <w:rPr>
          <w:lang w:val="en-NZ"/>
        </w:rPr>
        <w:t xml:space="preserve"> HSPs, improving operational systems, uncapping the appropriation, and the introduction of new products. This option would include considering whether current products are fit for purpose to best support lower-income households, </w:t>
      </w:r>
      <w:r w:rsidRPr="00B84F32">
        <w:rPr>
          <w:lang w:val="en-NZ"/>
        </w:rPr>
        <w:t>as well as how any gaps could be filled by reviewing the range of HSPs available</w:t>
      </w:r>
      <w:r w:rsidRPr="004772F9">
        <w:rPr>
          <w:lang w:val="en-NZ"/>
        </w:rPr>
        <w:t xml:space="preserve">, and connections to other prevention work through the Aotearoa New Zealand Homelessness Action Plan. Officials would also consider how to improve products to overcome barriers for landlords to </w:t>
      </w:r>
      <w:r w:rsidR="009F1ED5">
        <w:rPr>
          <w:lang w:val="en-NZ"/>
        </w:rPr>
        <w:t>rent</w:t>
      </w:r>
      <w:r w:rsidR="009F1ED5" w:rsidRPr="004772F9">
        <w:rPr>
          <w:lang w:val="en-NZ"/>
        </w:rPr>
        <w:t xml:space="preserve"> </w:t>
      </w:r>
      <w:r w:rsidRPr="004772F9">
        <w:rPr>
          <w:lang w:val="en-NZ"/>
        </w:rPr>
        <w:t xml:space="preserve">to lower-income households. Operational processes would be overhauled to simplify housing assistance for </w:t>
      </w:r>
      <w:r w:rsidR="009F1ED5">
        <w:rPr>
          <w:lang w:val="en-NZ"/>
        </w:rPr>
        <w:t xml:space="preserve">clients and </w:t>
      </w:r>
      <w:r w:rsidRPr="004772F9">
        <w:rPr>
          <w:lang w:val="en-NZ"/>
        </w:rPr>
        <w:t>MSD frontline staff</w:t>
      </w:r>
      <w:r w:rsidR="009F1ED5">
        <w:rPr>
          <w:lang w:val="en-NZ"/>
        </w:rPr>
        <w:t>.</w:t>
      </w:r>
      <w:r w:rsidRPr="004772F9">
        <w:rPr>
          <w:lang w:val="en-NZ"/>
        </w:rPr>
        <w:t xml:space="preserve"> </w:t>
      </w:r>
    </w:p>
    <w:p w14:paraId="5B23E1AB" w14:textId="17A334FC" w:rsidR="000C715A" w:rsidRDefault="00BF1286" w:rsidP="008C32D9">
      <w:pPr>
        <w:pStyle w:val="Heading3"/>
        <w:rPr>
          <w:lang w:val="en-NZ"/>
        </w:rPr>
      </w:pPr>
      <w:r w:rsidRPr="00A864A5">
        <w:rPr>
          <w:lang w:val="en-NZ"/>
        </w:rPr>
        <w:br w:type="page"/>
      </w:r>
      <w:r w:rsidR="00373851">
        <w:rPr>
          <w:lang w:val="en-NZ"/>
        </w:rPr>
        <w:lastRenderedPageBreak/>
        <w:t xml:space="preserve">What options </w:t>
      </w:r>
      <w:r w:rsidR="003A6757">
        <w:rPr>
          <w:lang w:val="en-NZ"/>
        </w:rPr>
        <w:t xml:space="preserve">are </w:t>
      </w:r>
      <w:r w:rsidR="007336C9">
        <w:rPr>
          <w:lang w:val="en-NZ"/>
        </w:rPr>
        <w:t>being considered</w:t>
      </w:r>
      <w:r w:rsidR="00373851">
        <w:rPr>
          <w:lang w:val="en-NZ"/>
        </w:rPr>
        <w:t>?</w:t>
      </w:r>
    </w:p>
    <w:p w14:paraId="2F93920E" w14:textId="700E3EEF" w:rsidR="00C879A1" w:rsidRPr="00AB64FB" w:rsidRDefault="00C879A1" w:rsidP="00C879A1">
      <w:pPr>
        <w:pStyle w:val="Heading4"/>
        <w:rPr>
          <w:color w:val="auto"/>
          <w:lang w:val="en-NZ"/>
        </w:rPr>
      </w:pPr>
      <w:r w:rsidRPr="00AB64FB">
        <w:rPr>
          <w:color w:val="auto"/>
          <w:lang w:val="en-NZ"/>
        </w:rPr>
        <w:t xml:space="preserve">Option </w:t>
      </w:r>
      <w:r w:rsidR="00936935" w:rsidRPr="00AB64FB">
        <w:rPr>
          <w:color w:val="auto"/>
          <w:lang w:val="en-NZ"/>
        </w:rPr>
        <w:t>O</w:t>
      </w:r>
      <w:r w:rsidRPr="00AB64FB">
        <w:rPr>
          <w:color w:val="auto"/>
          <w:lang w:val="en-NZ"/>
        </w:rPr>
        <w:t xml:space="preserve">ne – status quo </w:t>
      </w:r>
    </w:p>
    <w:p w14:paraId="42CE9E69" w14:textId="5178F4E5" w:rsidR="007C63CC" w:rsidRPr="00A864A5" w:rsidRDefault="00C879A1" w:rsidP="006D691D">
      <w:pPr>
        <w:rPr>
          <w:lang w:val="en-NZ"/>
        </w:rPr>
      </w:pPr>
      <w:r>
        <w:rPr>
          <w:lang w:val="en-NZ"/>
        </w:rPr>
        <w:t>This option proposes no changes to following housing-related financial assistance programmes: Advances, RAPs, HSPs.</w:t>
      </w:r>
    </w:p>
    <w:p w14:paraId="00861FFE" w14:textId="7CA4AF33" w:rsidR="00294646" w:rsidRPr="00AB64FB" w:rsidRDefault="007D78A1" w:rsidP="00EE03E6">
      <w:pPr>
        <w:pStyle w:val="Heading4"/>
        <w:rPr>
          <w:color w:val="auto"/>
          <w:lang w:val="en-NZ"/>
        </w:rPr>
      </w:pPr>
      <w:r w:rsidRPr="00AB64FB">
        <w:rPr>
          <w:color w:val="auto"/>
          <w:lang w:val="en-NZ"/>
        </w:rPr>
        <w:t xml:space="preserve">Option </w:t>
      </w:r>
      <w:r w:rsidR="00936935" w:rsidRPr="00AB64FB">
        <w:rPr>
          <w:color w:val="auto"/>
          <w:lang w:val="en-NZ"/>
        </w:rPr>
        <w:t>T</w:t>
      </w:r>
      <w:r w:rsidR="00C879A1" w:rsidRPr="00AB64FB">
        <w:rPr>
          <w:color w:val="auto"/>
          <w:lang w:val="en-NZ"/>
        </w:rPr>
        <w:t xml:space="preserve">wo </w:t>
      </w:r>
      <w:r w:rsidRPr="00AB64FB">
        <w:rPr>
          <w:color w:val="auto"/>
          <w:lang w:val="en-NZ"/>
        </w:rPr>
        <w:t>–</w:t>
      </w:r>
      <w:r w:rsidR="00807DF0" w:rsidRPr="00AB64FB">
        <w:rPr>
          <w:color w:val="auto"/>
          <w:lang w:val="en-NZ"/>
        </w:rPr>
        <w:t xml:space="preserve"> a </w:t>
      </w:r>
      <w:r w:rsidR="009F1ED5" w:rsidRPr="00AB64FB">
        <w:rPr>
          <w:color w:val="auto"/>
          <w:lang w:val="en-NZ"/>
        </w:rPr>
        <w:t xml:space="preserve">single </w:t>
      </w:r>
      <w:r w:rsidR="00807DF0" w:rsidRPr="00AB64FB">
        <w:rPr>
          <w:color w:val="auto"/>
          <w:lang w:val="en-NZ"/>
        </w:rPr>
        <w:t>new pr</w:t>
      </w:r>
      <w:r w:rsidR="0082636D" w:rsidRPr="00AB64FB">
        <w:rPr>
          <w:color w:val="auto"/>
          <w:lang w:val="en-NZ"/>
        </w:rPr>
        <w:t>o</w:t>
      </w:r>
      <w:r w:rsidR="00807DF0" w:rsidRPr="00AB64FB">
        <w:rPr>
          <w:color w:val="auto"/>
          <w:lang w:val="en-NZ"/>
        </w:rPr>
        <w:t xml:space="preserve">gramme for </w:t>
      </w:r>
      <w:r w:rsidR="009F1ED5" w:rsidRPr="00AB64FB">
        <w:rPr>
          <w:color w:val="auto"/>
          <w:lang w:val="en-NZ"/>
        </w:rPr>
        <w:t xml:space="preserve">all </w:t>
      </w:r>
      <w:r w:rsidR="00807DF0" w:rsidRPr="00AB64FB">
        <w:rPr>
          <w:color w:val="auto"/>
          <w:lang w:val="en-NZ"/>
        </w:rPr>
        <w:t xml:space="preserve">housing-related hardship assistance </w:t>
      </w:r>
    </w:p>
    <w:p w14:paraId="19A70D7A" w14:textId="7FF984AB" w:rsidR="00B84F32" w:rsidRDefault="00E64594" w:rsidP="00B84F32">
      <w:pPr>
        <w:rPr>
          <w:lang w:val="en-NZ" w:eastAsia="en-NZ"/>
        </w:rPr>
      </w:pPr>
      <w:r>
        <w:rPr>
          <w:lang w:val="en-NZ" w:eastAsia="en-NZ"/>
        </w:rPr>
        <w:t xml:space="preserve">Option </w:t>
      </w:r>
      <w:r w:rsidR="002B004B">
        <w:rPr>
          <w:lang w:val="en-NZ" w:eastAsia="en-NZ"/>
        </w:rPr>
        <w:t>T</w:t>
      </w:r>
      <w:r w:rsidR="009F1ED5">
        <w:rPr>
          <w:lang w:val="en-NZ" w:eastAsia="en-NZ"/>
        </w:rPr>
        <w:t xml:space="preserve">wo </w:t>
      </w:r>
      <w:r>
        <w:rPr>
          <w:lang w:val="en-NZ" w:eastAsia="en-NZ"/>
        </w:rPr>
        <w:t xml:space="preserve">is </w:t>
      </w:r>
      <w:r w:rsidR="009F1ED5">
        <w:rPr>
          <w:lang w:val="en-NZ" w:eastAsia="en-NZ"/>
        </w:rPr>
        <w:t xml:space="preserve">the </w:t>
      </w:r>
      <w:r>
        <w:rPr>
          <w:lang w:val="en-NZ" w:eastAsia="en-NZ"/>
        </w:rPr>
        <w:t xml:space="preserve">package developed by </w:t>
      </w:r>
      <w:r w:rsidR="0082636D">
        <w:rPr>
          <w:lang w:val="en-NZ" w:eastAsia="en-NZ"/>
        </w:rPr>
        <w:t xml:space="preserve">MSD and HUD </w:t>
      </w:r>
      <w:r>
        <w:rPr>
          <w:lang w:val="en-NZ" w:eastAsia="en-NZ"/>
        </w:rPr>
        <w:t>officials</w:t>
      </w:r>
      <w:r w:rsidR="0082636D">
        <w:rPr>
          <w:lang w:val="en-NZ" w:eastAsia="en-NZ"/>
        </w:rPr>
        <w:t xml:space="preserve"> for </w:t>
      </w:r>
      <w:r w:rsidR="009F1ED5">
        <w:rPr>
          <w:lang w:val="en-NZ" w:eastAsia="en-NZ"/>
        </w:rPr>
        <w:t>Cabinet consideration</w:t>
      </w:r>
      <w:r w:rsidR="0082636D">
        <w:rPr>
          <w:lang w:val="en-NZ" w:eastAsia="en-NZ"/>
        </w:rPr>
        <w:t xml:space="preserve">. The </w:t>
      </w:r>
      <w:r w:rsidR="00B84F32">
        <w:rPr>
          <w:lang w:val="en-NZ" w:eastAsia="en-NZ"/>
        </w:rPr>
        <w:t>package</w:t>
      </w:r>
      <w:r w:rsidR="0082636D">
        <w:rPr>
          <w:lang w:val="en-NZ" w:eastAsia="en-NZ"/>
        </w:rPr>
        <w:t xml:space="preserve"> comprises of</w:t>
      </w:r>
      <w:r w:rsidR="00B84F32">
        <w:rPr>
          <w:lang w:val="en-NZ" w:eastAsia="en-NZ"/>
        </w:rPr>
        <w:t>:</w:t>
      </w:r>
    </w:p>
    <w:p w14:paraId="7F21D7FA" w14:textId="7D9C5951" w:rsidR="0082636D" w:rsidRPr="00B84F32" w:rsidRDefault="003B1E56" w:rsidP="00F21344">
      <w:pPr>
        <w:pStyle w:val="ListParagraph"/>
        <w:numPr>
          <w:ilvl w:val="0"/>
          <w:numId w:val="42"/>
        </w:numPr>
        <w:contextualSpacing w:val="0"/>
        <w:rPr>
          <w:lang w:val="en-NZ"/>
        </w:rPr>
      </w:pPr>
      <w:r w:rsidRPr="00B84F32">
        <w:rPr>
          <w:lang w:val="en-NZ"/>
        </w:rPr>
        <w:t xml:space="preserve">The creation of a single new welfare programme for all one-off housing-related </w:t>
      </w:r>
      <w:r w:rsidR="00031183">
        <w:rPr>
          <w:lang w:val="en-NZ"/>
        </w:rPr>
        <w:t xml:space="preserve">hardship </w:t>
      </w:r>
      <w:r w:rsidRPr="00B84F32">
        <w:rPr>
          <w:lang w:val="en-NZ"/>
        </w:rPr>
        <w:t>assistance for lower-income households, with one set of eligibility criteria and policy settings (including recoverability settings) comprising of the following payments:</w:t>
      </w:r>
    </w:p>
    <w:p w14:paraId="620FD752" w14:textId="60A7870A" w:rsidR="003B1E56" w:rsidRDefault="006014D0" w:rsidP="00F21344">
      <w:pPr>
        <w:pStyle w:val="ListParagraph"/>
        <w:numPr>
          <w:ilvl w:val="1"/>
          <w:numId w:val="40"/>
        </w:numPr>
        <w:spacing w:after="0"/>
        <w:ind w:left="1434" w:hanging="357"/>
        <w:contextualSpacing w:val="0"/>
        <w:rPr>
          <w:lang w:val="en-NZ"/>
        </w:rPr>
      </w:pPr>
      <w:r>
        <w:rPr>
          <w:lang w:val="en-NZ"/>
        </w:rPr>
        <w:t>Bond Grant</w:t>
      </w:r>
    </w:p>
    <w:p w14:paraId="0810C831" w14:textId="5C773F5A" w:rsidR="003B1E56" w:rsidRDefault="006014D0" w:rsidP="00F21344">
      <w:pPr>
        <w:pStyle w:val="ListParagraph"/>
        <w:numPr>
          <w:ilvl w:val="1"/>
          <w:numId w:val="40"/>
        </w:numPr>
        <w:spacing w:before="60" w:after="0"/>
        <w:ind w:left="1434" w:hanging="357"/>
        <w:rPr>
          <w:lang w:val="en-NZ"/>
        </w:rPr>
      </w:pPr>
      <w:r>
        <w:rPr>
          <w:lang w:val="en-NZ"/>
        </w:rPr>
        <w:t xml:space="preserve">Rent </w:t>
      </w:r>
      <w:r w:rsidR="00F21344">
        <w:rPr>
          <w:lang w:val="en-NZ"/>
        </w:rPr>
        <w:t xml:space="preserve">in </w:t>
      </w:r>
      <w:r>
        <w:rPr>
          <w:lang w:val="en-NZ"/>
        </w:rPr>
        <w:t>Advance Grant</w:t>
      </w:r>
    </w:p>
    <w:p w14:paraId="10BED961" w14:textId="0140C6F2" w:rsidR="003B1E56" w:rsidRDefault="006014D0" w:rsidP="00F21344">
      <w:pPr>
        <w:pStyle w:val="ListParagraph"/>
        <w:numPr>
          <w:ilvl w:val="1"/>
          <w:numId w:val="40"/>
        </w:numPr>
        <w:spacing w:before="60" w:after="0"/>
        <w:ind w:left="1434" w:hanging="357"/>
        <w:rPr>
          <w:lang w:val="en-NZ"/>
        </w:rPr>
      </w:pPr>
      <w:r>
        <w:rPr>
          <w:lang w:val="en-NZ"/>
        </w:rPr>
        <w:t>Rent Arrears Grant</w:t>
      </w:r>
    </w:p>
    <w:p w14:paraId="6F2B52A6" w14:textId="47348F0A" w:rsidR="003B1E56" w:rsidRDefault="006014D0" w:rsidP="00F21344">
      <w:pPr>
        <w:pStyle w:val="ListParagraph"/>
        <w:numPr>
          <w:ilvl w:val="1"/>
          <w:numId w:val="40"/>
        </w:numPr>
        <w:spacing w:before="60" w:after="0"/>
        <w:ind w:left="1434" w:hanging="357"/>
        <w:rPr>
          <w:lang w:val="en-NZ"/>
        </w:rPr>
      </w:pPr>
      <w:r>
        <w:rPr>
          <w:lang w:val="en-NZ"/>
        </w:rPr>
        <w:t>Moving Costs Grant</w:t>
      </w:r>
    </w:p>
    <w:p w14:paraId="489915DC" w14:textId="4AA245FB" w:rsidR="003B1E56" w:rsidRDefault="00922C28" w:rsidP="00F21344">
      <w:pPr>
        <w:pStyle w:val="ListParagraph"/>
        <w:numPr>
          <w:ilvl w:val="1"/>
          <w:numId w:val="40"/>
        </w:numPr>
        <w:spacing w:before="60" w:after="0"/>
        <w:ind w:left="1434" w:hanging="357"/>
        <w:rPr>
          <w:lang w:val="en-NZ"/>
        </w:rPr>
      </w:pPr>
      <w:r>
        <w:rPr>
          <w:lang w:val="en-NZ"/>
        </w:rPr>
        <w:t>T</w:t>
      </w:r>
      <w:r w:rsidR="00F21344">
        <w:rPr>
          <w:lang w:val="en-NZ"/>
        </w:rPr>
        <w:t xml:space="preserve">enancy </w:t>
      </w:r>
      <w:r>
        <w:rPr>
          <w:lang w:val="en-NZ"/>
        </w:rPr>
        <w:t>C</w:t>
      </w:r>
      <w:r w:rsidR="00F21344">
        <w:rPr>
          <w:lang w:val="en-NZ"/>
        </w:rPr>
        <w:t xml:space="preserve">osts </w:t>
      </w:r>
      <w:r>
        <w:rPr>
          <w:lang w:val="en-NZ"/>
        </w:rPr>
        <w:t>C</w:t>
      </w:r>
      <w:r w:rsidR="00F21344">
        <w:rPr>
          <w:lang w:val="en-NZ"/>
        </w:rPr>
        <w:t>over</w:t>
      </w:r>
    </w:p>
    <w:p w14:paraId="5994F71C" w14:textId="46603D73" w:rsidR="009F1ED5" w:rsidRDefault="00922C28" w:rsidP="00F21344">
      <w:pPr>
        <w:pStyle w:val="ListParagraph"/>
        <w:numPr>
          <w:ilvl w:val="1"/>
          <w:numId w:val="40"/>
        </w:numPr>
        <w:spacing w:before="60" w:after="0"/>
        <w:ind w:left="1434" w:hanging="357"/>
        <w:rPr>
          <w:lang w:val="en-NZ"/>
        </w:rPr>
      </w:pPr>
      <w:r>
        <w:rPr>
          <w:lang w:val="en-NZ"/>
        </w:rPr>
        <w:t>T</w:t>
      </w:r>
      <w:r w:rsidR="00F21344">
        <w:rPr>
          <w:lang w:val="en-NZ"/>
        </w:rPr>
        <w:t xml:space="preserve">ransition to </w:t>
      </w:r>
      <w:r>
        <w:rPr>
          <w:lang w:val="en-NZ"/>
        </w:rPr>
        <w:t>A</w:t>
      </w:r>
      <w:r w:rsidR="00F21344">
        <w:rPr>
          <w:lang w:val="en-NZ"/>
        </w:rPr>
        <w:t xml:space="preserve">lternative </w:t>
      </w:r>
      <w:r>
        <w:rPr>
          <w:lang w:val="en-NZ"/>
        </w:rPr>
        <w:t>H</w:t>
      </w:r>
      <w:r w:rsidR="00F21344">
        <w:rPr>
          <w:lang w:val="en-NZ"/>
        </w:rPr>
        <w:t>ousing</w:t>
      </w:r>
      <w:r w:rsidR="00E977E9">
        <w:rPr>
          <w:lang w:val="en-NZ"/>
        </w:rPr>
        <w:t xml:space="preserve"> </w:t>
      </w:r>
      <w:r w:rsidR="006014D0">
        <w:rPr>
          <w:lang w:val="en-NZ"/>
        </w:rPr>
        <w:t>G</w:t>
      </w:r>
      <w:r w:rsidR="00E977E9">
        <w:rPr>
          <w:lang w:val="en-NZ"/>
        </w:rPr>
        <w:t>rant.</w:t>
      </w:r>
    </w:p>
    <w:p w14:paraId="72EF8846" w14:textId="38EC4DC7" w:rsidR="00B84F32" w:rsidRPr="00B84F32" w:rsidRDefault="003B1E56" w:rsidP="00B84F32">
      <w:pPr>
        <w:pStyle w:val="ListParagraph"/>
        <w:numPr>
          <w:ilvl w:val="0"/>
          <w:numId w:val="40"/>
        </w:numPr>
        <w:contextualSpacing w:val="0"/>
        <w:rPr>
          <w:lang w:val="en-NZ"/>
        </w:rPr>
      </w:pPr>
      <w:r>
        <w:rPr>
          <w:lang w:val="en-NZ"/>
        </w:rPr>
        <w:t xml:space="preserve">Increased </w:t>
      </w:r>
      <w:r w:rsidR="009F1ED5">
        <w:rPr>
          <w:lang w:val="en-NZ"/>
        </w:rPr>
        <w:t xml:space="preserve">maximum payments </w:t>
      </w:r>
      <w:r>
        <w:rPr>
          <w:lang w:val="en-NZ"/>
        </w:rPr>
        <w:t>to reflect actual rents (for bond, rent in advance, and rent arrears)</w:t>
      </w:r>
      <w:r w:rsidR="00E977E9">
        <w:rPr>
          <w:lang w:val="en-NZ"/>
        </w:rPr>
        <w:t>.</w:t>
      </w:r>
    </w:p>
    <w:p w14:paraId="06BEA8CE" w14:textId="5C70AA9A" w:rsidR="003B1E56" w:rsidRPr="00825D04" w:rsidRDefault="009F1ED5" w:rsidP="00D12F88">
      <w:pPr>
        <w:pStyle w:val="ListParagraph"/>
        <w:numPr>
          <w:ilvl w:val="0"/>
          <w:numId w:val="10"/>
        </w:numPr>
        <w:contextualSpacing w:val="0"/>
        <w:rPr>
          <w:lang w:val="en-NZ"/>
        </w:rPr>
      </w:pPr>
      <w:r w:rsidRPr="00922C28">
        <w:rPr>
          <w:lang w:val="en-NZ"/>
        </w:rPr>
        <w:t xml:space="preserve">Increasing the </w:t>
      </w:r>
      <w:r w:rsidR="003B1E56" w:rsidRPr="00922C28">
        <w:rPr>
          <w:lang w:val="en-NZ"/>
        </w:rPr>
        <w:t xml:space="preserve">cap on the number of times a </w:t>
      </w:r>
      <w:r w:rsidR="00D12F88">
        <w:rPr>
          <w:lang w:val="en-NZ"/>
        </w:rPr>
        <w:t>client</w:t>
      </w:r>
      <w:r w:rsidR="003B1E56" w:rsidRPr="00922C28">
        <w:rPr>
          <w:lang w:val="en-NZ"/>
        </w:rPr>
        <w:t xml:space="preserve"> can receive a payment </w:t>
      </w:r>
      <w:r w:rsidRPr="00922C28">
        <w:rPr>
          <w:lang w:val="en-NZ"/>
        </w:rPr>
        <w:t xml:space="preserve">to </w:t>
      </w:r>
      <w:r w:rsidR="003B1E56" w:rsidRPr="00922C28">
        <w:rPr>
          <w:lang w:val="en-NZ"/>
        </w:rPr>
        <w:t xml:space="preserve">twice per year (unless in exceptional circumstances), excluding </w:t>
      </w:r>
      <w:r w:rsidR="00922C28" w:rsidRPr="00922C28">
        <w:rPr>
          <w:lang w:val="en-NZ"/>
        </w:rPr>
        <w:t>Tenancy Costs Cover</w:t>
      </w:r>
      <w:r w:rsidR="00825D04">
        <w:rPr>
          <w:lang w:val="en-NZ"/>
        </w:rPr>
        <w:t xml:space="preserve"> </w:t>
      </w:r>
      <w:r w:rsidR="003B1E56" w:rsidRPr="00825D04">
        <w:rPr>
          <w:lang w:val="en-NZ"/>
        </w:rPr>
        <w:t xml:space="preserve">and the </w:t>
      </w:r>
      <w:r w:rsidR="00825D04" w:rsidRPr="00825D04">
        <w:rPr>
          <w:lang w:val="en-NZ"/>
        </w:rPr>
        <w:t>Transition to Alternative Housing grant</w:t>
      </w:r>
      <w:r w:rsidR="00E977E9">
        <w:rPr>
          <w:lang w:val="en-NZ"/>
        </w:rPr>
        <w:t>.</w:t>
      </w:r>
    </w:p>
    <w:p w14:paraId="38FF84B9" w14:textId="694DB195" w:rsidR="002500A5" w:rsidRDefault="002500A5" w:rsidP="00D12F88">
      <w:pPr>
        <w:pStyle w:val="ListParagraph"/>
        <w:numPr>
          <w:ilvl w:val="0"/>
          <w:numId w:val="10"/>
        </w:numPr>
        <w:ind w:left="714" w:hanging="357"/>
        <w:contextualSpacing w:val="0"/>
        <w:rPr>
          <w:lang w:val="en-NZ"/>
        </w:rPr>
      </w:pPr>
      <w:r>
        <w:rPr>
          <w:lang w:val="en-NZ"/>
        </w:rPr>
        <w:t>Mak</w:t>
      </w:r>
      <w:r w:rsidR="00F21344">
        <w:rPr>
          <w:lang w:val="en-NZ"/>
        </w:rPr>
        <w:t>ing</w:t>
      </w:r>
      <w:r>
        <w:rPr>
          <w:lang w:val="en-NZ"/>
        </w:rPr>
        <w:t xml:space="preserve"> </w:t>
      </w:r>
      <w:r w:rsidR="00B148FC">
        <w:rPr>
          <w:lang w:val="en-NZ"/>
        </w:rPr>
        <w:t>funding</w:t>
      </w:r>
      <w:r>
        <w:rPr>
          <w:lang w:val="en-NZ"/>
        </w:rPr>
        <w:t xml:space="preserve"> </w:t>
      </w:r>
      <w:proofErr w:type="gramStart"/>
      <w:r>
        <w:rPr>
          <w:lang w:val="en-NZ"/>
        </w:rPr>
        <w:t>demand-driven</w:t>
      </w:r>
      <w:proofErr w:type="gramEnd"/>
      <w:r>
        <w:rPr>
          <w:lang w:val="en-NZ"/>
        </w:rPr>
        <w:t xml:space="preserve"> (HSPs are currently funded from a capped appropriation</w:t>
      </w:r>
      <w:r w:rsidR="00C879A1">
        <w:rPr>
          <w:lang w:val="en-NZ"/>
        </w:rPr>
        <w:t xml:space="preserve"> which risks funding being exhausted if demand were to increase</w:t>
      </w:r>
      <w:r>
        <w:rPr>
          <w:lang w:val="en-NZ"/>
        </w:rPr>
        <w:t>)</w:t>
      </w:r>
      <w:r w:rsidR="00E977E9">
        <w:rPr>
          <w:lang w:val="en-NZ"/>
        </w:rPr>
        <w:t>.</w:t>
      </w:r>
    </w:p>
    <w:p w14:paraId="11D725AE" w14:textId="053E4138" w:rsidR="002A7AEA" w:rsidRDefault="00C879A1" w:rsidP="00084332">
      <w:pPr>
        <w:pStyle w:val="ListParagraph"/>
        <w:numPr>
          <w:ilvl w:val="0"/>
          <w:numId w:val="10"/>
        </w:numPr>
        <w:ind w:left="714" w:hanging="357"/>
        <w:contextualSpacing w:val="0"/>
        <w:rPr>
          <w:lang w:val="en-NZ"/>
        </w:rPr>
      </w:pPr>
      <w:r>
        <w:rPr>
          <w:lang w:val="en-NZ"/>
        </w:rPr>
        <w:t>Introduc</w:t>
      </w:r>
      <w:r w:rsidR="00F21344">
        <w:rPr>
          <w:lang w:val="en-NZ"/>
        </w:rPr>
        <w:t>ing</w:t>
      </w:r>
      <w:r>
        <w:rPr>
          <w:lang w:val="en-NZ"/>
        </w:rPr>
        <w:t xml:space="preserve"> </w:t>
      </w:r>
      <w:r w:rsidR="00342FFE">
        <w:rPr>
          <w:lang w:val="en-NZ"/>
        </w:rPr>
        <w:t xml:space="preserve">a </w:t>
      </w:r>
      <w:r>
        <w:rPr>
          <w:lang w:val="en-NZ"/>
        </w:rPr>
        <w:t xml:space="preserve">non-recoverable pilot running </w:t>
      </w:r>
      <w:r w:rsidR="009F1ED5">
        <w:rPr>
          <w:lang w:val="en-NZ"/>
        </w:rPr>
        <w:t xml:space="preserve">for </w:t>
      </w:r>
      <w:r>
        <w:rPr>
          <w:lang w:val="en-NZ"/>
        </w:rPr>
        <w:t xml:space="preserve">two years to provide </w:t>
      </w:r>
      <w:r w:rsidR="009F1ED5">
        <w:rPr>
          <w:lang w:val="en-NZ"/>
        </w:rPr>
        <w:t xml:space="preserve">additional </w:t>
      </w:r>
      <w:r>
        <w:rPr>
          <w:lang w:val="en-NZ"/>
        </w:rPr>
        <w:t>support for clients to access and sustain a private tenancy where current support is inadequate</w:t>
      </w:r>
      <w:r w:rsidR="00D12F88">
        <w:rPr>
          <w:lang w:val="en-NZ"/>
        </w:rPr>
        <w:t xml:space="preserve"> or there are gaps in support</w:t>
      </w:r>
      <w:r w:rsidR="009F1ED5">
        <w:rPr>
          <w:lang w:val="en-NZ"/>
        </w:rPr>
        <w:t xml:space="preserve"> (for example, for some emergency housing clients)</w:t>
      </w:r>
      <w:r>
        <w:rPr>
          <w:lang w:val="en-NZ"/>
        </w:rPr>
        <w:t xml:space="preserve">.  </w:t>
      </w:r>
    </w:p>
    <w:p w14:paraId="4977D2A3" w14:textId="64A28096" w:rsidR="00B84F32" w:rsidRPr="00922C28" w:rsidRDefault="00B84F32" w:rsidP="00922C28">
      <w:pPr>
        <w:pStyle w:val="ListParagraph"/>
        <w:numPr>
          <w:ilvl w:val="0"/>
          <w:numId w:val="10"/>
        </w:numPr>
        <w:contextualSpacing w:val="0"/>
        <w:rPr>
          <w:lang w:val="en-NZ"/>
        </w:rPr>
      </w:pPr>
      <w:r w:rsidRPr="00922C28">
        <w:rPr>
          <w:lang w:val="en-NZ"/>
        </w:rPr>
        <w:t>Increas</w:t>
      </w:r>
      <w:r w:rsidR="00F21344" w:rsidRPr="00922C28">
        <w:rPr>
          <w:lang w:val="en-NZ"/>
        </w:rPr>
        <w:t>ing</w:t>
      </w:r>
      <w:r w:rsidRPr="00922C28">
        <w:rPr>
          <w:lang w:val="en-NZ"/>
        </w:rPr>
        <w:t xml:space="preserve"> the duration of </w:t>
      </w:r>
      <w:r w:rsidR="00922C28" w:rsidRPr="00922C28">
        <w:rPr>
          <w:lang w:val="en-NZ"/>
        </w:rPr>
        <w:t>Tenancy Costs Cover</w:t>
      </w:r>
      <w:r w:rsidR="00922C28">
        <w:rPr>
          <w:lang w:val="en-NZ"/>
        </w:rPr>
        <w:t xml:space="preserve"> </w:t>
      </w:r>
      <w:r w:rsidRPr="00922C28">
        <w:rPr>
          <w:lang w:val="en-NZ"/>
        </w:rPr>
        <w:t>to last the</w:t>
      </w:r>
      <w:r w:rsidR="00922C28">
        <w:rPr>
          <w:lang w:val="en-NZ"/>
        </w:rPr>
        <w:t xml:space="preserve"> entire</w:t>
      </w:r>
      <w:r w:rsidRPr="00922C28">
        <w:rPr>
          <w:lang w:val="en-NZ"/>
        </w:rPr>
        <w:t xml:space="preserve"> length of a tenancy (currently limited to a 12-month tenancy)</w:t>
      </w:r>
      <w:r w:rsidR="00E977E9">
        <w:rPr>
          <w:lang w:val="en-NZ"/>
        </w:rPr>
        <w:t>.</w:t>
      </w:r>
    </w:p>
    <w:p w14:paraId="1FB9B14C" w14:textId="422E7EC2" w:rsidR="00F21344" w:rsidRDefault="00B84F32" w:rsidP="00F21344">
      <w:pPr>
        <w:pStyle w:val="ListParagraph"/>
        <w:numPr>
          <w:ilvl w:val="0"/>
          <w:numId w:val="10"/>
        </w:numPr>
        <w:ind w:left="714" w:hanging="357"/>
        <w:contextualSpacing w:val="0"/>
        <w:rPr>
          <w:lang w:val="en-NZ"/>
        </w:rPr>
      </w:pPr>
      <w:r>
        <w:rPr>
          <w:lang w:val="en-NZ"/>
        </w:rPr>
        <w:t>Enabl</w:t>
      </w:r>
      <w:r w:rsidR="00F21344">
        <w:rPr>
          <w:lang w:val="en-NZ"/>
        </w:rPr>
        <w:t>ing</w:t>
      </w:r>
      <w:r>
        <w:rPr>
          <w:lang w:val="en-NZ"/>
        </w:rPr>
        <w:t xml:space="preserve"> boarders to access support (where currently boarders over the hardship assistance income and asset limits</w:t>
      </w:r>
      <w:r w:rsidR="00F27C64">
        <w:rPr>
          <w:lang w:val="en-NZ"/>
        </w:rPr>
        <w:t xml:space="preserve"> but under the HSPs limits</w:t>
      </w:r>
      <w:r>
        <w:rPr>
          <w:lang w:val="en-NZ"/>
        </w:rPr>
        <w:t xml:space="preserve"> are excluded)</w:t>
      </w:r>
      <w:r w:rsidR="00E977E9">
        <w:rPr>
          <w:lang w:val="en-NZ"/>
        </w:rPr>
        <w:t>.</w:t>
      </w:r>
    </w:p>
    <w:p w14:paraId="4E54990E" w14:textId="407B0AEA" w:rsidR="00D12F88" w:rsidRDefault="00D12F88" w:rsidP="00D12F88">
      <w:pPr>
        <w:rPr>
          <w:lang w:val="en-NZ"/>
        </w:rPr>
      </w:pPr>
    </w:p>
    <w:p w14:paraId="4B5E90BE" w14:textId="05E3ABC8" w:rsidR="00D12F88" w:rsidRDefault="00D12F88" w:rsidP="00D12F88">
      <w:pPr>
        <w:rPr>
          <w:lang w:val="en-NZ"/>
        </w:rPr>
      </w:pPr>
    </w:p>
    <w:p w14:paraId="0A41DA92" w14:textId="1B6ACE63" w:rsidR="00D12F88" w:rsidRDefault="00D12F88" w:rsidP="00D12F88">
      <w:pPr>
        <w:rPr>
          <w:lang w:val="en-NZ"/>
        </w:rPr>
      </w:pPr>
    </w:p>
    <w:p w14:paraId="6B7C5A0B" w14:textId="1C974D09" w:rsidR="00D12F88" w:rsidRDefault="00D12F88" w:rsidP="00D12F88">
      <w:pPr>
        <w:rPr>
          <w:lang w:val="en-NZ"/>
        </w:rPr>
      </w:pPr>
    </w:p>
    <w:p w14:paraId="7373219E" w14:textId="22DD91F4" w:rsidR="00D12F88" w:rsidRDefault="00D12F88" w:rsidP="00D12F88">
      <w:pPr>
        <w:rPr>
          <w:lang w:val="en-NZ"/>
        </w:rPr>
      </w:pPr>
    </w:p>
    <w:p w14:paraId="2934F251" w14:textId="6F40DB80" w:rsidR="00D12F88" w:rsidRDefault="00D12F88" w:rsidP="00D12F88">
      <w:pPr>
        <w:rPr>
          <w:lang w:val="en-NZ"/>
        </w:rPr>
      </w:pPr>
    </w:p>
    <w:p w14:paraId="2631A1AE" w14:textId="59146481" w:rsidR="00D12F88" w:rsidRDefault="00D12F88" w:rsidP="00D12F88">
      <w:pPr>
        <w:rPr>
          <w:lang w:val="en-NZ"/>
        </w:rPr>
      </w:pPr>
    </w:p>
    <w:p w14:paraId="7E608FF6" w14:textId="597FCE2C" w:rsidR="00D12F88" w:rsidRDefault="00D12F88" w:rsidP="00D12F88">
      <w:pPr>
        <w:rPr>
          <w:lang w:val="en-NZ"/>
        </w:rPr>
      </w:pPr>
    </w:p>
    <w:p w14:paraId="171546ED" w14:textId="264EBCE1" w:rsidR="00D12F88" w:rsidRDefault="00D12F88" w:rsidP="00D12F88">
      <w:pPr>
        <w:rPr>
          <w:lang w:val="en-NZ"/>
        </w:rPr>
      </w:pPr>
    </w:p>
    <w:p w14:paraId="35B0C1DB" w14:textId="5909B849" w:rsidR="00D12F88" w:rsidRDefault="00D12F88" w:rsidP="00D12F88">
      <w:pPr>
        <w:rPr>
          <w:lang w:val="en-NZ"/>
        </w:rPr>
      </w:pPr>
    </w:p>
    <w:p w14:paraId="64EFBE88" w14:textId="5C6D4477" w:rsidR="00D12F88" w:rsidRDefault="00D12F88" w:rsidP="00D12F88">
      <w:pPr>
        <w:rPr>
          <w:lang w:val="en-NZ"/>
        </w:rPr>
      </w:pPr>
    </w:p>
    <w:p w14:paraId="4807328D" w14:textId="77777777" w:rsidR="00D12F88" w:rsidRPr="00D12F88" w:rsidRDefault="00D12F88" w:rsidP="00D12F88">
      <w:pPr>
        <w:rPr>
          <w:lang w:val="en-NZ"/>
        </w:rPr>
      </w:pPr>
    </w:p>
    <w:p w14:paraId="0207A32D" w14:textId="61C362FF" w:rsidR="00F21344" w:rsidRPr="00AB64FB" w:rsidRDefault="00F21344" w:rsidP="00F21344">
      <w:pPr>
        <w:pStyle w:val="Heading4"/>
        <w:rPr>
          <w:color w:val="auto"/>
          <w:lang w:val="en-NZ"/>
        </w:rPr>
      </w:pPr>
      <w:r w:rsidRPr="00AB64FB">
        <w:rPr>
          <w:color w:val="auto"/>
          <w:lang w:val="en-NZ"/>
        </w:rPr>
        <w:lastRenderedPageBreak/>
        <w:t xml:space="preserve">Other options considered but not progressed </w:t>
      </w:r>
    </w:p>
    <w:p w14:paraId="2E132469" w14:textId="39415328" w:rsidR="00F21344" w:rsidRPr="003430A5" w:rsidRDefault="002444FB" w:rsidP="003430A5">
      <w:pPr>
        <w:pStyle w:val="ListParagraph"/>
        <w:numPr>
          <w:ilvl w:val="0"/>
          <w:numId w:val="8"/>
        </w:numPr>
        <w:ind w:hanging="357"/>
        <w:contextualSpacing w:val="0"/>
        <w:rPr>
          <w:lang w:val="en-NZ"/>
        </w:rPr>
      </w:pPr>
      <w:r w:rsidRPr="002444FB">
        <w:rPr>
          <w:lang w:val="en-NZ"/>
        </w:rPr>
        <w:t>Remove the HSPs programme and bring</w:t>
      </w:r>
      <w:r w:rsidR="003430A5">
        <w:rPr>
          <w:lang w:val="en-NZ"/>
        </w:rPr>
        <w:t xml:space="preserve"> the </w:t>
      </w:r>
      <w:r w:rsidRPr="002444FB">
        <w:rPr>
          <w:lang w:val="en-NZ"/>
        </w:rPr>
        <w:t xml:space="preserve">payments </w:t>
      </w:r>
      <w:r w:rsidR="003430A5">
        <w:rPr>
          <w:lang w:val="en-NZ"/>
        </w:rPr>
        <w:t>under the</w:t>
      </w:r>
      <w:r w:rsidRPr="002444FB">
        <w:rPr>
          <w:lang w:val="en-NZ"/>
        </w:rPr>
        <w:t xml:space="preserve"> Advances and RAPs</w:t>
      </w:r>
      <w:r w:rsidR="003430A5">
        <w:rPr>
          <w:lang w:val="en-NZ"/>
        </w:rPr>
        <w:t xml:space="preserve"> programmes</w:t>
      </w:r>
      <w:r w:rsidR="00F21344" w:rsidRPr="00FD391E">
        <w:rPr>
          <w:lang w:val="en-NZ"/>
        </w:rPr>
        <w:t xml:space="preserve">. This </w:t>
      </w:r>
      <w:r w:rsidR="00F21344">
        <w:rPr>
          <w:lang w:val="en-NZ"/>
        </w:rPr>
        <w:t>approach</w:t>
      </w:r>
      <w:r w:rsidR="00F21344" w:rsidRPr="00FD391E">
        <w:rPr>
          <w:lang w:val="en-NZ"/>
        </w:rPr>
        <w:t xml:space="preserve"> was ruled out early in the policy development process</w:t>
      </w:r>
      <w:r w:rsidR="003430A5">
        <w:rPr>
          <w:lang w:val="en-NZ"/>
        </w:rPr>
        <w:t xml:space="preserve"> as the </w:t>
      </w:r>
      <w:r w:rsidR="00F21344" w:rsidRPr="003430A5">
        <w:rPr>
          <w:lang w:val="en-NZ"/>
        </w:rPr>
        <w:t>income and asset limits</w:t>
      </w:r>
      <w:r w:rsidR="003430A5">
        <w:rPr>
          <w:lang w:val="en-NZ"/>
        </w:rPr>
        <w:t xml:space="preserve"> for Advances and RAPs</w:t>
      </w:r>
      <w:r w:rsidR="00F21344" w:rsidRPr="003430A5">
        <w:rPr>
          <w:lang w:val="en-NZ"/>
        </w:rPr>
        <w:t xml:space="preserve"> are much lower than HSPs limits. Applying hardship assistance limits would mean that part of the cohort who are currently </w:t>
      </w:r>
      <w:r w:rsidRPr="003430A5">
        <w:rPr>
          <w:lang w:val="en-NZ"/>
        </w:rPr>
        <w:t>able to receive an HSP</w:t>
      </w:r>
      <w:r w:rsidR="00F21344" w:rsidRPr="003430A5">
        <w:rPr>
          <w:lang w:val="en-NZ"/>
        </w:rPr>
        <w:t xml:space="preserve"> would lose eligibility.</w:t>
      </w:r>
      <w:r w:rsidRPr="003430A5">
        <w:rPr>
          <w:lang w:val="en-NZ"/>
        </w:rPr>
        <w:t xml:space="preserve"> One purpose for retaining the HSPs income and asset limits was to reach more households who require housing-related assistance, therefore strengthening the role HSPs play in preventing lower-income households </w:t>
      </w:r>
      <w:r w:rsidR="003430A5" w:rsidRPr="003430A5">
        <w:rPr>
          <w:lang w:val="en-NZ"/>
        </w:rPr>
        <w:t>from housing</w:t>
      </w:r>
      <w:r w:rsidRPr="003430A5">
        <w:rPr>
          <w:lang w:val="en-NZ"/>
        </w:rPr>
        <w:t xml:space="preserve">-insecurity. </w:t>
      </w:r>
    </w:p>
    <w:p w14:paraId="600DFBDE" w14:textId="55D2F8E3" w:rsidR="004F789C" w:rsidRPr="001171CA" w:rsidRDefault="001171CA" w:rsidP="001171CA">
      <w:pPr>
        <w:pStyle w:val="ListParagraph"/>
        <w:numPr>
          <w:ilvl w:val="0"/>
          <w:numId w:val="8"/>
        </w:numPr>
        <w:rPr>
          <w:lang w:val="en-NZ"/>
        </w:rPr>
      </w:pPr>
      <w:r>
        <w:rPr>
          <w:lang w:val="en-NZ"/>
        </w:rPr>
        <w:t>A key component of hardship assistance is recoverability settings and how those settings impact clients. While considered for the current proposal, officials consider work on r</w:t>
      </w:r>
      <w:r w:rsidR="004F789C" w:rsidRPr="004F789C">
        <w:rPr>
          <w:lang w:val="en-NZ"/>
        </w:rPr>
        <w:t>ecoverability of housing-related payments</w:t>
      </w:r>
      <w:r>
        <w:rPr>
          <w:lang w:val="en-NZ"/>
        </w:rPr>
        <w:t xml:space="preserve"> is best placed </w:t>
      </w:r>
      <w:r w:rsidR="004F789C" w:rsidRPr="001171CA">
        <w:rPr>
          <w:lang w:val="en-NZ"/>
        </w:rPr>
        <w:t>under</w:t>
      </w:r>
      <w:r w:rsidR="00F21344" w:rsidRPr="001171CA">
        <w:rPr>
          <w:lang w:val="en-NZ"/>
        </w:rPr>
        <w:t xml:space="preserve"> a</w:t>
      </w:r>
      <w:r w:rsidR="00F21344" w:rsidRPr="00FD391E">
        <w:t xml:space="preserve"> </w:t>
      </w:r>
      <w:r w:rsidR="00F21344" w:rsidRPr="001171CA">
        <w:rPr>
          <w:lang w:val="en-NZ"/>
        </w:rPr>
        <w:t xml:space="preserve">wider review of all hardship assistance (Advances, </w:t>
      </w:r>
      <w:proofErr w:type="gramStart"/>
      <w:r w:rsidR="00F21344" w:rsidRPr="001171CA">
        <w:rPr>
          <w:lang w:val="en-NZ"/>
        </w:rPr>
        <w:t>RAPs</w:t>
      </w:r>
      <w:proofErr w:type="gramEnd"/>
      <w:r w:rsidR="00F21344" w:rsidRPr="001171CA">
        <w:rPr>
          <w:lang w:val="en-NZ"/>
        </w:rPr>
        <w:t xml:space="preserve"> and Special Needs Grants)</w:t>
      </w:r>
      <w:r w:rsidR="00D12F88">
        <w:rPr>
          <w:lang w:val="en-NZ"/>
        </w:rPr>
        <w:t>,</w:t>
      </w:r>
      <w:r w:rsidR="00F21344" w:rsidRPr="001171CA">
        <w:rPr>
          <w:lang w:val="en-NZ"/>
        </w:rPr>
        <w:t xml:space="preserve"> </w:t>
      </w:r>
      <w:r w:rsidR="004F789C" w:rsidRPr="001171CA">
        <w:rPr>
          <w:lang w:val="en-NZ"/>
        </w:rPr>
        <w:t>to</w:t>
      </w:r>
      <w:r w:rsidR="00F21344" w:rsidRPr="001171CA">
        <w:rPr>
          <w:lang w:val="en-NZ"/>
        </w:rPr>
        <w:t xml:space="preserve"> be carried </w:t>
      </w:r>
      <w:r w:rsidR="00D12F88">
        <w:rPr>
          <w:lang w:val="en-NZ"/>
        </w:rPr>
        <w:t xml:space="preserve">in </w:t>
      </w:r>
      <w:r w:rsidR="00F21344" w:rsidRPr="001171CA">
        <w:rPr>
          <w:lang w:val="en-NZ"/>
        </w:rPr>
        <w:t xml:space="preserve">2022. </w:t>
      </w:r>
      <w:r w:rsidR="004F789C" w:rsidRPr="001171CA">
        <w:rPr>
          <w:lang w:val="en-NZ"/>
        </w:rPr>
        <w:t xml:space="preserve">This review will </w:t>
      </w:r>
      <w:proofErr w:type="gramStart"/>
      <w:r w:rsidR="004F789C" w:rsidRPr="001171CA">
        <w:rPr>
          <w:lang w:val="en-NZ"/>
        </w:rPr>
        <w:t>take into account</w:t>
      </w:r>
      <w:proofErr w:type="gramEnd"/>
      <w:r w:rsidR="004F789C" w:rsidRPr="001171CA">
        <w:rPr>
          <w:lang w:val="en-NZ"/>
        </w:rPr>
        <w:t xml:space="preserve"> the Government’s goal to reduce the impact of problem government debt for people in hardship in order to improve the financial wellbeing of low-income families and contribute towards reducing child poverty. Consideration of recoverability settings for housing-related hardship assistance will be based on the two principles of this work: improving coherence by improving consistency across the system where appropriate and focusing on fairness. </w:t>
      </w:r>
    </w:p>
    <w:p w14:paraId="1709ACC4" w14:textId="13846252" w:rsidR="004F789C" w:rsidRPr="004F789C" w:rsidRDefault="004F789C" w:rsidP="004F789C">
      <w:pPr>
        <w:ind w:left="360"/>
        <w:rPr>
          <w:lang w:val="en-NZ"/>
        </w:rPr>
      </w:pPr>
    </w:p>
    <w:p w14:paraId="017CE358" w14:textId="48F8AE37" w:rsidR="002E2F27" w:rsidRDefault="001A4B31" w:rsidP="002E2F27">
      <w:pPr>
        <w:rPr>
          <w:lang w:val="en-NZ"/>
        </w:rPr>
      </w:pPr>
      <w:r>
        <w:rPr>
          <w:lang w:val="en-NZ"/>
        </w:rPr>
        <w:br/>
      </w:r>
    </w:p>
    <w:p w14:paraId="2C7A7625" w14:textId="2F2A4FCE" w:rsidR="000B0D4D" w:rsidRPr="001A4B31" w:rsidRDefault="000B0D4D" w:rsidP="00493232">
      <w:pPr>
        <w:rPr>
          <w:lang w:val="en-NZ"/>
        </w:rPr>
      </w:pPr>
    </w:p>
    <w:p w14:paraId="01CFC9DC" w14:textId="77777777" w:rsidR="006448CF" w:rsidRDefault="006448CF" w:rsidP="006448CF">
      <w:pPr>
        <w:rPr>
          <w:lang w:val="en-NZ"/>
        </w:rPr>
      </w:pPr>
    </w:p>
    <w:p w14:paraId="5B5885BE" w14:textId="7610E937" w:rsidR="00E07BBB" w:rsidRPr="006448CF" w:rsidRDefault="00E07BBB" w:rsidP="006448CF">
      <w:pPr>
        <w:rPr>
          <w:lang w:val="en-NZ"/>
        </w:rPr>
        <w:sectPr w:rsidR="00E07BBB" w:rsidRPr="006448CF" w:rsidSect="00150D58">
          <w:headerReference w:type="even" r:id="rId10"/>
          <w:headerReference w:type="default" r:id="rId11"/>
          <w:footerReference w:type="even" r:id="rId12"/>
          <w:footerReference w:type="default" r:id="rId13"/>
          <w:headerReference w:type="first" r:id="rId14"/>
          <w:footerReference w:type="first" r:id="rId15"/>
          <w:pgSz w:w="11906" w:h="16838" w:code="9"/>
          <w:pgMar w:top="1134" w:right="1418" w:bottom="992" w:left="1418" w:header="454" w:footer="454" w:gutter="0"/>
          <w:cols w:space="708"/>
          <w:docGrid w:linePitch="360"/>
        </w:sectPr>
      </w:pPr>
    </w:p>
    <w:p w14:paraId="4EC02C43" w14:textId="26BB704D" w:rsidR="00D71CE0" w:rsidRPr="00A864A5" w:rsidRDefault="00DB51CD" w:rsidP="001E7D01">
      <w:pPr>
        <w:pStyle w:val="Heading3"/>
        <w:rPr>
          <w:lang w:val="en-NZ"/>
        </w:rPr>
      </w:pPr>
      <w:r>
        <w:rPr>
          <w:lang w:val="en-NZ"/>
        </w:rPr>
        <w:lastRenderedPageBreak/>
        <w:t>How do the options compare to the status quo/counterfactual?</w:t>
      </w:r>
    </w:p>
    <w:tbl>
      <w:tblPr>
        <w:tblW w:w="14910" w:type="dxa"/>
        <w:tblInd w:w="108"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ook w:val="04A0" w:firstRow="1" w:lastRow="0" w:firstColumn="1" w:lastColumn="0" w:noHBand="0" w:noVBand="1"/>
      </w:tblPr>
      <w:tblGrid>
        <w:gridCol w:w="2439"/>
        <w:gridCol w:w="5528"/>
        <w:gridCol w:w="6943"/>
      </w:tblGrid>
      <w:tr w:rsidR="00B84F32" w:rsidRPr="00A864A5" w14:paraId="64606FB2" w14:textId="6373914A" w:rsidTr="00D12F88">
        <w:trPr>
          <w:trHeight w:val="633"/>
        </w:trPr>
        <w:tc>
          <w:tcPr>
            <w:tcW w:w="2439" w:type="dxa"/>
            <w:shd w:val="clear" w:color="auto" w:fill="F2F2F2" w:themeFill="background1" w:themeFillShade="F2"/>
            <w:vAlign w:val="center"/>
          </w:tcPr>
          <w:p w14:paraId="3D6EF1B6" w14:textId="72EE34FD" w:rsidR="00B84F32" w:rsidRPr="00B31E8B" w:rsidRDefault="00B84F32" w:rsidP="00D12F88">
            <w:pPr>
              <w:spacing w:before="60" w:after="60" w:line="276" w:lineRule="auto"/>
              <w:rPr>
                <w:rFonts w:cs="Arial"/>
                <w:bCs/>
                <w:i/>
                <w:iCs/>
                <w:color w:val="FFFFFF"/>
                <w:sz w:val="20"/>
                <w:lang w:val="en-NZ"/>
              </w:rPr>
            </w:pPr>
          </w:p>
        </w:tc>
        <w:tc>
          <w:tcPr>
            <w:tcW w:w="5528" w:type="dxa"/>
            <w:shd w:val="clear" w:color="auto" w:fill="F2F2F2" w:themeFill="background1" w:themeFillShade="F2"/>
            <w:vAlign w:val="center"/>
          </w:tcPr>
          <w:p w14:paraId="1CE53369" w14:textId="3564E5B4" w:rsidR="00B84F32" w:rsidRPr="00B84F32" w:rsidRDefault="00B84F32" w:rsidP="00D12F88">
            <w:pPr>
              <w:spacing w:before="60" w:after="60"/>
              <w:rPr>
                <w:rFonts w:cs="Arial"/>
                <w:b/>
                <w:color w:val="000000"/>
                <w:sz w:val="20"/>
                <w:lang w:val="en-NZ"/>
              </w:rPr>
            </w:pPr>
            <w:r w:rsidRPr="00B84F32">
              <w:rPr>
                <w:rFonts w:cs="Arial"/>
                <w:b/>
                <w:color w:val="000000"/>
                <w:sz w:val="20"/>
                <w:lang w:val="en-NZ"/>
              </w:rPr>
              <w:t>Option one - Status Quo</w:t>
            </w:r>
          </w:p>
        </w:tc>
        <w:tc>
          <w:tcPr>
            <w:tcW w:w="6943" w:type="dxa"/>
            <w:shd w:val="clear" w:color="auto" w:fill="F2F2F2" w:themeFill="background1" w:themeFillShade="F2"/>
            <w:vAlign w:val="center"/>
          </w:tcPr>
          <w:p w14:paraId="62135168" w14:textId="4AF39A1C" w:rsidR="00B84F32" w:rsidRPr="00B84F32" w:rsidRDefault="00B84F32" w:rsidP="00D12F88">
            <w:pPr>
              <w:spacing w:before="60" w:after="60" w:line="276" w:lineRule="auto"/>
              <w:rPr>
                <w:rFonts w:cs="Arial"/>
                <w:b/>
                <w:color w:val="000000"/>
                <w:sz w:val="20"/>
                <w:lang w:val="en-NZ"/>
              </w:rPr>
            </w:pPr>
            <w:r w:rsidRPr="00B84F32">
              <w:rPr>
                <w:rFonts w:cs="Arial"/>
                <w:b/>
                <w:color w:val="000000"/>
                <w:sz w:val="20"/>
                <w:lang w:val="en-NZ"/>
              </w:rPr>
              <w:t xml:space="preserve">Option Two – </w:t>
            </w:r>
            <w:r w:rsidRPr="00B84F32">
              <w:rPr>
                <w:b/>
                <w:bCs/>
                <w:sz w:val="20"/>
                <w:lang w:val="en-NZ"/>
              </w:rPr>
              <w:t>a new programme for housing-related hardship assistance</w:t>
            </w:r>
            <w:r w:rsidRPr="00B84F32">
              <w:rPr>
                <w:sz w:val="20"/>
                <w:lang w:val="en-NZ"/>
              </w:rPr>
              <w:t xml:space="preserve"> </w:t>
            </w:r>
          </w:p>
        </w:tc>
      </w:tr>
      <w:tr w:rsidR="00B84F32" w:rsidRPr="00A864A5" w14:paraId="43A4983D" w14:textId="184D07FC" w:rsidTr="00D12F88">
        <w:trPr>
          <w:trHeight w:val="988"/>
        </w:trPr>
        <w:tc>
          <w:tcPr>
            <w:tcW w:w="2439" w:type="dxa"/>
            <w:shd w:val="clear" w:color="auto" w:fill="F2F2F2" w:themeFill="background1" w:themeFillShade="F2"/>
            <w:vAlign w:val="center"/>
          </w:tcPr>
          <w:p w14:paraId="62A9F0E1" w14:textId="44C7A941" w:rsidR="00B84F32" w:rsidRPr="00B31E8B" w:rsidRDefault="00B84F32" w:rsidP="00D12F88">
            <w:pPr>
              <w:spacing w:before="60" w:after="60"/>
              <w:jc w:val="center"/>
              <w:rPr>
                <w:rFonts w:cs="Arial"/>
                <w:b/>
                <w:color w:val="000000"/>
                <w:sz w:val="20"/>
                <w:lang w:val="en-NZ"/>
              </w:rPr>
            </w:pPr>
            <w:r w:rsidRPr="00B31E8B">
              <w:rPr>
                <w:b/>
                <w:bCs/>
                <w:sz w:val="20"/>
                <w:lang w:val="en-NZ"/>
              </w:rPr>
              <w:t>Improves housing-related outcomes</w:t>
            </w:r>
            <w:r>
              <w:rPr>
                <w:b/>
                <w:bCs/>
                <w:sz w:val="20"/>
                <w:lang w:val="en-NZ"/>
              </w:rPr>
              <w:t xml:space="preserve"> (helps </w:t>
            </w:r>
            <w:r w:rsidR="0082184C">
              <w:rPr>
                <w:b/>
                <w:bCs/>
                <w:sz w:val="20"/>
                <w:lang w:val="en-NZ"/>
              </w:rPr>
              <w:t xml:space="preserve">lower-income </w:t>
            </w:r>
            <w:proofErr w:type="gramStart"/>
            <w:r w:rsidR="0082184C">
              <w:rPr>
                <w:b/>
                <w:bCs/>
                <w:sz w:val="20"/>
                <w:lang w:val="en-NZ"/>
              </w:rPr>
              <w:t>households</w:t>
            </w:r>
            <w:proofErr w:type="gramEnd"/>
            <w:r>
              <w:rPr>
                <w:b/>
                <w:bCs/>
                <w:sz w:val="20"/>
                <w:lang w:val="en-NZ"/>
              </w:rPr>
              <w:t xml:space="preserve"> access and sustain </w:t>
            </w:r>
            <w:r w:rsidR="00D12F88">
              <w:rPr>
                <w:b/>
                <w:bCs/>
                <w:sz w:val="20"/>
                <w:lang w:val="en-NZ"/>
              </w:rPr>
              <w:t>private tenancies</w:t>
            </w:r>
            <w:r>
              <w:rPr>
                <w:b/>
                <w:bCs/>
                <w:sz w:val="20"/>
                <w:lang w:val="en-NZ"/>
              </w:rPr>
              <w:t>)</w:t>
            </w:r>
          </w:p>
        </w:tc>
        <w:tc>
          <w:tcPr>
            <w:tcW w:w="5528" w:type="dxa"/>
            <w:vAlign w:val="center"/>
          </w:tcPr>
          <w:p w14:paraId="53E615A1" w14:textId="3CD8A764" w:rsidR="00D12F88" w:rsidRPr="0082184C" w:rsidRDefault="0082184C" w:rsidP="00D12F88">
            <w:pPr>
              <w:pStyle w:val="TableText"/>
              <w:spacing w:before="0" w:after="0" w:line="240" w:lineRule="auto"/>
              <w:ind w:left="360"/>
              <w:jc w:val="center"/>
              <w:rPr>
                <w:rFonts w:cs="Arial"/>
                <w:b/>
                <w:color w:val="FF0000"/>
                <w:sz w:val="28"/>
                <w:szCs w:val="28"/>
              </w:rPr>
            </w:pPr>
            <w:r w:rsidRPr="0082184C">
              <w:rPr>
                <w:rFonts w:cs="Arial"/>
                <w:b/>
                <w:color w:val="FF0000"/>
                <w:sz w:val="28"/>
                <w:szCs w:val="28"/>
              </w:rPr>
              <w:t>-</w:t>
            </w:r>
          </w:p>
          <w:p w14:paraId="670D913C" w14:textId="4B525053" w:rsidR="0082184C" w:rsidRDefault="00B84F32" w:rsidP="00D12F88">
            <w:pPr>
              <w:spacing w:before="0" w:after="0"/>
              <w:rPr>
                <w:sz w:val="20"/>
              </w:rPr>
            </w:pPr>
            <w:r w:rsidRPr="00B31E8B">
              <w:rPr>
                <w:sz w:val="20"/>
              </w:rPr>
              <w:t>Keeping the status quo would mean that support remains unresponsive to the current market.</w:t>
            </w:r>
          </w:p>
          <w:p w14:paraId="4DB3180A" w14:textId="77777777" w:rsidR="00D12F88" w:rsidRDefault="00D12F88" w:rsidP="00D12F88">
            <w:pPr>
              <w:spacing w:before="0" w:after="0"/>
              <w:rPr>
                <w:sz w:val="20"/>
              </w:rPr>
            </w:pPr>
          </w:p>
          <w:p w14:paraId="32FDEDD2" w14:textId="1FB71526" w:rsidR="00B84F32" w:rsidRPr="00B31E8B" w:rsidRDefault="00B84F32" w:rsidP="00D12F88">
            <w:pPr>
              <w:spacing w:before="0" w:after="0"/>
              <w:rPr>
                <w:sz w:val="20"/>
              </w:rPr>
            </w:pPr>
            <w:r>
              <w:rPr>
                <w:sz w:val="20"/>
              </w:rPr>
              <w:t>If rents rise faster than wages and benefit rates, the value of support will be eroded (as it has been since the introduction of Advances, RAPs and HSPs)</w:t>
            </w:r>
          </w:p>
          <w:p w14:paraId="21C85557" w14:textId="77777777" w:rsidR="00B84F32" w:rsidRPr="00B31E8B" w:rsidRDefault="00B84F32" w:rsidP="00D12F88">
            <w:pPr>
              <w:pStyle w:val="TableText"/>
              <w:spacing w:before="0" w:after="0" w:line="240" w:lineRule="auto"/>
              <w:jc w:val="center"/>
              <w:rPr>
                <w:rFonts w:cs="Arial"/>
                <w:b/>
                <w:color w:val="00B050"/>
                <w:szCs w:val="20"/>
              </w:rPr>
            </w:pPr>
          </w:p>
        </w:tc>
        <w:tc>
          <w:tcPr>
            <w:tcW w:w="6943" w:type="dxa"/>
            <w:shd w:val="clear" w:color="auto" w:fill="auto"/>
            <w:vAlign w:val="center"/>
          </w:tcPr>
          <w:p w14:paraId="44BE3FFE" w14:textId="77777777" w:rsidR="0082184C" w:rsidRPr="00B31E8B" w:rsidRDefault="0082184C" w:rsidP="00D12F88">
            <w:pPr>
              <w:pStyle w:val="TableText"/>
              <w:spacing w:before="0" w:after="0" w:line="240" w:lineRule="auto"/>
              <w:jc w:val="center"/>
              <w:rPr>
                <w:rFonts w:cs="Arial"/>
                <w:b/>
                <w:color w:val="00B050"/>
                <w:szCs w:val="20"/>
              </w:rPr>
            </w:pPr>
            <w:r w:rsidRPr="00B31E8B">
              <w:rPr>
                <w:rFonts w:cs="Arial"/>
                <w:b/>
                <w:color w:val="00B050"/>
                <w:szCs w:val="20"/>
              </w:rPr>
              <w:t>++</w:t>
            </w:r>
          </w:p>
          <w:p w14:paraId="64D49E0B" w14:textId="652C67B9" w:rsidR="00B84F32" w:rsidRPr="00D12F88" w:rsidRDefault="00B84F32" w:rsidP="00D12F88">
            <w:pPr>
              <w:spacing w:before="0" w:after="0"/>
              <w:rPr>
                <w:sz w:val="20"/>
              </w:rPr>
            </w:pPr>
            <w:r w:rsidRPr="00B31E8B">
              <w:rPr>
                <w:sz w:val="20"/>
              </w:rPr>
              <w:t xml:space="preserve">Implementing </w:t>
            </w:r>
            <w:r w:rsidR="002C0B9D">
              <w:rPr>
                <w:sz w:val="20"/>
              </w:rPr>
              <w:t>O</w:t>
            </w:r>
            <w:r>
              <w:rPr>
                <w:sz w:val="20"/>
              </w:rPr>
              <w:t xml:space="preserve">ption </w:t>
            </w:r>
            <w:r w:rsidR="002C0B9D">
              <w:rPr>
                <w:sz w:val="20"/>
              </w:rPr>
              <w:t>T</w:t>
            </w:r>
            <w:r>
              <w:rPr>
                <w:sz w:val="20"/>
              </w:rPr>
              <w:t xml:space="preserve">wo </w:t>
            </w:r>
            <w:r w:rsidRPr="00B31E8B">
              <w:rPr>
                <w:sz w:val="20"/>
              </w:rPr>
              <w:t>will better support people to access and sustain private rental accommodation</w:t>
            </w:r>
            <w:r>
              <w:rPr>
                <w:sz w:val="20"/>
              </w:rPr>
              <w:t xml:space="preserve"> through increases to </w:t>
            </w:r>
            <w:r w:rsidR="00E93705">
              <w:rPr>
                <w:sz w:val="20"/>
              </w:rPr>
              <w:t xml:space="preserve">maximum payments </w:t>
            </w:r>
            <w:r>
              <w:rPr>
                <w:sz w:val="20"/>
              </w:rPr>
              <w:t>and enabling clients to receive more assistance throughout the year by increasing the cap on selected payments. The proposed pilot will also allow for support to be more responsive to demand where there are gaps in the current system of support</w:t>
            </w:r>
            <w:r w:rsidR="00E93705">
              <w:rPr>
                <w:sz w:val="20"/>
              </w:rPr>
              <w:t xml:space="preserve"> (for example, assisting emergency housing clients to obtain and maintain a private tenancy)</w:t>
            </w:r>
            <w:r>
              <w:rPr>
                <w:sz w:val="20"/>
              </w:rPr>
              <w:t xml:space="preserve">. </w:t>
            </w:r>
          </w:p>
        </w:tc>
      </w:tr>
      <w:tr w:rsidR="00B84F32" w:rsidRPr="00A864A5" w14:paraId="0F4EE0FC" w14:textId="264DAADF" w:rsidTr="00D12F88">
        <w:trPr>
          <w:trHeight w:val="606"/>
        </w:trPr>
        <w:tc>
          <w:tcPr>
            <w:tcW w:w="2439" w:type="dxa"/>
            <w:shd w:val="clear" w:color="auto" w:fill="F2F2F2" w:themeFill="background1" w:themeFillShade="F2"/>
            <w:vAlign w:val="center"/>
          </w:tcPr>
          <w:p w14:paraId="1C714609" w14:textId="3AB4F316" w:rsidR="00B84F32" w:rsidRPr="00B31E8B" w:rsidRDefault="00B84F32" w:rsidP="00D12F88">
            <w:pPr>
              <w:spacing w:before="60" w:after="60"/>
              <w:jc w:val="center"/>
              <w:rPr>
                <w:rFonts w:cs="Arial"/>
                <w:b/>
                <w:color w:val="000000"/>
                <w:sz w:val="20"/>
                <w:lang w:val="en-NZ"/>
              </w:rPr>
            </w:pPr>
            <w:r w:rsidRPr="00B31E8B">
              <w:rPr>
                <w:rFonts w:cs="Arial"/>
                <w:b/>
                <w:color w:val="000000"/>
                <w:sz w:val="20"/>
                <w:lang w:val="en-NZ"/>
              </w:rPr>
              <w:t>Improves equity</w:t>
            </w:r>
          </w:p>
        </w:tc>
        <w:tc>
          <w:tcPr>
            <w:tcW w:w="5528" w:type="dxa"/>
          </w:tcPr>
          <w:p w14:paraId="29C62962" w14:textId="5E9A825D" w:rsidR="0082184C" w:rsidRPr="00B31E8B" w:rsidRDefault="00B84F32" w:rsidP="009F294F">
            <w:pPr>
              <w:pStyle w:val="TableText"/>
              <w:spacing w:before="120" w:after="120" w:line="240" w:lineRule="auto"/>
              <w:jc w:val="center"/>
              <w:rPr>
                <w:b/>
                <w:bCs/>
                <w:szCs w:val="20"/>
                <w:lang w:val="en-NZ"/>
              </w:rPr>
            </w:pPr>
            <w:r w:rsidRPr="00B31E8B">
              <w:rPr>
                <w:b/>
                <w:bCs/>
                <w:szCs w:val="20"/>
                <w:lang w:val="en-NZ"/>
              </w:rPr>
              <w:t>0</w:t>
            </w:r>
          </w:p>
          <w:p w14:paraId="1F1E6ACF" w14:textId="4ADE6FFA" w:rsidR="00B84F32" w:rsidRPr="00B31E8B" w:rsidRDefault="00B84F32" w:rsidP="009F294F">
            <w:pPr>
              <w:pStyle w:val="TableText"/>
              <w:spacing w:before="120" w:after="120" w:line="240" w:lineRule="auto"/>
              <w:rPr>
                <w:rFonts w:cs="Arial"/>
                <w:b/>
                <w:color w:val="00B050"/>
                <w:szCs w:val="20"/>
              </w:rPr>
            </w:pPr>
            <w:r w:rsidRPr="00B31E8B">
              <w:t>Equity between Advances/RAPs clients and HSPs clients would not improve. Households eligible for HSPs (households with higher income or assets than the hardship assistance limits) would continue to be able to receive more generous support through non-recoverable bond and rent payments.</w:t>
            </w:r>
          </w:p>
        </w:tc>
        <w:tc>
          <w:tcPr>
            <w:tcW w:w="6943" w:type="dxa"/>
            <w:shd w:val="clear" w:color="auto" w:fill="auto"/>
            <w:vAlign w:val="center"/>
          </w:tcPr>
          <w:p w14:paraId="57B6ED32" w14:textId="77777777" w:rsidR="00B84F32" w:rsidRPr="00B31E8B" w:rsidRDefault="00B84F32" w:rsidP="00D12F88">
            <w:pPr>
              <w:pStyle w:val="TableText"/>
              <w:spacing w:before="0" w:after="0" w:line="240" w:lineRule="auto"/>
              <w:jc w:val="center"/>
              <w:rPr>
                <w:rFonts w:cs="Arial"/>
                <w:b/>
                <w:color w:val="00B050"/>
                <w:szCs w:val="20"/>
              </w:rPr>
            </w:pPr>
            <w:r w:rsidRPr="00B31E8B">
              <w:rPr>
                <w:rFonts w:cs="Arial"/>
                <w:b/>
                <w:color w:val="00B050"/>
                <w:szCs w:val="20"/>
              </w:rPr>
              <w:t>++</w:t>
            </w:r>
          </w:p>
          <w:p w14:paraId="034D2834" w14:textId="77777777" w:rsidR="002C0B9D" w:rsidRDefault="00B84F32" w:rsidP="00D12F88">
            <w:pPr>
              <w:spacing w:before="0" w:after="0"/>
              <w:rPr>
                <w:sz w:val="20"/>
              </w:rPr>
            </w:pPr>
            <w:r w:rsidRPr="00B31E8B">
              <w:rPr>
                <w:sz w:val="20"/>
              </w:rPr>
              <w:t xml:space="preserve">Fully aligning the policy settings </w:t>
            </w:r>
            <w:r w:rsidR="00E93705">
              <w:rPr>
                <w:sz w:val="20"/>
              </w:rPr>
              <w:t xml:space="preserve">for housing-related hardship assistance </w:t>
            </w:r>
            <w:r w:rsidRPr="00B31E8B">
              <w:rPr>
                <w:sz w:val="20"/>
              </w:rPr>
              <w:t xml:space="preserve">between Advances/RAPs and HSPs will create equity between all </w:t>
            </w:r>
            <w:r w:rsidR="002C0B9D">
              <w:rPr>
                <w:sz w:val="20"/>
              </w:rPr>
              <w:t>lower-income households</w:t>
            </w:r>
            <w:r w:rsidRPr="00B31E8B">
              <w:rPr>
                <w:sz w:val="20"/>
              </w:rPr>
              <w:t xml:space="preserve"> who require financial assistance for one-off </w:t>
            </w:r>
            <w:r w:rsidR="00E93705">
              <w:rPr>
                <w:sz w:val="20"/>
              </w:rPr>
              <w:t xml:space="preserve">housing </w:t>
            </w:r>
            <w:r w:rsidRPr="00B31E8B">
              <w:rPr>
                <w:sz w:val="20"/>
              </w:rPr>
              <w:t>costs.</w:t>
            </w:r>
          </w:p>
          <w:p w14:paraId="66F78030" w14:textId="2FC06771" w:rsidR="00B84F32" w:rsidRDefault="00B84F32" w:rsidP="00D12F88">
            <w:pPr>
              <w:spacing w:before="0" w:after="0"/>
              <w:rPr>
                <w:sz w:val="20"/>
              </w:rPr>
            </w:pPr>
            <w:r>
              <w:rPr>
                <w:sz w:val="20"/>
              </w:rPr>
              <w:t xml:space="preserve"> </w:t>
            </w:r>
          </w:p>
          <w:p w14:paraId="3872777A" w14:textId="0FE991B4" w:rsidR="00B84F32" w:rsidRPr="00B31E8B" w:rsidRDefault="00B84F32" w:rsidP="00D12F88">
            <w:pPr>
              <w:spacing w:before="0" w:after="0"/>
              <w:rPr>
                <w:sz w:val="20"/>
              </w:rPr>
            </w:pPr>
            <w:r>
              <w:rPr>
                <w:sz w:val="20"/>
              </w:rPr>
              <w:t xml:space="preserve">While </w:t>
            </w:r>
            <w:r w:rsidR="002C0B9D">
              <w:rPr>
                <w:sz w:val="20"/>
              </w:rPr>
              <w:t>Option Two</w:t>
            </w:r>
            <w:r>
              <w:rPr>
                <w:sz w:val="20"/>
              </w:rPr>
              <w:t xml:space="preserve"> improves equity, a small number of lower-income households who would have been eligible for non-recoverable assistance through HSPs will no longer be able to access </w:t>
            </w:r>
            <w:r w:rsidR="00E93705">
              <w:rPr>
                <w:sz w:val="20"/>
              </w:rPr>
              <w:t xml:space="preserve">non-recoverable </w:t>
            </w:r>
            <w:r>
              <w:rPr>
                <w:sz w:val="20"/>
              </w:rPr>
              <w:t>assistance.</w:t>
            </w:r>
          </w:p>
        </w:tc>
      </w:tr>
      <w:tr w:rsidR="00B84F32" w:rsidRPr="00A864A5" w14:paraId="1F59A3C2" w14:textId="64585981" w:rsidTr="002C0B9D">
        <w:trPr>
          <w:trHeight w:val="606"/>
        </w:trPr>
        <w:tc>
          <w:tcPr>
            <w:tcW w:w="2439" w:type="dxa"/>
            <w:shd w:val="clear" w:color="auto" w:fill="F2F2F2" w:themeFill="background1" w:themeFillShade="F2"/>
            <w:vAlign w:val="center"/>
          </w:tcPr>
          <w:p w14:paraId="516F19E0" w14:textId="2DE7C337" w:rsidR="00B84F32" w:rsidRPr="00B31E8B" w:rsidRDefault="00B84F32" w:rsidP="00D12F88">
            <w:pPr>
              <w:spacing w:before="60" w:after="60"/>
              <w:jc w:val="center"/>
              <w:rPr>
                <w:rFonts w:cs="Arial"/>
                <w:b/>
                <w:color w:val="000000"/>
                <w:sz w:val="20"/>
                <w:lang w:val="en-NZ"/>
              </w:rPr>
            </w:pPr>
            <w:r>
              <w:rPr>
                <w:rFonts w:cs="Arial"/>
                <w:b/>
                <w:color w:val="000000"/>
                <w:sz w:val="20"/>
                <w:lang w:val="en-NZ"/>
              </w:rPr>
              <w:t>Feasibility</w:t>
            </w:r>
          </w:p>
        </w:tc>
        <w:tc>
          <w:tcPr>
            <w:tcW w:w="5528" w:type="dxa"/>
          </w:tcPr>
          <w:p w14:paraId="6E78A551" w14:textId="77777777" w:rsidR="00B84F32" w:rsidRDefault="00B84F32" w:rsidP="002C0B9D">
            <w:pPr>
              <w:pStyle w:val="TableText"/>
              <w:spacing w:before="0" w:after="0" w:line="240" w:lineRule="auto"/>
              <w:jc w:val="center"/>
              <w:rPr>
                <w:b/>
                <w:bCs/>
                <w:szCs w:val="20"/>
                <w:lang w:val="en-NZ"/>
              </w:rPr>
            </w:pPr>
            <w:r w:rsidRPr="00052BB1">
              <w:rPr>
                <w:b/>
                <w:bCs/>
                <w:szCs w:val="20"/>
                <w:lang w:val="en-NZ"/>
              </w:rPr>
              <w:t>0</w:t>
            </w:r>
          </w:p>
          <w:p w14:paraId="6013FA03" w14:textId="7832C15A" w:rsidR="00B84F32" w:rsidRPr="00B31E8B" w:rsidRDefault="00B84F32" w:rsidP="002C0B9D">
            <w:pPr>
              <w:pStyle w:val="TableText"/>
              <w:spacing w:before="0" w:after="0" w:line="240" w:lineRule="auto"/>
              <w:rPr>
                <w:rFonts w:cs="Arial"/>
                <w:b/>
                <w:color w:val="FF0000"/>
                <w:szCs w:val="20"/>
              </w:rPr>
            </w:pPr>
            <w:r>
              <w:rPr>
                <w:szCs w:val="20"/>
                <w:lang w:val="en-NZ"/>
              </w:rPr>
              <w:t>No additional implementation costs</w:t>
            </w:r>
            <w:r w:rsidR="002C0B9D">
              <w:rPr>
                <w:szCs w:val="20"/>
                <w:lang w:val="en-NZ"/>
              </w:rPr>
              <w:t xml:space="preserve">. </w:t>
            </w:r>
            <w:r>
              <w:rPr>
                <w:szCs w:val="20"/>
                <w:lang w:val="en-NZ"/>
              </w:rPr>
              <w:t xml:space="preserve">However, there is a high risk that funding is exhausted under current HSPs appropriation which will require future </w:t>
            </w:r>
            <w:r w:rsidR="002C0B9D">
              <w:rPr>
                <w:szCs w:val="20"/>
                <w:lang w:val="en-NZ"/>
              </w:rPr>
              <w:t>C</w:t>
            </w:r>
            <w:r>
              <w:rPr>
                <w:szCs w:val="20"/>
                <w:lang w:val="en-NZ"/>
              </w:rPr>
              <w:t>abinet approval for additional funding.</w:t>
            </w:r>
          </w:p>
        </w:tc>
        <w:tc>
          <w:tcPr>
            <w:tcW w:w="6943" w:type="dxa"/>
            <w:shd w:val="clear" w:color="auto" w:fill="auto"/>
            <w:vAlign w:val="center"/>
          </w:tcPr>
          <w:p w14:paraId="6AE0FDF2" w14:textId="77777777" w:rsidR="00B84F32" w:rsidRPr="0082184C" w:rsidRDefault="00B84F32" w:rsidP="00D12F88">
            <w:pPr>
              <w:pStyle w:val="TableText"/>
              <w:spacing w:before="0" w:after="0" w:line="240" w:lineRule="auto"/>
              <w:jc w:val="center"/>
              <w:rPr>
                <w:rFonts w:cs="Arial"/>
                <w:b/>
                <w:color w:val="FF0000"/>
                <w:sz w:val="28"/>
                <w:szCs w:val="28"/>
              </w:rPr>
            </w:pPr>
            <w:r w:rsidRPr="0082184C">
              <w:rPr>
                <w:rFonts w:cs="Arial"/>
                <w:b/>
                <w:color w:val="FF0000"/>
                <w:sz w:val="28"/>
                <w:szCs w:val="28"/>
              </w:rPr>
              <w:t>-</w:t>
            </w:r>
          </w:p>
          <w:p w14:paraId="644857AF" w14:textId="371EDEDA" w:rsidR="00B84F32" w:rsidRDefault="002C0B9D" w:rsidP="00D12F88">
            <w:pPr>
              <w:spacing w:before="0" w:after="0"/>
              <w:rPr>
                <w:sz w:val="20"/>
              </w:rPr>
            </w:pPr>
            <w:r>
              <w:rPr>
                <w:sz w:val="20"/>
              </w:rPr>
              <w:t xml:space="preserve">This option is expected to cost </w:t>
            </w:r>
            <w:r w:rsidR="00B84F32">
              <w:rPr>
                <w:sz w:val="20"/>
              </w:rPr>
              <w:t>$42.003m (over five years)</w:t>
            </w:r>
            <w:r w:rsidR="00F21344">
              <w:rPr>
                <w:sz w:val="20"/>
              </w:rPr>
              <w:t xml:space="preserve"> in addition to current forecasted spending on HSPs and housing-related Advances and RAPs.</w:t>
            </w:r>
          </w:p>
          <w:p w14:paraId="36582F75" w14:textId="77777777" w:rsidR="002C0B9D" w:rsidRDefault="002C0B9D" w:rsidP="00D12F88">
            <w:pPr>
              <w:spacing w:before="0" w:after="0"/>
              <w:rPr>
                <w:sz w:val="20"/>
              </w:rPr>
            </w:pPr>
          </w:p>
          <w:p w14:paraId="7C60E5B1" w14:textId="6031488E" w:rsidR="00B84F32" w:rsidRPr="00B31E8B" w:rsidRDefault="00E93705" w:rsidP="00D12F88">
            <w:pPr>
              <w:spacing w:before="0" w:after="0"/>
              <w:rPr>
                <w:sz w:val="20"/>
              </w:rPr>
            </w:pPr>
            <w:r>
              <w:rPr>
                <w:sz w:val="20"/>
              </w:rPr>
              <w:t>The implementation of a new programme will not require any changes to primary legislation. Changes will be required to a Ministerial Direction and Welfare Programmes under the Social Security Act 2018.</w:t>
            </w:r>
            <w:r w:rsidR="00B84F32" w:rsidRPr="00B31E8B">
              <w:rPr>
                <w:sz w:val="20"/>
              </w:rPr>
              <w:t xml:space="preserve"> It will also require recruitment of new staff and training of all staff who administer support, IT system changes, and communication of </w:t>
            </w:r>
            <w:r>
              <w:rPr>
                <w:sz w:val="20"/>
              </w:rPr>
              <w:t xml:space="preserve">the </w:t>
            </w:r>
            <w:r w:rsidR="00B84F32" w:rsidRPr="00B31E8B">
              <w:rPr>
                <w:sz w:val="20"/>
              </w:rPr>
              <w:t>changes</w:t>
            </w:r>
            <w:r w:rsidR="002C0B9D">
              <w:rPr>
                <w:sz w:val="20"/>
              </w:rPr>
              <w:t xml:space="preserve"> to the </w:t>
            </w:r>
            <w:proofErr w:type="gramStart"/>
            <w:r w:rsidR="002C0B9D">
              <w:rPr>
                <w:sz w:val="20"/>
              </w:rPr>
              <w:t>general public</w:t>
            </w:r>
            <w:proofErr w:type="gramEnd"/>
            <w:r w:rsidR="00B84F32" w:rsidRPr="00B31E8B">
              <w:rPr>
                <w:sz w:val="20"/>
              </w:rPr>
              <w:t>.</w:t>
            </w:r>
          </w:p>
        </w:tc>
      </w:tr>
      <w:tr w:rsidR="00B84F32" w:rsidRPr="00A864A5" w14:paraId="610535B6" w14:textId="2B76ABBF" w:rsidTr="00D12F88">
        <w:trPr>
          <w:trHeight w:val="938"/>
        </w:trPr>
        <w:tc>
          <w:tcPr>
            <w:tcW w:w="2439" w:type="dxa"/>
            <w:shd w:val="clear" w:color="auto" w:fill="F2F2F2" w:themeFill="background1" w:themeFillShade="F2"/>
            <w:vAlign w:val="center"/>
          </w:tcPr>
          <w:p w14:paraId="4CEBFF80" w14:textId="77777777" w:rsidR="00B84F32" w:rsidRPr="00B31E8B" w:rsidRDefault="00B84F32" w:rsidP="00D12F88">
            <w:pPr>
              <w:spacing w:before="60" w:after="60"/>
              <w:jc w:val="center"/>
              <w:rPr>
                <w:rFonts w:cs="Arial"/>
                <w:b/>
                <w:color w:val="000000"/>
                <w:sz w:val="20"/>
                <w:lang w:val="en-NZ"/>
              </w:rPr>
            </w:pPr>
            <w:r w:rsidRPr="00B31E8B">
              <w:rPr>
                <w:rFonts w:cs="Arial"/>
                <w:b/>
                <w:color w:val="000000"/>
                <w:sz w:val="20"/>
                <w:lang w:val="en-NZ"/>
              </w:rPr>
              <w:t>Overall assessment</w:t>
            </w:r>
          </w:p>
        </w:tc>
        <w:tc>
          <w:tcPr>
            <w:tcW w:w="5528" w:type="dxa"/>
            <w:vAlign w:val="center"/>
          </w:tcPr>
          <w:p w14:paraId="6E05C572" w14:textId="68881E39" w:rsidR="00936935" w:rsidRPr="0082184C" w:rsidRDefault="00936935" w:rsidP="00D12F88">
            <w:pPr>
              <w:pStyle w:val="TableText"/>
              <w:spacing w:before="0" w:after="0" w:line="240" w:lineRule="auto"/>
              <w:ind w:left="360"/>
              <w:jc w:val="center"/>
              <w:rPr>
                <w:rFonts w:cs="Arial"/>
                <w:b/>
                <w:color w:val="FF0000"/>
                <w:sz w:val="28"/>
                <w:szCs w:val="28"/>
              </w:rPr>
            </w:pPr>
            <w:r w:rsidRPr="0082184C">
              <w:rPr>
                <w:rFonts w:cs="Arial"/>
                <w:b/>
                <w:color w:val="FF0000"/>
                <w:sz w:val="28"/>
                <w:szCs w:val="28"/>
              </w:rPr>
              <w:t>-</w:t>
            </w:r>
          </w:p>
          <w:p w14:paraId="1EEFF23A" w14:textId="7F1F4778" w:rsidR="00B84F32" w:rsidRPr="00B31E8B" w:rsidRDefault="00B84F32" w:rsidP="00D12F88">
            <w:pPr>
              <w:pStyle w:val="TableText"/>
              <w:spacing w:before="0" w:after="0" w:line="240" w:lineRule="auto"/>
              <w:jc w:val="center"/>
              <w:rPr>
                <w:rFonts w:cs="Arial"/>
                <w:b/>
                <w:color w:val="00B050"/>
                <w:szCs w:val="20"/>
              </w:rPr>
            </w:pPr>
          </w:p>
        </w:tc>
        <w:tc>
          <w:tcPr>
            <w:tcW w:w="6943" w:type="dxa"/>
            <w:shd w:val="clear" w:color="auto" w:fill="auto"/>
            <w:vAlign w:val="center"/>
          </w:tcPr>
          <w:p w14:paraId="0154A2E2" w14:textId="7364ACF1" w:rsidR="00B84F32" w:rsidRPr="00B31E8B" w:rsidRDefault="00B84F32" w:rsidP="00D12F88">
            <w:pPr>
              <w:pStyle w:val="TableText"/>
              <w:spacing w:before="0" w:after="0" w:line="240" w:lineRule="auto"/>
              <w:jc w:val="center"/>
              <w:rPr>
                <w:rFonts w:cs="Arial"/>
                <w:b/>
                <w:color w:val="00B050"/>
                <w:szCs w:val="20"/>
              </w:rPr>
            </w:pPr>
            <w:r w:rsidRPr="00B31E8B">
              <w:rPr>
                <w:rFonts w:cs="Arial"/>
                <w:b/>
                <w:color w:val="00B050"/>
                <w:szCs w:val="20"/>
              </w:rPr>
              <w:t>+</w:t>
            </w:r>
          </w:p>
          <w:p w14:paraId="18445CBD" w14:textId="6B9F8289" w:rsidR="00B84F32" w:rsidRPr="00B31E8B" w:rsidRDefault="00B84F32" w:rsidP="00D12F88">
            <w:pPr>
              <w:pStyle w:val="TableText"/>
              <w:spacing w:before="0" w:after="0" w:line="240" w:lineRule="auto"/>
              <w:jc w:val="center"/>
              <w:rPr>
                <w:szCs w:val="20"/>
                <w:lang w:val="en-NZ"/>
              </w:rPr>
            </w:pPr>
          </w:p>
        </w:tc>
      </w:tr>
    </w:tbl>
    <w:p w14:paraId="79DA18FD" w14:textId="3A723CB5" w:rsidR="00175B52" w:rsidRPr="000518AB" w:rsidRDefault="00175B52" w:rsidP="000518AB">
      <w:pPr>
        <w:tabs>
          <w:tab w:val="left" w:pos="400"/>
        </w:tabs>
        <w:rPr>
          <w:lang w:val="en-NZ" w:eastAsia="en-NZ"/>
        </w:rPr>
        <w:sectPr w:rsidR="00175B52" w:rsidRPr="000518AB" w:rsidSect="00B5612C">
          <w:footerReference w:type="default" r:id="rId16"/>
          <w:pgSz w:w="16838" w:h="11906" w:orient="landscape" w:code="9"/>
          <w:pgMar w:top="1418" w:right="1134" w:bottom="1418" w:left="992" w:header="454" w:footer="454" w:gutter="0"/>
          <w:cols w:space="708"/>
          <w:docGrid w:linePitch="360"/>
        </w:sectPr>
      </w:pPr>
    </w:p>
    <w:p w14:paraId="4DB360B8" w14:textId="77777777" w:rsidR="00CA552D" w:rsidRPr="00A864A5" w:rsidRDefault="00CA552D" w:rsidP="00CA552D">
      <w:pPr>
        <w:pStyle w:val="Heading3"/>
        <w:rPr>
          <w:noProof/>
          <w:lang w:val="en-NZ" w:eastAsia="en-NZ"/>
        </w:rPr>
      </w:pPr>
      <w:bookmarkStart w:id="12" w:name="_Hlk53565460"/>
      <w:r>
        <w:rPr>
          <w:noProof/>
          <w:lang w:val="en-NZ" w:eastAsia="en-NZ"/>
        </w:rPr>
        <w:lastRenderedPageBreak/>
        <w:t>What option is likely to best address the problem, meet the policy objectives, and deliver the highest net benefits?</w:t>
      </w:r>
    </w:p>
    <w:p w14:paraId="75926302" w14:textId="65643F27" w:rsidR="00CA552D" w:rsidRDefault="00CA552D" w:rsidP="00CA552D">
      <w:pPr>
        <w:tabs>
          <w:tab w:val="left" w:pos="400"/>
        </w:tabs>
        <w:rPr>
          <w:lang w:val="en-NZ" w:eastAsia="en-NZ"/>
        </w:rPr>
      </w:pPr>
      <w:r>
        <w:rPr>
          <w:lang w:val="en-NZ" w:eastAsia="en-NZ"/>
        </w:rPr>
        <w:t xml:space="preserve">Option </w:t>
      </w:r>
      <w:r w:rsidR="0082184C">
        <w:rPr>
          <w:lang w:val="en-NZ" w:eastAsia="en-NZ"/>
        </w:rPr>
        <w:t>two</w:t>
      </w:r>
      <w:r>
        <w:rPr>
          <w:lang w:val="en-NZ" w:eastAsia="en-NZ"/>
        </w:rPr>
        <w:t xml:space="preserve"> is the preferred option of MSD and HUD. </w:t>
      </w:r>
      <w:r w:rsidR="00841A4A">
        <w:rPr>
          <w:lang w:val="en-NZ" w:eastAsia="en-NZ"/>
        </w:rPr>
        <w:t>If implemented, the changes would</w:t>
      </w:r>
      <w:r>
        <w:rPr>
          <w:lang w:val="en-NZ" w:eastAsia="en-NZ"/>
        </w:rPr>
        <w:t>:</w:t>
      </w:r>
    </w:p>
    <w:p w14:paraId="0BED40B6" w14:textId="77B868E0" w:rsidR="00CA552D" w:rsidRPr="00CA552D" w:rsidRDefault="00841A4A" w:rsidP="00936935">
      <w:pPr>
        <w:pStyle w:val="ListParagraph"/>
        <w:numPr>
          <w:ilvl w:val="0"/>
          <w:numId w:val="16"/>
        </w:numPr>
        <w:tabs>
          <w:tab w:val="left" w:pos="400"/>
        </w:tabs>
        <w:ind w:left="714" w:hanging="357"/>
        <w:contextualSpacing w:val="0"/>
        <w:rPr>
          <w:lang w:val="en-NZ" w:eastAsia="en-NZ"/>
        </w:rPr>
      </w:pPr>
      <w:r>
        <w:rPr>
          <w:lang w:val="en-NZ" w:eastAsia="en-NZ"/>
        </w:rPr>
        <w:t>ensure</w:t>
      </w:r>
      <w:r w:rsidR="00CA552D" w:rsidRPr="00CA552D">
        <w:rPr>
          <w:lang w:val="en-NZ" w:eastAsia="en-NZ"/>
        </w:rPr>
        <w:t xml:space="preserve"> assistance is adequate through increased </w:t>
      </w:r>
      <w:r w:rsidR="00E93705">
        <w:rPr>
          <w:lang w:val="en-NZ" w:eastAsia="en-NZ"/>
        </w:rPr>
        <w:t>payments</w:t>
      </w:r>
      <w:r w:rsidR="00E93705" w:rsidRPr="00CA552D">
        <w:rPr>
          <w:lang w:val="en-NZ" w:eastAsia="en-NZ"/>
        </w:rPr>
        <w:t xml:space="preserve"> </w:t>
      </w:r>
      <w:r w:rsidR="00CA552D" w:rsidRPr="00CA552D">
        <w:rPr>
          <w:lang w:val="en-NZ" w:eastAsia="en-NZ"/>
        </w:rPr>
        <w:t xml:space="preserve">to reflect </w:t>
      </w:r>
      <w:r w:rsidR="002C0B9D">
        <w:rPr>
          <w:lang w:val="en-NZ" w:eastAsia="en-NZ"/>
        </w:rPr>
        <w:t>increase</w:t>
      </w:r>
      <w:r w:rsidR="009F294F">
        <w:rPr>
          <w:lang w:val="en-NZ" w:eastAsia="en-NZ"/>
        </w:rPr>
        <w:t xml:space="preserve">d rents </w:t>
      </w:r>
      <w:r w:rsidR="00EA0244">
        <w:rPr>
          <w:lang w:val="en-NZ" w:eastAsia="en-NZ"/>
        </w:rPr>
        <w:t>and to enable lower-income households to access payments more frequently</w:t>
      </w:r>
      <w:r w:rsidR="002C0B9D">
        <w:rPr>
          <w:lang w:val="en-NZ" w:eastAsia="en-NZ"/>
        </w:rPr>
        <w:t xml:space="preserve">, </w:t>
      </w:r>
      <w:r w:rsidR="00E93705">
        <w:rPr>
          <w:lang w:val="en-NZ" w:eastAsia="en-NZ"/>
        </w:rPr>
        <w:t xml:space="preserve">thereby better support people to </w:t>
      </w:r>
      <w:r w:rsidR="009F294F">
        <w:rPr>
          <w:lang w:val="en-NZ" w:eastAsia="en-NZ"/>
        </w:rPr>
        <w:t>access and sustain</w:t>
      </w:r>
      <w:r w:rsidR="00E93705">
        <w:rPr>
          <w:lang w:val="en-NZ" w:eastAsia="en-NZ"/>
        </w:rPr>
        <w:t xml:space="preserve"> a private tenancy</w:t>
      </w:r>
    </w:p>
    <w:p w14:paraId="3C421A68" w14:textId="356E1C4C" w:rsidR="0082184C" w:rsidRDefault="00841A4A" w:rsidP="00936935">
      <w:pPr>
        <w:pStyle w:val="ListParagraph"/>
        <w:numPr>
          <w:ilvl w:val="0"/>
          <w:numId w:val="16"/>
        </w:numPr>
        <w:tabs>
          <w:tab w:val="left" w:pos="400"/>
        </w:tabs>
        <w:ind w:left="714" w:hanging="357"/>
        <w:contextualSpacing w:val="0"/>
        <w:rPr>
          <w:lang w:val="en-NZ" w:eastAsia="en-NZ"/>
        </w:rPr>
      </w:pPr>
      <w:r>
        <w:rPr>
          <w:lang w:val="en-NZ" w:eastAsia="en-NZ"/>
        </w:rPr>
        <w:t>improve equity</w:t>
      </w:r>
      <w:r w:rsidR="00CA552D" w:rsidRPr="00CA552D">
        <w:rPr>
          <w:lang w:val="en-NZ" w:eastAsia="en-NZ"/>
        </w:rPr>
        <w:t xml:space="preserve"> by combining current housing-related supports into a single programme </w:t>
      </w:r>
      <w:r w:rsidR="0082184C">
        <w:rPr>
          <w:lang w:val="en-NZ" w:eastAsia="en-NZ"/>
        </w:rPr>
        <w:t>with a single set of eligibility criteria and policy settings</w:t>
      </w:r>
      <w:r w:rsidR="009F294F">
        <w:rPr>
          <w:lang w:val="en-NZ" w:eastAsia="en-NZ"/>
        </w:rPr>
        <w:t xml:space="preserve"> (including recoverability settings) </w:t>
      </w:r>
    </w:p>
    <w:p w14:paraId="2D03CF72" w14:textId="0E8F2173" w:rsidR="00CA552D" w:rsidRPr="00CA552D" w:rsidRDefault="0082184C" w:rsidP="00936935">
      <w:pPr>
        <w:pStyle w:val="ListParagraph"/>
        <w:numPr>
          <w:ilvl w:val="0"/>
          <w:numId w:val="16"/>
        </w:numPr>
        <w:tabs>
          <w:tab w:val="left" w:pos="400"/>
        </w:tabs>
        <w:ind w:left="714" w:hanging="357"/>
        <w:contextualSpacing w:val="0"/>
        <w:rPr>
          <w:lang w:val="en-NZ" w:eastAsia="en-NZ"/>
        </w:rPr>
      </w:pPr>
      <w:r>
        <w:rPr>
          <w:lang w:val="en-NZ" w:eastAsia="en-NZ"/>
        </w:rPr>
        <w:t>improve administration of support and create a more transparent system</w:t>
      </w:r>
      <w:r w:rsidR="00CA552D" w:rsidRPr="00CA552D">
        <w:rPr>
          <w:lang w:val="en-NZ" w:eastAsia="en-NZ"/>
        </w:rPr>
        <w:t xml:space="preserve">  </w:t>
      </w:r>
    </w:p>
    <w:p w14:paraId="063A0689" w14:textId="5D4EAADA" w:rsidR="00CA552D" w:rsidRDefault="00E93705" w:rsidP="00936935">
      <w:pPr>
        <w:pStyle w:val="ListParagraph"/>
        <w:numPr>
          <w:ilvl w:val="0"/>
          <w:numId w:val="16"/>
        </w:numPr>
        <w:tabs>
          <w:tab w:val="left" w:pos="400"/>
        </w:tabs>
        <w:ind w:left="714" w:hanging="357"/>
        <w:contextualSpacing w:val="0"/>
        <w:rPr>
          <w:lang w:val="en-NZ" w:eastAsia="en-NZ"/>
        </w:rPr>
      </w:pPr>
      <w:r>
        <w:rPr>
          <w:lang w:val="en-NZ" w:eastAsia="en-NZ"/>
        </w:rPr>
        <w:t xml:space="preserve">better </w:t>
      </w:r>
      <w:r w:rsidR="0068395D">
        <w:rPr>
          <w:lang w:val="en-NZ" w:eastAsia="en-NZ"/>
        </w:rPr>
        <w:t>s</w:t>
      </w:r>
      <w:r w:rsidR="00CA552D" w:rsidRPr="00CA552D">
        <w:rPr>
          <w:lang w:val="en-NZ" w:eastAsia="en-NZ"/>
        </w:rPr>
        <w:t>upport clients in vulnerable housing situations (</w:t>
      </w:r>
      <w:proofErr w:type="gramStart"/>
      <w:r w:rsidR="00CA552D" w:rsidRPr="00CA552D">
        <w:rPr>
          <w:lang w:val="en-NZ" w:eastAsia="en-NZ"/>
        </w:rPr>
        <w:t>eg</w:t>
      </w:r>
      <w:proofErr w:type="gramEnd"/>
      <w:r w:rsidR="00CA552D" w:rsidRPr="00CA552D">
        <w:rPr>
          <w:lang w:val="en-NZ" w:eastAsia="en-NZ"/>
        </w:rPr>
        <w:t xml:space="preserve"> emergency housing) and address gaps in support by introducing a new</w:t>
      </w:r>
      <w:r w:rsidR="009F294F">
        <w:rPr>
          <w:lang w:val="en-NZ" w:eastAsia="en-NZ"/>
        </w:rPr>
        <w:t xml:space="preserve"> (non-recoverable)</w:t>
      </w:r>
      <w:r w:rsidR="00CA552D" w:rsidRPr="00CA552D">
        <w:rPr>
          <w:lang w:val="en-NZ" w:eastAsia="en-NZ"/>
        </w:rPr>
        <w:t xml:space="preserve"> payment as a pilot for two years.</w:t>
      </w:r>
    </w:p>
    <w:p w14:paraId="58ACFE9B" w14:textId="27B69351" w:rsidR="00097119" w:rsidRDefault="00DB51CD" w:rsidP="00570E3F">
      <w:pPr>
        <w:pStyle w:val="Heading3"/>
        <w:rPr>
          <w:lang w:val="en-NZ"/>
        </w:rPr>
      </w:pPr>
      <w:r>
        <w:rPr>
          <w:noProof/>
          <w:lang w:val="en-NZ" w:eastAsia="en-NZ"/>
        </w:rPr>
        <w:t>What are</w:t>
      </w:r>
      <w:r w:rsidR="004625C9" w:rsidRPr="00A864A5">
        <w:rPr>
          <w:lang w:val="en-NZ"/>
        </w:rPr>
        <w:t xml:space="preserve"> the </w:t>
      </w:r>
      <w:r w:rsidR="005F41A2">
        <w:rPr>
          <w:lang w:val="en-NZ"/>
        </w:rPr>
        <w:t xml:space="preserve">marginal </w:t>
      </w:r>
      <w:r w:rsidR="00F01ED1" w:rsidRPr="00A864A5">
        <w:rPr>
          <w:lang w:val="en-NZ"/>
        </w:rPr>
        <w:t xml:space="preserve">costs and </w:t>
      </w:r>
      <w:r w:rsidR="00F01ED1" w:rsidRPr="00CA552D">
        <w:rPr>
          <w:lang w:val="en-NZ"/>
        </w:rPr>
        <w:t>benefits</w:t>
      </w:r>
      <w:r w:rsidR="004625C9" w:rsidRPr="00A864A5">
        <w:rPr>
          <w:lang w:val="en-NZ"/>
        </w:rPr>
        <w:t xml:space="preserve"> of </w:t>
      </w:r>
      <w:r w:rsidR="005F41A2">
        <w:rPr>
          <w:lang w:val="en-NZ"/>
        </w:rPr>
        <w:t>the</w:t>
      </w:r>
      <w:r w:rsidR="00CA552D">
        <w:rPr>
          <w:lang w:val="en-NZ"/>
        </w:rPr>
        <w:t xml:space="preserve"> preferred</w:t>
      </w:r>
      <w:r w:rsidR="004625C9" w:rsidRPr="00A864A5">
        <w:rPr>
          <w:lang w:val="en-NZ"/>
        </w:rPr>
        <w:t xml:space="preserve"> option</w:t>
      </w:r>
      <w:r>
        <w:rPr>
          <w:lang w:val="en-NZ"/>
        </w:rPr>
        <w:t>?</w:t>
      </w:r>
    </w:p>
    <w:tbl>
      <w:tblPr>
        <w:tblpPr w:leftFromText="180" w:rightFromText="180" w:vertAnchor="text" w:horzAnchor="margin" w:tblpY="124"/>
        <w:tblOverlap w:val="never"/>
        <w:tblW w:w="9493" w:type="dxa"/>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Layout w:type="fixed"/>
        <w:tblLook w:val="04A0" w:firstRow="1" w:lastRow="0" w:firstColumn="1" w:lastColumn="0" w:noHBand="0" w:noVBand="1"/>
      </w:tblPr>
      <w:tblGrid>
        <w:gridCol w:w="1555"/>
        <w:gridCol w:w="5244"/>
        <w:gridCol w:w="1418"/>
        <w:gridCol w:w="1276"/>
      </w:tblGrid>
      <w:tr w:rsidR="00136700" w:rsidRPr="002C0B9D" w14:paraId="5EA92CE7" w14:textId="77777777" w:rsidTr="002C77F7">
        <w:trPr>
          <w:trHeight w:val="762"/>
        </w:trPr>
        <w:tc>
          <w:tcPr>
            <w:tcW w:w="1555" w:type="dxa"/>
            <w:shd w:val="clear" w:color="auto" w:fill="F2F2F2" w:themeFill="background1" w:themeFillShade="F2"/>
          </w:tcPr>
          <w:p w14:paraId="74B32D65" w14:textId="37B98935" w:rsidR="009D0B82" w:rsidRPr="002C0B9D" w:rsidRDefault="009D0B82" w:rsidP="009D0B82">
            <w:pPr>
              <w:pStyle w:val="TableText"/>
              <w:keepNext/>
              <w:rPr>
                <w:rFonts w:eastAsia="Calibri" w:cs="Arial"/>
                <w:color w:val="000000"/>
                <w:szCs w:val="20"/>
                <w:lang w:val="en-NZ"/>
              </w:rPr>
            </w:pPr>
            <w:r w:rsidRPr="002C0B9D">
              <w:rPr>
                <w:rFonts w:eastAsia="Calibri" w:cs="Arial"/>
                <w:b/>
                <w:color w:val="000000"/>
                <w:szCs w:val="20"/>
                <w:lang w:val="en-NZ"/>
              </w:rPr>
              <w:t>Affected groups</w:t>
            </w:r>
            <w:r w:rsidR="00136700" w:rsidRPr="002C0B9D">
              <w:rPr>
                <w:rFonts w:eastAsia="Calibri" w:cs="Arial"/>
                <w:color w:val="000000"/>
                <w:szCs w:val="20"/>
                <w:lang w:val="en-NZ"/>
              </w:rPr>
              <w:br/>
            </w:r>
          </w:p>
        </w:tc>
        <w:tc>
          <w:tcPr>
            <w:tcW w:w="5244" w:type="dxa"/>
            <w:shd w:val="clear" w:color="auto" w:fill="F2F2F2" w:themeFill="background1" w:themeFillShade="F2"/>
          </w:tcPr>
          <w:p w14:paraId="18E17B4C" w14:textId="1F914F94" w:rsidR="009D0B82" w:rsidRPr="002C0B9D" w:rsidRDefault="009D0B82" w:rsidP="009D0B82">
            <w:pPr>
              <w:pStyle w:val="TableText"/>
              <w:keepNext/>
              <w:rPr>
                <w:rFonts w:eastAsia="Calibri" w:cs="Arial"/>
                <w:color w:val="000000"/>
                <w:szCs w:val="20"/>
                <w:lang w:val="en-NZ"/>
              </w:rPr>
            </w:pPr>
            <w:r w:rsidRPr="002C0B9D">
              <w:rPr>
                <w:rFonts w:eastAsia="Calibri" w:cs="Arial"/>
                <w:b/>
                <w:color w:val="000000"/>
                <w:szCs w:val="20"/>
                <w:lang w:val="en-NZ"/>
              </w:rPr>
              <w:t>Comment</w:t>
            </w:r>
            <w:r w:rsidR="00136700" w:rsidRPr="002C0B9D">
              <w:rPr>
                <w:rFonts w:eastAsia="Calibri" w:cs="Arial"/>
                <w:color w:val="000000"/>
                <w:szCs w:val="20"/>
                <w:lang w:val="en-NZ"/>
              </w:rPr>
              <w:br/>
            </w:r>
            <w:r w:rsidRPr="002C0B9D">
              <w:rPr>
                <w:rFonts w:eastAsia="Calibri" w:cs="Arial"/>
                <w:i/>
                <w:iCs/>
                <w:color w:val="000000"/>
                <w:szCs w:val="20"/>
                <w:lang w:val="en-NZ"/>
              </w:rPr>
              <w:t>nature of cost or benefit (</w:t>
            </w:r>
            <w:r w:rsidR="00347572" w:rsidRPr="002C0B9D">
              <w:rPr>
                <w:rFonts w:eastAsia="Calibri" w:cs="Arial"/>
                <w:i/>
                <w:iCs/>
                <w:color w:val="000000"/>
                <w:szCs w:val="20"/>
                <w:lang w:val="en-NZ"/>
              </w:rPr>
              <w:t>eg,</w:t>
            </w:r>
            <w:r w:rsidRPr="002C0B9D">
              <w:rPr>
                <w:rFonts w:eastAsia="Calibri" w:cs="Arial"/>
                <w:i/>
                <w:iCs/>
                <w:color w:val="000000"/>
                <w:szCs w:val="20"/>
                <w:lang w:val="en-NZ"/>
              </w:rPr>
              <w:t xml:space="preserve"> ongoing, one-off), evidence and assumption (</w:t>
            </w:r>
            <w:r w:rsidR="00347572" w:rsidRPr="002C0B9D">
              <w:rPr>
                <w:rFonts w:eastAsia="Calibri" w:cs="Arial"/>
                <w:i/>
                <w:iCs/>
                <w:color w:val="000000"/>
                <w:szCs w:val="20"/>
                <w:lang w:val="en-NZ"/>
              </w:rPr>
              <w:t>eg,</w:t>
            </w:r>
            <w:r w:rsidRPr="002C0B9D">
              <w:rPr>
                <w:rFonts w:eastAsia="Calibri" w:cs="Arial"/>
                <w:i/>
                <w:iCs/>
                <w:color w:val="000000"/>
                <w:szCs w:val="20"/>
                <w:lang w:val="en-NZ"/>
              </w:rPr>
              <w:t xml:space="preserve"> compliance rates), risks</w:t>
            </w:r>
            <w:r w:rsidR="00136700" w:rsidRPr="002C0B9D">
              <w:rPr>
                <w:rFonts w:eastAsia="Calibri" w:cs="Arial"/>
                <w:i/>
                <w:iCs/>
                <w:color w:val="000000"/>
                <w:szCs w:val="20"/>
                <w:lang w:val="en-NZ"/>
              </w:rPr>
              <w:t>.</w:t>
            </w:r>
          </w:p>
        </w:tc>
        <w:tc>
          <w:tcPr>
            <w:tcW w:w="1418" w:type="dxa"/>
            <w:shd w:val="clear" w:color="auto" w:fill="F2F2F2" w:themeFill="background1" w:themeFillShade="F2"/>
          </w:tcPr>
          <w:p w14:paraId="4E01756B" w14:textId="3F051B8F" w:rsidR="009D0B82" w:rsidRPr="002C0B9D" w:rsidRDefault="009D0B82" w:rsidP="009D0B82">
            <w:pPr>
              <w:pStyle w:val="TableText"/>
              <w:keepNext/>
              <w:rPr>
                <w:rFonts w:eastAsia="Calibri" w:cs="Arial"/>
                <w:b/>
                <w:color w:val="000000"/>
                <w:szCs w:val="20"/>
                <w:lang w:val="en-NZ"/>
              </w:rPr>
            </w:pPr>
            <w:r w:rsidRPr="002C0B9D">
              <w:rPr>
                <w:rFonts w:eastAsia="Calibri" w:cs="Arial"/>
                <w:b/>
                <w:color w:val="000000"/>
                <w:szCs w:val="20"/>
                <w:lang w:val="en-NZ"/>
              </w:rPr>
              <w:t>Impact</w:t>
            </w:r>
            <w:r w:rsidR="00136700" w:rsidRPr="002C0B9D">
              <w:rPr>
                <w:rFonts w:eastAsia="Calibri" w:cs="Arial"/>
                <w:b/>
                <w:color w:val="000000"/>
                <w:szCs w:val="20"/>
                <w:lang w:val="en-NZ"/>
              </w:rPr>
              <w:br/>
            </w:r>
            <w:r w:rsidRPr="002C0B9D">
              <w:rPr>
                <w:rFonts w:eastAsia="Calibri" w:cs="Arial"/>
                <w:i/>
                <w:color w:val="000000"/>
                <w:szCs w:val="20"/>
                <w:lang w:val="en-NZ"/>
              </w:rPr>
              <w:t xml:space="preserve">$m present high, </w:t>
            </w:r>
            <w:proofErr w:type="gramStart"/>
            <w:r w:rsidRPr="002C0B9D">
              <w:rPr>
                <w:rFonts w:eastAsia="Calibri" w:cs="Arial"/>
                <w:i/>
                <w:color w:val="000000"/>
                <w:szCs w:val="20"/>
                <w:lang w:val="en-NZ"/>
              </w:rPr>
              <w:t>medium</w:t>
            </w:r>
            <w:proofErr w:type="gramEnd"/>
            <w:r w:rsidRPr="002C0B9D">
              <w:rPr>
                <w:rFonts w:eastAsia="Calibri" w:cs="Arial"/>
                <w:i/>
                <w:color w:val="000000"/>
                <w:szCs w:val="20"/>
                <w:lang w:val="en-NZ"/>
              </w:rPr>
              <w:t xml:space="preserve"> or low for non-monetised impacts</w:t>
            </w:r>
            <w:r w:rsidR="00136700" w:rsidRPr="002C0B9D">
              <w:rPr>
                <w:rFonts w:eastAsia="Calibri" w:cs="Arial"/>
                <w:i/>
                <w:color w:val="000000"/>
                <w:szCs w:val="20"/>
                <w:lang w:val="en-NZ"/>
              </w:rPr>
              <w:t>.</w:t>
            </w:r>
          </w:p>
        </w:tc>
        <w:tc>
          <w:tcPr>
            <w:tcW w:w="1276" w:type="dxa"/>
            <w:shd w:val="clear" w:color="auto" w:fill="F2F2F2" w:themeFill="background1" w:themeFillShade="F2"/>
          </w:tcPr>
          <w:p w14:paraId="29027758" w14:textId="212FC4EC" w:rsidR="009D0B82" w:rsidRPr="002C0B9D" w:rsidRDefault="009D0B82" w:rsidP="009D0B82">
            <w:pPr>
              <w:pStyle w:val="TableText"/>
              <w:keepNext/>
              <w:rPr>
                <w:rFonts w:eastAsia="Calibri" w:cs="Arial"/>
                <w:bCs/>
                <w:i/>
                <w:iCs/>
                <w:color w:val="000000"/>
                <w:szCs w:val="20"/>
                <w:lang w:val="en-NZ"/>
              </w:rPr>
            </w:pPr>
            <w:r w:rsidRPr="002C0B9D">
              <w:rPr>
                <w:rFonts w:eastAsia="Calibri" w:cs="Arial"/>
                <w:b/>
                <w:color w:val="000000"/>
                <w:szCs w:val="20"/>
                <w:lang w:val="en-NZ"/>
              </w:rPr>
              <w:t>Evidence Certainty</w:t>
            </w:r>
            <w:r w:rsidR="00136700" w:rsidRPr="002C0B9D">
              <w:rPr>
                <w:rFonts w:eastAsia="Calibri" w:cs="Arial"/>
                <w:b/>
                <w:color w:val="000000"/>
                <w:szCs w:val="20"/>
                <w:lang w:val="en-NZ"/>
              </w:rPr>
              <w:br/>
            </w:r>
            <w:r w:rsidR="00136700" w:rsidRPr="002C0B9D">
              <w:rPr>
                <w:rFonts w:eastAsia="Calibri" w:cs="Arial"/>
                <w:bCs/>
                <w:i/>
                <w:iCs/>
                <w:color w:val="000000"/>
                <w:szCs w:val="20"/>
                <w:lang w:val="en-NZ"/>
              </w:rPr>
              <w:t>High, medium, or low</w:t>
            </w:r>
            <w:r w:rsidR="002C77F7">
              <w:rPr>
                <w:rFonts w:eastAsia="Calibri" w:cs="Arial"/>
                <w:bCs/>
                <w:i/>
                <w:iCs/>
                <w:color w:val="000000"/>
                <w:szCs w:val="20"/>
                <w:lang w:val="en-NZ"/>
              </w:rPr>
              <w:t>.</w:t>
            </w:r>
          </w:p>
        </w:tc>
      </w:tr>
      <w:tr w:rsidR="00136700" w:rsidRPr="002C0B9D" w14:paraId="3BC25AF6" w14:textId="77777777" w:rsidTr="006448CF">
        <w:trPr>
          <w:trHeight w:val="391"/>
        </w:trPr>
        <w:tc>
          <w:tcPr>
            <w:tcW w:w="9493" w:type="dxa"/>
            <w:gridSpan w:val="4"/>
            <w:shd w:val="clear" w:color="auto" w:fill="F2F2F2" w:themeFill="background1" w:themeFillShade="F2"/>
            <w:vAlign w:val="center"/>
          </w:tcPr>
          <w:p w14:paraId="183B7348" w14:textId="74D1CAE5" w:rsidR="00136700" w:rsidRPr="002C0B9D" w:rsidRDefault="00136700" w:rsidP="00792525">
            <w:pPr>
              <w:keepNext/>
              <w:spacing w:before="40" w:after="20"/>
              <w:jc w:val="center"/>
              <w:rPr>
                <w:rFonts w:eastAsia="Calibri" w:cs="Arial"/>
                <w:b/>
                <w:bCs/>
                <w:color w:val="000000"/>
                <w:sz w:val="20"/>
                <w:lang w:val="en-NZ"/>
              </w:rPr>
            </w:pPr>
            <w:r w:rsidRPr="002C0B9D">
              <w:rPr>
                <w:rFonts w:eastAsia="Calibri" w:cs="Arial"/>
                <w:b/>
                <w:bCs/>
                <w:color w:val="000000"/>
                <w:sz w:val="20"/>
                <w:lang w:val="en-NZ"/>
              </w:rPr>
              <w:t xml:space="preserve">Additional </w:t>
            </w:r>
            <w:r w:rsidRPr="002C0B9D">
              <w:rPr>
                <w:rFonts w:eastAsia="Calibri" w:cs="Arial"/>
                <w:b/>
                <w:bCs/>
                <w:i/>
                <w:iCs/>
                <w:color w:val="000000"/>
                <w:sz w:val="20"/>
                <w:lang w:val="en-NZ"/>
              </w:rPr>
              <w:t>costs</w:t>
            </w:r>
            <w:r w:rsidRPr="002C0B9D">
              <w:rPr>
                <w:rFonts w:eastAsia="Calibri" w:cs="Arial"/>
                <w:b/>
                <w:bCs/>
                <w:color w:val="000000"/>
                <w:sz w:val="20"/>
                <w:lang w:val="en-NZ"/>
              </w:rPr>
              <w:t xml:space="preserve"> of the preferred option compared to taking no action</w:t>
            </w:r>
          </w:p>
        </w:tc>
      </w:tr>
      <w:tr w:rsidR="00831BF0" w:rsidRPr="002C0B9D" w14:paraId="23B55CC3" w14:textId="77777777" w:rsidTr="002C77F7">
        <w:trPr>
          <w:trHeight w:val="380"/>
        </w:trPr>
        <w:tc>
          <w:tcPr>
            <w:tcW w:w="1555" w:type="dxa"/>
            <w:vMerge w:val="restart"/>
            <w:shd w:val="clear" w:color="auto" w:fill="auto"/>
          </w:tcPr>
          <w:p w14:paraId="22E09C6E" w14:textId="1617A98E" w:rsidR="00831BF0" w:rsidRPr="002C0B9D" w:rsidRDefault="00831BF0" w:rsidP="009D0B82">
            <w:pPr>
              <w:pStyle w:val="TableText"/>
              <w:keepNext/>
              <w:rPr>
                <w:rFonts w:eastAsia="Calibri" w:cs="Arial"/>
                <w:szCs w:val="20"/>
                <w:lang w:val="en-NZ"/>
              </w:rPr>
            </w:pPr>
            <w:r w:rsidRPr="002C0B9D">
              <w:rPr>
                <w:rFonts w:eastAsia="Calibri" w:cs="Arial"/>
                <w:szCs w:val="20"/>
                <w:lang w:val="en-NZ"/>
              </w:rPr>
              <w:t>Monetised cost to crown</w:t>
            </w:r>
          </w:p>
        </w:tc>
        <w:tc>
          <w:tcPr>
            <w:tcW w:w="5244" w:type="dxa"/>
            <w:shd w:val="clear" w:color="auto" w:fill="auto"/>
          </w:tcPr>
          <w:p w14:paraId="1DDDE73E" w14:textId="66D74568" w:rsidR="00831BF0" w:rsidRPr="002C0B9D" w:rsidRDefault="00831BF0" w:rsidP="009D0B82">
            <w:pPr>
              <w:pStyle w:val="TableText"/>
              <w:keepNext/>
              <w:rPr>
                <w:rFonts w:eastAsia="Calibri" w:cs="Arial"/>
                <w:szCs w:val="20"/>
                <w:lang w:val="en-NZ"/>
              </w:rPr>
            </w:pPr>
            <w:r w:rsidRPr="002C0B9D">
              <w:rPr>
                <w:rFonts w:eastAsia="Calibri" w:cs="Arial"/>
                <w:szCs w:val="20"/>
                <w:lang w:val="en-NZ"/>
              </w:rPr>
              <w:t>Cost of increases to maxima</w:t>
            </w:r>
            <w:r w:rsidR="0082184C" w:rsidRPr="002C0B9D">
              <w:rPr>
                <w:rFonts w:eastAsia="Calibri" w:cs="Arial"/>
                <w:szCs w:val="20"/>
                <w:lang w:val="en-NZ"/>
              </w:rPr>
              <w:t xml:space="preserve"> and</w:t>
            </w:r>
            <w:r w:rsidRPr="002C0B9D">
              <w:rPr>
                <w:rFonts w:eastAsia="Calibri" w:cs="Arial"/>
                <w:szCs w:val="20"/>
                <w:lang w:val="en-NZ"/>
              </w:rPr>
              <w:t xml:space="preserve"> increase in frequency of payments</w:t>
            </w:r>
            <w:r w:rsidR="00E977E9">
              <w:rPr>
                <w:rFonts w:eastAsia="Calibri" w:cs="Arial"/>
                <w:szCs w:val="20"/>
                <w:lang w:val="en-NZ"/>
              </w:rPr>
              <w:t>.</w:t>
            </w:r>
            <w:r w:rsidR="0082184C" w:rsidRPr="002C0B9D">
              <w:rPr>
                <w:rFonts w:eastAsia="Calibri" w:cs="Arial"/>
                <w:szCs w:val="20"/>
                <w:lang w:val="en-NZ"/>
              </w:rPr>
              <w:t xml:space="preserve"> </w:t>
            </w:r>
          </w:p>
        </w:tc>
        <w:tc>
          <w:tcPr>
            <w:tcW w:w="1418" w:type="dxa"/>
            <w:shd w:val="clear" w:color="auto" w:fill="auto"/>
          </w:tcPr>
          <w:p w14:paraId="64FCE4FD" w14:textId="720F85CC" w:rsidR="00831BF0" w:rsidRPr="002C0B9D" w:rsidRDefault="0050278A" w:rsidP="009D0B82">
            <w:pPr>
              <w:pStyle w:val="TableText"/>
              <w:keepNext/>
              <w:rPr>
                <w:rFonts w:eastAsia="Calibri" w:cs="Arial"/>
                <w:szCs w:val="20"/>
                <w:lang w:val="en-NZ"/>
              </w:rPr>
            </w:pPr>
            <w:r w:rsidRPr="002C0B9D">
              <w:rPr>
                <w:rFonts w:eastAsia="Calibri" w:cs="Arial"/>
                <w:szCs w:val="20"/>
                <w:lang w:val="en-NZ"/>
              </w:rPr>
              <w:t>$20.338m</w:t>
            </w:r>
          </w:p>
        </w:tc>
        <w:tc>
          <w:tcPr>
            <w:tcW w:w="1276" w:type="dxa"/>
          </w:tcPr>
          <w:p w14:paraId="54E9AD97" w14:textId="2F88F1D1" w:rsidR="00831BF0" w:rsidRPr="002C0B9D" w:rsidRDefault="00831BF0" w:rsidP="009D0B82">
            <w:pPr>
              <w:pStyle w:val="TableText"/>
              <w:keepNext/>
              <w:rPr>
                <w:rFonts w:eastAsia="Calibri" w:cs="Arial"/>
                <w:szCs w:val="20"/>
                <w:lang w:val="en-NZ"/>
              </w:rPr>
            </w:pPr>
            <w:r w:rsidRPr="002C0B9D">
              <w:rPr>
                <w:rFonts w:eastAsia="Calibri" w:cs="Arial"/>
                <w:szCs w:val="20"/>
                <w:lang w:val="en-NZ"/>
              </w:rPr>
              <w:t xml:space="preserve">High </w:t>
            </w:r>
          </w:p>
        </w:tc>
      </w:tr>
      <w:tr w:rsidR="00831BF0" w:rsidRPr="002C0B9D" w14:paraId="17459716" w14:textId="77777777" w:rsidTr="002C77F7">
        <w:trPr>
          <w:trHeight w:val="380"/>
        </w:trPr>
        <w:tc>
          <w:tcPr>
            <w:tcW w:w="1555" w:type="dxa"/>
            <w:vMerge/>
            <w:shd w:val="clear" w:color="auto" w:fill="auto"/>
          </w:tcPr>
          <w:p w14:paraId="45DBE8DE" w14:textId="77777777" w:rsidR="00831BF0" w:rsidRPr="002C0B9D" w:rsidRDefault="00831BF0" w:rsidP="009D0B82">
            <w:pPr>
              <w:pStyle w:val="TableText"/>
              <w:keepNext/>
              <w:rPr>
                <w:rFonts w:eastAsia="Calibri" w:cs="Arial"/>
                <w:szCs w:val="20"/>
                <w:lang w:val="en-NZ"/>
              </w:rPr>
            </w:pPr>
          </w:p>
        </w:tc>
        <w:tc>
          <w:tcPr>
            <w:tcW w:w="5244" w:type="dxa"/>
            <w:shd w:val="clear" w:color="auto" w:fill="auto"/>
          </w:tcPr>
          <w:p w14:paraId="3D6820F2" w14:textId="412295BD" w:rsidR="00831BF0" w:rsidRPr="002C0B9D" w:rsidRDefault="00831BF0" w:rsidP="009D0B82">
            <w:pPr>
              <w:pStyle w:val="TableText"/>
              <w:keepNext/>
              <w:rPr>
                <w:rFonts w:eastAsia="Calibri" w:cs="Arial"/>
                <w:szCs w:val="20"/>
                <w:lang w:val="en-NZ"/>
              </w:rPr>
            </w:pPr>
            <w:r w:rsidRPr="002C0B9D">
              <w:rPr>
                <w:rFonts w:eastAsia="Calibri" w:cs="Arial"/>
                <w:szCs w:val="20"/>
                <w:lang w:val="en-NZ"/>
              </w:rPr>
              <w:t xml:space="preserve">Cost of </w:t>
            </w:r>
            <w:r w:rsidR="00877BF7" w:rsidRPr="002C0B9D">
              <w:rPr>
                <w:rFonts w:eastAsia="Calibri" w:cs="Arial"/>
                <w:szCs w:val="20"/>
                <w:lang w:val="en-NZ"/>
              </w:rPr>
              <w:t xml:space="preserve">two-year </w:t>
            </w:r>
            <w:r w:rsidRPr="002C0B9D">
              <w:rPr>
                <w:rFonts w:eastAsia="Calibri" w:cs="Arial"/>
                <w:szCs w:val="20"/>
                <w:lang w:val="en-NZ"/>
              </w:rPr>
              <w:t>pilot (and monitoring</w:t>
            </w:r>
            <w:r w:rsidR="00877BF7" w:rsidRPr="002C0B9D">
              <w:rPr>
                <w:rFonts w:eastAsia="Calibri" w:cs="Arial"/>
                <w:szCs w:val="20"/>
                <w:lang w:val="en-NZ"/>
              </w:rPr>
              <w:t xml:space="preserve"> </w:t>
            </w:r>
            <w:r w:rsidRPr="002C0B9D">
              <w:rPr>
                <w:rFonts w:eastAsia="Calibri" w:cs="Arial"/>
                <w:szCs w:val="20"/>
                <w:lang w:val="en-NZ"/>
              </w:rPr>
              <w:t>/evaluation)</w:t>
            </w:r>
            <w:r w:rsidR="00E561FE" w:rsidRPr="002C0B9D">
              <w:rPr>
                <w:rFonts w:eastAsia="Calibri" w:cs="Arial"/>
                <w:szCs w:val="20"/>
                <w:lang w:val="en-NZ"/>
              </w:rPr>
              <w:t xml:space="preserve"> to provide additional support for certain cohorts</w:t>
            </w:r>
            <w:r w:rsidR="00E977E9">
              <w:rPr>
                <w:rFonts w:eastAsia="Calibri" w:cs="Arial"/>
                <w:szCs w:val="20"/>
                <w:lang w:val="en-NZ"/>
              </w:rPr>
              <w:t>.</w:t>
            </w:r>
            <w:r w:rsidR="00E561FE" w:rsidRPr="002C0B9D">
              <w:rPr>
                <w:rFonts w:eastAsia="Calibri" w:cs="Arial"/>
                <w:szCs w:val="20"/>
                <w:lang w:val="en-NZ"/>
              </w:rPr>
              <w:t xml:space="preserve"> </w:t>
            </w:r>
          </w:p>
          <w:p w14:paraId="2081679D" w14:textId="6A02D216" w:rsidR="00841A4A" w:rsidRPr="002C0B9D" w:rsidRDefault="00841A4A" w:rsidP="009D0B82">
            <w:pPr>
              <w:pStyle w:val="TableText"/>
              <w:keepNext/>
              <w:rPr>
                <w:rFonts w:eastAsia="Calibri" w:cs="Arial"/>
                <w:szCs w:val="20"/>
                <w:lang w:val="en-NZ"/>
              </w:rPr>
            </w:pPr>
          </w:p>
        </w:tc>
        <w:tc>
          <w:tcPr>
            <w:tcW w:w="1418" w:type="dxa"/>
            <w:shd w:val="clear" w:color="auto" w:fill="auto"/>
          </w:tcPr>
          <w:p w14:paraId="1F70B925" w14:textId="21B8BC6E" w:rsidR="00831BF0" w:rsidRPr="002C0B9D" w:rsidRDefault="00831BF0" w:rsidP="009D0B82">
            <w:pPr>
              <w:pStyle w:val="TableText"/>
              <w:keepNext/>
              <w:rPr>
                <w:rFonts w:eastAsia="Calibri" w:cs="Arial"/>
                <w:szCs w:val="20"/>
                <w:lang w:val="en-NZ"/>
              </w:rPr>
            </w:pPr>
            <w:r w:rsidRPr="002C0B9D">
              <w:rPr>
                <w:rFonts w:eastAsia="Calibri" w:cs="Arial"/>
                <w:szCs w:val="20"/>
                <w:lang w:val="en-NZ"/>
              </w:rPr>
              <w:t>$13.258m</w:t>
            </w:r>
          </w:p>
        </w:tc>
        <w:tc>
          <w:tcPr>
            <w:tcW w:w="1276" w:type="dxa"/>
          </w:tcPr>
          <w:p w14:paraId="427B8261" w14:textId="335B0E3B" w:rsidR="00831BF0" w:rsidRPr="002C0B9D" w:rsidRDefault="00831BF0" w:rsidP="009D0B82">
            <w:pPr>
              <w:pStyle w:val="TableText"/>
              <w:keepNext/>
              <w:rPr>
                <w:rFonts w:eastAsia="Calibri" w:cs="Arial"/>
                <w:szCs w:val="20"/>
                <w:lang w:val="en-NZ"/>
              </w:rPr>
            </w:pPr>
            <w:r w:rsidRPr="002C0B9D">
              <w:rPr>
                <w:rFonts w:eastAsia="Calibri" w:cs="Arial"/>
                <w:szCs w:val="20"/>
                <w:lang w:val="en-NZ"/>
              </w:rPr>
              <w:t xml:space="preserve">Medium </w:t>
            </w:r>
          </w:p>
        </w:tc>
      </w:tr>
      <w:tr w:rsidR="00831BF0" w:rsidRPr="002C0B9D" w14:paraId="243F1E49" w14:textId="77777777" w:rsidTr="002C77F7">
        <w:trPr>
          <w:trHeight w:val="380"/>
        </w:trPr>
        <w:tc>
          <w:tcPr>
            <w:tcW w:w="1555" w:type="dxa"/>
            <w:vMerge/>
            <w:shd w:val="clear" w:color="auto" w:fill="auto"/>
          </w:tcPr>
          <w:p w14:paraId="2243CE33" w14:textId="77777777" w:rsidR="00831BF0" w:rsidRPr="002C0B9D" w:rsidRDefault="00831BF0" w:rsidP="009D0B82">
            <w:pPr>
              <w:pStyle w:val="TableText"/>
              <w:keepNext/>
              <w:rPr>
                <w:rFonts w:eastAsia="Calibri" w:cs="Arial"/>
                <w:szCs w:val="20"/>
                <w:lang w:val="en-NZ"/>
              </w:rPr>
            </w:pPr>
          </w:p>
        </w:tc>
        <w:tc>
          <w:tcPr>
            <w:tcW w:w="5244" w:type="dxa"/>
            <w:shd w:val="clear" w:color="auto" w:fill="auto"/>
          </w:tcPr>
          <w:p w14:paraId="1E4A2FBB" w14:textId="6D28611D" w:rsidR="00831BF0" w:rsidRPr="002C0B9D" w:rsidRDefault="00831BF0" w:rsidP="009D0B82">
            <w:pPr>
              <w:pStyle w:val="TableText"/>
              <w:keepNext/>
              <w:rPr>
                <w:rFonts w:eastAsia="Calibri" w:cs="Arial"/>
                <w:szCs w:val="20"/>
                <w:lang w:val="en-NZ"/>
              </w:rPr>
            </w:pPr>
            <w:r w:rsidRPr="002C0B9D">
              <w:rPr>
                <w:rFonts w:eastAsia="Calibri" w:cs="Arial"/>
                <w:szCs w:val="20"/>
                <w:lang w:val="en-NZ"/>
              </w:rPr>
              <w:t>MSD operational implementation (IT changes, new staff and communications)</w:t>
            </w:r>
            <w:r w:rsidR="00E977E9">
              <w:rPr>
                <w:rFonts w:eastAsia="Calibri" w:cs="Arial"/>
                <w:szCs w:val="20"/>
                <w:lang w:val="en-NZ"/>
              </w:rPr>
              <w:t>.</w:t>
            </w:r>
          </w:p>
        </w:tc>
        <w:tc>
          <w:tcPr>
            <w:tcW w:w="1418" w:type="dxa"/>
            <w:shd w:val="clear" w:color="auto" w:fill="auto"/>
          </w:tcPr>
          <w:p w14:paraId="1F15CB10" w14:textId="53BFCDE6" w:rsidR="00831BF0" w:rsidRPr="002C0B9D" w:rsidRDefault="00831BF0" w:rsidP="009D0B82">
            <w:pPr>
              <w:pStyle w:val="TableText"/>
              <w:keepNext/>
              <w:rPr>
                <w:rFonts w:eastAsia="Calibri" w:cs="Arial"/>
                <w:szCs w:val="20"/>
                <w:lang w:val="en-NZ"/>
              </w:rPr>
            </w:pPr>
            <w:r w:rsidRPr="002C0B9D">
              <w:rPr>
                <w:rFonts w:eastAsia="Calibri" w:cs="Arial"/>
                <w:szCs w:val="20"/>
                <w:lang w:val="en-NZ"/>
              </w:rPr>
              <w:t xml:space="preserve">$8.407m </w:t>
            </w:r>
          </w:p>
        </w:tc>
        <w:tc>
          <w:tcPr>
            <w:tcW w:w="1276" w:type="dxa"/>
          </w:tcPr>
          <w:p w14:paraId="221BEC25" w14:textId="06576841" w:rsidR="00831BF0" w:rsidRPr="002C0B9D" w:rsidRDefault="00831BF0" w:rsidP="009D0B82">
            <w:pPr>
              <w:pStyle w:val="TableText"/>
              <w:keepNext/>
              <w:rPr>
                <w:rFonts w:eastAsia="Calibri" w:cs="Arial"/>
                <w:szCs w:val="20"/>
                <w:lang w:val="en-NZ"/>
              </w:rPr>
            </w:pPr>
            <w:r w:rsidRPr="002C0B9D">
              <w:rPr>
                <w:rFonts w:eastAsia="Calibri" w:cs="Arial"/>
                <w:szCs w:val="20"/>
                <w:lang w:val="en-NZ"/>
              </w:rPr>
              <w:t xml:space="preserve">High </w:t>
            </w:r>
          </w:p>
        </w:tc>
      </w:tr>
      <w:tr w:rsidR="002C77F7" w:rsidRPr="002C0B9D" w14:paraId="75E1C4F4" w14:textId="77777777" w:rsidTr="002C77F7">
        <w:trPr>
          <w:trHeight w:val="380"/>
        </w:trPr>
        <w:tc>
          <w:tcPr>
            <w:tcW w:w="1555" w:type="dxa"/>
            <w:shd w:val="clear" w:color="auto" w:fill="auto"/>
          </w:tcPr>
          <w:p w14:paraId="74870DBC" w14:textId="40A258D7" w:rsidR="002C77F7" w:rsidRPr="001066B0" w:rsidRDefault="002C77F7" w:rsidP="009D0B82">
            <w:pPr>
              <w:pStyle w:val="TableText"/>
              <w:keepNext/>
              <w:rPr>
                <w:rFonts w:eastAsia="Calibri" w:cs="Arial"/>
                <w:szCs w:val="20"/>
                <w:lang w:val="en-NZ"/>
              </w:rPr>
            </w:pPr>
            <w:r w:rsidRPr="001066B0">
              <w:rPr>
                <w:rFonts w:eastAsia="Calibri" w:cs="Arial"/>
                <w:szCs w:val="20"/>
                <w:lang w:val="en-NZ"/>
              </w:rPr>
              <w:t xml:space="preserve">Total monetised cost </w:t>
            </w:r>
          </w:p>
        </w:tc>
        <w:tc>
          <w:tcPr>
            <w:tcW w:w="5244" w:type="dxa"/>
            <w:shd w:val="clear" w:color="auto" w:fill="auto"/>
          </w:tcPr>
          <w:p w14:paraId="7C26DB28" w14:textId="77777777" w:rsidR="002C77F7" w:rsidRPr="002C0B9D" w:rsidRDefault="002C77F7" w:rsidP="009D0B82">
            <w:pPr>
              <w:pStyle w:val="TableText"/>
              <w:keepNext/>
              <w:rPr>
                <w:rFonts w:eastAsia="Calibri" w:cs="Arial"/>
                <w:szCs w:val="20"/>
                <w:lang w:val="en-NZ"/>
              </w:rPr>
            </w:pPr>
          </w:p>
        </w:tc>
        <w:tc>
          <w:tcPr>
            <w:tcW w:w="1418" w:type="dxa"/>
            <w:shd w:val="clear" w:color="auto" w:fill="auto"/>
          </w:tcPr>
          <w:p w14:paraId="79B28317" w14:textId="4B3EF2D7" w:rsidR="002C77F7" w:rsidRPr="002C0B9D" w:rsidRDefault="002C77F7" w:rsidP="009D0B82">
            <w:pPr>
              <w:pStyle w:val="TableText"/>
              <w:keepNext/>
              <w:rPr>
                <w:rFonts w:eastAsia="Calibri" w:cs="Arial"/>
                <w:szCs w:val="20"/>
                <w:lang w:val="en-NZ"/>
              </w:rPr>
            </w:pPr>
            <w:r w:rsidRPr="002C0B9D">
              <w:rPr>
                <w:rFonts w:eastAsia="Calibri" w:cs="Arial"/>
                <w:szCs w:val="20"/>
                <w:lang w:val="en-NZ"/>
              </w:rPr>
              <w:t>$42.003</w:t>
            </w:r>
          </w:p>
        </w:tc>
        <w:tc>
          <w:tcPr>
            <w:tcW w:w="1276" w:type="dxa"/>
          </w:tcPr>
          <w:p w14:paraId="505C0968" w14:textId="77777777" w:rsidR="002C77F7" w:rsidRPr="002C0B9D" w:rsidRDefault="002C77F7" w:rsidP="009D0B82">
            <w:pPr>
              <w:pStyle w:val="TableText"/>
              <w:keepNext/>
              <w:rPr>
                <w:rFonts w:eastAsia="Calibri" w:cs="Arial"/>
                <w:szCs w:val="20"/>
                <w:lang w:val="en-NZ"/>
              </w:rPr>
            </w:pPr>
          </w:p>
        </w:tc>
      </w:tr>
      <w:tr w:rsidR="00C829B5" w:rsidRPr="002C0B9D" w14:paraId="6FAB75AB" w14:textId="77777777" w:rsidTr="002C77F7">
        <w:trPr>
          <w:trHeight w:val="380"/>
        </w:trPr>
        <w:tc>
          <w:tcPr>
            <w:tcW w:w="1555" w:type="dxa"/>
            <w:shd w:val="clear" w:color="auto" w:fill="auto"/>
          </w:tcPr>
          <w:p w14:paraId="6E8C9748" w14:textId="121B8371" w:rsidR="002C0B9D" w:rsidRPr="002C0B9D" w:rsidRDefault="00C829B5" w:rsidP="009D0B82">
            <w:pPr>
              <w:pStyle w:val="TableText"/>
              <w:keepNext/>
              <w:rPr>
                <w:rFonts w:eastAsia="Calibri" w:cs="Arial"/>
                <w:szCs w:val="20"/>
                <w:lang w:val="en-NZ"/>
              </w:rPr>
            </w:pPr>
            <w:r w:rsidRPr="002C0B9D">
              <w:rPr>
                <w:rFonts w:eastAsia="Calibri" w:cs="Arial"/>
                <w:szCs w:val="20"/>
                <w:lang w:val="en-NZ"/>
              </w:rPr>
              <w:t>Lower-income household (eligible population)</w:t>
            </w:r>
            <w:r w:rsidR="00831BF0" w:rsidRPr="002C0B9D">
              <w:rPr>
                <w:rFonts w:eastAsia="Calibri" w:cs="Arial"/>
                <w:szCs w:val="20"/>
                <w:lang w:val="en-NZ"/>
              </w:rPr>
              <w:t xml:space="preserve">, including beneficiary and lower-income working households </w:t>
            </w:r>
          </w:p>
        </w:tc>
        <w:tc>
          <w:tcPr>
            <w:tcW w:w="5244" w:type="dxa"/>
            <w:shd w:val="clear" w:color="auto" w:fill="auto"/>
          </w:tcPr>
          <w:p w14:paraId="610CFAFF" w14:textId="6C4B46D1" w:rsidR="00FD391E" w:rsidRPr="002C0B9D" w:rsidRDefault="00FD391E" w:rsidP="009D0B82">
            <w:pPr>
              <w:pStyle w:val="TableText"/>
              <w:keepNext/>
              <w:rPr>
                <w:rFonts w:eastAsia="Calibri" w:cs="Arial"/>
                <w:szCs w:val="20"/>
                <w:lang w:val="en-NZ"/>
              </w:rPr>
            </w:pPr>
            <w:r w:rsidRPr="002C0B9D">
              <w:rPr>
                <w:rFonts w:eastAsia="Calibri" w:cs="Arial"/>
                <w:szCs w:val="20"/>
                <w:lang w:val="en-NZ"/>
              </w:rPr>
              <w:t xml:space="preserve">Due to the increase in </w:t>
            </w:r>
            <w:r w:rsidR="004F4F30" w:rsidRPr="002C0B9D">
              <w:rPr>
                <w:rFonts w:eastAsia="Calibri" w:cs="Arial"/>
                <w:szCs w:val="20"/>
                <w:lang w:val="en-NZ"/>
              </w:rPr>
              <w:t xml:space="preserve">maximum payments </w:t>
            </w:r>
            <w:r w:rsidRPr="002C0B9D">
              <w:rPr>
                <w:rFonts w:eastAsia="Calibri" w:cs="Arial"/>
                <w:szCs w:val="20"/>
                <w:lang w:val="en-NZ"/>
              </w:rPr>
              <w:t xml:space="preserve">and frequency grants can be made, debt levels among eligible households </w:t>
            </w:r>
            <w:r w:rsidR="002C77F7">
              <w:rPr>
                <w:rFonts w:eastAsia="Calibri" w:cs="Arial"/>
                <w:szCs w:val="20"/>
                <w:lang w:val="en-NZ"/>
              </w:rPr>
              <w:t>are</w:t>
            </w:r>
            <w:r w:rsidRPr="002C0B9D">
              <w:rPr>
                <w:rFonts w:eastAsia="Calibri" w:cs="Arial"/>
                <w:szCs w:val="20"/>
                <w:lang w:val="en-NZ"/>
              </w:rPr>
              <w:t xml:space="preserve"> expected to increase</w:t>
            </w:r>
            <w:r w:rsidR="002C77F7">
              <w:rPr>
                <w:rFonts w:eastAsia="Calibri" w:cs="Arial"/>
                <w:szCs w:val="20"/>
                <w:lang w:val="en-NZ"/>
              </w:rPr>
              <w:t>.</w:t>
            </w:r>
            <w:r w:rsidR="00B11BE1" w:rsidRPr="002C77F7">
              <w:rPr>
                <w:rStyle w:val="FootnoteReference"/>
                <w:rFonts w:eastAsia="Calibri" w:cs="Arial"/>
                <w:szCs w:val="16"/>
                <w:lang w:val="en-NZ"/>
              </w:rPr>
              <w:footnoteReference w:id="14"/>
            </w:r>
          </w:p>
          <w:p w14:paraId="6FB021A0" w14:textId="77777777" w:rsidR="00C829B5" w:rsidRDefault="00CA6AF0" w:rsidP="009D0B82">
            <w:pPr>
              <w:pStyle w:val="TableText"/>
              <w:keepNext/>
              <w:rPr>
                <w:rFonts w:eastAsia="Calibri" w:cs="Arial"/>
                <w:szCs w:val="20"/>
                <w:lang w:val="en-NZ"/>
              </w:rPr>
            </w:pPr>
            <w:r w:rsidRPr="002C0B9D">
              <w:rPr>
                <w:rFonts w:eastAsia="Calibri" w:cs="Arial"/>
                <w:szCs w:val="20"/>
                <w:lang w:val="en-NZ"/>
              </w:rPr>
              <w:t>HSP clients</w:t>
            </w:r>
            <w:r w:rsidR="00E561FE" w:rsidRPr="002C0B9D">
              <w:rPr>
                <w:rFonts w:eastAsia="Calibri" w:cs="Arial"/>
                <w:szCs w:val="20"/>
                <w:lang w:val="en-NZ"/>
              </w:rPr>
              <w:t xml:space="preserve"> </w:t>
            </w:r>
            <w:r w:rsidR="0082184C" w:rsidRPr="002C0B9D">
              <w:rPr>
                <w:rFonts w:eastAsia="Calibri" w:cs="Arial"/>
                <w:szCs w:val="20"/>
                <w:lang w:val="en-NZ"/>
              </w:rPr>
              <w:t>who would have been eligible for non-recoverable bond and rent in advance payment will no longer have access to this</w:t>
            </w:r>
            <w:r w:rsidR="002C0B9D">
              <w:rPr>
                <w:rFonts w:eastAsia="Calibri" w:cs="Arial"/>
                <w:szCs w:val="20"/>
                <w:lang w:val="en-NZ"/>
              </w:rPr>
              <w:t xml:space="preserve"> type of assistance</w:t>
            </w:r>
            <w:r w:rsidR="002C77F7">
              <w:rPr>
                <w:rFonts w:eastAsia="Calibri" w:cs="Arial"/>
                <w:szCs w:val="20"/>
                <w:lang w:val="en-NZ"/>
              </w:rPr>
              <w:t xml:space="preserve"> (approximately four percent of all clients who received a housing-related grant in 2020). Although the issue of recoverability is being considered in a review of all hardship assistance in 2022. </w:t>
            </w:r>
          </w:p>
          <w:p w14:paraId="229489C9" w14:textId="2F371868" w:rsidR="002C77F7" w:rsidRPr="002C0B9D" w:rsidRDefault="002C77F7" w:rsidP="009D0B82">
            <w:pPr>
              <w:pStyle w:val="TableText"/>
              <w:keepNext/>
              <w:rPr>
                <w:rFonts w:eastAsia="Calibri" w:cs="Arial"/>
                <w:szCs w:val="20"/>
                <w:lang w:val="en-NZ"/>
              </w:rPr>
            </w:pPr>
          </w:p>
        </w:tc>
        <w:tc>
          <w:tcPr>
            <w:tcW w:w="1418" w:type="dxa"/>
            <w:shd w:val="clear" w:color="auto" w:fill="auto"/>
          </w:tcPr>
          <w:p w14:paraId="3776BBC3" w14:textId="00707B66" w:rsidR="00C829B5" w:rsidRPr="002C0B9D" w:rsidRDefault="00936935" w:rsidP="009D0B82">
            <w:pPr>
              <w:pStyle w:val="TableText"/>
              <w:keepNext/>
              <w:rPr>
                <w:rFonts w:eastAsia="Calibri" w:cs="Arial"/>
                <w:szCs w:val="20"/>
                <w:lang w:val="en-NZ"/>
              </w:rPr>
            </w:pPr>
            <w:r w:rsidRPr="002C0B9D">
              <w:rPr>
                <w:rFonts w:eastAsia="Calibri" w:cs="Arial"/>
                <w:szCs w:val="20"/>
                <w:lang w:val="en-NZ"/>
              </w:rPr>
              <w:lastRenderedPageBreak/>
              <w:t xml:space="preserve">Medium </w:t>
            </w:r>
            <w:r w:rsidR="00FD391E" w:rsidRPr="002C0B9D">
              <w:rPr>
                <w:rFonts w:eastAsia="Calibri" w:cs="Arial"/>
                <w:szCs w:val="20"/>
                <w:lang w:val="en-NZ"/>
              </w:rPr>
              <w:t xml:space="preserve"> </w:t>
            </w:r>
          </w:p>
        </w:tc>
        <w:tc>
          <w:tcPr>
            <w:tcW w:w="1276" w:type="dxa"/>
          </w:tcPr>
          <w:p w14:paraId="610DF637" w14:textId="3D78485C" w:rsidR="00C829B5" w:rsidRPr="002C0B9D" w:rsidRDefault="00FD391E" w:rsidP="009D0B82">
            <w:pPr>
              <w:pStyle w:val="TableText"/>
              <w:keepNext/>
              <w:rPr>
                <w:rFonts w:eastAsia="Calibri" w:cs="Arial"/>
                <w:szCs w:val="20"/>
                <w:lang w:val="en-NZ"/>
              </w:rPr>
            </w:pPr>
            <w:r w:rsidRPr="002C0B9D">
              <w:rPr>
                <w:rFonts w:eastAsia="Calibri" w:cs="Arial"/>
                <w:szCs w:val="20"/>
                <w:lang w:val="en-NZ"/>
              </w:rPr>
              <w:t xml:space="preserve">High </w:t>
            </w:r>
          </w:p>
        </w:tc>
      </w:tr>
      <w:tr w:rsidR="00136700" w:rsidRPr="002C0B9D" w14:paraId="307E8894" w14:textId="77777777" w:rsidTr="006448CF">
        <w:trPr>
          <w:trHeight w:val="426"/>
        </w:trPr>
        <w:tc>
          <w:tcPr>
            <w:tcW w:w="9493" w:type="dxa"/>
            <w:gridSpan w:val="4"/>
            <w:shd w:val="clear" w:color="auto" w:fill="F2F2F2" w:themeFill="background1" w:themeFillShade="F2"/>
            <w:vAlign w:val="center"/>
          </w:tcPr>
          <w:p w14:paraId="795E44B3" w14:textId="40103083" w:rsidR="00136700" w:rsidRPr="002C0B9D" w:rsidRDefault="00136700" w:rsidP="00792525">
            <w:pPr>
              <w:spacing w:before="40" w:after="20"/>
              <w:jc w:val="center"/>
              <w:rPr>
                <w:rFonts w:eastAsia="Calibri" w:cs="Arial"/>
                <w:b/>
                <w:bCs/>
                <w:color w:val="000000"/>
                <w:sz w:val="20"/>
                <w:lang w:val="en-NZ"/>
              </w:rPr>
            </w:pPr>
            <w:r w:rsidRPr="002C0B9D">
              <w:rPr>
                <w:rFonts w:eastAsia="Calibri" w:cs="Arial"/>
                <w:b/>
                <w:bCs/>
                <w:color w:val="000000"/>
                <w:sz w:val="20"/>
                <w:lang w:val="en-NZ"/>
              </w:rPr>
              <w:t>Additional benefits of the preferred option compared to taking no action</w:t>
            </w:r>
          </w:p>
        </w:tc>
      </w:tr>
      <w:tr w:rsidR="00136700" w:rsidRPr="002C0B9D" w14:paraId="32734276" w14:textId="77777777" w:rsidTr="002C77F7">
        <w:trPr>
          <w:trHeight w:val="381"/>
        </w:trPr>
        <w:tc>
          <w:tcPr>
            <w:tcW w:w="1555" w:type="dxa"/>
            <w:shd w:val="clear" w:color="auto" w:fill="auto"/>
          </w:tcPr>
          <w:p w14:paraId="014A71DB" w14:textId="6DE96A77" w:rsidR="009D0B82" w:rsidRPr="002C0B9D" w:rsidRDefault="008F4C59" w:rsidP="009D0B82">
            <w:pPr>
              <w:pStyle w:val="TableText"/>
              <w:rPr>
                <w:rFonts w:eastAsia="Calibri" w:cs="Arial"/>
                <w:szCs w:val="20"/>
                <w:lang w:val="en-NZ"/>
              </w:rPr>
            </w:pPr>
            <w:r w:rsidRPr="002C0B9D">
              <w:rPr>
                <w:rFonts w:eastAsia="Calibri" w:cs="Arial"/>
                <w:szCs w:val="20"/>
                <w:lang w:val="en-NZ"/>
              </w:rPr>
              <w:t>Lower-income household (eligible population), including beneficiary and lower-income working households</w:t>
            </w:r>
          </w:p>
        </w:tc>
        <w:tc>
          <w:tcPr>
            <w:tcW w:w="5244" w:type="dxa"/>
            <w:shd w:val="clear" w:color="auto" w:fill="auto"/>
          </w:tcPr>
          <w:p w14:paraId="368E9085" w14:textId="6CD1A861" w:rsidR="009D0B82" w:rsidRPr="002C0B9D" w:rsidRDefault="00E818FC" w:rsidP="009D0B82">
            <w:pPr>
              <w:pStyle w:val="TableText"/>
              <w:rPr>
                <w:rFonts w:eastAsia="Calibri" w:cs="Arial"/>
                <w:szCs w:val="20"/>
                <w:lang w:val="en-NZ"/>
              </w:rPr>
            </w:pPr>
            <w:r w:rsidRPr="002C0B9D">
              <w:rPr>
                <w:rFonts w:eastAsia="Calibri" w:cs="Arial"/>
                <w:szCs w:val="20"/>
                <w:lang w:val="en-NZ"/>
              </w:rPr>
              <w:t xml:space="preserve">Recipients will primarily be better supported to access and sustain accommodation in the private rental market. Having a safe and stable home contributes to improved outcomes in many areas of recipients’ lives (including safety, </w:t>
            </w:r>
            <w:proofErr w:type="gramStart"/>
            <w:r w:rsidRPr="002C0B9D">
              <w:rPr>
                <w:rFonts w:eastAsia="Calibri" w:cs="Arial"/>
                <w:szCs w:val="20"/>
                <w:lang w:val="en-NZ"/>
              </w:rPr>
              <w:t>health</w:t>
            </w:r>
            <w:proofErr w:type="gramEnd"/>
            <w:r w:rsidRPr="002C0B9D">
              <w:rPr>
                <w:rFonts w:eastAsia="Calibri" w:cs="Arial"/>
                <w:szCs w:val="20"/>
                <w:lang w:val="en-NZ"/>
              </w:rPr>
              <w:t xml:space="preserve"> and wellbeing)</w:t>
            </w:r>
            <w:r w:rsidR="00A97DCB" w:rsidRPr="002C0B9D">
              <w:rPr>
                <w:rFonts w:eastAsia="Calibri" w:cs="Arial"/>
                <w:szCs w:val="20"/>
                <w:lang w:val="en-NZ"/>
              </w:rPr>
              <w:t>.</w:t>
            </w:r>
          </w:p>
          <w:p w14:paraId="4F41B021" w14:textId="51D7E93A" w:rsidR="00EA0244" w:rsidRPr="002C0B9D" w:rsidRDefault="00D12F88" w:rsidP="009D0B82">
            <w:pPr>
              <w:pStyle w:val="TableText"/>
              <w:rPr>
                <w:rFonts w:eastAsia="Calibri" w:cs="Arial"/>
                <w:szCs w:val="20"/>
                <w:lang w:val="en-NZ"/>
              </w:rPr>
            </w:pPr>
            <w:r w:rsidRPr="002C0B9D">
              <w:rPr>
                <w:rFonts w:eastAsia="Calibri" w:cs="Arial"/>
                <w:szCs w:val="20"/>
                <w:lang w:val="en-NZ"/>
              </w:rPr>
              <w:t xml:space="preserve">For Advances and RAPs clients, this change </w:t>
            </w:r>
            <w:r w:rsidR="002C77F7">
              <w:rPr>
                <w:rFonts w:eastAsia="Calibri" w:cs="Arial"/>
                <w:szCs w:val="20"/>
                <w:lang w:val="en-NZ"/>
              </w:rPr>
              <w:t>will</w:t>
            </w:r>
            <w:r w:rsidRPr="002C0B9D">
              <w:rPr>
                <w:rFonts w:eastAsia="Calibri" w:cs="Arial"/>
                <w:szCs w:val="20"/>
                <w:lang w:val="en-NZ"/>
              </w:rPr>
              <w:t xml:space="preserve"> mean that payments they receive through this new programme will not impact on their Advances or RAPs balance, which will enable these households to access </w:t>
            </w:r>
            <w:r w:rsidR="002C77F7">
              <w:rPr>
                <w:rFonts w:eastAsia="Calibri" w:cs="Arial"/>
                <w:szCs w:val="20"/>
                <w:lang w:val="en-NZ"/>
              </w:rPr>
              <w:t xml:space="preserve">more assistance for </w:t>
            </w:r>
            <w:r w:rsidRPr="002C0B9D">
              <w:rPr>
                <w:rFonts w:eastAsia="Calibri" w:cs="Arial"/>
                <w:szCs w:val="20"/>
                <w:lang w:val="en-NZ"/>
              </w:rPr>
              <w:t>other essential needs</w:t>
            </w:r>
            <w:r w:rsidR="002C77F7">
              <w:rPr>
                <w:rFonts w:eastAsia="Calibri" w:cs="Arial"/>
                <w:szCs w:val="20"/>
                <w:lang w:val="en-NZ"/>
              </w:rPr>
              <w:t>, such as food, heating, and electricity</w:t>
            </w:r>
            <w:r w:rsidRPr="002C0B9D">
              <w:rPr>
                <w:rFonts w:eastAsia="Calibri" w:cs="Arial"/>
                <w:szCs w:val="20"/>
                <w:lang w:val="en-NZ"/>
              </w:rPr>
              <w:t xml:space="preserve"> (as housing-related costs will no longer be counted towards their balance)</w:t>
            </w:r>
            <w:r w:rsidR="002C77F7">
              <w:rPr>
                <w:rFonts w:eastAsia="Calibri" w:cs="Arial"/>
                <w:szCs w:val="20"/>
                <w:lang w:val="en-NZ"/>
              </w:rPr>
              <w:t>.</w:t>
            </w:r>
          </w:p>
          <w:p w14:paraId="1FFE9B1A" w14:textId="448E5314" w:rsidR="00A97DCB" w:rsidRPr="002C0B9D" w:rsidRDefault="00EA0244" w:rsidP="009D0B82">
            <w:pPr>
              <w:pStyle w:val="TableText"/>
              <w:rPr>
                <w:rFonts w:eastAsia="Calibri" w:cs="Arial"/>
                <w:szCs w:val="20"/>
                <w:lang w:val="en-NZ"/>
              </w:rPr>
            </w:pPr>
            <w:r w:rsidRPr="002C0B9D">
              <w:rPr>
                <w:rFonts w:eastAsia="Calibri" w:cs="Arial"/>
                <w:szCs w:val="20"/>
                <w:lang w:val="en-NZ"/>
              </w:rPr>
              <w:t>The system will also be simplified through a new programme and therefore easier to understand and more transparent.</w:t>
            </w:r>
          </w:p>
        </w:tc>
        <w:tc>
          <w:tcPr>
            <w:tcW w:w="1418" w:type="dxa"/>
            <w:shd w:val="clear" w:color="auto" w:fill="auto"/>
          </w:tcPr>
          <w:p w14:paraId="76B9E4E9" w14:textId="77777777" w:rsidR="009D0B82" w:rsidRPr="002C0B9D" w:rsidRDefault="00E818FC" w:rsidP="009D0B82">
            <w:pPr>
              <w:pStyle w:val="TableText"/>
              <w:rPr>
                <w:rFonts w:eastAsia="Calibri" w:cs="Arial"/>
                <w:szCs w:val="20"/>
                <w:lang w:val="en-NZ"/>
              </w:rPr>
            </w:pPr>
            <w:r w:rsidRPr="002C0B9D">
              <w:rPr>
                <w:rFonts w:eastAsia="Calibri" w:cs="Arial"/>
                <w:szCs w:val="20"/>
                <w:lang w:val="en-NZ"/>
              </w:rPr>
              <w:t>High</w:t>
            </w:r>
          </w:p>
          <w:p w14:paraId="1E792E68" w14:textId="5AD93B1A" w:rsidR="00E561FE" w:rsidRPr="002C0B9D" w:rsidRDefault="00CB0BAB" w:rsidP="009D0B82">
            <w:pPr>
              <w:pStyle w:val="TableText"/>
              <w:rPr>
                <w:rFonts w:eastAsia="Calibri" w:cs="Arial"/>
                <w:szCs w:val="20"/>
                <w:lang w:val="en-NZ"/>
              </w:rPr>
            </w:pPr>
            <w:r w:rsidRPr="002C0B9D">
              <w:rPr>
                <w:rFonts w:eastAsia="Calibri" w:cs="Arial"/>
                <w:szCs w:val="20"/>
                <w:lang w:val="en-NZ"/>
              </w:rPr>
              <w:t>(</w:t>
            </w:r>
            <w:r w:rsidR="005A6F04">
              <w:rPr>
                <w:rFonts w:eastAsia="Calibri" w:cs="Arial"/>
                <w:szCs w:val="20"/>
                <w:lang w:val="en-NZ"/>
              </w:rPr>
              <w:t>approx.,</w:t>
            </w:r>
            <w:r w:rsidR="000C090E" w:rsidRPr="002C0B9D">
              <w:rPr>
                <w:rFonts w:eastAsia="Calibri" w:cs="Arial"/>
                <w:szCs w:val="20"/>
                <w:lang w:val="en-NZ"/>
              </w:rPr>
              <w:t xml:space="preserve"> 10,</w:t>
            </w:r>
            <w:r w:rsidR="00EE204C" w:rsidRPr="002C0B9D">
              <w:rPr>
                <w:rFonts w:eastAsia="Calibri" w:cs="Arial"/>
                <w:szCs w:val="20"/>
                <w:lang w:val="en-NZ"/>
              </w:rPr>
              <w:t>000</w:t>
            </w:r>
            <w:r w:rsidRPr="002C0B9D">
              <w:rPr>
                <w:rFonts w:eastAsia="Calibri" w:cs="Arial"/>
                <w:szCs w:val="20"/>
                <w:lang w:val="en-NZ"/>
              </w:rPr>
              <w:t xml:space="preserve"> more payments are expected </w:t>
            </w:r>
            <w:proofErr w:type="gramStart"/>
            <w:r w:rsidRPr="002C0B9D">
              <w:rPr>
                <w:rFonts w:eastAsia="Calibri" w:cs="Arial"/>
                <w:szCs w:val="20"/>
                <w:lang w:val="en-NZ"/>
              </w:rPr>
              <w:t>as a result of</w:t>
            </w:r>
            <w:proofErr w:type="gramEnd"/>
            <w:r w:rsidRPr="002C0B9D">
              <w:rPr>
                <w:rFonts w:eastAsia="Calibri" w:cs="Arial"/>
                <w:szCs w:val="20"/>
                <w:lang w:val="en-NZ"/>
              </w:rPr>
              <w:t xml:space="preserve"> increased frequency; </w:t>
            </w:r>
            <w:r w:rsidR="00E561FE" w:rsidRPr="002C0B9D">
              <w:rPr>
                <w:rFonts w:eastAsia="Calibri" w:cs="Arial"/>
                <w:szCs w:val="20"/>
                <w:lang w:val="en-NZ"/>
              </w:rPr>
              <w:t>clients who receive bond</w:t>
            </w:r>
            <w:r w:rsidR="006727E5" w:rsidRPr="002C0B9D">
              <w:rPr>
                <w:rFonts w:eastAsia="Calibri" w:cs="Arial"/>
                <w:szCs w:val="20"/>
                <w:lang w:val="en-NZ"/>
              </w:rPr>
              <w:t>)</w:t>
            </w:r>
          </w:p>
          <w:p w14:paraId="5FA9FD7D" w14:textId="77777777" w:rsidR="00E561FE" w:rsidRPr="002C0B9D" w:rsidRDefault="00E561FE" w:rsidP="009D0B82">
            <w:pPr>
              <w:pStyle w:val="TableText"/>
              <w:rPr>
                <w:rFonts w:eastAsia="Calibri" w:cs="Arial"/>
                <w:szCs w:val="20"/>
                <w:lang w:val="en-NZ"/>
              </w:rPr>
            </w:pPr>
          </w:p>
          <w:p w14:paraId="0591054C" w14:textId="57983BD6" w:rsidR="00CB0BAB" w:rsidRPr="002C0B9D" w:rsidRDefault="00CB0BAB" w:rsidP="009D0B82">
            <w:pPr>
              <w:pStyle w:val="TableText"/>
              <w:rPr>
                <w:rFonts w:eastAsia="Calibri" w:cs="Arial"/>
                <w:szCs w:val="20"/>
                <w:lang w:val="en-NZ"/>
              </w:rPr>
            </w:pPr>
          </w:p>
        </w:tc>
        <w:tc>
          <w:tcPr>
            <w:tcW w:w="1276" w:type="dxa"/>
          </w:tcPr>
          <w:p w14:paraId="2784F337" w14:textId="671C1470" w:rsidR="009D0B82" w:rsidRPr="002C0B9D" w:rsidRDefault="00E818FC" w:rsidP="009D0B82">
            <w:pPr>
              <w:pStyle w:val="TableText"/>
              <w:rPr>
                <w:rFonts w:eastAsia="Calibri" w:cs="Arial"/>
                <w:szCs w:val="20"/>
                <w:lang w:val="en-NZ"/>
              </w:rPr>
            </w:pPr>
            <w:r w:rsidRPr="002C0B9D">
              <w:rPr>
                <w:rFonts w:eastAsia="Calibri" w:cs="Arial"/>
                <w:szCs w:val="20"/>
                <w:lang w:val="en-NZ"/>
              </w:rPr>
              <w:t xml:space="preserve">High </w:t>
            </w:r>
          </w:p>
        </w:tc>
      </w:tr>
      <w:tr w:rsidR="008F4C59" w:rsidRPr="002C0B9D" w14:paraId="0D906A74" w14:textId="77777777" w:rsidTr="002C77F7">
        <w:trPr>
          <w:trHeight w:val="381"/>
        </w:trPr>
        <w:tc>
          <w:tcPr>
            <w:tcW w:w="1555" w:type="dxa"/>
            <w:shd w:val="clear" w:color="auto" w:fill="auto"/>
          </w:tcPr>
          <w:p w14:paraId="7E336E7C" w14:textId="23996CFE" w:rsidR="008F4C59" w:rsidRPr="002C0B9D" w:rsidRDefault="00E818FC" w:rsidP="009D0B82">
            <w:pPr>
              <w:pStyle w:val="TableText"/>
              <w:rPr>
                <w:rFonts w:eastAsia="Calibri" w:cs="Arial"/>
                <w:szCs w:val="20"/>
                <w:lang w:val="en-NZ"/>
              </w:rPr>
            </w:pPr>
            <w:r w:rsidRPr="002C0B9D">
              <w:rPr>
                <w:rFonts w:eastAsia="Calibri" w:cs="Arial"/>
                <w:szCs w:val="20"/>
                <w:lang w:val="en-NZ"/>
              </w:rPr>
              <w:t>Wider government</w:t>
            </w:r>
            <w:r w:rsidR="00841A4A" w:rsidRPr="002C0B9D">
              <w:rPr>
                <w:rFonts w:eastAsia="Calibri" w:cs="Arial"/>
                <w:szCs w:val="20"/>
                <w:lang w:val="en-NZ"/>
              </w:rPr>
              <w:t xml:space="preserve">: </w:t>
            </w:r>
            <w:r w:rsidRPr="002C0B9D">
              <w:rPr>
                <w:rFonts w:eastAsia="Calibri" w:cs="Arial"/>
                <w:szCs w:val="20"/>
                <w:lang w:val="en-NZ"/>
              </w:rPr>
              <w:t>reduced pressure on other forms of government housing support</w:t>
            </w:r>
          </w:p>
        </w:tc>
        <w:tc>
          <w:tcPr>
            <w:tcW w:w="5244" w:type="dxa"/>
            <w:shd w:val="clear" w:color="auto" w:fill="auto"/>
          </w:tcPr>
          <w:p w14:paraId="16228662" w14:textId="762C04B0" w:rsidR="008F4C59" w:rsidRPr="002C0B9D" w:rsidRDefault="00E818FC" w:rsidP="009D0B82">
            <w:pPr>
              <w:pStyle w:val="TableText"/>
              <w:rPr>
                <w:rFonts w:eastAsia="Calibri" w:cs="Arial"/>
                <w:szCs w:val="20"/>
                <w:lang w:val="en-NZ"/>
              </w:rPr>
            </w:pPr>
            <w:r w:rsidRPr="002C0B9D">
              <w:rPr>
                <w:rFonts w:eastAsia="Calibri" w:cs="Arial"/>
                <w:szCs w:val="20"/>
                <w:lang w:val="en-NZ"/>
              </w:rPr>
              <w:t>Under this option, it is expected that more household</w:t>
            </w:r>
            <w:r w:rsidR="00841A4A" w:rsidRPr="002C0B9D">
              <w:rPr>
                <w:rFonts w:eastAsia="Calibri" w:cs="Arial"/>
                <w:szCs w:val="20"/>
                <w:lang w:val="en-NZ"/>
              </w:rPr>
              <w:t>s</w:t>
            </w:r>
            <w:r w:rsidRPr="002C0B9D">
              <w:rPr>
                <w:rFonts w:eastAsia="Calibri" w:cs="Arial"/>
                <w:szCs w:val="20"/>
                <w:lang w:val="en-NZ"/>
              </w:rPr>
              <w:t xml:space="preserve"> will be prevented from requiring </w:t>
            </w:r>
            <w:r w:rsidR="002C77F7">
              <w:rPr>
                <w:rFonts w:eastAsia="Calibri" w:cs="Arial"/>
                <w:szCs w:val="20"/>
                <w:lang w:val="en-NZ"/>
              </w:rPr>
              <w:t>emergency and transitional housing, and public housing in some instances. Households in emergency, transitional</w:t>
            </w:r>
            <w:r w:rsidRPr="002C0B9D">
              <w:rPr>
                <w:rFonts w:eastAsia="Calibri" w:cs="Arial"/>
                <w:szCs w:val="20"/>
                <w:lang w:val="en-NZ"/>
              </w:rPr>
              <w:t xml:space="preserve"> and public housing</w:t>
            </w:r>
            <w:r w:rsidR="002C77F7">
              <w:rPr>
                <w:rFonts w:eastAsia="Calibri" w:cs="Arial"/>
                <w:szCs w:val="20"/>
                <w:lang w:val="en-NZ"/>
              </w:rPr>
              <w:t xml:space="preserve"> will also be better supported when leaving. </w:t>
            </w:r>
          </w:p>
        </w:tc>
        <w:tc>
          <w:tcPr>
            <w:tcW w:w="1418" w:type="dxa"/>
            <w:shd w:val="clear" w:color="auto" w:fill="auto"/>
          </w:tcPr>
          <w:p w14:paraId="458A107A" w14:textId="65DFD1BA" w:rsidR="008F4C59" w:rsidRPr="002C0B9D" w:rsidRDefault="00E818FC" w:rsidP="009D0B82">
            <w:pPr>
              <w:pStyle w:val="TableText"/>
              <w:rPr>
                <w:rFonts w:eastAsia="Calibri" w:cs="Arial"/>
                <w:szCs w:val="20"/>
                <w:lang w:val="en-NZ"/>
              </w:rPr>
            </w:pPr>
            <w:r w:rsidRPr="002C0B9D">
              <w:rPr>
                <w:rFonts w:eastAsia="Calibri" w:cs="Arial"/>
                <w:szCs w:val="20"/>
                <w:lang w:val="en-NZ"/>
              </w:rPr>
              <w:t xml:space="preserve">Medium </w:t>
            </w:r>
          </w:p>
        </w:tc>
        <w:tc>
          <w:tcPr>
            <w:tcW w:w="1276" w:type="dxa"/>
          </w:tcPr>
          <w:p w14:paraId="5CA6FEF8" w14:textId="1DFD93D7" w:rsidR="008F4C59" w:rsidRPr="002C0B9D" w:rsidRDefault="00E818FC" w:rsidP="009D0B82">
            <w:pPr>
              <w:pStyle w:val="TableText"/>
              <w:rPr>
                <w:rFonts w:eastAsia="Calibri" w:cs="Arial"/>
                <w:szCs w:val="20"/>
                <w:lang w:val="en-NZ"/>
              </w:rPr>
            </w:pPr>
            <w:r w:rsidRPr="002C0B9D">
              <w:rPr>
                <w:rFonts w:eastAsia="Calibri" w:cs="Arial"/>
                <w:szCs w:val="20"/>
                <w:lang w:val="en-NZ"/>
              </w:rPr>
              <w:t xml:space="preserve">Medium </w:t>
            </w:r>
          </w:p>
        </w:tc>
      </w:tr>
      <w:tr w:rsidR="00136700" w:rsidRPr="002C0B9D" w14:paraId="2832F0D3" w14:textId="77777777" w:rsidTr="002C77F7">
        <w:trPr>
          <w:trHeight w:val="187"/>
        </w:trPr>
        <w:tc>
          <w:tcPr>
            <w:tcW w:w="1555" w:type="dxa"/>
            <w:shd w:val="clear" w:color="auto" w:fill="auto"/>
          </w:tcPr>
          <w:p w14:paraId="0C137852" w14:textId="143EAEA3" w:rsidR="009D0B82" w:rsidRPr="00967EA1" w:rsidRDefault="001066B0" w:rsidP="009D0B82">
            <w:pPr>
              <w:pStyle w:val="TableText"/>
              <w:rPr>
                <w:rFonts w:eastAsia="Calibri" w:cs="Arial"/>
                <w:bCs/>
                <w:szCs w:val="20"/>
                <w:lang w:val="en-NZ"/>
              </w:rPr>
            </w:pPr>
            <w:r w:rsidRPr="00967EA1">
              <w:rPr>
                <w:rFonts w:eastAsia="Calibri" w:cs="Arial"/>
                <w:bCs/>
                <w:szCs w:val="20"/>
                <w:lang w:val="en-NZ"/>
              </w:rPr>
              <w:t>Overall n</w:t>
            </w:r>
            <w:r w:rsidR="009D0B82" w:rsidRPr="00967EA1">
              <w:rPr>
                <w:rFonts w:eastAsia="Calibri" w:cs="Arial"/>
                <w:bCs/>
                <w:szCs w:val="20"/>
                <w:lang w:val="en-NZ"/>
              </w:rPr>
              <w:t>on-monetised benefits</w:t>
            </w:r>
          </w:p>
        </w:tc>
        <w:tc>
          <w:tcPr>
            <w:tcW w:w="5244" w:type="dxa"/>
            <w:shd w:val="clear" w:color="auto" w:fill="auto"/>
          </w:tcPr>
          <w:p w14:paraId="2933E3DB" w14:textId="10F8921F" w:rsidR="009D0B82" w:rsidRPr="002C0B9D" w:rsidRDefault="00A97DCB" w:rsidP="009D0B82">
            <w:pPr>
              <w:pStyle w:val="TableText"/>
              <w:rPr>
                <w:rFonts w:eastAsia="Calibri" w:cs="Arial"/>
                <w:szCs w:val="20"/>
                <w:lang w:val="en-NZ"/>
              </w:rPr>
            </w:pPr>
            <w:r w:rsidRPr="002C0B9D">
              <w:rPr>
                <w:rFonts w:eastAsia="Calibri" w:cs="Arial"/>
                <w:szCs w:val="20"/>
                <w:lang w:val="en-NZ"/>
              </w:rPr>
              <w:t>Will improve housing outcomes for clients by making support more adequate for the current market</w:t>
            </w:r>
            <w:r w:rsidR="00EA0244" w:rsidRPr="002C0B9D">
              <w:rPr>
                <w:rFonts w:eastAsia="Calibri" w:cs="Arial"/>
                <w:szCs w:val="20"/>
                <w:lang w:val="en-NZ"/>
              </w:rPr>
              <w:t>, more responsive to households’ needs (as they can access support more frequently)</w:t>
            </w:r>
            <w:r w:rsidRPr="002C0B9D">
              <w:rPr>
                <w:rFonts w:eastAsia="Calibri" w:cs="Arial"/>
                <w:szCs w:val="20"/>
                <w:lang w:val="en-NZ"/>
              </w:rPr>
              <w:t>,</w:t>
            </w:r>
            <w:r w:rsidR="00EA0244" w:rsidRPr="002C0B9D">
              <w:rPr>
                <w:rFonts w:eastAsia="Calibri" w:cs="Arial"/>
                <w:szCs w:val="20"/>
                <w:lang w:val="en-NZ"/>
              </w:rPr>
              <w:t xml:space="preserve"> and</w:t>
            </w:r>
            <w:r w:rsidRPr="002C0B9D">
              <w:rPr>
                <w:rFonts w:eastAsia="Calibri" w:cs="Arial"/>
                <w:szCs w:val="20"/>
                <w:lang w:val="en-NZ"/>
              </w:rPr>
              <w:t xml:space="preserve"> easier to access (through simplified application processes).</w:t>
            </w:r>
          </w:p>
          <w:p w14:paraId="61FB878D" w14:textId="251019AB" w:rsidR="00A97DCB" w:rsidRPr="002C0B9D" w:rsidRDefault="00A97DCB" w:rsidP="009D0B82">
            <w:pPr>
              <w:pStyle w:val="TableText"/>
              <w:rPr>
                <w:rFonts w:eastAsia="Calibri" w:cs="Arial"/>
                <w:szCs w:val="20"/>
                <w:lang w:val="en-NZ"/>
              </w:rPr>
            </w:pPr>
            <w:r w:rsidRPr="002C0B9D">
              <w:rPr>
                <w:rFonts w:eastAsia="Calibri" w:cs="Arial"/>
                <w:szCs w:val="20"/>
                <w:lang w:val="en-NZ"/>
              </w:rPr>
              <w:t>Changes are also likely to mitigate demand on other government housing support.</w:t>
            </w:r>
          </w:p>
        </w:tc>
        <w:tc>
          <w:tcPr>
            <w:tcW w:w="1418" w:type="dxa"/>
            <w:shd w:val="clear" w:color="auto" w:fill="auto"/>
          </w:tcPr>
          <w:p w14:paraId="098C1B0C" w14:textId="2D736A57" w:rsidR="009D0B82" w:rsidRPr="002C0B9D" w:rsidRDefault="00D733C4" w:rsidP="009D0B82">
            <w:pPr>
              <w:pStyle w:val="TableText"/>
              <w:rPr>
                <w:rFonts w:eastAsia="Calibri" w:cs="Arial"/>
                <w:iCs/>
                <w:szCs w:val="20"/>
                <w:lang w:val="en-NZ"/>
              </w:rPr>
            </w:pPr>
            <w:r w:rsidRPr="002C0B9D">
              <w:rPr>
                <w:rFonts w:eastAsia="Calibri" w:cs="Arial"/>
                <w:iCs/>
                <w:szCs w:val="20"/>
                <w:lang w:val="en-NZ"/>
              </w:rPr>
              <w:t>Medium-high impact</w:t>
            </w:r>
          </w:p>
        </w:tc>
        <w:tc>
          <w:tcPr>
            <w:tcW w:w="1276" w:type="dxa"/>
          </w:tcPr>
          <w:p w14:paraId="5EF64146" w14:textId="4F71399A" w:rsidR="009D0B82" w:rsidRPr="002C0B9D" w:rsidRDefault="00A97DCB" w:rsidP="009D0B82">
            <w:pPr>
              <w:pStyle w:val="TableText"/>
              <w:rPr>
                <w:rFonts w:eastAsia="Calibri" w:cs="Arial"/>
                <w:i/>
                <w:szCs w:val="20"/>
                <w:lang w:val="en-NZ"/>
              </w:rPr>
            </w:pPr>
            <w:r w:rsidRPr="002C0B9D">
              <w:rPr>
                <w:rFonts w:eastAsia="Calibri" w:cs="Arial"/>
                <w:iCs/>
                <w:szCs w:val="20"/>
                <w:lang w:val="en-NZ"/>
              </w:rPr>
              <w:t>Medium-high impact</w:t>
            </w:r>
          </w:p>
        </w:tc>
      </w:tr>
    </w:tbl>
    <w:p w14:paraId="3682DED6" w14:textId="77777777" w:rsidR="00E818FC" w:rsidRDefault="00E818FC" w:rsidP="00E818FC">
      <w:pPr>
        <w:spacing w:line="288" w:lineRule="auto"/>
        <w:outlineLvl w:val="2"/>
        <w:rPr>
          <w:rFonts w:ascii="Verdana" w:eastAsia="Calibri" w:hAnsi="Verdana" w:cs="Arial"/>
          <w:b/>
          <w:sz w:val="24"/>
          <w:szCs w:val="24"/>
          <w:lang w:val="en-NZ" w:eastAsia="en-US"/>
        </w:rPr>
      </w:pPr>
      <w:bookmarkStart w:id="13" w:name="_Hlk89257141"/>
      <w:bookmarkEnd w:id="12"/>
    </w:p>
    <w:p w14:paraId="6460DF9A" w14:textId="4DA7AA2D" w:rsidR="00E818FC" w:rsidRPr="00AB64FB" w:rsidRDefault="00E818FC" w:rsidP="00E818FC">
      <w:pPr>
        <w:pStyle w:val="Heading4"/>
        <w:rPr>
          <w:rFonts w:eastAsia="Calibri"/>
          <w:color w:val="auto"/>
          <w:lang w:val="en-NZ" w:eastAsia="en-US"/>
        </w:rPr>
      </w:pPr>
      <w:r w:rsidRPr="00AB64FB">
        <w:rPr>
          <w:rFonts w:eastAsia="Calibri"/>
          <w:color w:val="auto"/>
          <w:lang w:val="en-NZ" w:eastAsia="en-US"/>
        </w:rPr>
        <w:t xml:space="preserve">Potential longer-term (unquantified) benefits of </w:t>
      </w:r>
      <w:r w:rsidR="00936935" w:rsidRPr="00AB64FB">
        <w:rPr>
          <w:rFonts w:eastAsia="Calibri"/>
          <w:color w:val="auto"/>
          <w:lang w:val="en-NZ" w:eastAsia="en-US"/>
        </w:rPr>
        <w:t>O</w:t>
      </w:r>
      <w:r w:rsidR="00CB0BAB" w:rsidRPr="00AB64FB">
        <w:rPr>
          <w:rFonts w:eastAsia="Calibri"/>
          <w:color w:val="auto"/>
          <w:lang w:val="en-NZ" w:eastAsia="en-US"/>
        </w:rPr>
        <w:t xml:space="preserve">ption </w:t>
      </w:r>
      <w:r w:rsidR="00936935" w:rsidRPr="00AB64FB">
        <w:rPr>
          <w:rFonts w:eastAsia="Calibri"/>
          <w:color w:val="auto"/>
          <w:lang w:val="en-NZ" w:eastAsia="en-US"/>
        </w:rPr>
        <w:t>Two</w:t>
      </w:r>
      <w:r w:rsidR="00CB0BAB" w:rsidRPr="00AB64FB">
        <w:rPr>
          <w:rFonts w:eastAsia="Calibri"/>
          <w:color w:val="auto"/>
          <w:lang w:val="en-NZ" w:eastAsia="en-US"/>
        </w:rPr>
        <w:t xml:space="preserve"> (compared with status quo)</w:t>
      </w:r>
    </w:p>
    <w:bookmarkEnd w:id="13"/>
    <w:p w14:paraId="736F1473" w14:textId="77777777" w:rsidR="00E818FC" w:rsidRPr="00E818FC" w:rsidRDefault="00E818FC" w:rsidP="005E5BA9">
      <w:pPr>
        <w:rPr>
          <w:rFonts w:eastAsia="Calibri" w:cs="Arial"/>
          <w:szCs w:val="24"/>
          <w:lang w:val="en-NZ" w:eastAsia="en-US"/>
        </w:rPr>
      </w:pPr>
      <w:r w:rsidRPr="005E5BA9">
        <w:rPr>
          <w:rFonts w:eastAsia="Calibri" w:cs="Arial"/>
          <w:szCs w:val="22"/>
          <w:lang w:val="en-NZ" w:eastAsia="en-AU"/>
        </w:rPr>
        <w:t>Through the improvements to one-off housing-related hardship assistance, recipients of support will primarily be supported to access and sustain accommodation in the private rental market. Having a safe and stable homes contributes to improved outcomes in many areas of recipients’ lives, including</w:t>
      </w:r>
      <w:r w:rsidRPr="00E818FC">
        <w:rPr>
          <w:rFonts w:eastAsia="Calibri" w:cs="Arial"/>
          <w:szCs w:val="24"/>
          <w:lang w:val="en-NZ" w:eastAsia="en-US"/>
        </w:rPr>
        <w:t>:</w:t>
      </w:r>
    </w:p>
    <w:p w14:paraId="07706323" w14:textId="75223998" w:rsid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r</w:t>
      </w:r>
      <w:r w:rsidR="00E818FC" w:rsidRPr="00E818FC">
        <w:rPr>
          <w:rFonts w:eastAsia="Calibri" w:cs="Arial"/>
          <w:szCs w:val="24"/>
          <w:lang w:val="en-NZ" w:eastAsia="en-US"/>
        </w:rPr>
        <w:t xml:space="preserve">educed risk of homelessness (including </w:t>
      </w:r>
      <w:r w:rsidR="00E939F4">
        <w:rPr>
          <w:rFonts w:eastAsia="Calibri" w:cs="Arial"/>
          <w:szCs w:val="24"/>
          <w:lang w:val="en-NZ" w:eastAsia="en-US"/>
        </w:rPr>
        <w:t>emergency housing and transitional housing</w:t>
      </w:r>
      <w:r w:rsidR="00E818FC" w:rsidRPr="00E818FC">
        <w:rPr>
          <w:rFonts w:eastAsia="Calibri" w:cs="Arial"/>
          <w:szCs w:val="24"/>
          <w:lang w:val="en-NZ" w:eastAsia="en-US"/>
        </w:rPr>
        <w:t>)</w:t>
      </w:r>
    </w:p>
    <w:p w14:paraId="27A1958A" w14:textId="38AA0541" w:rsidR="0068395D"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r</w:t>
      </w:r>
      <w:r w:rsidR="0068395D">
        <w:rPr>
          <w:rFonts w:eastAsia="Calibri" w:cs="Arial"/>
          <w:szCs w:val="24"/>
          <w:lang w:val="en-NZ" w:eastAsia="en-US"/>
        </w:rPr>
        <w:t>educed demand for public housing through additional support for people on the housing register to move into a private tenancy</w:t>
      </w:r>
    </w:p>
    <w:p w14:paraId="7D97E3CB" w14:textId="07D29F83" w:rsidR="00E818FC"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b</w:t>
      </w:r>
      <w:r w:rsidR="00E818FC" w:rsidRPr="00E818FC">
        <w:rPr>
          <w:rFonts w:eastAsia="Calibri" w:cs="Arial"/>
          <w:szCs w:val="24"/>
          <w:lang w:val="en-NZ" w:eastAsia="en-US"/>
        </w:rPr>
        <w:t xml:space="preserve">eing safe from harm/fear of harm  </w:t>
      </w:r>
    </w:p>
    <w:p w14:paraId="470AD7C9" w14:textId="051D2DA6" w:rsidR="00E818FC"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i</w:t>
      </w:r>
      <w:r w:rsidR="00E818FC" w:rsidRPr="00E818FC">
        <w:rPr>
          <w:rFonts w:eastAsia="Calibri" w:cs="Arial"/>
          <w:szCs w:val="24"/>
          <w:lang w:val="en-NZ" w:eastAsia="en-US"/>
        </w:rPr>
        <w:t>mproved health (including fewer acute hospitalisations)</w:t>
      </w:r>
    </w:p>
    <w:p w14:paraId="0605095F" w14:textId="2B5A56A0" w:rsidR="00E818FC"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b</w:t>
      </w:r>
      <w:r w:rsidR="00E818FC" w:rsidRPr="00E818FC">
        <w:rPr>
          <w:rFonts w:eastAsia="Calibri" w:cs="Arial"/>
          <w:szCs w:val="24"/>
          <w:lang w:val="en-NZ" w:eastAsia="en-US"/>
        </w:rPr>
        <w:t>uilding relationships in, and having a stronger connection to the community</w:t>
      </w:r>
    </w:p>
    <w:p w14:paraId="0A4542B4" w14:textId="5192A1F5" w:rsidR="00E818FC" w:rsidRPr="00E818FC" w:rsidRDefault="00E977E9" w:rsidP="00084332">
      <w:pPr>
        <w:numPr>
          <w:ilvl w:val="0"/>
          <w:numId w:val="12"/>
        </w:numPr>
        <w:spacing w:line="288" w:lineRule="auto"/>
        <w:contextualSpacing/>
        <w:rPr>
          <w:rFonts w:eastAsia="Calibri" w:cs="Arial"/>
          <w:szCs w:val="24"/>
          <w:lang w:val="en-NZ" w:eastAsia="en-US"/>
        </w:rPr>
      </w:pPr>
      <w:r>
        <w:rPr>
          <w:rFonts w:eastAsia="Calibri" w:cs="Arial"/>
          <w:szCs w:val="24"/>
          <w:lang w:val="en-NZ" w:eastAsia="en-US"/>
        </w:rPr>
        <w:t>i</w:t>
      </w:r>
      <w:r w:rsidR="00E818FC" w:rsidRPr="00E818FC">
        <w:rPr>
          <w:rFonts w:eastAsia="Calibri" w:cs="Arial"/>
          <w:szCs w:val="24"/>
          <w:lang w:val="en-NZ" w:eastAsia="en-US"/>
        </w:rPr>
        <w:t xml:space="preserve">n </w:t>
      </w:r>
      <w:r w:rsidR="0000254E">
        <w:rPr>
          <w:rFonts w:eastAsia="Calibri" w:cs="Arial"/>
          <w:szCs w:val="24"/>
          <w:lang w:val="en-NZ" w:eastAsia="en-US"/>
        </w:rPr>
        <w:t>paid/unpaid work</w:t>
      </w:r>
      <w:r w:rsidR="00E818FC" w:rsidRPr="00E818FC">
        <w:rPr>
          <w:rFonts w:eastAsia="Calibri" w:cs="Arial"/>
          <w:szCs w:val="24"/>
          <w:lang w:val="en-NZ" w:eastAsia="en-US"/>
        </w:rPr>
        <w:t xml:space="preserve"> (improved employment prospects, opportunity for higher workplace productivity</w:t>
      </w:r>
    </w:p>
    <w:p w14:paraId="1E1CA7EB" w14:textId="44B11BF3" w:rsidR="00E818FC"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e</w:t>
      </w:r>
      <w:r w:rsidR="00E818FC" w:rsidRPr="00E818FC">
        <w:rPr>
          <w:rFonts w:eastAsia="Calibri" w:cs="Arial"/>
          <w:szCs w:val="24"/>
          <w:lang w:val="en-NZ" w:eastAsia="en-US"/>
        </w:rPr>
        <w:t>ducation</w:t>
      </w:r>
      <w:r w:rsidR="0000254E">
        <w:rPr>
          <w:rFonts w:eastAsia="Calibri" w:cs="Arial"/>
          <w:szCs w:val="24"/>
          <w:lang w:val="en-NZ" w:eastAsia="en-US"/>
        </w:rPr>
        <w:t xml:space="preserve"> of children particularly</w:t>
      </w:r>
      <w:r w:rsidR="00E818FC" w:rsidRPr="00E818FC">
        <w:rPr>
          <w:rFonts w:eastAsia="Calibri" w:cs="Arial"/>
          <w:szCs w:val="24"/>
          <w:lang w:val="en-NZ" w:eastAsia="en-US"/>
        </w:rPr>
        <w:t xml:space="preserve">, through improved attendance </w:t>
      </w:r>
      <w:r w:rsidR="0000254E">
        <w:rPr>
          <w:rFonts w:eastAsia="Calibri" w:cs="Arial"/>
          <w:szCs w:val="24"/>
          <w:lang w:val="en-NZ" w:eastAsia="en-US"/>
        </w:rPr>
        <w:t xml:space="preserve">and achievement </w:t>
      </w:r>
      <w:r w:rsidR="00E818FC" w:rsidRPr="00E818FC">
        <w:rPr>
          <w:rFonts w:eastAsia="Calibri" w:cs="Arial"/>
          <w:szCs w:val="24"/>
          <w:lang w:val="en-NZ" w:eastAsia="en-US"/>
        </w:rPr>
        <w:t>at school and in co-curricular activities</w:t>
      </w:r>
    </w:p>
    <w:p w14:paraId="7F0141A5" w14:textId="213A40F8" w:rsidR="00E818FC" w:rsidRPr="00E818FC"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lastRenderedPageBreak/>
        <w:t>p</w:t>
      </w:r>
      <w:r w:rsidR="00E818FC" w:rsidRPr="00E818FC">
        <w:rPr>
          <w:rFonts w:eastAsia="Calibri" w:cs="Arial"/>
          <w:szCs w:val="24"/>
          <w:lang w:val="en-NZ" w:eastAsia="en-US"/>
        </w:rPr>
        <w:t xml:space="preserve">ublic and community participation and engagement, including in the democratic process, in governance at a local/regional/national level, charitable </w:t>
      </w:r>
      <w:r w:rsidR="0000254E" w:rsidRPr="00E818FC">
        <w:rPr>
          <w:rFonts w:eastAsia="Calibri" w:cs="Arial"/>
          <w:szCs w:val="24"/>
          <w:lang w:val="en-NZ" w:eastAsia="en-US"/>
        </w:rPr>
        <w:t>organisations</w:t>
      </w:r>
      <w:r w:rsidR="0000254E">
        <w:rPr>
          <w:rFonts w:eastAsia="Calibri" w:cs="Arial"/>
          <w:szCs w:val="24"/>
          <w:lang w:val="en-NZ" w:eastAsia="en-US"/>
        </w:rPr>
        <w:t>, marae, faith-based organisations,</w:t>
      </w:r>
      <w:r w:rsidR="00E818FC" w:rsidRPr="00E818FC">
        <w:rPr>
          <w:rFonts w:eastAsia="Calibri" w:cs="Arial"/>
          <w:szCs w:val="24"/>
          <w:lang w:val="en-NZ" w:eastAsia="en-US"/>
        </w:rPr>
        <w:t xml:space="preserve"> and school boards</w:t>
      </w:r>
    </w:p>
    <w:p w14:paraId="6E4050C6" w14:textId="3B6357B4" w:rsidR="00E818FC" w:rsidRPr="00A97DCB" w:rsidRDefault="00E977E9" w:rsidP="00084332">
      <w:pPr>
        <w:numPr>
          <w:ilvl w:val="0"/>
          <w:numId w:val="11"/>
        </w:numPr>
        <w:spacing w:line="288" w:lineRule="auto"/>
        <w:contextualSpacing/>
        <w:rPr>
          <w:rFonts w:eastAsia="Calibri" w:cs="Arial"/>
          <w:szCs w:val="24"/>
          <w:lang w:val="en-NZ" w:eastAsia="en-US"/>
        </w:rPr>
      </w:pPr>
      <w:r>
        <w:rPr>
          <w:rFonts w:eastAsia="Calibri" w:cs="Arial"/>
          <w:szCs w:val="24"/>
          <w:lang w:val="en-NZ" w:eastAsia="en-US"/>
        </w:rPr>
        <w:t>s</w:t>
      </w:r>
      <w:r w:rsidR="00E818FC" w:rsidRPr="00E818FC">
        <w:rPr>
          <w:rFonts w:eastAsia="Calibri" w:cs="Arial"/>
          <w:szCs w:val="24"/>
          <w:lang w:val="en-NZ" w:eastAsia="en-US"/>
        </w:rPr>
        <w:t>ubjective wellbeing</w:t>
      </w:r>
      <w:r>
        <w:rPr>
          <w:rFonts w:eastAsia="Calibri" w:cs="Arial"/>
          <w:szCs w:val="24"/>
          <w:lang w:val="en-NZ" w:eastAsia="en-US"/>
        </w:rPr>
        <w:t>.</w:t>
      </w:r>
    </w:p>
    <w:p w14:paraId="18837E45" w14:textId="078FD903" w:rsidR="00A97DCB" w:rsidRDefault="00A97DCB" w:rsidP="00A97DCB">
      <w:pPr>
        <w:spacing w:line="288" w:lineRule="auto"/>
        <w:contextualSpacing/>
        <w:rPr>
          <w:rFonts w:eastAsia="Calibri" w:cs="Arial"/>
          <w:sz w:val="20"/>
          <w:szCs w:val="22"/>
          <w:lang w:val="en-NZ" w:eastAsia="en-US"/>
        </w:rPr>
      </w:pPr>
    </w:p>
    <w:p w14:paraId="59C12A3B" w14:textId="77777777" w:rsidR="00703A87" w:rsidRPr="00AB64FB" w:rsidRDefault="00703A87" w:rsidP="00EA0244">
      <w:pPr>
        <w:pStyle w:val="Heading4"/>
        <w:rPr>
          <w:color w:val="auto"/>
          <w:lang w:val="en-NZ"/>
        </w:rPr>
      </w:pPr>
      <w:r w:rsidRPr="00AB64FB">
        <w:rPr>
          <w:color w:val="auto"/>
          <w:lang w:val="en-NZ"/>
        </w:rPr>
        <w:t>Distributional analysis</w:t>
      </w:r>
    </w:p>
    <w:p w14:paraId="627E0BC6" w14:textId="08E77087" w:rsidR="00703A87" w:rsidRDefault="00703A87" w:rsidP="00703A87">
      <w:pPr>
        <w:rPr>
          <w:lang w:eastAsia="ja-JP"/>
        </w:rPr>
      </w:pPr>
      <w:r w:rsidRPr="00AE5209">
        <w:rPr>
          <w:lang w:eastAsia="ja-JP"/>
        </w:rPr>
        <w:t xml:space="preserve">The proposal is likely to have a positive impact on the population groups outlined below. </w:t>
      </w:r>
      <w:r w:rsidR="00936935">
        <w:rPr>
          <w:lang w:eastAsia="ja-JP"/>
        </w:rPr>
        <w:t>MSD administrative data shows t</w:t>
      </w:r>
      <w:r w:rsidRPr="00AE5209">
        <w:rPr>
          <w:lang w:eastAsia="ja-JP"/>
        </w:rPr>
        <w:t xml:space="preserve">hese groups are disproportionately impacted by structural housing barriers and are more likely to apply for financial assistance for housing-related needs as a result. </w:t>
      </w:r>
    </w:p>
    <w:p w14:paraId="67F8E8B4" w14:textId="0213B6CE" w:rsidR="00EA0244" w:rsidRPr="00E977E9" w:rsidRDefault="00EA0244" w:rsidP="00703A87">
      <w:pPr>
        <w:rPr>
          <w:rFonts w:eastAsia="Calibri" w:cs="Arial"/>
          <w:i/>
          <w:iCs/>
          <w:lang w:val="en-NZ" w:eastAsia="en-US"/>
        </w:rPr>
      </w:pPr>
      <w:r w:rsidRPr="00E977E9">
        <w:rPr>
          <w:rFonts w:eastAsia="Calibri" w:cs="Arial"/>
          <w:i/>
          <w:iCs/>
          <w:lang w:val="en-NZ" w:eastAsia="en-US"/>
        </w:rPr>
        <w:t>Māori</w:t>
      </w:r>
    </w:p>
    <w:p w14:paraId="6B9311AC" w14:textId="77777777" w:rsidR="00EA0244" w:rsidRPr="00AE5209" w:rsidRDefault="00EA0244" w:rsidP="007C63CC">
      <w:pPr>
        <w:rPr>
          <w:rFonts w:eastAsia="Calibri" w:cs="Arial"/>
          <w:lang w:eastAsia="en-US"/>
        </w:rPr>
      </w:pPr>
      <w:r w:rsidRPr="007C63CC">
        <w:rPr>
          <w:rFonts w:eastAsia="Calibri" w:cs="GillSans"/>
          <w:szCs w:val="22"/>
          <w:lang w:val="en-NZ" w:eastAsia="en-AU"/>
        </w:rPr>
        <w:t>Māori are more likely than the general population to have lower-incomes and be renting. Māori are also more likely to experience homelessness and make up 58 percent of all households accessing the Emergency</w:t>
      </w:r>
      <w:r w:rsidRPr="00AE5209">
        <w:rPr>
          <w:rFonts w:eastAsia="Calibri" w:cs="Arial"/>
          <w:lang w:eastAsia="en-US"/>
        </w:rPr>
        <w:t xml:space="preserve"> Housing Special Needs Grant. </w:t>
      </w:r>
    </w:p>
    <w:p w14:paraId="0419E9A6" w14:textId="77777777" w:rsidR="00EA0244" w:rsidRPr="00AE5209" w:rsidRDefault="00EA0244" w:rsidP="007C63CC">
      <w:pPr>
        <w:numPr>
          <w:ilvl w:val="0"/>
          <w:numId w:val="18"/>
        </w:numPr>
        <w:spacing w:before="0" w:after="0"/>
        <w:ind w:left="714" w:hanging="357"/>
        <w:rPr>
          <w:rFonts w:cs="Arial"/>
          <w:lang w:eastAsia="ja-JP"/>
        </w:rPr>
      </w:pPr>
      <w:r w:rsidRPr="00AE5209">
        <w:rPr>
          <w:rFonts w:cs="Arial"/>
          <w:lang w:eastAsia="ja-JP"/>
        </w:rPr>
        <w:t>39 percent (41,904) of clients who received an Advance or RAP in 2020 were Māori</w:t>
      </w:r>
    </w:p>
    <w:p w14:paraId="4958B7E1" w14:textId="71254A03" w:rsidR="00EA0244" w:rsidRPr="00EA0244" w:rsidRDefault="00EA0244" w:rsidP="007C63CC">
      <w:pPr>
        <w:pStyle w:val="ListParagraph"/>
        <w:numPr>
          <w:ilvl w:val="0"/>
          <w:numId w:val="18"/>
        </w:numPr>
        <w:spacing w:before="0" w:after="0"/>
        <w:ind w:left="714" w:hanging="357"/>
        <w:rPr>
          <w:rFonts w:eastAsia="Calibri" w:cs="Arial"/>
          <w:lang w:val="en-NZ" w:eastAsia="en-US"/>
        </w:rPr>
      </w:pPr>
      <w:r w:rsidRPr="00EA0244">
        <w:rPr>
          <w:rFonts w:cs="Arial"/>
          <w:lang w:eastAsia="ja-JP"/>
        </w:rPr>
        <w:t>42 percent (4,345) of clients who received an HSP in 2020 were Māori.</w:t>
      </w:r>
    </w:p>
    <w:p w14:paraId="1E5563D4" w14:textId="34A53AFF" w:rsidR="00EA0244" w:rsidRPr="00E977E9" w:rsidRDefault="00EA0244" w:rsidP="007C63CC">
      <w:pPr>
        <w:rPr>
          <w:i/>
          <w:iCs/>
          <w:lang w:eastAsia="ja-JP"/>
        </w:rPr>
      </w:pPr>
      <w:r w:rsidRPr="00E977E9">
        <w:rPr>
          <w:rFonts w:eastAsia="Calibri" w:cs="Arial"/>
          <w:i/>
          <w:iCs/>
          <w:lang w:eastAsia="en-US"/>
        </w:rPr>
        <w:t>Pacific peoples</w:t>
      </w:r>
    </w:p>
    <w:p w14:paraId="1161BA4A" w14:textId="6F68A50A" w:rsidR="00EA0244" w:rsidRPr="00AE5209" w:rsidRDefault="00EA0244" w:rsidP="007C63CC">
      <w:pPr>
        <w:rPr>
          <w:rFonts w:eastAsia="Calibri" w:cs="Arial"/>
          <w:lang w:eastAsia="en-US"/>
        </w:rPr>
      </w:pPr>
      <w:r w:rsidRPr="00AE5209">
        <w:rPr>
          <w:rFonts w:eastAsia="Calibri" w:cs="Arial"/>
          <w:lang w:eastAsia="en-US"/>
        </w:rPr>
        <w:t xml:space="preserve">Pacific peoples are disproportionately impacted by homelessness, including </w:t>
      </w:r>
      <w:r>
        <w:rPr>
          <w:rFonts w:eastAsia="Calibri" w:cs="Arial"/>
          <w:lang w:eastAsia="en-US"/>
        </w:rPr>
        <w:t xml:space="preserve">having the highest rate of </w:t>
      </w:r>
      <w:r w:rsidRPr="00AE5209">
        <w:rPr>
          <w:rFonts w:eastAsia="Calibri" w:cs="Arial"/>
          <w:lang w:eastAsia="en-US"/>
        </w:rPr>
        <w:t xml:space="preserve">living in over-crowded </w:t>
      </w:r>
      <w:r>
        <w:rPr>
          <w:rFonts w:eastAsia="Calibri" w:cs="Arial"/>
          <w:lang w:eastAsia="en-US"/>
        </w:rPr>
        <w:t>or</w:t>
      </w:r>
      <w:r w:rsidRPr="00AE5209">
        <w:rPr>
          <w:rFonts w:eastAsia="Calibri" w:cs="Arial"/>
          <w:lang w:eastAsia="en-US"/>
        </w:rPr>
        <w:t xml:space="preserve"> severely crowded conditions. </w:t>
      </w:r>
      <w:r w:rsidR="00936935">
        <w:rPr>
          <w:rFonts w:eastAsia="Calibri" w:cs="Arial"/>
          <w:lang w:eastAsia="en-US"/>
        </w:rPr>
        <w:t>They</w:t>
      </w:r>
      <w:r w:rsidRPr="00AE5209">
        <w:rPr>
          <w:rFonts w:eastAsia="Calibri" w:cs="Arial"/>
          <w:lang w:eastAsia="en-US"/>
        </w:rPr>
        <w:t xml:space="preserve"> have high rates of casual or contract work and small business employment, which makes them more vulnerable to the negative impact of an economic downturn (including housing outcomes). </w:t>
      </w:r>
    </w:p>
    <w:p w14:paraId="6D345FE1" w14:textId="77777777" w:rsidR="00EA0244" w:rsidRPr="00AE5209" w:rsidRDefault="00EA0244" w:rsidP="007C63CC">
      <w:pPr>
        <w:numPr>
          <w:ilvl w:val="0"/>
          <w:numId w:val="18"/>
        </w:numPr>
        <w:spacing w:before="0" w:after="0"/>
        <w:ind w:left="714" w:hanging="357"/>
        <w:rPr>
          <w:rFonts w:cs="Arial"/>
          <w:lang w:eastAsia="ja-JP"/>
        </w:rPr>
      </w:pPr>
      <w:r w:rsidRPr="00AE5209">
        <w:rPr>
          <w:rFonts w:cs="Arial"/>
          <w:lang w:eastAsia="ja-JP"/>
        </w:rPr>
        <w:t xml:space="preserve">9 percent (9,405) of clients who received an Advance or RAP in 2020 were Pacific peoples </w:t>
      </w:r>
    </w:p>
    <w:p w14:paraId="3D4A798F" w14:textId="7FA0C575" w:rsidR="00EA0244" w:rsidRPr="00EA0244" w:rsidRDefault="00EA0244" w:rsidP="007C63CC">
      <w:pPr>
        <w:numPr>
          <w:ilvl w:val="0"/>
          <w:numId w:val="18"/>
        </w:numPr>
        <w:spacing w:before="0" w:after="0"/>
        <w:ind w:left="714" w:hanging="357"/>
        <w:rPr>
          <w:lang w:eastAsia="ja-JP"/>
        </w:rPr>
      </w:pPr>
      <w:r w:rsidRPr="00EA0244">
        <w:rPr>
          <w:rFonts w:cs="Arial"/>
          <w:lang w:eastAsia="ja-JP"/>
        </w:rPr>
        <w:t>15 percent (1,624) of clients who received an HSP in 2020 were Pacific peoples.</w:t>
      </w:r>
    </w:p>
    <w:p w14:paraId="55C426AB" w14:textId="6E7A6984" w:rsidR="00EA0244" w:rsidRPr="00E977E9" w:rsidRDefault="00EA0244" w:rsidP="007C63CC">
      <w:pPr>
        <w:rPr>
          <w:i/>
          <w:iCs/>
          <w:lang w:eastAsia="ja-JP"/>
        </w:rPr>
      </w:pPr>
      <w:r w:rsidRPr="00E977E9">
        <w:rPr>
          <w:rFonts w:eastAsia="Calibri" w:cs="Arial"/>
          <w:i/>
          <w:iCs/>
          <w:lang w:eastAsia="en-US"/>
        </w:rPr>
        <w:t>Young people</w:t>
      </w:r>
    </w:p>
    <w:p w14:paraId="659E6A2B" w14:textId="183D62CC" w:rsidR="00EA0244" w:rsidRDefault="00EA0244" w:rsidP="007C63CC">
      <w:pPr>
        <w:rPr>
          <w:rFonts w:eastAsia="Calibri" w:cs="Arial"/>
          <w:lang w:eastAsia="en-US"/>
        </w:rPr>
      </w:pPr>
      <w:r w:rsidRPr="00AE5209">
        <w:rPr>
          <w:rFonts w:eastAsia="Calibri" w:cs="Arial"/>
          <w:lang w:eastAsia="en-US"/>
        </w:rPr>
        <w:t>Young people can face additional barriers to accessing housing</w:t>
      </w:r>
      <w:r>
        <w:rPr>
          <w:rFonts w:eastAsia="Calibri" w:cs="Arial"/>
          <w:lang w:eastAsia="en-US"/>
        </w:rPr>
        <w:t xml:space="preserve">. </w:t>
      </w:r>
      <w:r w:rsidR="00936935">
        <w:rPr>
          <w:rFonts w:eastAsia="Calibri" w:cs="Arial"/>
          <w:lang w:eastAsia="en-US"/>
        </w:rPr>
        <w:t>Outside of the family home, t</w:t>
      </w:r>
      <w:r>
        <w:rPr>
          <w:rFonts w:eastAsia="Calibri" w:cs="Arial"/>
          <w:lang w:eastAsia="en-US"/>
        </w:rPr>
        <w:t xml:space="preserve">here are very few housing options for young people under 18 years. 15–24-year-olds </w:t>
      </w:r>
      <w:r w:rsidRPr="00AE5209">
        <w:rPr>
          <w:rFonts w:eastAsia="Calibri" w:cs="Arial"/>
          <w:lang w:eastAsia="en-US"/>
        </w:rPr>
        <w:t>experienc</w:t>
      </w:r>
      <w:r>
        <w:rPr>
          <w:rFonts w:eastAsia="Calibri" w:cs="Arial"/>
          <w:lang w:eastAsia="en-US"/>
        </w:rPr>
        <w:t>e</w:t>
      </w:r>
      <w:r w:rsidRPr="00AE5209">
        <w:rPr>
          <w:rFonts w:eastAsia="Calibri" w:cs="Arial"/>
          <w:lang w:eastAsia="en-US"/>
        </w:rPr>
        <w:t xml:space="preserve"> the highest rate of homelessness in New Zealand</w:t>
      </w:r>
      <w:r>
        <w:rPr>
          <w:rFonts w:eastAsia="Calibri" w:cs="Arial"/>
          <w:lang w:eastAsia="en-US"/>
        </w:rPr>
        <w:t xml:space="preserve"> across any age group</w:t>
      </w:r>
      <w:r w:rsidRPr="00AE5209">
        <w:rPr>
          <w:rFonts w:eastAsia="Calibri" w:cs="Arial"/>
          <w:lang w:eastAsia="en-US"/>
        </w:rPr>
        <w:t>.</w:t>
      </w:r>
      <w:r>
        <w:rPr>
          <w:rFonts w:eastAsia="Calibri" w:cs="Arial"/>
          <w:lang w:eastAsia="en-US"/>
        </w:rPr>
        <w:t xml:space="preserve"> T</w:t>
      </w:r>
      <w:r w:rsidRPr="00AE5209">
        <w:rPr>
          <w:rFonts w:eastAsia="Calibri" w:cs="Arial"/>
          <w:lang w:eastAsia="en-US"/>
        </w:rPr>
        <w:t>here is a well-established correlation between young people leaving state care and homelessness</w:t>
      </w:r>
      <w:r>
        <w:rPr>
          <w:rFonts w:eastAsia="Calibri" w:cs="Arial"/>
          <w:lang w:eastAsia="en-US"/>
        </w:rPr>
        <w:t xml:space="preserve"> (67% of whom are rangatahi Māori)</w:t>
      </w:r>
      <w:r w:rsidRPr="00AE5209">
        <w:rPr>
          <w:rFonts w:eastAsia="Calibri" w:cs="Arial"/>
          <w:lang w:eastAsia="en-US"/>
        </w:rPr>
        <w:t>, resulting from the impacts of childhood trauma and unmet high and complex needs.</w:t>
      </w:r>
      <w:r>
        <w:rPr>
          <w:rFonts w:eastAsia="Calibri" w:cs="Arial"/>
          <w:lang w:eastAsia="en-US"/>
        </w:rPr>
        <w:t xml:space="preserve"> Young people are also most likely to be on lower incomes. </w:t>
      </w:r>
    </w:p>
    <w:p w14:paraId="22C02E2C" w14:textId="77777777" w:rsidR="00EA0244" w:rsidRPr="00AE5209" w:rsidRDefault="00EA0244" w:rsidP="007C63CC">
      <w:pPr>
        <w:numPr>
          <w:ilvl w:val="0"/>
          <w:numId w:val="18"/>
        </w:numPr>
        <w:spacing w:before="0" w:after="0"/>
        <w:ind w:left="714" w:hanging="357"/>
        <w:rPr>
          <w:rFonts w:cs="Arial"/>
          <w:lang w:eastAsia="ja-JP"/>
        </w:rPr>
      </w:pPr>
      <w:r w:rsidRPr="00AE5209">
        <w:rPr>
          <w:rFonts w:cs="Arial"/>
          <w:lang w:eastAsia="ja-JP"/>
        </w:rPr>
        <w:t>16 percent (17,443) of clients who received an Advance or RAP in 2020 were age</w:t>
      </w:r>
      <w:r>
        <w:rPr>
          <w:rFonts w:cs="Arial"/>
          <w:lang w:eastAsia="ja-JP"/>
        </w:rPr>
        <w:t xml:space="preserve">d 16-24 years. </w:t>
      </w:r>
    </w:p>
    <w:p w14:paraId="780CFFF3" w14:textId="41B80129" w:rsidR="00EA0244" w:rsidRDefault="00EA0244" w:rsidP="007C63CC">
      <w:pPr>
        <w:numPr>
          <w:ilvl w:val="0"/>
          <w:numId w:val="18"/>
        </w:numPr>
        <w:spacing w:before="0" w:after="0"/>
        <w:ind w:left="714" w:hanging="357"/>
        <w:rPr>
          <w:lang w:eastAsia="ja-JP"/>
        </w:rPr>
      </w:pPr>
      <w:r w:rsidRPr="00EA0244">
        <w:rPr>
          <w:rFonts w:cs="Arial"/>
          <w:lang w:eastAsia="ja-JP"/>
        </w:rPr>
        <w:t>10 percent (1,072) of clients who received a HSP in 2020 were under the age of 25.</w:t>
      </w:r>
    </w:p>
    <w:p w14:paraId="6932884C" w14:textId="1D15746C" w:rsidR="00EA0244" w:rsidRPr="00E977E9" w:rsidRDefault="00EA0244" w:rsidP="007C63CC">
      <w:pPr>
        <w:rPr>
          <w:i/>
          <w:iCs/>
          <w:lang w:eastAsia="ja-JP"/>
        </w:rPr>
      </w:pPr>
      <w:r w:rsidRPr="00E977E9">
        <w:rPr>
          <w:i/>
          <w:iCs/>
          <w:lang w:eastAsia="ja-JP"/>
        </w:rPr>
        <w:t>Disabled people</w:t>
      </w:r>
    </w:p>
    <w:p w14:paraId="79BC229C" w14:textId="57EE0801" w:rsidR="00EA0244" w:rsidRPr="00AE5209" w:rsidRDefault="00EA0244" w:rsidP="007C63CC">
      <w:pPr>
        <w:rPr>
          <w:rFonts w:eastAsia="Calibri" w:cs="Arial"/>
          <w:lang w:eastAsia="en-US"/>
        </w:rPr>
      </w:pPr>
      <w:r w:rsidRPr="00AE5209">
        <w:rPr>
          <w:rFonts w:eastAsia="Calibri" w:cs="Arial"/>
          <w:lang w:eastAsia="en-US"/>
        </w:rPr>
        <w:t xml:space="preserve">Disabled people can have high and complex needs </w:t>
      </w:r>
      <w:r w:rsidR="00936935">
        <w:rPr>
          <w:rFonts w:eastAsia="Calibri" w:cs="Arial"/>
          <w:lang w:eastAsia="en-US"/>
        </w:rPr>
        <w:t>that</w:t>
      </w:r>
      <w:r w:rsidRPr="00AE5209">
        <w:rPr>
          <w:rFonts w:eastAsia="Calibri" w:cs="Arial"/>
          <w:lang w:eastAsia="en-US"/>
        </w:rPr>
        <w:t xml:space="preserve"> can make accessing and</w:t>
      </w:r>
      <w:r w:rsidR="007C63CC">
        <w:rPr>
          <w:rFonts w:eastAsia="Calibri" w:cs="Arial"/>
          <w:lang w:eastAsia="en-US"/>
        </w:rPr>
        <w:t xml:space="preserve"> </w:t>
      </w:r>
      <w:r w:rsidRPr="00AE5209">
        <w:rPr>
          <w:rFonts w:eastAsia="Calibri" w:cs="Arial"/>
          <w:lang w:eastAsia="en-US"/>
        </w:rPr>
        <w:t>sustaining suitable housing a major challenge.</w:t>
      </w:r>
      <w:r w:rsidR="00936935">
        <w:rPr>
          <w:rFonts w:eastAsia="Calibri" w:cs="Arial"/>
          <w:lang w:eastAsia="en-US"/>
        </w:rPr>
        <w:t xml:space="preserve"> D</w:t>
      </w:r>
      <w:r w:rsidRPr="001334CB">
        <w:rPr>
          <w:rFonts w:eastAsia="Calibri" w:cs="Arial"/>
          <w:lang w:eastAsia="en-US"/>
        </w:rPr>
        <w:t>isabled people</w:t>
      </w:r>
      <w:r w:rsidR="00936935">
        <w:rPr>
          <w:rFonts w:eastAsia="Calibri" w:cs="Arial"/>
          <w:lang w:eastAsia="en-US"/>
        </w:rPr>
        <w:t xml:space="preserve"> also</w:t>
      </w:r>
      <w:r w:rsidRPr="001334CB">
        <w:rPr>
          <w:rFonts w:eastAsia="Calibri" w:cs="Arial"/>
          <w:lang w:eastAsia="en-US"/>
        </w:rPr>
        <w:t xml:space="preserve"> have lower incomes</w:t>
      </w:r>
      <w:r>
        <w:rPr>
          <w:rFonts w:eastAsia="Calibri" w:cs="Arial"/>
          <w:lang w:eastAsia="en-US"/>
        </w:rPr>
        <w:t xml:space="preserve"> on average</w:t>
      </w:r>
      <w:r w:rsidRPr="001334CB">
        <w:rPr>
          <w:rFonts w:eastAsia="Calibri" w:cs="Arial"/>
          <w:lang w:eastAsia="en-US"/>
        </w:rPr>
        <w:t>.</w:t>
      </w:r>
    </w:p>
    <w:p w14:paraId="4188B208" w14:textId="710EC4EC" w:rsidR="00EA0244" w:rsidRPr="00EA0244" w:rsidRDefault="00EA0244" w:rsidP="007C63CC">
      <w:pPr>
        <w:numPr>
          <w:ilvl w:val="0"/>
          <w:numId w:val="18"/>
        </w:numPr>
        <w:spacing w:before="0" w:after="0"/>
        <w:ind w:left="714" w:hanging="357"/>
        <w:rPr>
          <w:rFonts w:cs="Arial"/>
          <w:lang w:eastAsia="ja-JP"/>
        </w:rPr>
      </w:pPr>
      <w:r w:rsidRPr="00AE5209">
        <w:rPr>
          <w:rFonts w:eastAsia="Calibri" w:cs="Arial"/>
          <w:lang w:eastAsia="en-US"/>
        </w:rPr>
        <w:t xml:space="preserve">11 percent (12,134) of clients who received an Advance or RAP in 2020 were also </w:t>
      </w:r>
      <w:r w:rsidRPr="00EA0244">
        <w:rPr>
          <w:rFonts w:cs="Arial"/>
          <w:lang w:eastAsia="ja-JP"/>
        </w:rPr>
        <w:t>receiving the Supported Living Payment (indicating</w:t>
      </w:r>
      <w:r w:rsidR="00936935">
        <w:rPr>
          <w:rFonts w:cs="Arial"/>
          <w:lang w:eastAsia="ja-JP"/>
        </w:rPr>
        <w:t xml:space="preserve"> that</w:t>
      </w:r>
      <w:r w:rsidRPr="00EA0244">
        <w:rPr>
          <w:rFonts w:cs="Arial"/>
          <w:lang w:eastAsia="ja-JP"/>
        </w:rPr>
        <w:t xml:space="preserve"> they or their dependent have a disability) </w:t>
      </w:r>
    </w:p>
    <w:p w14:paraId="1CB6C12F" w14:textId="77392AAB" w:rsidR="007C63CC" w:rsidRPr="007C63CC" w:rsidRDefault="00EA0244" w:rsidP="007C63CC">
      <w:pPr>
        <w:numPr>
          <w:ilvl w:val="0"/>
          <w:numId w:val="18"/>
        </w:numPr>
        <w:spacing w:before="0" w:after="0"/>
        <w:ind w:left="714" w:hanging="357"/>
        <w:rPr>
          <w:rFonts w:eastAsia="Calibri" w:cs="Arial"/>
          <w:lang w:eastAsia="en-US"/>
        </w:rPr>
      </w:pPr>
      <w:r w:rsidRPr="00EA0244">
        <w:rPr>
          <w:rFonts w:cs="Arial"/>
          <w:lang w:eastAsia="ja-JP"/>
        </w:rPr>
        <w:t>7 percent</w:t>
      </w:r>
      <w:r w:rsidRPr="00AE5209">
        <w:rPr>
          <w:rFonts w:eastAsia="Calibri" w:cs="Arial"/>
          <w:lang w:eastAsia="en-US"/>
        </w:rPr>
        <w:t xml:space="preserve"> (757) of clients who received a HSPs in 2020 were also receiving the Supported Living Payment (indicating they or their dependent have a disability)</w:t>
      </w:r>
      <w:r w:rsidR="00E977E9">
        <w:rPr>
          <w:rFonts w:eastAsia="Calibri" w:cs="Arial"/>
          <w:lang w:eastAsia="en-US"/>
        </w:rPr>
        <w:t>.</w:t>
      </w:r>
      <w:r w:rsidRPr="00AE5209">
        <w:rPr>
          <w:rFonts w:eastAsia="Calibri" w:cs="Arial"/>
          <w:lang w:eastAsia="en-US"/>
        </w:rPr>
        <w:t xml:space="preserve"> </w:t>
      </w:r>
    </w:p>
    <w:p w14:paraId="3ADFE587" w14:textId="6D8CCE5C" w:rsidR="00AE5209" w:rsidRPr="0036205B" w:rsidRDefault="00EA0244" w:rsidP="0036205B">
      <w:pPr>
        <w:spacing w:after="0"/>
        <w:rPr>
          <w:lang w:eastAsia="ja-JP"/>
        </w:rPr>
      </w:pPr>
      <w:r w:rsidRPr="00AE5209">
        <w:rPr>
          <w:rFonts w:eastAsia="Calibri" w:cs="Arial"/>
          <w:lang w:eastAsia="en-US"/>
        </w:rPr>
        <w:t>The number of disabled people accessing housing-related financial assistance is likely to be higher than the figures above (which only reflect people receiving a benefit indicating they have a disability)</w:t>
      </w:r>
      <w:r>
        <w:rPr>
          <w:rFonts w:eastAsia="Calibri" w:cs="Arial"/>
          <w:lang w:eastAsia="en-US"/>
        </w:rPr>
        <w:t>, given that almost one in four New Zealanders self-report having a disability.</w:t>
      </w:r>
    </w:p>
    <w:p w14:paraId="75F637CC" w14:textId="00F71C1B" w:rsidR="00A0728D" w:rsidRPr="00A864A5" w:rsidRDefault="00417B4A" w:rsidP="00556893">
      <w:pPr>
        <w:pStyle w:val="Heading2"/>
        <w:rPr>
          <w:lang w:val="en-NZ"/>
        </w:rPr>
      </w:pPr>
      <w:r w:rsidRPr="00A864A5">
        <w:rPr>
          <w:lang w:val="en-NZ"/>
        </w:rPr>
        <w:lastRenderedPageBreak/>
        <w:t xml:space="preserve">Section </w:t>
      </w:r>
      <w:r w:rsidR="00D62B30" w:rsidRPr="00A864A5">
        <w:rPr>
          <w:lang w:val="en-NZ"/>
        </w:rPr>
        <w:t>3</w:t>
      </w:r>
      <w:r w:rsidRPr="00A864A5">
        <w:rPr>
          <w:lang w:val="en-NZ"/>
        </w:rPr>
        <w:t xml:space="preserve">: </w:t>
      </w:r>
      <w:r w:rsidR="0022201B">
        <w:rPr>
          <w:lang w:val="en-NZ"/>
        </w:rPr>
        <w:t xml:space="preserve">Delivering </w:t>
      </w:r>
      <w:r w:rsidR="005F41A2">
        <w:rPr>
          <w:lang w:val="en-NZ"/>
        </w:rPr>
        <w:t>an option</w:t>
      </w:r>
    </w:p>
    <w:p w14:paraId="77D8CE5A" w14:textId="6E0870A6" w:rsidR="006B5794" w:rsidRPr="00A864A5" w:rsidRDefault="00A16B89" w:rsidP="006B5794">
      <w:pPr>
        <w:pStyle w:val="Heading3"/>
        <w:rPr>
          <w:lang w:val="en-NZ"/>
        </w:rPr>
      </w:pPr>
      <w:r w:rsidRPr="00A864A5">
        <w:rPr>
          <w:lang w:val="en-NZ"/>
        </w:rPr>
        <w:t xml:space="preserve">How will </w:t>
      </w:r>
      <w:r w:rsidR="003A6757">
        <w:rPr>
          <w:lang w:val="en-NZ"/>
        </w:rPr>
        <w:t xml:space="preserve">the </w:t>
      </w:r>
      <w:r w:rsidR="005F41A2">
        <w:rPr>
          <w:lang w:val="en-NZ"/>
        </w:rPr>
        <w:t>new arrangements be implemented</w:t>
      </w:r>
      <w:r w:rsidRPr="00A864A5">
        <w:rPr>
          <w:lang w:val="en-NZ"/>
        </w:rPr>
        <w:t>?</w:t>
      </w:r>
    </w:p>
    <w:p w14:paraId="5CD40ECE" w14:textId="77777777" w:rsidR="00027101" w:rsidRPr="00AB64FB" w:rsidRDefault="00027101" w:rsidP="00027101">
      <w:pPr>
        <w:autoSpaceDE w:val="0"/>
        <w:autoSpaceDN w:val="0"/>
        <w:adjustRightInd w:val="0"/>
        <w:rPr>
          <w:rFonts w:eastAsia="Calibri" w:cs="Arial"/>
          <w:b/>
          <w:bCs/>
          <w:szCs w:val="22"/>
          <w:lang w:val="en-NZ" w:eastAsia="en-NZ"/>
        </w:rPr>
      </w:pPr>
      <w:r w:rsidRPr="00AB64FB">
        <w:rPr>
          <w:rFonts w:eastAsia="Calibri" w:cs="Arial"/>
          <w:b/>
          <w:bCs/>
          <w:szCs w:val="22"/>
          <w:lang w:val="en-NZ" w:eastAsia="en-NZ"/>
        </w:rPr>
        <w:t xml:space="preserve">Legislative vehicle </w:t>
      </w:r>
    </w:p>
    <w:p w14:paraId="250DA937" w14:textId="5C5373B1" w:rsidR="003B0729" w:rsidRPr="003B0729" w:rsidRDefault="003B0729" w:rsidP="003B0729">
      <w:pPr>
        <w:rPr>
          <w:lang w:val="en-NZ"/>
        </w:rPr>
      </w:pPr>
      <w:r w:rsidRPr="003B0729">
        <w:rPr>
          <w:lang w:val="en-NZ"/>
        </w:rPr>
        <w:t xml:space="preserve">As the preferred option seeks to merge all one-off/irregular housing-related assistance into one new Ministerial welfare programme, a new welfare programme will need to be established inserting all of these supports in this new instrument. The Minister </w:t>
      </w:r>
      <w:proofErr w:type="gramStart"/>
      <w:r w:rsidRPr="003B0729">
        <w:rPr>
          <w:lang w:val="en-NZ"/>
        </w:rPr>
        <w:t>has the ability to</w:t>
      </w:r>
      <w:proofErr w:type="gramEnd"/>
      <w:r w:rsidRPr="003B0729">
        <w:rPr>
          <w:lang w:val="en-NZ"/>
        </w:rPr>
        <w:t xml:space="preserve"> establish new programmes under s101 of the Social Security Act (SSA). </w:t>
      </w:r>
      <w:proofErr w:type="gramStart"/>
      <w:r w:rsidRPr="003B0729">
        <w:rPr>
          <w:lang w:val="en-NZ"/>
        </w:rPr>
        <w:t>A number of</w:t>
      </w:r>
      <w:proofErr w:type="gramEnd"/>
      <w:r w:rsidRPr="003B0729">
        <w:rPr>
          <w:lang w:val="en-NZ"/>
        </w:rPr>
        <w:t xml:space="preserve"> welfare programmes and a Ministerial Direction will need to be amended to ensure existing housing supports are removed from existing programmes. The programmes that have been identified so far as needing amendments to accommodate the new programme are: </w:t>
      </w:r>
    </w:p>
    <w:p w14:paraId="1821660B" w14:textId="15FDBE99" w:rsidR="003B0729" w:rsidRPr="003B0729" w:rsidRDefault="003B0729" w:rsidP="003B0729">
      <w:pPr>
        <w:pStyle w:val="ListParagraph"/>
        <w:numPr>
          <w:ilvl w:val="0"/>
          <w:numId w:val="28"/>
        </w:numPr>
        <w:rPr>
          <w:lang w:val="en-NZ"/>
        </w:rPr>
      </w:pPr>
      <w:r w:rsidRPr="003B0729">
        <w:rPr>
          <w:lang w:val="en-NZ"/>
        </w:rPr>
        <w:t>Housing Support Assistance Programme</w:t>
      </w:r>
    </w:p>
    <w:p w14:paraId="54547D46" w14:textId="1E6944F9" w:rsidR="003B0729" w:rsidRPr="003B0729" w:rsidRDefault="003B0729" w:rsidP="003B0729">
      <w:pPr>
        <w:pStyle w:val="ListParagraph"/>
        <w:numPr>
          <w:ilvl w:val="0"/>
          <w:numId w:val="28"/>
        </w:numPr>
        <w:rPr>
          <w:lang w:val="en-NZ"/>
        </w:rPr>
      </w:pPr>
      <w:r w:rsidRPr="003B0729">
        <w:rPr>
          <w:lang w:val="en-NZ"/>
        </w:rPr>
        <w:t>Special Needs Grants Programme</w:t>
      </w:r>
    </w:p>
    <w:p w14:paraId="4856D8FF" w14:textId="41064B30" w:rsidR="003B0729" w:rsidRPr="003B0729" w:rsidRDefault="003B0729" w:rsidP="003B0729">
      <w:pPr>
        <w:pStyle w:val="ListParagraph"/>
        <w:numPr>
          <w:ilvl w:val="0"/>
          <w:numId w:val="28"/>
        </w:numPr>
        <w:rPr>
          <w:lang w:val="en-NZ"/>
        </w:rPr>
      </w:pPr>
      <w:r w:rsidRPr="003B0729">
        <w:rPr>
          <w:lang w:val="en-NZ"/>
        </w:rPr>
        <w:t>Recoverable Assistance Programme</w:t>
      </w:r>
    </w:p>
    <w:p w14:paraId="3CDD714E" w14:textId="77777777" w:rsidR="003B0729" w:rsidRPr="003B0729" w:rsidRDefault="003B0729" w:rsidP="003B0729">
      <w:pPr>
        <w:pStyle w:val="ListParagraph"/>
        <w:numPr>
          <w:ilvl w:val="0"/>
          <w:numId w:val="28"/>
        </w:numPr>
        <w:rPr>
          <w:lang w:val="en-NZ"/>
        </w:rPr>
      </w:pPr>
      <w:r w:rsidRPr="003B0729">
        <w:rPr>
          <w:lang w:val="en-NZ"/>
        </w:rPr>
        <w:t xml:space="preserve">Ministerial Direction on the Advance Payments of Instalments of Benefit. </w:t>
      </w:r>
    </w:p>
    <w:p w14:paraId="78706A5D" w14:textId="3D086DBC" w:rsidR="003B0729" w:rsidRDefault="003B0729" w:rsidP="003B0729">
      <w:pPr>
        <w:rPr>
          <w:lang w:val="en-NZ"/>
        </w:rPr>
      </w:pPr>
      <w:r w:rsidRPr="003B0729">
        <w:rPr>
          <w:lang w:val="en-NZ"/>
        </w:rPr>
        <w:t xml:space="preserve">Once all policy decisions have been made it will take approximately </w:t>
      </w:r>
      <w:r>
        <w:rPr>
          <w:lang w:val="en-NZ"/>
        </w:rPr>
        <w:t>three</w:t>
      </w:r>
      <w:r w:rsidRPr="003B0729">
        <w:rPr>
          <w:lang w:val="en-NZ"/>
        </w:rPr>
        <w:t xml:space="preserve"> months for Legal to prepare the new instrument and carry out necessary amendments to existing instruments. Depending on the technicality of the new programme and amendments this may be longer.</w:t>
      </w:r>
      <w:r w:rsidR="00BD5C65">
        <w:rPr>
          <w:lang w:val="en-NZ"/>
        </w:rPr>
        <w:t xml:space="preserve"> </w:t>
      </w:r>
    </w:p>
    <w:p w14:paraId="7765A01C" w14:textId="77777777" w:rsidR="000F4F12" w:rsidRPr="00AB64FB" w:rsidRDefault="000F4F12" w:rsidP="00027101">
      <w:pPr>
        <w:rPr>
          <w:b/>
          <w:bCs/>
          <w:lang w:val="en-NZ"/>
        </w:rPr>
      </w:pPr>
      <w:r w:rsidRPr="00AB64FB">
        <w:rPr>
          <w:b/>
          <w:bCs/>
          <w:lang w:val="en-NZ"/>
        </w:rPr>
        <w:t>MSD staff and IT changes</w:t>
      </w:r>
    </w:p>
    <w:p w14:paraId="0863FBA0" w14:textId="0766A655" w:rsidR="000F4F12" w:rsidRPr="0061553A" w:rsidRDefault="000F4F12" w:rsidP="0061553A">
      <w:pPr>
        <w:rPr>
          <w:lang w:val="en-NZ"/>
        </w:rPr>
      </w:pPr>
      <w:r w:rsidRPr="000F4F12">
        <w:rPr>
          <w:lang w:val="en-NZ"/>
        </w:rPr>
        <w:t xml:space="preserve">The suite of changes proposed will require a lead in time of up to 12 months from </w:t>
      </w:r>
      <w:r w:rsidR="00936935">
        <w:rPr>
          <w:lang w:val="en-NZ"/>
        </w:rPr>
        <w:t>the</w:t>
      </w:r>
      <w:r w:rsidRPr="000F4F12">
        <w:rPr>
          <w:lang w:val="en-NZ"/>
        </w:rPr>
        <w:t xml:space="preserve"> date</w:t>
      </w:r>
      <w:r w:rsidR="00936935">
        <w:rPr>
          <w:lang w:val="en-NZ"/>
        </w:rPr>
        <w:t xml:space="preserve"> that</w:t>
      </w:r>
      <w:r w:rsidRPr="000F4F12">
        <w:rPr>
          <w:lang w:val="en-NZ"/>
        </w:rPr>
        <w:t xml:space="preserve"> the final decisions about </w:t>
      </w:r>
      <w:r w:rsidR="00936935">
        <w:rPr>
          <w:lang w:val="en-NZ"/>
        </w:rPr>
        <w:t>the proposal</w:t>
      </w:r>
      <w:r w:rsidRPr="000F4F12">
        <w:rPr>
          <w:lang w:val="en-NZ"/>
        </w:rPr>
        <w:t xml:space="preserve"> are made. The implementation date is dependent on the completion of IT system changes </w:t>
      </w:r>
      <w:proofErr w:type="gramStart"/>
      <w:r w:rsidRPr="000F4F12">
        <w:rPr>
          <w:lang w:val="en-NZ"/>
        </w:rPr>
        <w:t>in order to</w:t>
      </w:r>
      <w:proofErr w:type="gramEnd"/>
      <w:r w:rsidRPr="000F4F12">
        <w:rPr>
          <w:lang w:val="en-NZ"/>
        </w:rPr>
        <w:t xml:space="preserve"> ensure that that frontline staff can efficiently manage the forecasted client demand as well as to deliver an effective service</w:t>
      </w:r>
      <w:r w:rsidR="009F40CB">
        <w:rPr>
          <w:lang w:val="en-NZ"/>
        </w:rPr>
        <w:t xml:space="preserve"> (including the pilot)</w:t>
      </w:r>
      <w:r w:rsidRPr="000F4F12">
        <w:rPr>
          <w:lang w:val="en-NZ"/>
        </w:rPr>
        <w:t xml:space="preserve">. </w:t>
      </w:r>
      <w:r w:rsidR="0068395D">
        <w:rPr>
          <w:lang w:val="en-NZ"/>
        </w:rPr>
        <w:t>The proposed implementation date is</w:t>
      </w:r>
      <w:r w:rsidRPr="000F4F12">
        <w:rPr>
          <w:lang w:val="en-NZ"/>
        </w:rPr>
        <w:t xml:space="preserve"> March 2023</w:t>
      </w:r>
      <w:r w:rsidR="0068395D">
        <w:rPr>
          <w:lang w:val="en-NZ"/>
        </w:rPr>
        <w:t>.</w:t>
      </w:r>
      <w:r w:rsidRPr="000F4F12">
        <w:rPr>
          <w:lang w:val="en-NZ"/>
        </w:rPr>
        <w:t xml:space="preserve"> </w:t>
      </w:r>
    </w:p>
    <w:p w14:paraId="67083D5A" w14:textId="0838DC31" w:rsidR="000F4F12" w:rsidRPr="0061553A" w:rsidRDefault="000F4F12" w:rsidP="0061553A">
      <w:r w:rsidRPr="0061553A">
        <w:t>Operational improvements include (resulting from proposed policy settings changes set out in the outputs above):</w:t>
      </w:r>
    </w:p>
    <w:p w14:paraId="422684A1" w14:textId="563634C3" w:rsidR="000F4F12" w:rsidRPr="0061553A" w:rsidRDefault="000F4F12" w:rsidP="00084332">
      <w:pPr>
        <w:pStyle w:val="ListParagraph"/>
        <w:numPr>
          <w:ilvl w:val="0"/>
          <w:numId w:val="13"/>
        </w:numPr>
      </w:pPr>
      <w:r w:rsidRPr="0061553A">
        <w:t xml:space="preserve">streamlining the process by removing unnecessary steps in the grant process </w:t>
      </w:r>
    </w:p>
    <w:p w14:paraId="5ABAF3A5" w14:textId="3CBD1877" w:rsidR="000F4F12" w:rsidRPr="0061553A" w:rsidRDefault="000F4F12" w:rsidP="00084332">
      <w:pPr>
        <w:pStyle w:val="ListParagraph"/>
        <w:numPr>
          <w:ilvl w:val="0"/>
          <w:numId w:val="13"/>
        </w:numPr>
      </w:pPr>
      <w:r w:rsidRPr="0061553A">
        <w:t xml:space="preserve">placing all </w:t>
      </w:r>
      <w:r w:rsidR="00936935">
        <w:t xml:space="preserve">one-off housing-related financial assistance </w:t>
      </w:r>
      <w:r w:rsidRPr="0061553A">
        <w:t>in one system for ease of navigation</w:t>
      </w:r>
    </w:p>
    <w:p w14:paraId="5121F501" w14:textId="34FA7F40" w:rsidR="000F4F12" w:rsidRPr="0061553A" w:rsidRDefault="000F4F12" w:rsidP="00084332">
      <w:pPr>
        <w:pStyle w:val="ListParagraph"/>
        <w:numPr>
          <w:ilvl w:val="0"/>
          <w:numId w:val="13"/>
        </w:numPr>
      </w:pPr>
      <w:r w:rsidRPr="0061553A">
        <w:t>developing capability and training for staff on new processes</w:t>
      </w:r>
    </w:p>
    <w:p w14:paraId="1EC10F11" w14:textId="0C7475D0" w:rsidR="000F4F12" w:rsidRPr="0061553A" w:rsidRDefault="000F4F12" w:rsidP="00084332">
      <w:pPr>
        <w:pStyle w:val="ListParagraph"/>
        <w:numPr>
          <w:ilvl w:val="0"/>
          <w:numId w:val="13"/>
        </w:numPr>
      </w:pPr>
      <w:r w:rsidRPr="0061553A">
        <w:t>establishing easier decision-making processes for staff</w:t>
      </w:r>
      <w:r w:rsidR="00936935">
        <w:t xml:space="preserve">, with one set of </w:t>
      </w:r>
      <w:r w:rsidRPr="0061553A">
        <w:t>eligibility criteria</w:t>
      </w:r>
    </w:p>
    <w:p w14:paraId="364F1432" w14:textId="0A003046" w:rsidR="000F4F12" w:rsidRPr="0061553A" w:rsidRDefault="000F4F12" w:rsidP="00084332">
      <w:pPr>
        <w:pStyle w:val="ListParagraph"/>
        <w:numPr>
          <w:ilvl w:val="0"/>
          <w:numId w:val="13"/>
        </w:numPr>
      </w:pPr>
      <w:r w:rsidRPr="0061553A">
        <w:t>updating letters and communications.</w:t>
      </w:r>
    </w:p>
    <w:p w14:paraId="57A1D953" w14:textId="08D8A87B" w:rsidR="000F4F12" w:rsidRPr="0061553A" w:rsidRDefault="000F4F12" w:rsidP="0061553A">
      <w:r w:rsidRPr="0061553A">
        <w:t>IT improvements</w:t>
      </w:r>
      <w:r w:rsidR="00936935">
        <w:t xml:space="preserve"> will include</w:t>
      </w:r>
      <w:r w:rsidRPr="0061553A">
        <w:t>:</w:t>
      </w:r>
    </w:p>
    <w:p w14:paraId="771B1925" w14:textId="32152D29" w:rsidR="000F4F12" w:rsidRPr="0061553A" w:rsidRDefault="000F4F12" w:rsidP="00084332">
      <w:pPr>
        <w:pStyle w:val="ListParagraph"/>
        <w:numPr>
          <w:ilvl w:val="0"/>
          <w:numId w:val="14"/>
        </w:numPr>
      </w:pPr>
      <w:r w:rsidRPr="0061553A">
        <w:t>updating the system Business Rules for eligibility, recoverability, and frequency</w:t>
      </w:r>
    </w:p>
    <w:p w14:paraId="65A09208" w14:textId="48CAEDEB" w:rsidR="000F4F12" w:rsidRPr="0061553A" w:rsidRDefault="000F4F12" w:rsidP="00084332">
      <w:pPr>
        <w:pStyle w:val="ListParagraph"/>
        <w:numPr>
          <w:ilvl w:val="0"/>
          <w:numId w:val="14"/>
        </w:numPr>
      </w:pPr>
      <w:r w:rsidRPr="0061553A">
        <w:t xml:space="preserve">updating the calculation system for </w:t>
      </w:r>
      <w:r w:rsidR="00936935">
        <w:t>maximum payments</w:t>
      </w:r>
      <w:r w:rsidRPr="0061553A">
        <w:t xml:space="preserve"> to reflect the different rates of payment clients are requesting</w:t>
      </w:r>
    </w:p>
    <w:p w14:paraId="26CF191D" w14:textId="6B9D116C" w:rsidR="000F4F12" w:rsidRPr="0061553A" w:rsidRDefault="000F4F12" w:rsidP="00084332">
      <w:pPr>
        <w:pStyle w:val="ListParagraph"/>
        <w:numPr>
          <w:ilvl w:val="0"/>
          <w:numId w:val="14"/>
        </w:numPr>
      </w:pPr>
      <w:r w:rsidRPr="0061553A">
        <w:t xml:space="preserve">designing application questions to capture data that will indicate areas for improvement and gaps in the new </w:t>
      </w:r>
      <w:r w:rsidR="0068395D">
        <w:t>housing-related hardship programme</w:t>
      </w:r>
      <w:r w:rsidRPr="0061553A">
        <w:t>.</w:t>
      </w:r>
    </w:p>
    <w:p w14:paraId="77BB34C7" w14:textId="44037554" w:rsidR="00027101" w:rsidRPr="00AB64FB" w:rsidRDefault="00027101" w:rsidP="00027101">
      <w:pPr>
        <w:rPr>
          <w:b/>
          <w:bCs/>
          <w:lang w:val="en-NZ"/>
        </w:rPr>
      </w:pPr>
      <w:r w:rsidRPr="00AB64FB">
        <w:rPr>
          <w:b/>
          <w:bCs/>
          <w:lang w:val="en-NZ"/>
        </w:rPr>
        <w:t>Communication</w:t>
      </w:r>
    </w:p>
    <w:p w14:paraId="53B8EF41" w14:textId="2D53A9A7" w:rsidR="0061553A" w:rsidRPr="0061553A" w:rsidRDefault="0061553A" w:rsidP="00027101">
      <w:pPr>
        <w:rPr>
          <w:lang w:val="en-NZ"/>
        </w:rPr>
      </w:pPr>
      <w:r w:rsidRPr="0061553A">
        <w:rPr>
          <w:lang w:val="en-NZ"/>
        </w:rPr>
        <w:t xml:space="preserve">A communications plan will be developed to ensure </w:t>
      </w:r>
      <w:r w:rsidR="00936935">
        <w:rPr>
          <w:lang w:val="en-NZ"/>
        </w:rPr>
        <w:t xml:space="preserve">that </w:t>
      </w:r>
      <w:r w:rsidRPr="0061553A">
        <w:rPr>
          <w:lang w:val="en-NZ"/>
        </w:rPr>
        <w:t>the changes are communicated to staff and the public in advance of implementation.</w:t>
      </w:r>
      <w:r>
        <w:rPr>
          <w:lang w:val="en-NZ"/>
        </w:rPr>
        <w:t xml:space="preserve"> </w:t>
      </w:r>
    </w:p>
    <w:p w14:paraId="25113152" w14:textId="7562FA11" w:rsidR="000A0FEF" w:rsidRDefault="0068395D" w:rsidP="00027101">
      <w:pPr>
        <w:spacing w:after="0"/>
        <w:rPr>
          <w:rFonts w:ascii="Arial Bold" w:hAnsi="Arial Bold"/>
          <w:b/>
          <w:color w:val="0082AB"/>
          <w:spacing w:val="20"/>
          <w:w w:val="90"/>
          <w:sz w:val="24"/>
          <w:szCs w:val="22"/>
          <w:lang w:val="en-NZ"/>
        </w:rPr>
      </w:pPr>
      <w:r>
        <w:rPr>
          <w:noProof/>
          <w:lang w:val="en-NZ" w:eastAsia="en-NZ"/>
        </w:rPr>
        <w:t>Targeted information will be provided to key stakeholders including the National Benefit Advocates Consultative Group and Community Law.</w:t>
      </w:r>
      <w:r w:rsidR="000A0FEF">
        <w:rPr>
          <w:lang w:val="en-NZ"/>
        </w:rPr>
        <w:br w:type="page"/>
      </w:r>
    </w:p>
    <w:p w14:paraId="5AA39C72" w14:textId="19F3185C" w:rsidR="006B5794" w:rsidRPr="00A864A5" w:rsidRDefault="0099086E" w:rsidP="006B5794">
      <w:pPr>
        <w:pStyle w:val="Heading3"/>
        <w:rPr>
          <w:lang w:val="en-NZ"/>
        </w:rPr>
      </w:pPr>
      <w:r>
        <w:rPr>
          <w:lang w:val="en-NZ"/>
        </w:rPr>
        <w:lastRenderedPageBreak/>
        <w:t xml:space="preserve">How will </w:t>
      </w:r>
      <w:r w:rsidR="003A6757">
        <w:rPr>
          <w:lang w:val="en-NZ"/>
        </w:rPr>
        <w:t xml:space="preserve">the </w:t>
      </w:r>
      <w:r w:rsidR="005F41A2">
        <w:rPr>
          <w:lang w:val="en-NZ"/>
        </w:rPr>
        <w:t>new arrangements be m</w:t>
      </w:r>
      <w:r w:rsidR="005F41A2" w:rsidRPr="00A864A5">
        <w:rPr>
          <w:lang w:val="en-NZ"/>
        </w:rPr>
        <w:t>onitor</w:t>
      </w:r>
      <w:r w:rsidR="005F41A2">
        <w:rPr>
          <w:lang w:val="en-NZ"/>
        </w:rPr>
        <w:t>ed</w:t>
      </w:r>
      <w:r w:rsidR="005F41A2" w:rsidRPr="00A864A5">
        <w:rPr>
          <w:lang w:val="en-NZ"/>
        </w:rPr>
        <w:t xml:space="preserve">, </w:t>
      </w:r>
      <w:r w:rsidR="005F41A2">
        <w:rPr>
          <w:lang w:val="en-NZ"/>
        </w:rPr>
        <w:t>e</w:t>
      </w:r>
      <w:r w:rsidR="005F41A2" w:rsidRPr="00A864A5">
        <w:rPr>
          <w:lang w:val="en-NZ"/>
        </w:rPr>
        <w:t>valuat</w:t>
      </w:r>
      <w:r w:rsidR="005F41A2">
        <w:rPr>
          <w:lang w:val="en-NZ"/>
        </w:rPr>
        <w:t>ed</w:t>
      </w:r>
      <w:r w:rsidR="005F41A2" w:rsidRPr="00A864A5">
        <w:rPr>
          <w:lang w:val="en-NZ"/>
        </w:rPr>
        <w:t xml:space="preserve">, and </w:t>
      </w:r>
      <w:r w:rsidR="005F41A2">
        <w:rPr>
          <w:lang w:val="en-NZ"/>
        </w:rPr>
        <w:t>r</w:t>
      </w:r>
      <w:r w:rsidR="005F41A2" w:rsidRPr="00A864A5">
        <w:rPr>
          <w:lang w:val="en-NZ"/>
        </w:rPr>
        <w:t>eview</w:t>
      </w:r>
      <w:r w:rsidR="005F41A2">
        <w:rPr>
          <w:lang w:val="en-NZ"/>
        </w:rPr>
        <w:t>ed</w:t>
      </w:r>
      <w:r>
        <w:rPr>
          <w:lang w:val="en-NZ"/>
        </w:rPr>
        <w:t>?</w:t>
      </w:r>
    </w:p>
    <w:p w14:paraId="59C38634" w14:textId="13792DBC" w:rsidR="008321F8" w:rsidRPr="00AB64FB" w:rsidRDefault="009F40CB" w:rsidP="009F40CB">
      <w:pPr>
        <w:pStyle w:val="Heading4"/>
        <w:rPr>
          <w:color w:val="auto"/>
          <w:lang w:val="en-NZ"/>
        </w:rPr>
      </w:pPr>
      <w:r w:rsidRPr="00AB64FB">
        <w:rPr>
          <w:color w:val="auto"/>
          <w:lang w:val="en-NZ"/>
        </w:rPr>
        <w:t>Behavioural changes arising from abatement threshold increases can be monitored using administrative data</w:t>
      </w:r>
    </w:p>
    <w:p w14:paraId="5DBDC621" w14:textId="0D58050F" w:rsidR="009F40CB" w:rsidRDefault="009F40CB" w:rsidP="009F40CB">
      <w:pPr>
        <w:autoSpaceDE w:val="0"/>
        <w:autoSpaceDN w:val="0"/>
        <w:adjustRightInd w:val="0"/>
        <w:spacing w:after="0"/>
        <w:rPr>
          <w:rFonts w:eastAsia="Calibri" w:cs="Arial"/>
          <w:color w:val="000000"/>
          <w:szCs w:val="22"/>
          <w:lang w:val="en-NZ" w:eastAsia="en-NZ"/>
        </w:rPr>
      </w:pPr>
      <w:r w:rsidRPr="009F40CB">
        <w:rPr>
          <w:rFonts w:eastAsia="Calibri" w:cs="Arial"/>
          <w:color w:val="000000"/>
          <w:szCs w:val="22"/>
          <w:lang w:val="en-NZ" w:eastAsia="en-NZ"/>
        </w:rPr>
        <w:t xml:space="preserve">MSD will use administrative data to monitor the trends </w:t>
      </w:r>
      <w:r>
        <w:rPr>
          <w:rFonts w:eastAsia="Calibri" w:cs="Arial"/>
          <w:color w:val="000000"/>
          <w:szCs w:val="22"/>
          <w:lang w:val="en-NZ" w:eastAsia="en-NZ"/>
        </w:rPr>
        <w:t xml:space="preserve">in </w:t>
      </w:r>
      <w:r w:rsidR="008A19DE">
        <w:rPr>
          <w:rFonts w:eastAsia="Calibri" w:cs="Arial"/>
          <w:color w:val="000000"/>
          <w:szCs w:val="22"/>
          <w:lang w:val="en-NZ" w:eastAsia="en-NZ"/>
        </w:rPr>
        <w:t>receipt of assistance</w:t>
      </w:r>
      <w:r w:rsidRPr="009F40CB">
        <w:rPr>
          <w:rFonts w:eastAsia="Calibri" w:cs="Arial"/>
          <w:color w:val="000000"/>
          <w:szCs w:val="22"/>
          <w:lang w:val="en-NZ" w:eastAsia="en-NZ"/>
        </w:rPr>
        <w:t xml:space="preserve"> before and after </w:t>
      </w:r>
      <w:r>
        <w:rPr>
          <w:rFonts w:eastAsia="Calibri" w:cs="Arial"/>
          <w:color w:val="000000"/>
          <w:szCs w:val="22"/>
          <w:lang w:val="en-NZ" w:eastAsia="en-NZ"/>
        </w:rPr>
        <w:t xml:space="preserve">the policy changes have been implemented, </w:t>
      </w:r>
      <w:r w:rsidRPr="009F40CB">
        <w:rPr>
          <w:rFonts w:eastAsia="Calibri" w:cs="Arial"/>
          <w:color w:val="000000"/>
          <w:szCs w:val="22"/>
          <w:lang w:val="en-NZ" w:eastAsia="en-NZ"/>
        </w:rPr>
        <w:t>including the trends for different subgroups (eg, Māori, Pacific people,</w:t>
      </w:r>
      <w:r w:rsidR="0000254E">
        <w:rPr>
          <w:rFonts w:eastAsia="Calibri" w:cs="Arial"/>
          <w:color w:val="000000"/>
          <w:szCs w:val="22"/>
          <w:lang w:val="en-NZ" w:eastAsia="en-NZ"/>
        </w:rPr>
        <w:t xml:space="preserve"> age,</w:t>
      </w:r>
      <w:r w:rsidRPr="009F40CB">
        <w:rPr>
          <w:rFonts w:eastAsia="Calibri" w:cs="Arial"/>
          <w:color w:val="000000"/>
          <w:szCs w:val="22"/>
          <w:lang w:val="en-NZ" w:eastAsia="en-NZ"/>
        </w:rPr>
        <w:t xml:space="preserve"> sole parents, people with a health condition or disability). </w:t>
      </w:r>
      <w:r w:rsidR="00AB64FB">
        <w:rPr>
          <w:rFonts w:eastAsia="Calibri" w:cs="Arial"/>
          <w:color w:val="000000"/>
          <w:szCs w:val="22"/>
          <w:lang w:val="en-NZ" w:eastAsia="en-NZ"/>
        </w:rPr>
        <w:t>Officials</w:t>
      </w:r>
      <w:r w:rsidR="004F4F30">
        <w:rPr>
          <w:rFonts w:eastAsia="Calibri" w:cs="Arial"/>
          <w:color w:val="000000"/>
          <w:szCs w:val="22"/>
          <w:lang w:val="en-NZ" w:eastAsia="en-NZ"/>
        </w:rPr>
        <w:t xml:space="preserve"> will also be able to monitor housing outcomes for people who receive a payment. This includes whether they remain in a private rental, move to another private rental, enter emergency, transitional or public housing.</w:t>
      </w:r>
    </w:p>
    <w:p w14:paraId="6499EA31" w14:textId="215990D8" w:rsidR="008A19DE" w:rsidRPr="00AB64FB" w:rsidRDefault="008A19DE" w:rsidP="009F40CB">
      <w:pPr>
        <w:autoSpaceDE w:val="0"/>
        <w:autoSpaceDN w:val="0"/>
        <w:adjustRightInd w:val="0"/>
        <w:spacing w:after="0"/>
        <w:rPr>
          <w:rFonts w:eastAsia="Calibri" w:cs="Arial"/>
          <w:i/>
          <w:iCs/>
          <w:color w:val="000000"/>
          <w:szCs w:val="22"/>
          <w:lang w:val="en-NZ" w:eastAsia="en-NZ"/>
        </w:rPr>
      </w:pPr>
      <w:r w:rsidRPr="00AB64FB">
        <w:rPr>
          <w:rFonts w:eastAsia="Calibri" w:cs="Arial"/>
          <w:i/>
          <w:iCs/>
          <w:color w:val="000000"/>
          <w:szCs w:val="22"/>
          <w:lang w:val="en-NZ" w:eastAsia="en-NZ"/>
        </w:rPr>
        <w:t>Monitoring and evaluation of the pilot</w:t>
      </w:r>
    </w:p>
    <w:p w14:paraId="053C818A" w14:textId="04166193" w:rsidR="008A19DE" w:rsidRPr="008A19DE" w:rsidRDefault="008A19DE" w:rsidP="008A19DE">
      <w:pPr>
        <w:autoSpaceDE w:val="0"/>
        <w:autoSpaceDN w:val="0"/>
        <w:adjustRightInd w:val="0"/>
        <w:spacing w:after="0"/>
        <w:rPr>
          <w:rFonts w:eastAsia="Calibri" w:cs="Arial"/>
          <w:color w:val="000000"/>
          <w:szCs w:val="22"/>
          <w:lang w:val="en-NZ" w:eastAsia="en-NZ"/>
        </w:rPr>
      </w:pPr>
      <w:r w:rsidRPr="008A19DE">
        <w:rPr>
          <w:rFonts w:eastAsia="Calibri" w:cs="Arial"/>
          <w:color w:val="000000"/>
          <w:szCs w:val="22"/>
          <w:lang w:val="en-NZ" w:eastAsia="en-NZ"/>
        </w:rPr>
        <w:t>MSD currently uses a combination of monitoring and evaluation to track the delivery of initiatives designed to assist people (including those in emergency housing) to access and sustain tenancies in the private market.</w:t>
      </w:r>
    </w:p>
    <w:p w14:paraId="6FFFF892" w14:textId="45BC1833" w:rsidR="008A19DE" w:rsidRPr="008A19DE" w:rsidRDefault="008A19DE" w:rsidP="008A19DE">
      <w:pPr>
        <w:autoSpaceDE w:val="0"/>
        <w:autoSpaceDN w:val="0"/>
        <w:adjustRightInd w:val="0"/>
        <w:spacing w:after="0"/>
        <w:rPr>
          <w:rFonts w:eastAsia="Calibri" w:cs="Arial"/>
          <w:color w:val="000000"/>
          <w:szCs w:val="22"/>
          <w:lang w:val="en-NZ" w:eastAsia="en-NZ"/>
        </w:rPr>
      </w:pPr>
      <w:r w:rsidRPr="008A19DE">
        <w:rPr>
          <w:rFonts w:eastAsia="Calibri" w:cs="Arial"/>
          <w:color w:val="000000"/>
          <w:szCs w:val="22"/>
          <w:lang w:val="en-NZ" w:eastAsia="en-NZ"/>
        </w:rPr>
        <w:t xml:space="preserve">This </w:t>
      </w:r>
      <w:r w:rsidR="00FD391E">
        <w:rPr>
          <w:rFonts w:eastAsia="Calibri" w:cs="Arial"/>
          <w:color w:val="000000"/>
          <w:szCs w:val="22"/>
          <w:lang w:val="en-NZ" w:eastAsia="en-NZ"/>
        </w:rPr>
        <w:t>initiative</w:t>
      </w:r>
      <w:r w:rsidRPr="008A19DE">
        <w:rPr>
          <w:rFonts w:eastAsia="Calibri" w:cs="Arial"/>
          <w:color w:val="000000"/>
          <w:szCs w:val="22"/>
          <w:lang w:val="en-NZ" w:eastAsia="en-NZ"/>
        </w:rPr>
        <w:t xml:space="preserve"> seeks funding of $200,000 to expand the existing monitoring and evaluation work to understand the performance of the </w:t>
      </w:r>
      <w:r w:rsidR="00151281">
        <w:rPr>
          <w:rFonts w:eastAsia="Calibri" w:cs="Arial"/>
          <w:color w:val="000000"/>
          <w:szCs w:val="22"/>
          <w:lang w:val="en-NZ" w:eastAsia="en-NZ"/>
        </w:rPr>
        <w:t>proposed</w:t>
      </w:r>
      <w:r w:rsidRPr="008A19DE">
        <w:rPr>
          <w:rFonts w:eastAsia="Calibri" w:cs="Arial"/>
          <w:color w:val="000000"/>
          <w:szCs w:val="22"/>
          <w:lang w:val="en-NZ" w:eastAsia="en-NZ"/>
        </w:rPr>
        <w:t xml:space="preserve"> pilot, and the fit of the pilot within the housing support system.</w:t>
      </w:r>
    </w:p>
    <w:p w14:paraId="53F0CA87" w14:textId="77777777" w:rsidR="008A19DE" w:rsidRPr="008A19DE" w:rsidRDefault="008A19DE" w:rsidP="008A19DE">
      <w:pPr>
        <w:autoSpaceDE w:val="0"/>
        <w:autoSpaceDN w:val="0"/>
        <w:adjustRightInd w:val="0"/>
        <w:spacing w:after="0"/>
        <w:rPr>
          <w:rFonts w:eastAsia="Calibri" w:cs="Arial"/>
          <w:color w:val="000000"/>
          <w:szCs w:val="22"/>
          <w:lang w:val="en-NZ" w:eastAsia="en-NZ"/>
        </w:rPr>
      </w:pPr>
      <w:r w:rsidRPr="008A19DE">
        <w:rPr>
          <w:rFonts w:eastAsia="Calibri" w:cs="Arial"/>
          <w:color w:val="000000"/>
          <w:szCs w:val="22"/>
          <w:lang w:val="en-NZ" w:eastAsia="en-NZ"/>
        </w:rPr>
        <w:t>The additional monitoring and evaluation will include:</w:t>
      </w:r>
    </w:p>
    <w:p w14:paraId="57968F62" w14:textId="0807C6FA" w:rsidR="008A19DE" w:rsidRPr="008A19DE" w:rsidRDefault="00D93AA7" w:rsidP="00084332">
      <w:pPr>
        <w:pStyle w:val="ListParagraph"/>
        <w:numPr>
          <w:ilvl w:val="0"/>
          <w:numId w:val="15"/>
        </w:numPr>
        <w:autoSpaceDE w:val="0"/>
        <w:autoSpaceDN w:val="0"/>
        <w:adjustRightInd w:val="0"/>
        <w:spacing w:after="0"/>
        <w:rPr>
          <w:rFonts w:eastAsia="Calibri" w:cs="Arial"/>
          <w:color w:val="000000"/>
          <w:szCs w:val="22"/>
          <w:lang w:val="en-NZ" w:eastAsia="en-NZ"/>
        </w:rPr>
      </w:pPr>
      <w:r>
        <w:rPr>
          <w:rFonts w:eastAsia="Calibri" w:cs="Arial"/>
          <w:color w:val="000000"/>
          <w:szCs w:val="22"/>
          <w:lang w:val="en-NZ" w:eastAsia="en-NZ"/>
        </w:rPr>
        <w:t>m</w:t>
      </w:r>
      <w:r w:rsidRPr="008A19DE">
        <w:rPr>
          <w:rFonts w:eastAsia="Calibri" w:cs="Arial"/>
          <w:color w:val="000000"/>
          <w:szCs w:val="22"/>
          <w:lang w:val="en-NZ" w:eastAsia="en-NZ"/>
        </w:rPr>
        <w:t xml:space="preserve">onitoring </w:t>
      </w:r>
      <w:r w:rsidR="008A19DE" w:rsidRPr="008A19DE">
        <w:rPr>
          <w:rFonts w:eastAsia="Calibri" w:cs="Arial"/>
          <w:color w:val="000000"/>
          <w:szCs w:val="22"/>
          <w:lang w:val="en-NZ" w:eastAsia="en-NZ"/>
        </w:rPr>
        <w:t xml:space="preserve">uptake of the new non-recoverable payment </w:t>
      </w:r>
    </w:p>
    <w:p w14:paraId="16115315" w14:textId="2D690BDC" w:rsidR="008A19DE" w:rsidRPr="00FD391E" w:rsidRDefault="00D93AA7" w:rsidP="008A19DE">
      <w:pPr>
        <w:pStyle w:val="ListParagraph"/>
        <w:numPr>
          <w:ilvl w:val="0"/>
          <w:numId w:val="15"/>
        </w:numPr>
        <w:autoSpaceDE w:val="0"/>
        <w:autoSpaceDN w:val="0"/>
        <w:adjustRightInd w:val="0"/>
        <w:spacing w:after="0"/>
        <w:rPr>
          <w:rFonts w:eastAsia="Calibri" w:cs="Arial"/>
          <w:color w:val="000000"/>
          <w:szCs w:val="22"/>
          <w:lang w:val="en-NZ" w:eastAsia="en-NZ"/>
        </w:rPr>
      </w:pPr>
      <w:r>
        <w:rPr>
          <w:rFonts w:eastAsia="Calibri" w:cs="Arial"/>
          <w:color w:val="000000"/>
          <w:szCs w:val="22"/>
          <w:lang w:val="en-NZ" w:eastAsia="en-NZ"/>
        </w:rPr>
        <w:t>q</w:t>
      </w:r>
      <w:r w:rsidRPr="008A19DE">
        <w:rPr>
          <w:rFonts w:eastAsia="Calibri" w:cs="Arial"/>
          <w:color w:val="000000"/>
          <w:szCs w:val="22"/>
          <w:lang w:val="en-NZ" w:eastAsia="en-NZ"/>
        </w:rPr>
        <w:t xml:space="preserve">ualitative </w:t>
      </w:r>
      <w:r w:rsidR="008A19DE" w:rsidRPr="008A19DE">
        <w:rPr>
          <w:rFonts w:eastAsia="Calibri" w:cs="Arial"/>
          <w:color w:val="000000"/>
          <w:szCs w:val="22"/>
          <w:lang w:val="en-NZ" w:eastAsia="en-NZ"/>
        </w:rPr>
        <w:t xml:space="preserve">case studies to understand the difference the new non-recoverable payment has made for </w:t>
      </w:r>
      <w:r w:rsidR="008508EB">
        <w:rPr>
          <w:rFonts w:eastAsia="Calibri" w:cs="Arial"/>
          <w:color w:val="000000"/>
          <w:szCs w:val="22"/>
          <w:lang w:val="en-NZ" w:eastAsia="en-NZ"/>
        </w:rPr>
        <w:t>MSD staff</w:t>
      </w:r>
      <w:r w:rsidR="008A19DE" w:rsidRPr="008A19DE">
        <w:rPr>
          <w:rFonts w:eastAsia="Calibri" w:cs="Arial"/>
          <w:color w:val="000000"/>
          <w:szCs w:val="22"/>
          <w:lang w:val="en-NZ" w:eastAsia="en-NZ"/>
        </w:rPr>
        <w:t xml:space="preserve"> administering the payment and clients who have received it</w:t>
      </w:r>
      <w:r w:rsidR="00E939F4">
        <w:rPr>
          <w:rFonts w:eastAsia="Calibri" w:cs="Arial"/>
          <w:color w:val="000000"/>
          <w:szCs w:val="22"/>
          <w:lang w:val="en-NZ" w:eastAsia="en-NZ"/>
        </w:rPr>
        <w:t>.</w:t>
      </w:r>
    </w:p>
    <w:p w14:paraId="287DE82B" w14:textId="18C08FBE" w:rsidR="008A19DE" w:rsidRPr="008A19DE" w:rsidRDefault="008A19DE" w:rsidP="008A19DE">
      <w:pPr>
        <w:autoSpaceDE w:val="0"/>
        <w:autoSpaceDN w:val="0"/>
        <w:adjustRightInd w:val="0"/>
        <w:spacing w:after="0"/>
        <w:rPr>
          <w:rFonts w:eastAsia="Calibri" w:cs="Arial"/>
          <w:color w:val="000000"/>
          <w:szCs w:val="22"/>
          <w:lang w:val="en-NZ" w:eastAsia="en-NZ"/>
        </w:rPr>
      </w:pPr>
      <w:r w:rsidRPr="008A19DE">
        <w:rPr>
          <w:rFonts w:eastAsia="Calibri" w:cs="Arial"/>
          <w:color w:val="000000"/>
          <w:szCs w:val="22"/>
          <w:lang w:val="en-NZ" w:eastAsia="en-NZ"/>
        </w:rPr>
        <w:t xml:space="preserve">Approximately one third of the funding will be used for FTE (0.5 for 6 months) and two thirds will be project funding. </w:t>
      </w:r>
    </w:p>
    <w:p w14:paraId="70FBB7DD" w14:textId="77777777" w:rsidR="008A19DE" w:rsidRPr="009F40CB" w:rsidRDefault="008A19DE" w:rsidP="009F40CB">
      <w:pPr>
        <w:autoSpaceDE w:val="0"/>
        <w:autoSpaceDN w:val="0"/>
        <w:adjustRightInd w:val="0"/>
        <w:spacing w:after="0"/>
        <w:rPr>
          <w:rFonts w:eastAsia="Calibri" w:cs="Arial"/>
          <w:color w:val="000000"/>
          <w:szCs w:val="22"/>
          <w:lang w:val="en-NZ" w:eastAsia="en-NZ"/>
        </w:rPr>
      </w:pPr>
    </w:p>
    <w:p w14:paraId="78F6EF21" w14:textId="77777777" w:rsidR="009F40CB" w:rsidRPr="009F40CB" w:rsidRDefault="009F40CB" w:rsidP="009F40CB">
      <w:pPr>
        <w:rPr>
          <w:lang w:val="en-NZ"/>
        </w:rPr>
      </w:pPr>
    </w:p>
    <w:p w14:paraId="6D6C4359" w14:textId="73160D07" w:rsidR="00CE5EB6" w:rsidRDefault="00CE5EB6" w:rsidP="00CE5EB6">
      <w:pPr>
        <w:rPr>
          <w:lang w:val="en-NZ"/>
        </w:rPr>
      </w:pPr>
    </w:p>
    <w:p w14:paraId="0C7E3010" w14:textId="4610B73C" w:rsidR="00CE5EB6" w:rsidRDefault="00CE5EB6" w:rsidP="00CE5EB6">
      <w:pPr>
        <w:rPr>
          <w:lang w:val="en-NZ"/>
        </w:rPr>
      </w:pPr>
    </w:p>
    <w:p w14:paraId="758B9087" w14:textId="4A362A58" w:rsidR="00CE5EB6" w:rsidRDefault="00CE5EB6" w:rsidP="00CE5EB6">
      <w:pPr>
        <w:rPr>
          <w:lang w:val="en-NZ"/>
        </w:rPr>
      </w:pPr>
    </w:p>
    <w:p w14:paraId="25B28589" w14:textId="2E5731A2" w:rsidR="00CE5EB6" w:rsidRDefault="00CE5EB6" w:rsidP="00CE5EB6">
      <w:pPr>
        <w:rPr>
          <w:lang w:val="en-NZ"/>
        </w:rPr>
      </w:pPr>
    </w:p>
    <w:p w14:paraId="05E43773" w14:textId="1F2FED54" w:rsidR="00CE5EB6" w:rsidRDefault="00CE5EB6" w:rsidP="00CE5EB6">
      <w:pPr>
        <w:rPr>
          <w:lang w:val="en-NZ"/>
        </w:rPr>
      </w:pPr>
    </w:p>
    <w:p w14:paraId="26050FE4" w14:textId="55FCC989" w:rsidR="00CE5EB6" w:rsidRPr="00CE5EB6" w:rsidRDefault="00CE5EB6" w:rsidP="00841A4A">
      <w:pPr>
        <w:rPr>
          <w:lang w:val="en-NZ"/>
        </w:rPr>
      </w:pPr>
    </w:p>
    <w:sectPr w:rsidR="00CE5EB6" w:rsidRPr="00CE5EB6" w:rsidSect="00B5612C">
      <w:pgSz w:w="11906" w:h="16838" w:code="9"/>
      <w:pgMar w:top="1134" w:right="1418" w:bottom="992"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EEBC5" w14:textId="77777777" w:rsidR="00A307D7" w:rsidRDefault="00A307D7">
      <w:pPr>
        <w:spacing w:after="0"/>
      </w:pPr>
      <w:r>
        <w:separator/>
      </w:r>
    </w:p>
    <w:p w14:paraId="5687CFB6" w14:textId="77777777" w:rsidR="00A307D7" w:rsidRDefault="00A307D7"/>
  </w:endnote>
  <w:endnote w:type="continuationSeparator" w:id="0">
    <w:p w14:paraId="171D6147" w14:textId="77777777" w:rsidR="00A307D7" w:rsidRDefault="00A307D7">
      <w:pPr>
        <w:spacing w:after="0"/>
      </w:pPr>
      <w:r>
        <w:continuationSeparator/>
      </w:r>
    </w:p>
    <w:p w14:paraId="5D299278" w14:textId="77777777" w:rsidR="00A307D7" w:rsidRDefault="00A307D7"/>
  </w:endnote>
  <w:endnote w:type="continuationNotice" w:id="1">
    <w:p w14:paraId="4FD1FAAC" w14:textId="77777777" w:rsidR="00A307D7" w:rsidRDefault="00A307D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illSans">
    <w:altName w:val="Calibri"/>
    <w:panose1 w:val="00000000000000000000"/>
    <w:charset w:val="00"/>
    <w:family w:val="modern"/>
    <w:notTrueType/>
    <w:pitch w:val="variable"/>
    <w:sig w:usb0="00000003" w:usb1="00000000" w:usb2="00000000" w:usb3="00000000" w:csb0="00000001" w:csb1="00000000"/>
  </w:font>
  <w:font w:name="Arial Mäor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69A0" w14:textId="77777777" w:rsidR="00180E86" w:rsidRDefault="00180E86" w:rsidP="006448CF">
    <w:pPr>
      <w:pStyle w:val="Footer"/>
    </w:pPr>
  </w:p>
  <w:p w14:paraId="6E40FA9B" w14:textId="77777777" w:rsidR="00180E86" w:rsidRDefault="00180E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86C0" w14:textId="37D6EF45" w:rsidR="00180E86" w:rsidRPr="00743278" w:rsidRDefault="00180E86"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D2CA" w14:textId="77777777" w:rsidR="00EC001E" w:rsidRDefault="00EC00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9F65B" w14:textId="37B4D233" w:rsidR="00180E86" w:rsidRPr="00743278" w:rsidRDefault="00180E86" w:rsidP="006448CF">
    <w:pPr>
      <w:pStyle w:val="Footer"/>
    </w:pPr>
    <w:r>
      <w:rPr>
        <w:sz w:val="14"/>
      </w:rPr>
      <w:tab/>
    </w:r>
    <w:r>
      <w:t xml:space="preserve">Regulatory Impact Statement  </w:t>
    </w:r>
    <w:r w:rsidRPr="009435C4">
      <w:t>|</w:t>
    </w:r>
    <w:r>
      <w:t xml:space="preserve"> </w:t>
    </w:r>
    <w:r w:rsidRPr="009435C4">
      <w:t xml:space="preserve"> </w:t>
    </w:r>
    <w:r w:rsidRPr="009435C4">
      <w:fldChar w:fldCharType="begin"/>
    </w:r>
    <w:r w:rsidRPr="009435C4">
      <w:instrText xml:space="preserve"> PAGE </w:instrText>
    </w:r>
    <w:r w:rsidRPr="009435C4">
      <w:fldChar w:fldCharType="separate"/>
    </w:r>
    <w:r>
      <w:t>11</w:t>
    </w:r>
    <w:r w:rsidRPr="009435C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7C2DA" w14:textId="77777777" w:rsidR="00A307D7" w:rsidRDefault="00A307D7">
      <w:pPr>
        <w:spacing w:after="0"/>
      </w:pPr>
      <w:r>
        <w:separator/>
      </w:r>
    </w:p>
    <w:p w14:paraId="56EB2AFB" w14:textId="77777777" w:rsidR="00A307D7" w:rsidRDefault="00A307D7"/>
  </w:footnote>
  <w:footnote w:type="continuationSeparator" w:id="0">
    <w:p w14:paraId="2BAA78C0" w14:textId="77777777" w:rsidR="00A307D7" w:rsidRDefault="00A307D7">
      <w:pPr>
        <w:spacing w:after="0"/>
      </w:pPr>
      <w:r>
        <w:continuationSeparator/>
      </w:r>
    </w:p>
    <w:p w14:paraId="45E732A5" w14:textId="77777777" w:rsidR="00A307D7" w:rsidRDefault="00A307D7"/>
  </w:footnote>
  <w:footnote w:type="continuationNotice" w:id="1">
    <w:p w14:paraId="6AEB60A5" w14:textId="77777777" w:rsidR="00A307D7" w:rsidRDefault="00A307D7">
      <w:pPr>
        <w:spacing w:after="0"/>
      </w:pPr>
    </w:p>
  </w:footnote>
  <w:footnote w:id="2">
    <w:p w14:paraId="3ADE28AE" w14:textId="7139E7C0" w:rsidR="00180E86" w:rsidRPr="00A90883" w:rsidRDefault="00180E86" w:rsidP="00997258">
      <w:pPr>
        <w:pStyle w:val="FootnoteText"/>
      </w:pPr>
      <w:r>
        <w:rPr>
          <w:rStyle w:val="FootnoteReference"/>
        </w:rPr>
        <w:footnoteRef/>
      </w:r>
      <w:r>
        <w:t xml:space="preserve"> </w:t>
      </w:r>
      <w:r w:rsidRPr="00054741">
        <w:rPr>
          <w:i/>
          <w:iCs/>
        </w:rPr>
        <w:t>Housing affordability for renters and owners: International comparisons</w:t>
      </w:r>
      <w:r>
        <w:rPr>
          <w:i/>
          <w:iCs/>
        </w:rPr>
        <w:t xml:space="preserve">, </w:t>
      </w:r>
      <w:r>
        <w:t>Bryan Perry, November 2021.</w:t>
      </w:r>
    </w:p>
  </w:footnote>
  <w:footnote w:id="3">
    <w:p w14:paraId="115695D8" w14:textId="367DDA76" w:rsidR="00180E86" w:rsidRPr="005E1E1C" w:rsidRDefault="00180E86">
      <w:pPr>
        <w:pStyle w:val="FootnoteText"/>
        <w:rPr>
          <w:lang w:val="en-NZ"/>
        </w:rPr>
      </w:pPr>
      <w:r>
        <w:rPr>
          <w:rStyle w:val="FootnoteReference"/>
        </w:rPr>
        <w:footnoteRef/>
      </w:r>
      <w:r>
        <w:t xml:space="preserve"> Rent Arrears Assistance was introduced later in 2019. </w:t>
      </w:r>
    </w:p>
  </w:footnote>
  <w:footnote w:id="4">
    <w:p w14:paraId="1D0A0FE2" w14:textId="473ACDC2" w:rsidR="00180E86" w:rsidRPr="00922C28" w:rsidRDefault="00180E86">
      <w:pPr>
        <w:pStyle w:val="FootnoteText"/>
        <w:rPr>
          <w:lang w:val="en-NZ"/>
        </w:rPr>
      </w:pPr>
      <w:r>
        <w:rPr>
          <w:rStyle w:val="FootnoteReference"/>
        </w:rPr>
        <w:footnoteRef/>
      </w:r>
      <w:r>
        <w:t xml:space="preserve"> </w:t>
      </w:r>
      <w:r>
        <w:rPr>
          <w:lang w:val="en-NZ"/>
        </w:rPr>
        <w:t>The income/asset limits for HSPs are based on Accommodation Supplement Area 1 income/asset limits.</w:t>
      </w:r>
    </w:p>
  </w:footnote>
  <w:footnote w:id="5">
    <w:p w14:paraId="022FEF60" w14:textId="418CF08E" w:rsidR="00180E86" w:rsidRPr="00DB2427" w:rsidRDefault="00180E86">
      <w:pPr>
        <w:pStyle w:val="FootnoteText"/>
        <w:rPr>
          <w:lang w:val="en-NZ"/>
        </w:rPr>
      </w:pPr>
      <w:r>
        <w:rPr>
          <w:rStyle w:val="FootnoteReference"/>
        </w:rPr>
        <w:footnoteRef/>
      </w:r>
      <w:r>
        <w:t xml:space="preserve"> </w:t>
      </w:r>
      <w:r>
        <w:rPr>
          <w:lang w:val="en-NZ"/>
        </w:rPr>
        <w:t>Recent benefit increases have outstripped increases to rents.</w:t>
      </w:r>
    </w:p>
  </w:footnote>
  <w:footnote w:id="6">
    <w:p w14:paraId="67286F9D" w14:textId="03E8F91D" w:rsidR="00180E86" w:rsidRPr="000C2C70" w:rsidRDefault="00180E86">
      <w:pPr>
        <w:pStyle w:val="FootnoteText"/>
        <w:rPr>
          <w:lang w:val="en-NZ"/>
        </w:rPr>
      </w:pPr>
      <w:r>
        <w:rPr>
          <w:rStyle w:val="FootnoteReference"/>
        </w:rPr>
        <w:footnoteRef/>
      </w:r>
      <w:r>
        <w:t xml:space="preserve"> </w:t>
      </w:r>
      <w:r w:rsidRPr="00825D04">
        <w:t>T</w:t>
      </w:r>
      <w:r w:rsidRPr="00825D04">
        <w:rPr>
          <w:lang w:val="en-NZ"/>
        </w:rPr>
        <w:t xml:space="preserve">he maximum entitlement is six weeks of the applicable benefit for an Advance and $600 for housing-related payments for a RAP. </w:t>
      </w:r>
    </w:p>
  </w:footnote>
  <w:footnote w:id="7">
    <w:p w14:paraId="4759523A" w14:textId="7A1CACBF" w:rsidR="00180E86" w:rsidRPr="00193D80" w:rsidRDefault="00180E86">
      <w:pPr>
        <w:pStyle w:val="FootnoteText"/>
        <w:rPr>
          <w:lang w:val="en-NZ"/>
        </w:rPr>
      </w:pPr>
      <w:r>
        <w:rPr>
          <w:rStyle w:val="FootnoteReference"/>
        </w:rPr>
        <w:footnoteRef/>
      </w:r>
      <w:r>
        <w:t xml:space="preserve"> </w:t>
      </w:r>
      <w:r>
        <w:rPr>
          <w:lang w:val="en-NZ"/>
        </w:rPr>
        <w:t>Based on MSD administrative data - clients receiving Accommodation Supplement and renting.</w:t>
      </w:r>
    </w:p>
  </w:footnote>
  <w:footnote w:id="8">
    <w:p w14:paraId="48A25B08" w14:textId="2BAEEAA2" w:rsidR="00180E86" w:rsidRPr="00ED4332" w:rsidRDefault="00180E86">
      <w:pPr>
        <w:pStyle w:val="FootnoteText"/>
        <w:rPr>
          <w:lang w:val="en-NZ"/>
        </w:rPr>
      </w:pPr>
      <w:r>
        <w:rPr>
          <w:rStyle w:val="FootnoteReference"/>
        </w:rPr>
        <w:footnoteRef/>
      </w:r>
      <w:r>
        <w:t xml:space="preserve"> A client can only receive a</w:t>
      </w:r>
      <w:r w:rsidRPr="00ED4332">
        <w:t xml:space="preserve"> </w:t>
      </w:r>
      <w:r w:rsidRPr="00825D04">
        <w:t xml:space="preserve">Transition to Alternative Housing </w:t>
      </w:r>
      <w:r w:rsidRPr="00ED4332">
        <w:t>grant</w:t>
      </w:r>
      <w:r>
        <w:t xml:space="preserve"> once. </w:t>
      </w:r>
    </w:p>
  </w:footnote>
  <w:footnote w:id="9">
    <w:p w14:paraId="6829467D" w14:textId="77777777" w:rsidR="00180E86" w:rsidRPr="0069248A" w:rsidRDefault="00180E86" w:rsidP="00B76AC4">
      <w:pPr>
        <w:pStyle w:val="FootnoteText"/>
        <w:rPr>
          <w:lang w:val="en-NZ"/>
        </w:rPr>
      </w:pPr>
      <w:r>
        <w:rPr>
          <w:rStyle w:val="FootnoteReference"/>
        </w:rPr>
        <w:footnoteRef/>
      </w:r>
      <w:r>
        <w:t xml:space="preserve"> The maximum entitlement for Advances clients is six weeks of main benefit, which is expected to cover all essential needs and all one-off housing-related costs. </w:t>
      </w:r>
      <w:r>
        <w:rPr>
          <w:lang w:val="en-NZ"/>
        </w:rPr>
        <w:t>HSPs clients on the other hand are entitled to receive a maximum payment per housing-related cost (</w:t>
      </w:r>
      <w:proofErr w:type="gramStart"/>
      <w:r>
        <w:rPr>
          <w:lang w:val="en-NZ"/>
        </w:rPr>
        <w:t>eg</w:t>
      </w:r>
      <w:proofErr w:type="gramEnd"/>
      <w:r>
        <w:rPr>
          <w:lang w:val="en-NZ"/>
        </w:rPr>
        <w:t xml:space="preserve"> they can receive $2000 for bond </w:t>
      </w:r>
      <w:r>
        <w:rPr>
          <w:i/>
          <w:iCs/>
          <w:lang w:val="en-NZ"/>
        </w:rPr>
        <w:t>and</w:t>
      </w:r>
      <w:r>
        <w:rPr>
          <w:lang w:val="en-NZ"/>
        </w:rPr>
        <w:t xml:space="preserve"> rent arrears, and a further $1000 for rent in advance - $5000 in total). This makes the </w:t>
      </w:r>
      <w:r w:rsidRPr="009C7DAB">
        <w:rPr>
          <w:lang w:val="en-NZ"/>
        </w:rPr>
        <w:t>total</w:t>
      </w:r>
      <w:r>
        <w:rPr>
          <w:lang w:val="en-NZ"/>
        </w:rPr>
        <w:t xml:space="preserve"> amount they can receive more generous than the Advances maximum entitlement. Note however that in some cases where a client only requires a single payment (</w:t>
      </w:r>
      <w:proofErr w:type="gramStart"/>
      <w:r>
        <w:rPr>
          <w:lang w:val="en-NZ"/>
        </w:rPr>
        <w:t>eg</w:t>
      </w:r>
      <w:proofErr w:type="gramEnd"/>
      <w:r>
        <w:rPr>
          <w:lang w:val="en-NZ"/>
        </w:rPr>
        <w:t xml:space="preserve"> for rent in advance or bond) the maximum entitlement for Advances is higher than HSPs.</w:t>
      </w:r>
    </w:p>
  </w:footnote>
  <w:footnote w:id="10">
    <w:p w14:paraId="6E03264E" w14:textId="77777777" w:rsidR="00180E86" w:rsidRPr="006460C5" w:rsidRDefault="00180E86" w:rsidP="006460C5">
      <w:pPr>
        <w:pStyle w:val="FootnoteText"/>
        <w:rPr>
          <w:lang w:val="en-NZ"/>
        </w:rPr>
      </w:pPr>
      <w:r>
        <w:rPr>
          <w:rStyle w:val="FootnoteReference"/>
        </w:rPr>
        <w:footnoteRef/>
      </w:r>
      <w:r>
        <w:t xml:space="preserve"> </w:t>
      </w:r>
      <w:r>
        <w:rPr>
          <w:lang w:val="en-NZ"/>
        </w:rPr>
        <w:t xml:space="preserve">These </w:t>
      </w:r>
      <w:r w:rsidRPr="006460C5">
        <w:rPr>
          <w:lang w:val="en-NZ"/>
        </w:rPr>
        <w:t>temporary settings ended on 30 June 2021</w:t>
      </w:r>
      <w:r>
        <w:rPr>
          <w:lang w:val="en-NZ"/>
        </w:rPr>
        <w:t>.</w:t>
      </w:r>
    </w:p>
  </w:footnote>
  <w:footnote w:id="11">
    <w:p w14:paraId="5E19FA2C" w14:textId="04E9C03C" w:rsidR="00180E86" w:rsidRPr="005E1E1C" w:rsidRDefault="00180E86">
      <w:pPr>
        <w:pStyle w:val="FootnoteText"/>
        <w:rPr>
          <w:lang w:val="en-NZ"/>
        </w:rPr>
      </w:pPr>
      <w:r>
        <w:rPr>
          <w:rStyle w:val="FootnoteReference"/>
        </w:rPr>
        <w:footnoteRef/>
      </w:r>
      <w:r>
        <w:t xml:space="preserve"> </w:t>
      </w:r>
      <w:r w:rsidRPr="002E2F27">
        <w:t xml:space="preserve">MSD carried out an analysis of housing-related </w:t>
      </w:r>
      <w:r>
        <w:t xml:space="preserve">payments made under the ‘other’ category </w:t>
      </w:r>
      <w:r w:rsidRPr="002E2F27">
        <w:t xml:space="preserve">paid to clients with the goal of supporting them to sustain their private accommodation. Case note analysis showed that clients approached MSD to </w:t>
      </w:r>
      <w:proofErr w:type="gramStart"/>
      <w:r w:rsidRPr="002E2F27">
        <w:t>provide assistance for</w:t>
      </w:r>
      <w:proofErr w:type="gramEnd"/>
      <w:r w:rsidRPr="002E2F27">
        <w:t xml:space="preserve"> costs associated with making sure the property is in a reasonable standard before a property inspection by the landlord.</w:t>
      </w:r>
    </w:p>
  </w:footnote>
  <w:footnote w:id="12">
    <w:p w14:paraId="7130C43D" w14:textId="0B31F744" w:rsidR="00180E86" w:rsidRPr="005E1E1C" w:rsidRDefault="00180E86">
      <w:pPr>
        <w:pStyle w:val="FootnoteText"/>
        <w:rPr>
          <w:lang w:val="en-NZ"/>
        </w:rPr>
      </w:pPr>
      <w:r>
        <w:rPr>
          <w:rStyle w:val="FootnoteReference"/>
        </w:rPr>
        <w:footnoteRef/>
      </w:r>
      <w:r>
        <w:t xml:space="preserve"> </w:t>
      </w:r>
      <w:r w:rsidRPr="002E2F27">
        <w:t xml:space="preserve">From 11 February 2021, landlords </w:t>
      </w:r>
      <w:r>
        <w:t>cannot</w:t>
      </w:r>
      <w:r w:rsidRPr="002E2F27">
        <w:t xml:space="preserve"> decline a tenant’s request to make changes to their rental property – </w:t>
      </w:r>
      <w:proofErr w:type="gramStart"/>
      <w:r w:rsidRPr="002E2F27">
        <w:t>as long as</w:t>
      </w:r>
      <w:proofErr w:type="gramEnd"/>
      <w:r w:rsidRPr="002E2F27">
        <w:t xml:space="preserve"> the change is minor.</w:t>
      </w:r>
    </w:p>
  </w:footnote>
  <w:footnote w:id="13">
    <w:p w14:paraId="5C79B25C" w14:textId="71206006" w:rsidR="00180E86" w:rsidRPr="000C715A" w:rsidRDefault="00180E86" w:rsidP="006A666B">
      <w:pPr>
        <w:pStyle w:val="FootnoteText"/>
        <w:rPr>
          <w:lang w:val="en-NZ"/>
        </w:rPr>
      </w:pPr>
      <w:r>
        <w:rPr>
          <w:rStyle w:val="FootnoteReference"/>
        </w:rPr>
        <w:footnoteRef/>
      </w:r>
      <w:r>
        <w:t xml:space="preserve"> </w:t>
      </w:r>
      <w:r>
        <w:rPr>
          <w:lang w:val="en-NZ"/>
        </w:rPr>
        <w:t xml:space="preserve">Minster of Finance, Minister of Housing, Minister for Social Development and Employment, and Associate Minister of Housing (Public Housing) </w:t>
      </w:r>
    </w:p>
  </w:footnote>
  <w:footnote w:id="14">
    <w:p w14:paraId="5DF8BA6B" w14:textId="74595F36" w:rsidR="00180E86" w:rsidRPr="00B11BE1" w:rsidRDefault="00180E86">
      <w:pPr>
        <w:pStyle w:val="FootnoteText"/>
        <w:rPr>
          <w:lang w:val="en-NZ"/>
        </w:rPr>
      </w:pPr>
      <w:r>
        <w:rPr>
          <w:rStyle w:val="FootnoteReference"/>
        </w:rPr>
        <w:footnoteRef/>
      </w:r>
      <w:r>
        <w:t xml:space="preserve"> T</w:t>
      </w:r>
      <w:r w:rsidRPr="00452B4D">
        <w:t>he Government has agreed to work addressing problem debt to government for people in hardship [SWC-21-MIN-0171 refers]. An aim of that work programme includes preventing debt from occurring so that it does not create future problems for those in hardship.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1076" w14:textId="31B427BB" w:rsidR="00180E86" w:rsidRDefault="00180E86">
    <w:pPr>
      <w:pStyle w:val="Header"/>
    </w:pPr>
  </w:p>
  <w:p w14:paraId="5B68D6FF" w14:textId="77777777" w:rsidR="00180E86" w:rsidRDefault="00180E8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7215B" w14:textId="6764FB09" w:rsidR="00180E86" w:rsidRPr="00EB1B21" w:rsidRDefault="00180E86" w:rsidP="00150D58">
    <w:pPr>
      <w:tabs>
        <w:tab w:val="center" w:pos="4253"/>
      </w:tabs>
      <w:spacing w:after="0"/>
      <w:rPr>
        <w:b/>
      </w:rPr>
    </w:pPr>
    <w:r>
      <w:tab/>
    </w:r>
  </w:p>
  <w:p w14:paraId="60EA4F3F" w14:textId="77777777" w:rsidR="00180E86" w:rsidRDefault="00180E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67435" w14:textId="77777777" w:rsidR="00EC001E" w:rsidRDefault="00EC00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2A1"/>
    <w:multiLevelType w:val="hybridMultilevel"/>
    <w:tmpl w:val="E5707B12"/>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6CB58C8"/>
    <w:multiLevelType w:val="hybridMultilevel"/>
    <w:tmpl w:val="D410EF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AAB0696"/>
    <w:multiLevelType w:val="hybridMultilevel"/>
    <w:tmpl w:val="5F64D6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D3840A1"/>
    <w:multiLevelType w:val="hybridMultilevel"/>
    <w:tmpl w:val="BBBEEDB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E976598"/>
    <w:multiLevelType w:val="hybridMultilevel"/>
    <w:tmpl w:val="9620E8A2"/>
    <w:lvl w:ilvl="0" w:tplc="14090001">
      <w:start w:val="1"/>
      <w:numFmt w:val="bullet"/>
      <w:lvlText w:val=""/>
      <w:lvlJc w:val="left"/>
      <w:pPr>
        <w:ind w:left="1080" w:hanging="360"/>
      </w:pPr>
      <w:rPr>
        <w:rFonts w:ascii="Symbol" w:hAnsi="Symbol"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0F394231"/>
    <w:multiLevelType w:val="hybridMultilevel"/>
    <w:tmpl w:val="708626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F51383E"/>
    <w:multiLevelType w:val="hybridMultilevel"/>
    <w:tmpl w:val="D422AD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2184EDB"/>
    <w:multiLevelType w:val="hybridMultilevel"/>
    <w:tmpl w:val="DFBA7E30"/>
    <w:lvl w:ilvl="0" w:tplc="1409000F">
      <w:start w:val="1"/>
      <w:numFmt w:val="decimal"/>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8" w15:restartNumberingAfterBreak="0">
    <w:nsid w:val="14442005"/>
    <w:multiLevelType w:val="hybridMultilevel"/>
    <w:tmpl w:val="A5F2E464"/>
    <w:lvl w:ilvl="0" w:tplc="135045CA">
      <w:numFmt w:val="bullet"/>
      <w:lvlText w:val="-"/>
      <w:lvlJc w:val="left"/>
      <w:pPr>
        <w:ind w:left="720" w:hanging="360"/>
      </w:pPr>
      <w:rPr>
        <w:rFonts w:ascii="Verdana" w:eastAsiaTheme="minorHAnsi" w:hAnsi="Verdana"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7430D08"/>
    <w:multiLevelType w:val="hybridMultilevel"/>
    <w:tmpl w:val="2B9202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1E1C31"/>
    <w:multiLevelType w:val="hybridMultilevel"/>
    <w:tmpl w:val="F364FF7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263C07FE"/>
    <w:multiLevelType w:val="hybridMultilevel"/>
    <w:tmpl w:val="823CD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9573012"/>
    <w:multiLevelType w:val="hybridMultilevel"/>
    <w:tmpl w:val="B440A5A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B70289D"/>
    <w:multiLevelType w:val="hybridMultilevel"/>
    <w:tmpl w:val="881AC2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D4F6753"/>
    <w:multiLevelType w:val="hybridMultilevel"/>
    <w:tmpl w:val="51D82230"/>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06969D6"/>
    <w:multiLevelType w:val="hybridMultilevel"/>
    <w:tmpl w:val="7C8805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539082D"/>
    <w:multiLevelType w:val="hybridMultilevel"/>
    <w:tmpl w:val="B30C4CCA"/>
    <w:lvl w:ilvl="0" w:tplc="6C0C79D2">
      <w:start w:val="1"/>
      <w:numFmt w:val="bullet"/>
      <w:pStyle w:val="Table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15:restartNumberingAfterBreak="0">
    <w:nsid w:val="37475478"/>
    <w:multiLevelType w:val="hybridMultilevel"/>
    <w:tmpl w:val="7DF809E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7685729"/>
    <w:multiLevelType w:val="hybridMultilevel"/>
    <w:tmpl w:val="D48448E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38BC3CB7"/>
    <w:multiLevelType w:val="hybridMultilevel"/>
    <w:tmpl w:val="0B06218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38DE5A8D"/>
    <w:multiLevelType w:val="hybridMultilevel"/>
    <w:tmpl w:val="1BE440D0"/>
    <w:lvl w:ilvl="0" w:tplc="E2C8BEB8">
      <w:start w:val="1"/>
      <w:numFmt w:val="bullet"/>
      <w:pStyle w:val="Bullet-lis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F7D5740"/>
    <w:multiLevelType w:val="hybridMultilevel"/>
    <w:tmpl w:val="5DB07EE8"/>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2" w15:restartNumberingAfterBreak="0">
    <w:nsid w:val="42A57D7E"/>
    <w:multiLevelType w:val="hybridMultilevel"/>
    <w:tmpl w:val="34B426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4E84506"/>
    <w:multiLevelType w:val="hybridMultilevel"/>
    <w:tmpl w:val="4F562D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6F7459A"/>
    <w:multiLevelType w:val="hybridMultilevel"/>
    <w:tmpl w:val="C2861E06"/>
    <w:lvl w:ilvl="0" w:tplc="14090001">
      <w:start w:val="1"/>
      <w:numFmt w:val="bullet"/>
      <w:lvlText w:val=""/>
      <w:lvlJc w:val="left"/>
      <w:pPr>
        <w:ind w:left="1080" w:hanging="360"/>
      </w:pPr>
      <w:rPr>
        <w:rFonts w:ascii="Symbol" w:hAnsi="Symbol"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5" w15:restartNumberingAfterBreak="0">
    <w:nsid w:val="4AFE412B"/>
    <w:multiLevelType w:val="hybridMultilevel"/>
    <w:tmpl w:val="ECFE75BE"/>
    <w:lvl w:ilvl="0" w:tplc="4AF85A6A">
      <w:numFmt w:val="bullet"/>
      <w:lvlText w:val="-"/>
      <w:lvlJc w:val="left"/>
      <w:pPr>
        <w:ind w:left="720" w:hanging="360"/>
      </w:pPr>
      <w:rPr>
        <w:rFonts w:ascii="Verdana" w:eastAsia="Times New Roman" w:hAnsi="Verdana"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4B314C73"/>
    <w:multiLevelType w:val="hybridMultilevel"/>
    <w:tmpl w:val="432E9B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7" w15:restartNumberingAfterBreak="0">
    <w:nsid w:val="4BC92E6B"/>
    <w:multiLevelType w:val="hybridMultilevel"/>
    <w:tmpl w:val="D94486D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E6F49E5"/>
    <w:multiLevelType w:val="hybridMultilevel"/>
    <w:tmpl w:val="3796BD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FB92C3F"/>
    <w:multiLevelType w:val="hybridMultilevel"/>
    <w:tmpl w:val="5C244758"/>
    <w:lvl w:ilvl="0" w:tplc="1409000F">
      <w:start w:val="1"/>
      <w:numFmt w:val="decimal"/>
      <w:lvlText w:val="%1."/>
      <w:lvlJc w:val="left"/>
      <w:pPr>
        <w:ind w:left="720" w:hanging="360"/>
      </w:pPr>
      <w:rPr>
        <w:rFonts w:hint="default"/>
      </w:rPr>
    </w:lvl>
    <w:lvl w:ilvl="1" w:tplc="1409001B">
      <w:start w:val="1"/>
      <w:numFmt w:val="lowerRoman"/>
      <w:lvlText w:val="%2."/>
      <w:lvlJc w:val="righ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13B7C8F"/>
    <w:multiLevelType w:val="hybridMultilevel"/>
    <w:tmpl w:val="AFDC3F1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31" w15:restartNumberingAfterBreak="0">
    <w:nsid w:val="548410C0"/>
    <w:multiLevelType w:val="multilevel"/>
    <w:tmpl w:val="80D62336"/>
    <w:lvl w:ilvl="0">
      <w:start w:val="1"/>
      <w:numFmt w:val="decimal"/>
      <w:pStyle w:val="BodyText-Numbered"/>
      <w:lvlText w:val="%1."/>
      <w:lvlJc w:val="left"/>
      <w:pPr>
        <w:ind w:left="567" w:hanging="567"/>
      </w:pPr>
      <w:rPr>
        <w:rFonts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2" w15:restartNumberingAfterBreak="0">
    <w:nsid w:val="55282FF0"/>
    <w:multiLevelType w:val="hybridMultilevel"/>
    <w:tmpl w:val="8E98D3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561A693C"/>
    <w:multiLevelType w:val="hybridMultilevel"/>
    <w:tmpl w:val="C8423C5E"/>
    <w:lvl w:ilvl="0" w:tplc="41F4BD7E">
      <w:start w:val="1"/>
      <w:numFmt w:val="bullet"/>
      <w:pStyle w:val="Boxbullet"/>
      <w:lvlText w:val="•"/>
      <w:lvlJc w:val="left"/>
      <w:pPr>
        <w:tabs>
          <w:tab w:val="num" w:pos="644"/>
        </w:tabs>
        <w:ind w:left="567" w:hanging="283"/>
      </w:pPr>
      <w:rPr>
        <w:rFonts w:hAnsi="Arial" w:hint="default"/>
        <w:b/>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284EB7"/>
    <w:multiLevelType w:val="hybridMultilevel"/>
    <w:tmpl w:val="A88A56C2"/>
    <w:lvl w:ilvl="0" w:tplc="32FC3586">
      <w:start w:val="1"/>
      <w:numFmt w:val="upp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5" w15:restartNumberingAfterBreak="0">
    <w:nsid w:val="57BF1416"/>
    <w:multiLevelType w:val="hybridMultilevel"/>
    <w:tmpl w:val="2622631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EB17DBC"/>
    <w:multiLevelType w:val="hybridMultilevel"/>
    <w:tmpl w:val="CFD01F3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603F0D44"/>
    <w:multiLevelType w:val="hybridMultilevel"/>
    <w:tmpl w:val="172C3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8" w15:restartNumberingAfterBreak="0">
    <w:nsid w:val="615A01F5"/>
    <w:multiLevelType w:val="hybridMultilevel"/>
    <w:tmpl w:val="9F18037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63CD6A70"/>
    <w:multiLevelType w:val="hybridMultilevel"/>
    <w:tmpl w:val="0322AA44"/>
    <w:lvl w:ilvl="0" w:tplc="73CE33D0">
      <w:numFmt w:val="bullet"/>
      <w:lvlText w:val=""/>
      <w:lvlJc w:val="left"/>
      <w:pPr>
        <w:ind w:left="720" w:hanging="360"/>
      </w:pPr>
      <w:rPr>
        <w:rFonts w:ascii="Symbol" w:eastAsia="Times New Roman" w:hAnsi="Symbol" w:cs="Times New Roman"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40" w15:restartNumberingAfterBreak="0">
    <w:nsid w:val="66540359"/>
    <w:multiLevelType w:val="hybridMultilevel"/>
    <w:tmpl w:val="327AEC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1" w15:restartNumberingAfterBreak="0">
    <w:nsid w:val="6AEB7622"/>
    <w:multiLevelType w:val="hybridMultilevel"/>
    <w:tmpl w:val="8DC670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B9F0104"/>
    <w:multiLevelType w:val="hybridMultilevel"/>
    <w:tmpl w:val="631A4834"/>
    <w:lvl w:ilvl="0" w:tplc="14090001">
      <w:start w:val="1"/>
      <w:numFmt w:val="bullet"/>
      <w:lvlText w:val=""/>
      <w:lvlJc w:val="left"/>
      <w:pPr>
        <w:ind w:left="6" w:hanging="360"/>
      </w:pPr>
      <w:rPr>
        <w:rFonts w:ascii="Symbol" w:hAnsi="Symbol" w:hint="default"/>
      </w:rPr>
    </w:lvl>
    <w:lvl w:ilvl="1" w:tplc="14090003">
      <w:start w:val="1"/>
      <w:numFmt w:val="bullet"/>
      <w:lvlText w:val="o"/>
      <w:lvlJc w:val="left"/>
      <w:pPr>
        <w:ind w:left="726" w:hanging="360"/>
      </w:pPr>
      <w:rPr>
        <w:rFonts w:ascii="Courier New" w:hAnsi="Courier New" w:cs="Courier New" w:hint="default"/>
      </w:rPr>
    </w:lvl>
    <w:lvl w:ilvl="2" w:tplc="14090005">
      <w:start w:val="1"/>
      <w:numFmt w:val="bullet"/>
      <w:lvlText w:val=""/>
      <w:lvlJc w:val="left"/>
      <w:pPr>
        <w:ind w:left="1446" w:hanging="360"/>
      </w:pPr>
      <w:rPr>
        <w:rFonts w:ascii="Wingdings" w:hAnsi="Wingdings" w:hint="default"/>
      </w:rPr>
    </w:lvl>
    <w:lvl w:ilvl="3" w:tplc="14090001">
      <w:start w:val="1"/>
      <w:numFmt w:val="bullet"/>
      <w:lvlText w:val=""/>
      <w:lvlJc w:val="left"/>
      <w:pPr>
        <w:ind w:left="2166" w:hanging="360"/>
      </w:pPr>
      <w:rPr>
        <w:rFonts w:ascii="Symbol" w:hAnsi="Symbol" w:hint="default"/>
      </w:rPr>
    </w:lvl>
    <w:lvl w:ilvl="4" w:tplc="14090003">
      <w:start w:val="1"/>
      <w:numFmt w:val="bullet"/>
      <w:lvlText w:val="o"/>
      <w:lvlJc w:val="left"/>
      <w:pPr>
        <w:ind w:left="2886" w:hanging="360"/>
      </w:pPr>
      <w:rPr>
        <w:rFonts w:ascii="Courier New" w:hAnsi="Courier New" w:cs="Courier New" w:hint="default"/>
      </w:rPr>
    </w:lvl>
    <w:lvl w:ilvl="5" w:tplc="14090005">
      <w:start w:val="1"/>
      <w:numFmt w:val="bullet"/>
      <w:lvlText w:val=""/>
      <w:lvlJc w:val="left"/>
      <w:pPr>
        <w:ind w:left="3606" w:hanging="360"/>
      </w:pPr>
      <w:rPr>
        <w:rFonts w:ascii="Wingdings" w:hAnsi="Wingdings" w:hint="default"/>
      </w:rPr>
    </w:lvl>
    <w:lvl w:ilvl="6" w:tplc="14090001">
      <w:start w:val="1"/>
      <w:numFmt w:val="bullet"/>
      <w:lvlText w:val=""/>
      <w:lvlJc w:val="left"/>
      <w:pPr>
        <w:ind w:left="4326" w:hanging="360"/>
      </w:pPr>
      <w:rPr>
        <w:rFonts w:ascii="Symbol" w:hAnsi="Symbol" w:hint="default"/>
      </w:rPr>
    </w:lvl>
    <w:lvl w:ilvl="7" w:tplc="14090003">
      <w:start w:val="1"/>
      <w:numFmt w:val="bullet"/>
      <w:lvlText w:val="o"/>
      <w:lvlJc w:val="left"/>
      <w:pPr>
        <w:ind w:left="5046" w:hanging="360"/>
      </w:pPr>
      <w:rPr>
        <w:rFonts w:ascii="Courier New" w:hAnsi="Courier New" w:cs="Courier New" w:hint="default"/>
      </w:rPr>
    </w:lvl>
    <w:lvl w:ilvl="8" w:tplc="14090005">
      <w:start w:val="1"/>
      <w:numFmt w:val="bullet"/>
      <w:lvlText w:val=""/>
      <w:lvlJc w:val="left"/>
      <w:pPr>
        <w:ind w:left="5766" w:hanging="360"/>
      </w:pPr>
      <w:rPr>
        <w:rFonts w:ascii="Wingdings" w:hAnsi="Wingdings" w:hint="default"/>
      </w:rPr>
    </w:lvl>
  </w:abstractNum>
  <w:abstractNum w:abstractNumId="43" w15:restartNumberingAfterBreak="0">
    <w:nsid w:val="7563246B"/>
    <w:multiLevelType w:val="hybridMultilevel"/>
    <w:tmpl w:val="06F682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4" w15:restartNumberingAfterBreak="0">
    <w:nsid w:val="780C2D34"/>
    <w:multiLevelType w:val="hybridMultilevel"/>
    <w:tmpl w:val="31DA0760"/>
    <w:lvl w:ilvl="0" w:tplc="BFA47FA0">
      <w:start w:val="1"/>
      <w:numFmt w:val="upperLetter"/>
      <w:lvlText w:val="%1)"/>
      <w:lvlJc w:val="left"/>
      <w:pPr>
        <w:ind w:left="1440" w:hanging="360"/>
      </w:pPr>
      <w:rPr>
        <w:rFonts w:hint="default"/>
        <w:b w:val="0"/>
        <w:bCs/>
      </w:rPr>
    </w:lvl>
    <w:lvl w:ilvl="1" w:tplc="1409001B">
      <w:start w:val="1"/>
      <w:numFmt w:val="lowerRoman"/>
      <w:lvlText w:val="%2."/>
      <w:lvlJc w:val="righ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45" w15:restartNumberingAfterBreak="0">
    <w:nsid w:val="7E636923"/>
    <w:multiLevelType w:val="hybridMultilevel"/>
    <w:tmpl w:val="80A499B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6" w15:restartNumberingAfterBreak="0">
    <w:nsid w:val="7E7364DA"/>
    <w:multiLevelType w:val="hybridMultilevel"/>
    <w:tmpl w:val="5E7045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31"/>
  </w:num>
  <w:num w:numId="2">
    <w:abstractNumId w:val="33"/>
  </w:num>
  <w:num w:numId="3">
    <w:abstractNumId w:val="20"/>
  </w:num>
  <w:num w:numId="4">
    <w:abstractNumId w:val="16"/>
  </w:num>
  <w:num w:numId="5">
    <w:abstractNumId w:val="26"/>
  </w:num>
  <w:num w:numId="6">
    <w:abstractNumId w:val="6"/>
  </w:num>
  <w:num w:numId="7">
    <w:abstractNumId w:val="36"/>
  </w:num>
  <w:num w:numId="8">
    <w:abstractNumId w:val="29"/>
  </w:num>
  <w:num w:numId="9">
    <w:abstractNumId w:val="15"/>
  </w:num>
  <w:num w:numId="10">
    <w:abstractNumId w:val="9"/>
  </w:num>
  <w:num w:numId="11">
    <w:abstractNumId w:val="30"/>
  </w:num>
  <w:num w:numId="12">
    <w:abstractNumId w:val="46"/>
  </w:num>
  <w:num w:numId="13">
    <w:abstractNumId w:val="40"/>
  </w:num>
  <w:num w:numId="14">
    <w:abstractNumId w:val="41"/>
  </w:num>
  <w:num w:numId="15">
    <w:abstractNumId w:val="1"/>
  </w:num>
  <w:num w:numId="16">
    <w:abstractNumId w:val="17"/>
  </w:num>
  <w:num w:numId="17">
    <w:abstractNumId w:val="37"/>
  </w:num>
  <w:num w:numId="18">
    <w:abstractNumId w:val="3"/>
  </w:num>
  <w:num w:numId="19">
    <w:abstractNumId w:val="2"/>
  </w:num>
  <w:num w:numId="20">
    <w:abstractNumId w:val="4"/>
  </w:num>
  <w:num w:numId="21">
    <w:abstractNumId w:val="43"/>
  </w:num>
  <w:num w:numId="22">
    <w:abstractNumId w:val="11"/>
  </w:num>
  <w:num w:numId="23">
    <w:abstractNumId w:val="0"/>
  </w:num>
  <w:num w:numId="24">
    <w:abstractNumId w:val="32"/>
  </w:num>
  <w:num w:numId="25">
    <w:abstractNumId w:val="27"/>
  </w:num>
  <w:num w:numId="26">
    <w:abstractNumId w:val="35"/>
  </w:num>
  <w:num w:numId="27">
    <w:abstractNumId w:val="10"/>
  </w:num>
  <w:num w:numId="28">
    <w:abstractNumId w:val="7"/>
  </w:num>
  <w:num w:numId="29">
    <w:abstractNumId w:val="12"/>
  </w:num>
  <w:num w:numId="30">
    <w:abstractNumId w:val="25"/>
  </w:num>
  <w:num w:numId="31">
    <w:abstractNumId w:val="8"/>
  </w:num>
  <w:num w:numId="32">
    <w:abstractNumId w:val="21"/>
  </w:num>
  <w:num w:numId="33">
    <w:abstractNumId w:val="38"/>
  </w:num>
  <w:num w:numId="34">
    <w:abstractNumId w:val="28"/>
  </w:num>
  <w:num w:numId="35">
    <w:abstractNumId w:val="34"/>
  </w:num>
  <w:num w:numId="36">
    <w:abstractNumId w:val="18"/>
  </w:num>
  <w:num w:numId="37">
    <w:abstractNumId w:val="5"/>
  </w:num>
  <w:num w:numId="38">
    <w:abstractNumId w:val="23"/>
  </w:num>
  <w:num w:numId="39">
    <w:abstractNumId w:val="13"/>
  </w:num>
  <w:num w:numId="40">
    <w:abstractNumId w:val="45"/>
  </w:num>
  <w:num w:numId="41">
    <w:abstractNumId w:val="44"/>
  </w:num>
  <w:num w:numId="42">
    <w:abstractNumId w:val="19"/>
  </w:num>
  <w:num w:numId="43">
    <w:abstractNumId w:val="14"/>
  </w:num>
  <w:num w:numId="44">
    <w:abstractNumId w:val="24"/>
  </w:num>
  <w:num w:numId="45">
    <w:abstractNumId w:val="39"/>
  </w:num>
  <w:num w:numId="46">
    <w:abstractNumId w:val="39"/>
  </w:num>
  <w:num w:numId="47">
    <w:abstractNumId w:val="42"/>
  </w:num>
  <w:num w:numId="48">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209"/>
    <w:rsid w:val="0000201A"/>
    <w:rsid w:val="0000254E"/>
    <w:rsid w:val="00002885"/>
    <w:rsid w:val="0000328A"/>
    <w:rsid w:val="0000724E"/>
    <w:rsid w:val="00007FD3"/>
    <w:rsid w:val="00011565"/>
    <w:rsid w:val="000123A8"/>
    <w:rsid w:val="00012998"/>
    <w:rsid w:val="00012CA7"/>
    <w:rsid w:val="000132F6"/>
    <w:rsid w:val="00014FB7"/>
    <w:rsid w:val="00020F75"/>
    <w:rsid w:val="000210ED"/>
    <w:rsid w:val="00024303"/>
    <w:rsid w:val="00024979"/>
    <w:rsid w:val="00027101"/>
    <w:rsid w:val="00027C4F"/>
    <w:rsid w:val="00030190"/>
    <w:rsid w:val="00031183"/>
    <w:rsid w:val="00034509"/>
    <w:rsid w:val="00034615"/>
    <w:rsid w:val="00037F29"/>
    <w:rsid w:val="00041FC0"/>
    <w:rsid w:val="000424B7"/>
    <w:rsid w:val="0004324B"/>
    <w:rsid w:val="00043906"/>
    <w:rsid w:val="000455A9"/>
    <w:rsid w:val="000469DF"/>
    <w:rsid w:val="00046A04"/>
    <w:rsid w:val="000508F1"/>
    <w:rsid w:val="00051193"/>
    <w:rsid w:val="000518AB"/>
    <w:rsid w:val="000524A6"/>
    <w:rsid w:val="00052BB1"/>
    <w:rsid w:val="00053955"/>
    <w:rsid w:val="000548CE"/>
    <w:rsid w:val="0005691A"/>
    <w:rsid w:val="00061D4E"/>
    <w:rsid w:val="000626D7"/>
    <w:rsid w:val="00063943"/>
    <w:rsid w:val="00064320"/>
    <w:rsid w:val="00067D7D"/>
    <w:rsid w:val="0007168A"/>
    <w:rsid w:val="00072C3E"/>
    <w:rsid w:val="00074041"/>
    <w:rsid w:val="0007474B"/>
    <w:rsid w:val="00076368"/>
    <w:rsid w:val="00080FED"/>
    <w:rsid w:val="0008397A"/>
    <w:rsid w:val="00084332"/>
    <w:rsid w:val="00092202"/>
    <w:rsid w:val="00092FD9"/>
    <w:rsid w:val="00093E9C"/>
    <w:rsid w:val="000940D1"/>
    <w:rsid w:val="00094C95"/>
    <w:rsid w:val="0009512D"/>
    <w:rsid w:val="00097119"/>
    <w:rsid w:val="000A0FEF"/>
    <w:rsid w:val="000A2B04"/>
    <w:rsid w:val="000B0D4D"/>
    <w:rsid w:val="000B2320"/>
    <w:rsid w:val="000B272C"/>
    <w:rsid w:val="000B5AB4"/>
    <w:rsid w:val="000B7AB6"/>
    <w:rsid w:val="000C090E"/>
    <w:rsid w:val="000C1470"/>
    <w:rsid w:val="000C268D"/>
    <w:rsid w:val="000C299F"/>
    <w:rsid w:val="000C29FA"/>
    <w:rsid w:val="000C2C70"/>
    <w:rsid w:val="000C356C"/>
    <w:rsid w:val="000C40A5"/>
    <w:rsid w:val="000C4659"/>
    <w:rsid w:val="000C674C"/>
    <w:rsid w:val="000C7053"/>
    <w:rsid w:val="000C715A"/>
    <w:rsid w:val="000D17CC"/>
    <w:rsid w:val="000D2E83"/>
    <w:rsid w:val="000D34D3"/>
    <w:rsid w:val="000D34F5"/>
    <w:rsid w:val="000D52D3"/>
    <w:rsid w:val="000E00AF"/>
    <w:rsid w:val="000E1D97"/>
    <w:rsid w:val="000E301F"/>
    <w:rsid w:val="000E35FF"/>
    <w:rsid w:val="000E4E50"/>
    <w:rsid w:val="000F4295"/>
    <w:rsid w:val="000F4F12"/>
    <w:rsid w:val="000F5D1D"/>
    <w:rsid w:val="000F62E0"/>
    <w:rsid w:val="000F6B2E"/>
    <w:rsid w:val="000F720E"/>
    <w:rsid w:val="000F740F"/>
    <w:rsid w:val="001010F8"/>
    <w:rsid w:val="00101FE6"/>
    <w:rsid w:val="00103D62"/>
    <w:rsid w:val="0010467F"/>
    <w:rsid w:val="001049D4"/>
    <w:rsid w:val="00105D66"/>
    <w:rsid w:val="00106357"/>
    <w:rsid w:val="001066B0"/>
    <w:rsid w:val="00110D8C"/>
    <w:rsid w:val="00112231"/>
    <w:rsid w:val="0011633B"/>
    <w:rsid w:val="001163EB"/>
    <w:rsid w:val="001171CA"/>
    <w:rsid w:val="0012017D"/>
    <w:rsid w:val="001218B3"/>
    <w:rsid w:val="001220BD"/>
    <w:rsid w:val="00124FA4"/>
    <w:rsid w:val="00132393"/>
    <w:rsid w:val="0013264B"/>
    <w:rsid w:val="001334CB"/>
    <w:rsid w:val="00135B24"/>
    <w:rsid w:val="00136004"/>
    <w:rsid w:val="00136700"/>
    <w:rsid w:val="00136946"/>
    <w:rsid w:val="00137414"/>
    <w:rsid w:val="001402E8"/>
    <w:rsid w:val="00143F2D"/>
    <w:rsid w:val="00150D58"/>
    <w:rsid w:val="00151281"/>
    <w:rsid w:val="001568CA"/>
    <w:rsid w:val="001569AD"/>
    <w:rsid w:val="00157847"/>
    <w:rsid w:val="001607C2"/>
    <w:rsid w:val="00164445"/>
    <w:rsid w:val="00164C36"/>
    <w:rsid w:val="00164D97"/>
    <w:rsid w:val="00166A02"/>
    <w:rsid w:val="00167308"/>
    <w:rsid w:val="0016772B"/>
    <w:rsid w:val="00167871"/>
    <w:rsid w:val="001700D1"/>
    <w:rsid w:val="00170629"/>
    <w:rsid w:val="0017116F"/>
    <w:rsid w:val="00171C37"/>
    <w:rsid w:val="00171ED9"/>
    <w:rsid w:val="00175B52"/>
    <w:rsid w:val="001802E8"/>
    <w:rsid w:val="00180E86"/>
    <w:rsid w:val="001817F4"/>
    <w:rsid w:val="00182FAD"/>
    <w:rsid w:val="001837C1"/>
    <w:rsid w:val="00185632"/>
    <w:rsid w:val="00185A12"/>
    <w:rsid w:val="00186592"/>
    <w:rsid w:val="00186F7E"/>
    <w:rsid w:val="001878BA"/>
    <w:rsid w:val="00190F33"/>
    <w:rsid w:val="00193917"/>
    <w:rsid w:val="00193D80"/>
    <w:rsid w:val="001967D5"/>
    <w:rsid w:val="001A07B8"/>
    <w:rsid w:val="001A4B31"/>
    <w:rsid w:val="001A6552"/>
    <w:rsid w:val="001B01AC"/>
    <w:rsid w:val="001B20A2"/>
    <w:rsid w:val="001B59C5"/>
    <w:rsid w:val="001B727F"/>
    <w:rsid w:val="001C4A82"/>
    <w:rsid w:val="001C6453"/>
    <w:rsid w:val="001C66CD"/>
    <w:rsid w:val="001C7275"/>
    <w:rsid w:val="001D0AA6"/>
    <w:rsid w:val="001D1874"/>
    <w:rsid w:val="001D4DEC"/>
    <w:rsid w:val="001D599D"/>
    <w:rsid w:val="001D5D03"/>
    <w:rsid w:val="001D7B9B"/>
    <w:rsid w:val="001E0EDB"/>
    <w:rsid w:val="001E166B"/>
    <w:rsid w:val="001E1EF5"/>
    <w:rsid w:val="001E34C4"/>
    <w:rsid w:val="001E7171"/>
    <w:rsid w:val="001E7D01"/>
    <w:rsid w:val="001F280E"/>
    <w:rsid w:val="001F29E6"/>
    <w:rsid w:val="001F6FBD"/>
    <w:rsid w:val="00200886"/>
    <w:rsid w:val="00200DA1"/>
    <w:rsid w:val="002060EC"/>
    <w:rsid w:val="00206FF8"/>
    <w:rsid w:val="00210C3D"/>
    <w:rsid w:val="002112EA"/>
    <w:rsid w:val="00212395"/>
    <w:rsid w:val="00212A84"/>
    <w:rsid w:val="002167FC"/>
    <w:rsid w:val="00216915"/>
    <w:rsid w:val="00216981"/>
    <w:rsid w:val="00220FF8"/>
    <w:rsid w:val="00221AC4"/>
    <w:rsid w:val="00221C0F"/>
    <w:rsid w:val="0022201B"/>
    <w:rsid w:val="00222441"/>
    <w:rsid w:val="002254E4"/>
    <w:rsid w:val="0022557C"/>
    <w:rsid w:val="0023132E"/>
    <w:rsid w:val="00231673"/>
    <w:rsid w:val="002316E5"/>
    <w:rsid w:val="00231E78"/>
    <w:rsid w:val="0023241A"/>
    <w:rsid w:val="0023393B"/>
    <w:rsid w:val="002352C4"/>
    <w:rsid w:val="0023553C"/>
    <w:rsid w:val="002415FF"/>
    <w:rsid w:val="002428A4"/>
    <w:rsid w:val="002444FB"/>
    <w:rsid w:val="0024452D"/>
    <w:rsid w:val="002449F8"/>
    <w:rsid w:val="002456C4"/>
    <w:rsid w:val="002500A5"/>
    <w:rsid w:val="00250173"/>
    <w:rsid w:val="00250F16"/>
    <w:rsid w:val="002528A3"/>
    <w:rsid w:val="002546A9"/>
    <w:rsid w:val="002559C6"/>
    <w:rsid w:val="002561DD"/>
    <w:rsid w:val="0026139D"/>
    <w:rsid w:val="00261F14"/>
    <w:rsid w:val="0026379C"/>
    <w:rsid w:val="0026379E"/>
    <w:rsid w:val="0026396E"/>
    <w:rsid w:val="00263D08"/>
    <w:rsid w:val="002663F5"/>
    <w:rsid w:val="002705E1"/>
    <w:rsid w:val="002706BB"/>
    <w:rsid w:val="00273014"/>
    <w:rsid w:val="00274C96"/>
    <w:rsid w:val="00275103"/>
    <w:rsid w:val="00275ADF"/>
    <w:rsid w:val="0027622D"/>
    <w:rsid w:val="00276C40"/>
    <w:rsid w:val="00281606"/>
    <w:rsid w:val="00282154"/>
    <w:rsid w:val="0028538B"/>
    <w:rsid w:val="00291243"/>
    <w:rsid w:val="00293D8D"/>
    <w:rsid w:val="0029421E"/>
    <w:rsid w:val="00294646"/>
    <w:rsid w:val="00295393"/>
    <w:rsid w:val="002958E5"/>
    <w:rsid w:val="00295ACF"/>
    <w:rsid w:val="0029653F"/>
    <w:rsid w:val="002A1D53"/>
    <w:rsid w:val="002A2C43"/>
    <w:rsid w:val="002A6334"/>
    <w:rsid w:val="002A7820"/>
    <w:rsid w:val="002A7AEA"/>
    <w:rsid w:val="002B004B"/>
    <w:rsid w:val="002B01D8"/>
    <w:rsid w:val="002B1665"/>
    <w:rsid w:val="002B1747"/>
    <w:rsid w:val="002B27D8"/>
    <w:rsid w:val="002B3E68"/>
    <w:rsid w:val="002B3F4F"/>
    <w:rsid w:val="002B426E"/>
    <w:rsid w:val="002C0B9D"/>
    <w:rsid w:val="002C0E77"/>
    <w:rsid w:val="002C165B"/>
    <w:rsid w:val="002C2785"/>
    <w:rsid w:val="002C346F"/>
    <w:rsid w:val="002C3926"/>
    <w:rsid w:val="002C77F7"/>
    <w:rsid w:val="002C7C74"/>
    <w:rsid w:val="002D2932"/>
    <w:rsid w:val="002D5018"/>
    <w:rsid w:val="002D52C3"/>
    <w:rsid w:val="002D5B98"/>
    <w:rsid w:val="002D6BD9"/>
    <w:rsid w:val="002D7208"/>
    <w:rsid w:val="002E06CC"/>
    <w:rsid w:val="002E140F"/>
    <w:rsid w:val="002E1635"/>
    <w:rsid w:val="002E1651"/>
    <w:rsid w:val="002E2F27"/>
    <w:rsid w:val="002E3773"/>
    <w:rsid w:val="002E487F"/>
    <w:rsid w:val="002E5F9C"/>
    <w:rsid w:val="002E7CBC"/>
    <w:rsid w:val="002F0AD9"/>
    <w:rsid w:val="002F3C2D"/>
    <w:rsid w:val="002F456E"/>
    <w:rsid w:val="002F59DB"/>
    <w:rsid w:val="002F7270"/>
    <w:rsid w:val="002F7B32"/>
    <w:rsid w:val="0030464E"/>
    <w:rsid w:val="00307959"/>
    <w:rsid w:val="00310035"/>
    <w:rsid w:val="00310839"/>
    <w:rsid w:val="00313710"/>
    <w:rsid w:val="00314476"/>
    <w:rsid w:val="0031495D"/>
    <w:rsid w:val="003149FC"/>
    <w:rsid w:val="00315A06"/>
    <w:rsid w:val="00317F29"/>
    <w:rsid w:val="00320197"/>
    <w:rsid w:val="0032495B"/>
    <w:rsid w:val="00324E1E"/>
    <w:rsid w:val="0033231A"/>
    <w:rsid w:val="003323D4"/>
    <w:rsid w:val="003335DC"/>
    <w:rsid w:val="00334500"/>
    <w:rsid w:val="003356E9"/>
    <w:rsid w:val="00341836"/>
    <w:rsid w:val="00342FFE"/>
    <w:rsid w:val="003430A5"/>
    <w:rsid w:val="00345C3F"/>
    <w:rsid w:val="00346116"/>
    <w:rsid w:val="003461C8"/>
    <w:rsid w:val="003462E4"/>
    <w:rsid w:val="00346B30"/>
    <w:rsid w:val="00347572"/>
    <w:rsid w:val="00347BA1"/>
    <w:rsid w:val="00352F2F"/>
    <w:rsid w:val="00354F55"/>
    <w:rsid w:val="00354FC5"/>
    <w:rsid w:val="0036205B"/>
    <w:rsid w:val="00363B61"/>
    <w:rsid w:val="00364C4C"/>
    <w:rsid w:val="003658E1"/>
    <w:rsid w:val="0036646F"/>
    <w:rsid w:val="00367CF2"/>
    <w:rsid w:val="00371142"/>
    <w:rsid w:val="0037270E"/>
    <w:rsid w:val="00373851"/>
    <w:rsid w:val="00373CD5"/>
    <w:rsid w:val="00375544"/>
    <w:rsid w:val="003801F7"/>
    <w:rsid w:val="00380BF0"/>
    <w:rsid w:val="0038168E"/>
    <w:rsid w:val="003835E5"/>
    <w:rsid w:val="0038476D"/>
    <w:rsid w:val="00384E9B"/>
    <w:rsid w:val="00390DC2"/>
    <w:rsid w:val="0039577B"/>
    <w:rsid w:val="00397C8D"/>
    <w:rsid w:val="003A2870"/>
    <w:rsid w:val="003A2BB1"/>
    <w:rsid w:val="003A6757"/>
    <w:rsid w:val="003B0729"/>
    <w:rsid w:val="003B1E56"/>
    <w:rsid w:val="003B77EA"/>
    <w:rsid w:val="003B7835"/>
    <w:rsid w:val="003C3183"/>
    <w:rsid w:val="003C48E9"/>
    <w:rsid w:val="003C4FF2"/>
    <w:rsid w:val="003C5267"/>
    <w:rsid w:val="003C61B5"/>
    <w:rsid w:val="003D2C63"/>
    <w:rsid w:val="003D332C"/>
    <w:rsid w:val="003D4DA7"/>
    <w:rsid w:val="003D500E"/>
    <w:rsid w:val="003D6D1C"/>
    <w:rsid w:val="003D7693"/>
    <w:rsid w:val="003E20E0"/>
    <w:rsid w:val="003E3561"/>
    <w:rsid w:val="003E5255"/>
    <w:rsid w:val="003E5C64"/>
    <w:rsid w:val="003F1C16"/>
    <w:rsid w:val="003F2438"/>
    <w:rsid w:val="003F2D3B"/>
    <w:rsid w:val="003F2F6F"/>
    <w:rsid w:val="003F3813"/>
    <w:rsid w:val="003F3854"/>
    <w:rsid w:val="003F4EE0"/>
    <w:rsid w:val="003F775E"/>
    <w:rsid w:val="003F7F54"/>
    <w:rsid w:val="00400E95"/>
    <w:rsid w:val="00401E3C"/>
    <w:rsid w:val="0040297B"/>
    <w:rsid w:val="0040497A"/>
    <w:rsid w:val="00405E5B"/>
    <w:rsid w:val="00406EC7"/>
    <w:rsid w:val="0041056D"/>
    <w:rsid w:val="0041081C"/>
    <w:rsid w:val="004111B8"/>
    <w:rsid w:val="0041278D"/>
    <w:rsid w:val="00413FD8"/>
    <w:rsid w:val="0041785C"/>
    <w:rsid w:val="004179F5"/>
    <w:rsid w:val="00417B4A"/>
    <w:rsid w:val="00422C20"/>
    <w:rsid w:val="0042454E"/>
    <w:rsid w:val="00427E3D"/>
    <w:rsid w:val="00430835"/>
    <w:rsid w:val="00431CA7"/>
    <w:rsid w:val="0043361C"/>
    <w:rsid w:val="00434211"/>
    <w:rsid w:val="004402CE"/>
    <w:rsid w:val="00442959"/>
    <w:rsid w:val="00447453"/>
    <w:rsid w:val="00452B4D"/>
    <w:rsid w:val="00457D0D"/>
    <w:rsid w:val="00460CD2"/>
    <w:rsid w:val="004625C9"/>
    <w:rsid w:val="004628FF"/>
    <w:rsid w:val="0046709B"/>
    <w:rsid w:val="00467AB7"/>
    <w:rsid w:val="00472BF5"/>
    <w:rsid w:val="00474272"/>
    <w:rsid w:val="00475870"/>
    <w:rsid w:val="00476103"/>
    <w:rsid w:val="0047618E"/>
    <w:rsid w:val="004772F9"/>
    <w:rsid w:val="00477E82"/>
    <w:rsid w:val="00484A6C"/>
    <w:rsid w:val="004851B1"/>
    <w:rsid w:val="00487FAD"/>
    <w:rsid w:val="00491FAD"/>
    <w:rsid w:val="0049234F"/>
    <w:rsid w:val="00493232"/>
    <w:rsid w:val="00493DFB"/>
    <w:rsid w:val="004944F9"/>
    <w:rsid w:val="0049467D"/>
    <w:rsid w:val="0049634A"/>
    <w:rsid w:val="00496B0A"/>
    <w:rsid w:val="00497810"/>
    <w:rsid w:val="004A11FC"/>
    <w:rsid w:val="004A1AE3"/>
    <w:rsid w:val="004A2714"/>
    <w:rsid w:val="004A4084"/>
    <w:rsid w:val="004A6E33"/>
    <w:rsid w:val="004B027A"/>
    <w:rsid w:val="004B0926"/>
    <w:rsid w:val="004B0A19"/>
    <w:rsid w:val="004B2E9A"/>
    <w:rsid w:val="004B4C9E"/>
    <w:rsid w:val="004B5FD9"/>
    <w:rsid w:val="004B6F7D"/>
    <w:rsid w:val="004B7BD3"/>
    <w:rsid w:val="004C056B"/>
    <w:rsid w:val="004C12D0"/>
    <w:rsid w:val="004C321A"/>
    <w:rsid w:val="004C4603"/>
    <w:rsid w:val="004C6060"/>
    <w:rsid w:val="004C688E"/>
    <w:rsid w:val="004C709A"/>
    <w:rsid w:val="004D000C"/>
    <w:rsid w:val="004D1722"/>
    <w:rsid w:val="004D4BCA"/>
    <w:rsid w:val="004D5AF6"/>
    <w:rsid w:val="004D7758"/>
    <w:rsid w:val="004D7EF7"/>
    <w:rsid w:val="004E02DF"/>
    <w:rsid w:val="004E1A06"/>
    <w:rsid w:val="004E2AD4"/>
    <w:rsid w:val="004E44BA"/>
    <w:rsid w:val="004F3DA8"/>
    <w:rsid w:val="004F4F30"/>
    <w:rsid w:val="004F5B65"/>
    <w:rsid w:val="004F789C"/>
    <w:rsid w:val="00501053"/>
    <w:rsid w:val="00501AA1"/>
    <w:rsid w:val="0050278A"/>
    <w:rsid w:val="0050418B"/>
    <w:rsid w:val="00505B2B"/>
    <w:rsid w:val="00505B50"/>
    <w:rsid w:val="00506A1C"/>
    <w:rsid w:val="00511BF2"/>
    <w:rsid w:val="00513FA3"/>
    <w:rsid w:val="00514770"/>
    <w:rsid w:val="005167FA"/>
    <w:rsid w:val="00517352"/>
    <w:rsid w:val="00517995"/>
    <w:rsid w:val="00517BA2"/>
    <w:rsid w:val="00521403"/>
    <w:rsid w:val="00523D6A"/>
    <w:rsid w:val="005258E4"/>
    <w:rsid w:val="0052670F"/>
    <w:rsid w:val="005275ED"/>
    <w:rsid w:val="00527C27"/>
    <w:rsid w:val="00530722"/>
    <w:rsid w:val="00531173"/>
    <w:rsid w:val="00532FA9"/>
    <w:rsid w:val="005354AA"/>
    <w:rsid w:val="00537B28"/>
    <w:rsid w:val="00537EFE"/>
    <w:rsid w:val="00541194"/>
    <w:rsid w:val="00541C3D"/>
    <w:rsid w:val="00542CFB"/>
    <w:rsid w:val="00543012"/>
    <w:rsid w:val="00543026"/>
    <w:rsid w:val="00543648"/>
    <w:rsid w:val="00544454"/>
    <w:rsid w:val="00546076"/>
    <w:rsid w:val="00550CEB"/>
    <w:rsid w:val="00551E74"/>
    <w:rsid w:val="00552E42"/>
    <w:rsid w:val="00553C18"/>
    <w:rsid w:val="00554046"/>
    <w:rsid w:val="00556893"/>
    <w:rsid w:val="00556E6C"/>
    <w:rsid w:val="00560B8C"/>
    <w:rsid w:val="00560EB2"/>
    <w:rsid w:val="00560FED"/>
    <w:rsid w:val="00561744"/>
    <w:rsid w:val="0056317B"/>
    <w:rsid w:val="00564321"/>
    <w:rsid w:val="0056545E"/>
    <w:rsid w:val="00565FA5"/>
    <w:rsid w:val="00566CA4"/>
    <w:rsid w:val="00567740"/>
    <w:rsid w:val="00570089"/>
    <w:rsid w:val="00570E3F"/>
    <w:rsid w:val="00573CDD"/>
    <w:rsid w:val="00575FF9"/>
    <w:rsid w:val="005804F6"/>
    <w:rsid w:val="005843AC"/>
    <w:rsid w:val="00584810"/>
    <w:rsid w:val="005855FE"/>
    <w:rsid w:val="005878D5"/>
    <w:rsid w:val="005919BA"/>
    <w:rsid w:val="00593B97"/>
    <w:rsid w:val="005A0B65"/>
    <w:rsid w:val="005A2E71"/>
    <w:rsid w:val="005A5398"/>
    <w:rsid w:val="005A6F04"/>
    <w:rsid w:val="005A7388"/>
    <w:rsid w:val="005B27FB"/>
    <w:rsid w:val="005B3F1F"/>
    <w:rsid w:val="005B5FC4"/>
    <w:rsid w:val="005C028F"/>
    <w:rsid w:val="005C1010"/>
    <w:rsid w:val="005C1D93"/>
    <w:rsid w:val="005C38A2"/>
    <w:rsid w:val="005C76D8"/>
    <w:rsid w:val="005D14FF"/>
    <w:rsid w:val="005E1E1C"/>
    <w:rsid w:val="005E24C2"/>
    <w:rsid w:val="005E30EC"/>
    <w:rsid w:val="005E4455"/>
    <w:rsid w:val="005E5BA9"/>
    <w:rsid w:val="005F2A39"/>
    <w:rsid w:val="005F41A2"/>
    <w:rsid w:val="005F4E4B"/>
    <w:rsid w:val="005F51DE"/>
    <w:rsid w:val="005F64B6"/>
    <w:rsid w:val="005F74B7"/>
    <w:rsid w:val="0060071B"/>
    <w:rsid w:val="006014D0"/>
    <w:rsid w:val="006027B8"/>
    <w:rsid w:val="00605092"/>
    <w:rsid w:val="00605CC5"/>
    <w:rsid w:val="006063A9"/>
    <w:rsid w:val="00613EB0"/>
    <w:rsid w:val="00614BBC"/>
    <w:rsid w:val="0061553A"/>
    <w:rsid w:val="006172F1"/>
    <w:rsid w:val="00621519"/>
    <w:rsid w:val="00624CAF"/>
    <w:rsid w:val="0062657E"/>
    <w:rsid w:val="006278DF"/>
    <w:rsid w:val="006354F8"/>
    <w:rsid w:val="006356D0"/>
    <w:rsid w:val="00636019"/>
    <w:rsid w:val="00636B1E"/>
    <w:rsid w:val="00637874"/>
    <w:rsid w:val="00637BB1"/>
    <w:rsid w:val="006410B5"/>
    <w:rsid w:val="00642209"/>
    <w:rsid w:val="0064405E"/>
    <w:rsid w:val="006448CF"/>
    <w:rsid w:val="00644FA4"/>
    <w:rsid w:val="006460C5"/>
    <w:rsid w:val="00647442"/>
    <w:rsid w:val="00647987"/>
    <w:rsid w:val="00652FA2"/>
    <w:rsid w:val="00653ED7"/>
    <w:rsid w:val="00654CEA"/>
    <w:rsid w:val="00656925"/>
    <w:rsid w:val="00663BAA"/>
    <w:rsid w:val="00664F50"/>
    <w:rsid w:val="0066692D"/>
    <w:rsid w:val="00671451"/>
    <w:rsid w:val="00671877"/>
    <w:rsid w:val="00672449"/>
    <w:rsid w:val="006727E5"/>
    <w:rsid w:val="00675711"/>
    <w:rsid w:val="00676144"/>
    <w:rsid w:val="00676458"/>
    <w:rsid w:val="00676730"/>
    <w:rsid w:val="006767B7"/>
    <w:rsid w:val="00676F79"/>
    <w:rsid w:val="006777C4"/>
    <w:rsid w:val="00682C09"/>
    <w:rsid w:val="0068395D"/>
    <w:rsid w:val="00686045"/>
    <w:rsid w:val="00686D7D"/>
    <w:rsid w:val="00686EF9"/>
    <w:rsid w:val="00687118"/>
    <w:rsid w:val="0069248A"/>
    <w:rsid w:val="00693232"/>
    <w:rsid w:val="0069445B"/>
    <w:rsid w:val="00697B03"/>
    <w:rsid w:val="006A3E86"/>
    <w:rsid w:val="006A55EB"/>
    <w:rsid w:val="006A5CC7"/>
    <w:rsid w:val="006A666B"/>
    <w:rsid w:val="006A6B3A"/>
    <w:rsid w:val="006B3DF3"/>
    <w:rsid w:val="006B5794"/>
    <w:rsid w:val="006B67CE"/>
    <w:rsid w:val="006C1313"/>
    <w:rsid w:val="006C684F"/>
    <w:rsid w:val="006D05B2"/>
    <w:rsid w:val="006D0A1B"/>
    <w:rsid w:val="006D12A5"/>
    <w:rsid w:val="006D17FA"/>
    <w:rsid w:val="006D325C"/>
    <w:rsid w:val="006D691D"/>
    <w:rsid w:val="006D7BE7"/>
    <w:rsid w:val="006E1F3D"/>
    <w:rsid w:val="006E6C91"/>
    <w:rsid w:val="006F1A67"/>
    <w:rsid w:val="006F3E62"/>
    <w:rsid w:val="006F51EC"/>
    <w:rsid w:val="006F582A"/>
    <w:rsid w:val="00702C0A"/>
    <w:rsid w:val="00703135"/>
    <w:rsid w:val="007037C4"/>
    <w:rsid w:val="00703A87"/>
    <w:rsid w:val="00705EFA"/>
    <w:rsid w:val="007104FE"/>
    <w:rsid w:val="00715855"/>
    <w:rsid w:val="00721CE1"/>
    <w:rsid w:val="007229F7"/>
    <w:rsid w:val="00723C46"/>
    <w:rsid w:val="00723DF3"/>
    <w:rsid w:val="007245C5"/>
    <w:rsid w:val="007271F7"/>
    <w:rsid w:val="0072799F"/>
    <w:rsid w:val="00730034"/>
    <w:rsid w:val="00730501"/>
    <w:rsid w:val="00731BE8"/>
    <w:rsid w:val="00731FAE"/>
    <w:rsid w:val="007325A8"/>
    <w:rsid w:val="007336C9"/>
    <w:rsid w:val="0073765C"/>
    <w:rsid w:val="00743278"/>
    <w:rsid w:val="007441E0"/>
    <w:rsid w:val="00755099"/>
    <w:rsid w:val="00757BF7"/>
    <w:rsid w:val="00760A40"/>
    <w:rsid w:val="00761786"/>
    <w:rsid w:val="00766CF9"/>
    <w:rsid w:val="007733A2"/>
    <w:rsid w:val="00773638"/>
    <w:rsid w:val="00773A84"/>
    <w:rsid w:val="00776E61"/>
    <w:rsid w:val="00780A69"/>
    <w:rsid w:val="0078124C"/>
    <w:rsid w:val="0078143F"/>
    <w:rsid w:val="00782B12"/>
    <w:rsid w:val="0078686D"/>
    <w:rsid w:val="00786F5C"/>
    <w:rsid w:val="007916A6"/>
    <w:rsid w:val="00792525"/>
    <w:rsid w:val="0079435C"/>
    <w:rsid w:val="007A1172"/>
    <w:rsid w:val="007A1603"/>
    <w:rsid w:val="007A20DD"/>
    <w:rsid w:val="007A2192"/>
    <w:rsid w:val="007A2F78"/>
    <w:rsid w:val="007A390D"/>
    <w:rsid w:val="007A3BF5"/>
    <w:rsid w:val="007A4C67"/>
    <w:rsid w:val="007A4FC6"/>
    <w:rsid w:val="007A7736"/>
    <w:rsid w:val="007B0025"/>
    <w:rsid w:val="007B024A"/>
    <w:rsid w:val="007B0612"/>
    <w:rsid w:val="007B090A"/>
    <w:rsid w:val="007B1245"/>
    <w:rsid w:val="007B1E67"/>
    <w:rsid w:val="007B39DE"/>
    <w:rsid w:val="007B4CEA"/>
    <w:rsid w:val="007B6E5C"/>
    <w:rsid w:val="007C2532"/>
    <w:rsid w:val="007C5A05"/>
    <w:rsid w:val="007C6348"/>
    <w:rsid w:val="007C63CC"/>
    <w:rsid w:val="007D2B34"/>
    <w:rsid w:val="007D3460"/>
    <w:rsid w:val="007D6495"/>
    <w:rsid w:val="007D6E61"/>
    <w:rsid w:val="007D78A1"/>
    <w:rsid w:val="007D7A5C"/>
    <w:rsid w:val="007D7A79"/>
    <w:rsid w:val="007D7EDC"/>
    <w:rsid w:val="007E04A9"/>
    <w:rsid w:val="007E4F5A"/>
    <w:rsid w:val="007E5528"/>
    <w:rsid w:val="007E69A5"/>
    <w:rsid w:val="007F2441"/>
    <w:rsid w:val="007F3B1C"/>
    <w:rsid w:val="007F54BB"/>
    <w:rsid w:val="007F6004"/>
    <w:rsid w:val="007F63A6"/>
    <w:rsid w:val="007F6633"/>
    <w:rsid w:val="007F79B0"/>
    <w:rsid w:val="008006D0"/>
    <w:rsid w:val="00800893"/>
    <w:rsid w:val="00801650"/>
    <w:rsid w:val="00801C2C"/>
    <w:rsid w:val="00801F8D"/>
    <w:rsid w:val="00802FD2"/>
    <w:rsid w:val="00804E26"/>
    <w:rsid w:val="00805DB4"/>
    <w:rsid w:val="008064C0"/>
    <w:rsid w:val="0080746B"/>
    <w:rsid w:val="00807DF0"/>
    <w:rsid w:val="00811ABE"/>
    <w:rsid w:val="00812142"/>
    <w:rsid w:val="00812CAB"/>
    <w:rsid w:val="008138B7"/>
    <w:rsid w:val="00813D4E"/>
    <w:rsid w:val="008155BF"/>
    <w:rsid w:val="00816332"/>
    <w:rsid w:val="00816760"/>
    <w:rsid w:val="00817D48"/>
    <w:rsid w:val="00817EF6"/>
    <w:rsid w:val="00820472"/>
    <w:rsid w:val="00821749"/>
    <w:rsid w:val="0082184C"/>
    <w:rsid w:val="00823BB1"/>
    <w:rsid w:val="008240F2"/>
    <w:rsid w:val="0082413D"/>
    <w:rsid w:val="00824691"/>
    <w:rsid w:val="008246BA"/>
    <w:rsid w:val="00824932"/>
    <w:rsid w:val="00825D04"/>
    <w:rsid w:val="0082636D"/>
    <w:rsid w:val="008270D9"/>
    <w:rsid w:val="0083060A"/>
    <w:rsid w:val="00831BF0"/>
    <w:rsid w:val="008321F8"/>
    <w:rsid w:val="008322A1"/>
    <w:rsid w:val="0083242D"/>
    <w:rsid w:val="00832767"/>
    <w:rsid w:val="00836306"/>
    <w:rsid w:val="00840D28"/>
    <w:rsid w:val="00840ECA"/>
    <w:rsid w:val="00841A4A"/>
    <w:rsid w:val="00846C56"/>
    <w:rsid w:val="00847E6E"/>
    <w:rsid w:val="00847FCE"/>
    <w:rsid w:val="008508EB"/>
    <w:rsid w:val="00850EFB"/>
    <w:rsid w:val="0085212E"/>
    <w:rsid w:val="00853169"/>
    <w:rsid w:val="00853E6C"/>
    <w:rsid w:val="0085441F"/>
    <w:rsid w:val="00854D65"/>
    <w:rsid w:val="00855BBA"/>
    <w:rsid w:val="008603C7"/>
    <w:rsid w:val="00860829"/>
    <w:rsid w:val="00860A2C"/>
    <w:rsid w:val="008621EC"/>
    <w:rsid w:val="0086254E"/>
    <w:rsid w:val="00864BB0"/>
    <w:rsid w:val="00864D58"/>
    <w:rsid w:val="008665D4"/>
    <w:rsid w:val="008704DC"/>
    <w:rsid w:val="00870A81"/>
    <w:rsid w:val="008713FE"/>
    <w:rsid w:val="00875DE0"/>
    <w:rsid w:val="00876410"/>
    <w:rsid w:val="00877BF7"/>
    <w:rsid w:val="00880730"/>
    <w:rsid w:val="008810DD"/>
    <w:rsid w:val="00881A01"/>
    <w:rsid w:val="00881CA9"/>
    <w:rsid w:val="00881DF1"/>
    <w:rsid w:val="00882849"/>
    <w:rsid w:val="00882A34"/>
    <w:rsid w:val="00883A80"/>
    <w:rsid w:val="00886A05"/>
    <w:rsid w:val="00890436"/>
    <w:rsid w:val="00894D10"/>
    <w:rsid w:val="00895A1E"/>
    <w:rsid w:val="00896164"/>
    <w:rsid w:val="00896713"/>
    <w:rsid w:val="0089735D"/>
    <w:rsid w:val="00897E2B"/>
    <w:rsid w:val="008A19DE"/>
    <w:rsid w:val="008A1FFA"/>
    <w:rsid w:val="008A2AA6"/>
    <w:rsid w:val="008A4DA5"/>
    <w:rsid w:val="008A504D"/>
    <w:rsid w:val="008A7BD7"/>
    <w:rsid w:val="008B49CC"/>
    <w:rsid w:val="008B7897"/>
    <w:rsid w:val="008B7E3F"/>
    <w:rsid w:val="008C1879"/>
    <w:rsid w:val="008C2163"/>
    <w:rsid w:val="008C32D9"/>
    <w:rsid w:val="008C53FE"/>
    <w:rsid w:val="008C69EC"/>
    <w:rsid w:val="008D051A"/>
    <w:rsid w:val="008D0C9E"/>
    <w:rsid w:val="008D1BAE"/>
    <w:rsid w:val="008D22EF"/>
    <w:rsid w:val="008D265C"/>
    <w:rsid w:val="008D4BEA"/>
    <w:rsid w:val="008E4014"/>
    <w:rsid w:val="008F02B0"/>
    <w:rsid w:val="008F3D7F"/>
    <w:rsid w:val="008F3EA3"/>
    <w:rsid w:val="008F4C59"/>
    <w:rsid w:val="008F6E88"/>
    <w:rsid w:val="0090257B"/>
    <w:rsid w:val="009037EA"/>
    <w:rsid w:val="0090696D"/>
    <w:rsid w:val="00907E5A"/>
    <w:rsid w:val="009125FB"/>
    <w:rsid w:val="00913334"/>
    <w:rsid w:val="009140EC"/>
    <w:rsid w:val="00914E7A"/>
    <w:rsid w:val="00917C85"/>
    <w:rsid w:val="00920842"/>
    <w:rsid w:val="009215BF"/>
    <w:rsid w:val="0092176D"/>
    <w:rsid w:val="00921EA4"/>
    <w:rsid w:val="00922C28"/>
    <w:rsid w:val="00926E87"/>
    <w:rsid w:val="00932544"/>
    <w:rsid w:val="00933189"/>
    <w:rsid w:val="00936935"/>
    <w:rsid w:val="009410E3"/>
    <w:rsid w:val="009435C4"/>
    <w:rsid w:val="009438E4"/>
    <w:rsid w:val="0094584C"/>
    <w:rsid w:val="009472F7"/>
    <w:rsid w:val="009476AF"/>
    <w:rsid w:val="00953034"/>
    <w:rsid w:val="00954259"/>
    <w:rsid w:val="00956684"/>
    <w:rsid w:val="00957A1D"/>
    <w:rsid w:val="009609C7"/>
    <w:rsid w:val="009611EC"/>
    <w:rsid w:val="00962946"/>
    <w:rsid w:val="00964A2A"/>
    <w:rsid w:val="00964C08"/>
    <w:rsid w:val="00964E59"/>
    <w:rsid w:val="00967EA1"/>
    <w:rsid w:val="00970321"/>
    <w:rsid w:val="00970B59"/>
    <w:rsid w:val="00971284"/>
    <w:rsid w:val="00971A61"/>
    <w:rsid w:val="0097236D"/>
    <w:rsid w:val="00975D61"/>
    <w:rsid w:val="0098254D"/>
    <w:rsid w:val="009830C8"/>
    <w:rsid w:val="00983F04"/>
    <w:rsid w:val="00984692"/>
    <w:rsid w:val="00984A4A"/>
    <w:rsid w:val="0099086E"/>
    <w:rsid w:val="00991E5D"/>
    <w:rsid w:val="009927C0"/>
    <w:rsid w:val="00993DD9"/>
    <w:rsid w:val="00996453"/>
    <w:rsid w:val="0099719C"/>
    <w:rsid w:val="009971B0"/>
    <w:rsid w:val="00997258"/>
    <w:rsid w:val="00997542"/>
    <w:rsid w:val="009A010C"/>
    <w:rsid w:val="009A1323"/>
    <w:rsid w:val="009A331F"/>
    <w:rsid w:val="009B0796"/>
    <w:rsid w:val="009B0BF9"/>
    <w:rsid w:val="009B29ED"/>
    <w:rsid w:val="009B431C"/>
    <w:rsid w:val="009B4D2E"/>
    <w:rsid w:val="009B55E4"/>
    <w:rsid w:val="009B5F6B"/>
    <w:rsid w:val="009C2397"/>
    <w:rsid w:val="009C4129"/>
    <w:rsid w:val="009C543D"/>
    <w:rsid w:val="009C6559"/>
    <w:rsid w:val="009C7DAB"/>
    <w:rsid w:val="009D0B82"/>
    <w:rsid w:val="009D1C90"/>
    <w:rsid w:val="009D52E3"/>
    <w:rsid w:val="009E0634"/>
    <w:rsid w:val="009E4F70"/>
    <w:rsid w:val="009E6303"/>
    <w:rsid w:val="009F080F"/>
    <w:rsid w:val="009F1105"/>
    <w:rsid w:val="009F1ED5"/>
    <w:rsid w:val="009F294F"/>
    <w:rsid w:val="009F36BA"/>
    <w:rsid w:val="009F3DBF"/>
    <w:rsid w:val="009F3DFA"/>
    <w:rsid w:val="009F40CB"/>
    <w:rsid w:val="009F5C43"/>
    <w:rsid w:val="009F6501"/>
    <w:rsid w:val="009F6FEB"/>
    <w:rsid w:val="00A01B9E"/>
    <w:rsid w:val="00A01D69"/>
    <w:rsid w:val="00A02270"/>
    <w:rsid w:val="00A0259E"/>
    <w:rsid w:val="00A02AB2"/>
    <w:rsid w:val="00A03CE3"/>
    <w:rsid w:val="00A03E72"/>
    <w:rsid w:val="00A06619"/>
    <w:rsid w:val="00A07067"/>
    <w:rsid w:val="00A0728D"/>
    <w:rsid w:val="00A07435"/>
    <w:rsid w:val="00A12AFE"/>
    <w:rsid w:val="00A137FB"/>
    <w:rsid w:val="00A1499B"/>
    <w:rsid w:val="00A16654"/>
    <w:rsid w:val="00A16B89"/>
    <w:rsid w:val="00A20BA4"/>
    <w:rsid w:val="00A211D4"/>
    <w:rsid w:val="00A21330"/>
    <w:rsid w:val="00A27611"/>
    <w:rsid w:val="00A307D7"/>
    <w:rsid w:val="00A30AC1"/>
    <w:rsid w:val="00A316E5"/>
    <w:rsid w:val="00A349D6"/>
    <w:rsid w:val="00A355C6"/>
    <w:rsid w:val="00A36232"/>
    <w:rsid w:val="00A36767"/>
    <w:rsid w:val="00A404A1"/>
    <w:rsid w:val="00A4144F"/>
    <w:rsid w:val="00A428E6"/>
    <w:rsid w:val="00A44B01"/>
    <w:rsid w:val="00A45250"/>
    <w:rsid w:val="00A47832"/>
    <w:rsid w:val="00A47A98"/>
    <w:rsid w:val="00A50D05"/>
    <w:rsid w:val="00A53E1A"/>
    <w:rsid w:val="00A54D7B"/>
    <w:rsid w:val="00A54DB6"/>
    <w:rsid w:val="00A55F93"/>
    <w:rsid w:val="00A60FE7"/>
    <w:rsid w:val="00A61552"/>
    <w:rsid w:val="00A62AE6"/>
    <w:rsid w:val="00A65088"/>
    <w:rsid w:val="00A66B3D"/>
    <w:rsid w:val="00A66C91"/>
    <w:rsid w:val="00A725CD"/>
    <w:rsid w:val="00A7577B"/>
    <w:rsid w:val="00A77B0A"/>
    <w:rsid w:val="00A820EA"/>
    <w:rsid w:val="00A8262B"/>
    <w:rsid w:val="00A83219"/>
    <w:rsid w:val="00A8334C"/>
    <w:rsid w:val="00A864A5"/>
    <w:rsid w:val="00A87BB7"/>
    <w:rsid w:val="00A90883"/>
    <w:rsid w:val="00A91104"/>
    <w:rsid w:val="00A9187F"/>
    <w:rsid w:val="00A92131"/>
    <w:rsid w:val="00A931AA"/>
    <w:rsid w:val="00A94309"/>
    <w:rsid w:val="00A97DCB"/>
    <w:rsid w:val="00AA0279"/>
    <w:rsid w:val="00AA0567"/>
    <w:rsid w:val="00AA0651"/>
    <w:rsid w:val="00AA0A99"/>
    <w:rsid w:val="00AA0F7D"/>
    <w:rsid w:val="00AA5A3C"/>
    <w:rsid w:val="00AA6A54"/>
    <w:rsid w:val="00AB108D"/>
    <w:rsid w:val="00AB1A47"/>
    <w:rsid w:val="00AB64FB"/>
    <w:rsid w:val="00AB680D"/>
    <w:rsid w:val="00AC2925"/>
    <w:rsid w:val="00AC398B"/>
    <w:rsid w:val="00AC56E6"/>
    <w:rsid w:val="00AC645F"/>
    <w:rsid w:val="00AC6E2D"/>
    <w:rsid w:val="00AD4078"/>
    <w:rsid w:val="00AD4328"/>
    <w:rsid w:val="00AE2601"/>
    <w:rsid w:val="00AE4AE0"/>
    <w:rsid w:val="00AE5209"/>
    <w:rsid w:val="00AE6881"/>
    <w:rsid w:val="00AF1729"/>
    <w:rsid w:val="00AF2098"/>
    <w:rsid w:val="00AF2BB9"/>
    <w:rsid w:val="00AF5BE6"/>
    <w:rsid w:val="00AF6E79"/>
    <w:rsid w:val="00AF79BD"/>
    <w:rsid w:val="00AF79E9"/>
    <w:rsid w:val="00B01C63"/>
    <w:rsid w:val="00B05FDA"/>
    <w:rsid w:val="00B061CF"/>
    <w:rsid w:val="00B10C0A"/>
    <w:rsid w:val="00B1101D"/>
    <w:rsid w:val="00B11BE1"/>
    <w:rsid w:val="00B121E3"/>
    <w:rsid w:val="00B1304E"/>
    <w:rsid w:val="00B148FC"/>
    <w:rsid w:val="00B1508A"/>
    <w:rsid w:val="00B15E63"/>
    <w:rsid w:val="00B2239E"/>
    <w:rsid w:val="00B25CA4"/>
    <w:rsid w:val="00B26DB0"/>
    <w:rsid w:val="00B27096"/>
    <w:rsid w:val="00B3077E"/>
    <w:rsid w:val="00B30A80"/>
    <w:rsid w:val="00B31E8B"/>
    <w:rsid w:val="00B345CF"/>
    <w:rsid w:val="00B36406"/>
    <w:rsid w:val="00B4047F"/>
    <w:rsid w:val="00B41F1C"/>
    <w:rsid w:val="00B51988"/>
    <w:rsid w:val="00B53134"/>
    <w:rsid w:val="00B53653"/>
    <w:rsid w:val="00B53D0C"/>
    <w:rsid w:val="00B5612C"/>
    <w:rsid w:val="00B56273"/>
    <w:rsid w:val="00B566F4"/>
    <w:rsid w:val="00B57176"/>
    <w:rsid w:val="00B578BB"/>
    <w:rsid w:val="00B60674"/>
    <w:rsid w:val="00B606E5"/>
    <w:rsid w:val="00B614BE"/>
    <w:rsid w:val="00B6264C"/>
    <w:rsid w:val="00B63DE7"/>
    <w:rsid w:val="00B64126"/>
    <w:rsid w:val="00B6693F"/>
    <w:rsid w:val="00B6752E"/>
    <w:rsid w:val="00B723C1"/>
    <w:rsid w:val="00B72858"/>
    <w:rsid w:val="00B73053"/>
    <w:rsid w:val="00B748BF"/>
    <w:rsid w:val="00B74BD4"/>
    <w:rsid w:val="00B76AC4"/>
    <w:rsid w:val="00B80582"/>
    <w:rsid w:val="00B81C76"/>
    <w:rsid w:val="00B82732"/>
    <w:rsid w:val="00B82893"/>
    <w:rsid w:val="00B82911"/>
    <w:rsid w:val="00B8492F"/>
    <w:rsid w:val="00B84E15"/>
    <w:rsid w:val="00B84F32"/>
    <w:rsid w:val="00B853A7"/>
    <w:rsid w:val="00B8615F"/>
    <w:rsid w:val="00B87AED"/>
    <w:rsid w:val="00B92D3C"/>
    <w:rsid w:val="00B96523"/>
    <w:rsid w:val="00BA2072"/>
    <w:rsid w:val="00BA43F6"/>
    <w:rsid w:val="00BA7788"/>
    <w:rsid w:val="00BA7837"/>
    <w:rsid w:val="00BB04B4"/>
    <w:rsid w:val="00BB1FD0"/>
    <w:rsid w:val="00BC0BB2"/>
    <w:rsid w:val="00BC1885"/>
    <w:rsid w:val="00BC3EA0"/>
    <w:rsid w:val="00BC6C8B"/>
    <w:rsid w:val="00BC7BD6"/>
    <w:rsid w:val="00BD1FB2"/>
    <w:rsid w:val="00BD509D"/>
    <w:rsid w:val="00BD57B6"/>
    <w:rsid w:val="00BD5AD4"/>
    <w:rsid w:val="00BD5C65"/>
    <w:rsid w:val="00BE1A75"/>
    <w:rsid w:val="00BE3133"/>
    <w:rsid w:val="00BE36E3"/>
    <w:rsid w:val="00BE4B5F"/>
    <w:rsid w:val="00BF1286"/>
    <w:rsid w:val="00BF48B0"/>
    <w:rsid w:val="00BF4DAE"/>
    <w:rsid w:val="00BF5F05"/>
    <w:rsid w:val="00BF7672"/>
    <w:rsid w:val="00BF7D31"/>
    <w:rsid w:val="00C006B1"/>
    <w:rsid w:val="00C019C2"/>
    <w:rsid w:val="00C04A9A"/>
    <w:rsid w:val="00C04E2A"/>
    <w:rsid w:val="00C04FDA"/>
    <w:rsid w:val="00C07C5D"/>
    <w:rsid w:val="00C07FA5"/>
    <w:rsid w:val="00C11B3B"/>
    <w:rsid w:val="00C14C7A"/>
    <w:rsid w:val="00C14F4E"/>
    <w:rsid w:val="00C15C61"/>
    <w:rsid w:val="00C17661"/>
    <w:rsid w:val="00C17C73"/>
    <w:rsid w:val="00C23DB6"/>
    <w:rsid w:val="00C267C2"/>
    <w:rsid w:val="00C27170"/>
    <w:rsid w:val="00C279F5"/>
    <w:rsid w:val="00C31924"/>
    <w:rsid w:val="00C3263C"/>
    <w:rsid w:val="00C341DB"/>
    <w:rsid w:val="00C36B2A"/>
    <w:rsid w:val="00C41BFE"/>
    <w:rsid w:val="00C42CAD"/>
    <w:rsid w:val="00C43307"/>
    <w:rsid w:val="00C45469"/>
    <w:rsid w:val="00C45932"/>
    <w:rsid w:val="00C45EDF"/>
    <w:rsid w:val="00C521A4"/>
    <w:rsid w:val="00C52225"/>
    <w:rsid w:val="00C52D29"/>
    <w:rsid w:val="00C53DAC"/>
    <w:rsid w:val="00C56BDA"/>
    <w:rsid w:val="00C60FC1"/>
    <w:rsid w:val="00C62569"/>
    <w:rsid w:val="00C63290"/>
    <w:rsid w:val="00C64A8D"/>
    <w:rsid w:val="00C650EA"/>
    <w:rsid w:val="00C65149"/>
    <w:rsid w:val="00C66C9F"/>
    <w:rsid w:val="00C71268"/>
    <w:rsid w:val="00C72EE3"/>
    <w:rsid w:val="00C73489"/>
    <w:rsid w:val="00C74254"/>
    <w:rsid w:val="00C763BC"/>
    <w:rsid w:val="00C81209"/>
    <w:rsid w:val="00C829B5"/>
    <w:rsid w:val="00C834F7"/>
    <w:rsid w:val="00C8788B"/>
    <w:rsid w:val="00C879A1"/>
    <w:rsid w:val="00C931B2"/>
    <w:rsid w:val="00C93549"/>
    <w:rsid w:val="00CA129F"/>
    <w:rsid w:val="00CA238E"/>
    <w:rsid w:val="00CA4E90"/>
    <w:rsid w:val="00CA552D"/>
    <w:rsid w:val="00CA6AF0"/>
    <w:rsid w:val="00CB08AA"/>
    <w:rsid w:val="00CB0BAB"/>
    <w:rsid w:val="00CB15C1"/>
    <w:rsid w:val="00CB3AC3"/>
    <w:rsid w:val="00CB73AD"/>
    <w:rsid w:val="00CC2F41"/>
    <w:rsid w:val="00CC44B5"/>
    <w:rsid w:val="00CC6AE2"/>
    <w:rsid w:val="00CD3472"/>
    <w:rsid w:val="00CD37CC"/>
    <w:rsid w:val="00CD3984"/>
    <w:rsid w:val="00CD4B62"/>
    <w:rsid w:val="00CD5424"/>
    <w:rsid w:val="00CD7B1C"/>
    <w:rsid w:val="00CE23FE"/>
    <w:rsid w:val="00CE2404"/>
    <w:rsid w:val="00CE3900"/>
    <w:rsid w:val="00CE3E3B"/>
    <w:rsid w:val="00CE53AE"/>
    <w:rsid w:val="00CE5474"/>
    <w:rsid w:val="00CE5EB6"/>
    <w:rsid w:val="00CF2235"/>
    <w:rsid w:val="00CF22E7"/>
    <w:rsid w:val="00CF6281"/>
    <w:rsid w:val="00CF6EA8"/>
    <w:rsid w:val="00D01A62"/>
    <w:rsid w:val="00D02C53"/>
    <w:rsid w:val="00D03774"/>
    <w:rsid w:val="00D04AA3"/>
    <w:rsid w:val="00D04F8B"/>
    <w:rsid w:val="00D052EF"/>
    <w:rsid w:val="00D06A48"/>
    <w:rsid w:val="00D07223"/>
    <w:rsid w:val="00D0750C"/>
    <w:rsid w:val="00D107EF"/>
    <w:rsid w:val="00D12F88"/>
    <w:rsid w:val="00D14DF2"/>
    <w:rsid w:val="00D16AC5"/>
    <w:rsid w:val="00D21B87"/>
    <w:rsid w:val="00D21C14"/>
    <w:rsid w:val="00D225F7"/>
    <w:rsid w:val="00D2580E"/>
    <w:rsid w:val="00D278AA"/>
    <w:rsid w:val="00D27B36"/>
    <w:rsid w:val="00D27EEA"/>
    <w:rsid w:val="00D310EE"/>
    <w:rsid w:val="00D32240"/>
    <w:rsid w:val="00D32850"/>
    <w:rsid w:val="00D33EC0"/>
    <w:rsid w:val="00D3728F"/>
    <w:rsid w:val="00D41F9A"/>
    <w:rsid w:val="00D475D9"/>
    <w:rsid w:val="00D479EF"/>
    <w:rsid w:val="00D47CF9"/>
    <w:rsid w:val="00D47E19"/>
    <w:rsid w:val="00D505C2"/>
    <w:rsid w:val="00D55369"/>
    <w:rsid w:val="00D5555C"/>
    <w:rsid w:val="00D619CC"/>
    <w:rsid w:val="00D62B30"/>
    <w:rsid w:val="00D643DE"/>
    <w:rsid w:val="00D65EDA"/>
    <w:rsid w:val="00D6670E"/>
    <w:rsid w:val="00D71CE0"/>
    <w:rsid w:val="00D72A78"/>
    <w:rsid w:val="00D733C4"/>
    <w:rsid w:val="00D734B2"/>
    <w:rsid w:val="00D74047"/>
    <w:rsid w:val="00D76D2A"/>
    <w:rsid w:val="00D77496"/>
    <w:rsid w:val="00D774E4"/>
    <w:rsid w:val="00D80DB2"/>
    <w:rsid w:val="00D814E5"/>
    <w:rsid w:val="00D821E3"/>
    <w:rsid w:val="00D87C73"/>
    <w:rsid w:val="00D90DE0"/>
    <w:rsid w:val="00D91EB7"/>
    <w:rsid w:val="00D92028"/>
    <w:rsid w:val="00D923B2"/>
    <w:rsid w:val="00D93AA7"/>
    <w:rsid w:val="00D93BD5"/>
    <w:rsid w:val="00D9660A"/>
    <w:rsid w:val="00D96EB2"/>
    <w:rsid w:val="00DA2762"/>
    <w:rsid w:val="00DA43AB"/>
    <w:rsid w:val="00DA4F25"/>
    <w:rsid w:val="00DB2427"/>
    <w:rsid w:val="00DB366E"/>
    <w:rsid w:val="00DB3E98"/>
    <w:rsid w:val="00DB51CD"/>
    <w:rsid w:val="00DC018D"/>
    <w:rsid w:val="00DC341E"/>
    <w:rsid w:val="00DC40C5"/>
    <w:rsid w:val="00DC7F88"/>
    <w:rsid w:val="00DD0A71"/>
    <w:rsid w:val="00DD11BA"/>
    <w:rsid w:val="00DD2C30"/>
    <w:rsid w:val="00DD2E66"/>
    <w:rsid w:val="00DD32B5"/>
    <w:rsid w:val="00DD7964"/>
    <w:rsid w:val="00DE0913"/>
    <w:rsid w:val="00DE0A47"/>
    <w:rsid w:val="00DE63DA"/>
    <w:rsid w:val="00DE63FC"/>
    <w:rsid w:val="00DF0840"/>
    <w:rsid w:val="00DF132E"/>
    <w:rsid w:val="00DF216D"/>
    <w:rsid w:val="00DF2E7B"/>
    <w:rsid w:val="00DF537C"/>
    <w:rsid w:val="00DF6A6C"/>
    <w:rsid w:val="00E0257A"/>
    <w:rsid w:val="00E07BBB"/>
    <w:rsid w:val="00E10A70"/>
    <w:rsid w:val="00E11CD5"/>
    <w:rsid w:val="00E16BDB"/>
    <w:rsid w:val="00E17042"/>
    <w:rsid w:val="00E226F1"/>
    <w:rsid w:val="00E22D4E"/>
    <w:rsid w:val="00E23D42"/>
    <w:rsid w:val="00E25546"/>
    <w:rsid w:val="00E2602E"/>
    <w:rsid w:val="00E26B9C"/>
    <w:rsid w:val="00E318E8"/>
    <w:rsid w:val="00E33038"/>
    <w:rsid w:val="00E33CB8"/>
    <w:rsid w:val="00E33E87"/>
    <w:rsid w:val="00E34967"/>
    <w:rsid w:val="00E427A8"/>
    <w:rsid w:val="00E44ECE"/>
    <w:rsid w:val="00E45B4B"/>
    <w:rsid w:val="00E47DB5"/>
    <w:rsid w:val="00E47EBD"/>
    <w:rsid w:val="00E50DD0"/>
    <w:rsid w:val="00E511E4"/>
    <w:rsid w:val="00E52B84"/>
    <w:rsid w:val="00E5441F"/>
    <w:rsid w:val="00E561FE"/>
    <w:rsid w:val="00E605CC"/>
    <w:rsid w:val="00E63924"/>
    <w:rsid w:val="00E64594"/>
    <w:rsid w:val="00E652BF"/>
    <w:rsid w:val="00E655B8"/>
    <w:rsid w:val="00E658E9"/>
    <w:rsid w:val="00E6617F"/>
    <w:rsid w:val="00E71205"/>
    <w:rsid w:val="00E71B32"/>
    <w:rsid w:val="00E73992"/>
    <w:rsid w:val="00E76E63"/>
    <w:rsid w:val="00E8143E"/>
    <w:rsid w:val="00E818FC"/>
    <w:rsid w:val="00E83F98"/>
    <w:rsid w:val="00E841AD"/>
    <w:rsid w:val="00E84E17"/>
    <w:rsid w:val="00E901E5"/>
    <w:rsid w:val="00E93705"/>
    <w:rsid w:val="00E939F4"/>
    <w:rsid w:val="00E949EF"/>
    <w:rsid w:val="00E95A73"/>
    <w:rsid w:val="00E96948"/>
    <w:rsid w:val="00E977E9"/>
    <w:rsid w:val="00EA0244"/>
    <w:rsid w:val="00EA2121"/>
    <w:rsid w:val="00EA25FD"/>
    <w:rsid w:val="00EA2E0C"/>
    <w:rsid w:val="00EA3EA0"/>
    <w:rsid w:val="00EA76A3"/>
    <w:rsid w:val="00EA7ED8"/>
    <w:rsid w:val="00EB01ED"/>
    <w:rsid w:val="00EB2157"/>
    <w:rsid w:val="00EB2434"/>
    <w:rsid w:val="00EB3953"/>
    <w:rsid w:val="00EB43C0"/>
    <w:rsid w:val="00EB53C1"/>
    <w:rsid w:val="00EC001E"/>
    <w:rsid w:val="00EC214F"/>
    <w:rsid w:val="00EC42C6"/>
    <w:rsid w:val="00EC68A3"/>
    <w:rsid w:val="00ED18C4"/>
    <w:rsid w:val="00ED1C79"/>
    <w:rsid w:val="00ED2E63"/>
    <w:rsid w:val="00ED4332"/>
    <w:rsid w:val="00ED5FFF"/>
    <w:rsid w:val="00ED69FB"/>
    <w:rsid w:val="00EE03E6"/>
    <w:rsid w:val="00EE056B"/>
    <w:rsid w:val="00EE204C"/>
    <w:rsid w:val="00EE3214"/>
    <w:rsid w:val="00EE3FC0"/>
    <w:rsid w:val="00EE58BF"/>
    <w:rsid w:val="00EF1A94"/>
    <w:rsid w:val="00EF269B"/>
    <w:rsid w:val="00EF407C"/>
    <w:rsid w:val="00EF50FD"/>
    <w:rsid w:val="00EF5CBA"/>
    <w:rsid w:val="00EF67BC"/>
    <w:rsid w:val="00F00A9D"/>
    <w:rsid w:val="00F00BFE"/>
    <w:rsid w:val="00F01ED1"/>
    <w:rsid w:val="00F034D0"/>
    <w:rsid w:val="00F05933"/>
    <w:rsid w:val="00F05A65"/>
    <w:rsid w:val="00F05AD9"/>
    <w:rsid w:val="00F1342F"/>
    <w:rsid w:val="00F15365"/>
    <w:rsid w:val="00F16C50"/>
    <w:rsid w:val="00F17801"/>
    <w:rsid w:val="00F20876"/>
    <w:rsid w:val="00F21344"/>
    <w:rsid w:val="00F2296D"/>
    <w:rsid w:val="00F23703"/>
    <w:rsid w:val="00F27C64"/>
    <w:rsid w:val="00F31430"/>
    <w:rsid w:val="00F315FD"/>
    <w:rsid w:val="00F321A6"/>
    <w:rsid w:val="00F37083"/>
    <w:rsid w:val="00F37A24"/>
    <w:rsid w:val="00F402DF"/>
    <w:rsid w:val="00F40E6D"/>
    <w:rsid w:val="00F42D05"/>
    <w:rsid w:val="00F42D87"/>
    <w:rsid w:val="00F43F2B"/>
    <w:rsid w:val="00F44E8E"/>
    <w:rsid w:val="00F45ADE"/>
    <w:rsid w:val="00F47B05"/>
    <w:rsid w:val="00F56435"/>
    <w:rsid w:val="00F5746E"/>
    <w:rsid w:val="00F57F6F"/>
    <w:rsid w:val="00F57FEB"/>
    <w:rsid w:val="00F6185A"/>
    <w:rsid w:val="00F637B2"/>
    <w:rsid w:val="00F64DC6"/>
    <w:rsid w:val="00F706D2"/>
    <w:rsid w:val="00F70F22"/>
    <w:rsid w:val="00F72E1C"/>
    <w:rsid w:val="00F778FC"/>
    <w:rsid w:val="00F80C35"/>
    <w:rsid w:val="00F80DF0"/>
    <w:rsid w:val="00F811EF"/>
    <w:rsid w:val="00F83C17"/>
    <w:rsid w:val="00F84928"/>
    <w:rsid w:val="00F8530C"/>
    <w:rsid w:val="00F87AEB"/>
    <w:rsid w:val="00F904B8"/>
    <w:rsid w:val="00F9051F"/>
    <w:rsid w:val="00F91B9E"/>
    <w:rsid w:val="00F91F3D"/>
    <w:rsid w:val="00F9368C"/>
    <w:rsid w:val="00F945D8"/>
    <w:rsid w:val="00F96D2B"/>
    <w:rsid w:val="00FA1A5E"/>
    <w:rsid w:val="00FA2433"/>
    <w:rsid w:val="00FA27FF"/>
    <w:rsid w:val="00FA34BA"/>
    <w:rsid w:val="00FA5622"/>
    <w:rsid w:val="00FA598B"/>
    <w:rsid w:val="00FA60B6"/>
    <w:rsid w:val="00FA7753"/>
    <w:rsid w:val="00FA7EFC"/>
    <w:rsid w:val="00FB1871"/>
    <w:rsid w:val="00FB21EF"/>
    <w:rsid w:val="00FB367A"/>
    <w:rsid w:val="00FB3BCE"/>
    <w:rsid w:val="00FB4DAB"/>
    <w:rsid w:val="00FC27A3"/>
    <w:rsid w:val="00FC3F5A"/>
    <w:rsid w:val="00FC62A4"/>
    <w:rsid w:val="00FD020E"/>
    <w:rsid w:val="00FD1402"/>
    <w:rsid w:val="00FD1AF2"/>
    <w:rsid w:val="00FD391E"/>
    <w:rsid w:val="00FD5497"/>
    <w:rsid w:val="00FD5B74"/>
    <w:rsid w:val="00FE0452"/>
    <w:rsid w:val="00FE07EE"/>
    <w:rsid w:val="00FE1068"/>
    <w:rsid w:val="00FE1832"/>
    <w:rsid w:val="00FE292F"/>
    <w:rsid w:val="00FE3199"/>
    <w:rsid w:val="00FE6E34"/>
    <w:rsid w:val="00FE7405"/>
    <w:rsid w:val="00FE7CEA"/>
    <w:rsid w:val="00FF1C4D"/>
    <w:rsid w:val="00FF297F"/>
    <w:rsid w:val="00FF3C1F"/>
    <w:rsid w:val="00FF481F"/>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6E221"/>
  <w15:chartTrackingRefBased/>
  <w15:docId w15:val="{98F6E58A-9DD8-4E88-9E38-6D7FE091E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NZ" w:eastAsia="en-NZ"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572"/>
    <w:rPr>
      <w:rFonts w:ascii="Arial" w:eastAsia="Times New Roman" w:hAnsi="Arial"/>
      <w:sz w:val="22"/>
      <w:lang w:val="en-GB" w:eastAsia="en-GB"/>
    </w:rPr>
  </w:style>
  <w:style w:type="paragraph" w:styleId="Heading1">
    <w:name w:val="heading 1"/>
    <w:basedOn w:val="Normal"/>
    <w:next w:val="Normal"/>
    <w:link w:val="Heading1Char"/>
    <w:qFormat/>
    <w:rsid w:val="00BC3EA0"/>
    <w:pPr>
      <w:outlineLvl w:val="0"/>
    </w:pPr>
    <w:rPr>
      <w:b/>
      <w:color w:val="002469"/>
      <w:spacing w:val="20"/>
      <w:w w:val="90"/>
      <w:sz w:val="44"/>
      <w:szCs w:val="44"/>
    </w:rPr>
  </w:style>
  <w:style w:type="paragraph" w:styleId="Heading2">
    <w:name w:val="heading 2"/>
    <w:basedOn w:val="Normal"/>
    <w:next w:val="Normal"/>
    <w:link w:val="Heading2Char"/>
    <w:autoRedefine/>
    <w:qFormat/>
    <w:rsid w:val="00346B30"/>
    <w:pPr>
      <w:keepNext/>
      <w:outlineLvl w:val="1"/>
    </w:pPr>
    <w:rPr>
      <w:rFonts w:ascii="Arial Bold" w:hAnsi="Arial Bold"/>
      <w:b/>
      <w:color w:val="0082AB"/>
      <w:spacing w:val="20"/>
      <w:w w:val="90"/>
      <w:sz w:val="32"/>
      <w:szCs w:val="24"/>
    </w:rPr>
  </w:style>
  <w:style w:type="paragraph" w:styleId="Heading3">
    <w:name w:val="heading 3"/>
    <w:basedOn w:val="Heading2"/>
    <w:next w:val="Normal"/>
    <w:link w:val="Heading3Char"/>
    <w:qFormat/>
    <w:rsid w:val="00715855"/>
    <w:pPr>
      <w:spacing w:before="200" w:after="180"/>
      <w:outlineLvl w:val="2"/>
    </w:pPr>
    <w:rPr>
      <w:sz w:val="24"/>
      <w:szCs w:val="22"/>
    </w:rPr>
  </w:style>
  <w:style w:type="paragraph" w:styleId="Heading4">
    <w:name w:val="heading 4"/>
    <w:basedOn w:val="Normal"/>
    <w:next w:val="Normal"/>
    <w:link w:val="Heading4Char"/>
    <w:qFormat/>
    <w:rsid w:val="006448CF"/>
    <w:pPr>
      <w:spacing w:after="200"/>
      <w:outlineLvl w:val="3"/>
    </w:pPr>
    <w:rPr>
      <w:b/>
      <w:bCs/>
      <w:color w:val="595959" w:themeColor="text1" w:themeTint="A6"/>
    </w:rPr>
  </w:style>
  <w:style w:type="paragraph" w:styleId="Heading5">
    <w:name w:val="heading 5"/>
    <w:basedOn w:val="Normal"/>
    <w:next w:val="Normal"/>
    <w:link w:val="Heading5Char"/>
    <w:rsid w:val="00BC3EA0"/>
    <w:pPr>
      <w:keepNext/>
      <w:widowControl w:val="0"/>
      <w:spacing w:before="80"/>
      <w:outlineLvl w:val="4"/>
    </w:pPr>
    <w:rPr>
      <w:color w:val="000000"/>
      <w:szCs w:val="22"/>
    </w:rPr>
  </w:style>
  <w:style w:type="paragraph" w:styleId="Heading6">
    <w:name w:val="heading 6"/>
    <w:basedOn w:val="Normal"/>
    <w:next w:val="Normal"/>
    <w:link w:val="Heading6Char"/>
    <w:rsid w:val="00BC3EA0"/>
    <w:pPr>
      <w:spacing w:before="240"/>
      <w:outlineLvl w:val="5"/>
    </w:pPr>
    <w:rPr>
      <w:i/>
      <w:sz w:val="20"/>
    </w:rPr>
  </w:style>
  <w:style w:type="paragraph" w:styleId="Heading7">
    <w:name w:val="heading 7"/>
    <w:basedOn w:val="Normal"/>
    <w:next w:val="Normal"/>
    <w:link w:val="Heading7Char"/>
    <w:rsid w:val="00BC3EA0"/>
    <w:pPr>
      <w:spacing w:before="240"/>
      <w:outlineLvl w:val="6"/>
    </w:pPr>
    <w:rPr>
      <w:sz w:val="20"/>
    </w:rPr>
  </w:style>
  <w:style w:type="paragraph" w:styleId="Heading8">
    <w:name w:val="heading 8"/>
    <w:basedOn w:val="Normal"/>
    <w:next w:val="Normal"/>
    <w:link w:val="Heading8Char"/>
    <w:rsid w:val="00BC3EA0"/>
    <w:pPr>
      <w:spacing w:before="80" w:after="80"/>
      <w:outlineLvl w:val="7"/>
    </w:pPr>
    <w:rPr>
      <w:sz w:val="20"/>
    </w:rPr>
  </w:style>
  <w:style w:type="paragraph" w:styleId="Heading9">
    <w:name w:val="heading 9"/>
    <w:next w:val="Normal"/>
    <w:link w:val="Heading9Char"/>
    <w:rsid w:val="00BC3EA0"/>
    <w:pPr>
      <w:keepNext/>
      <w:spacing w:before="160" w:line="260" w:lineRule="exact"/>
      <w:outlineLvl w:val="8"/>
    </w:pPr>
    <w:rPr>
      <w:rFonts w:ascii="Arial" w:eastAsia="Times New Roman"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autoRedefine/>
    <w:rsid w:val="006448CF"/>
    <w:pPr>
      <w:tabs>
        <w:tab w:val="right" w:pos="14002"/>
      </w:tabs>
      <w:spacing w:after="0"/>
    </w:pPr>
    <w:rPr>
      <w:noProof/>
      <w:color w:val="0082AB"/>
      <w:spacing w:val="6"/>
      <w:sz w:val="16"/>
      <w:szCs w:val="16"/>
    </w:rPr>
  </w:style>
  <w:style w:type="character" w:customStyle="1" w:styleId="FooterChar">
    <w:name w:val="Footer Char"/>
    <w:link w:val="Footer"/>
    <w:rsid w:val="006448CF"/>
    <w:rPr>
      <w:rFonts w:ascii="Arial" w:eastAsia="Times New Roman" w:hAnsi="Arial"/>
      <w:noProof/>
      <w:color w:val="0082AB"/>
      <w:spacing w:val="6"/>
      <w:sz w:val="16"/>
      <w:szCs w:val="16"/>
      <w:lang w:val="en-GB" w:eastAsia="en-GB"/>
    </w:rPr>
  </w:style>
  <w:style w:type="table" w:styleId="TableGrid">
    <w:name w:val="Table Grid"/>
    <w:basedOn w:val="TableNormal"/>
    <w:rsid w:val="00BC3EA0"/>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BC3EA0"/>
    <w:rPr>
      <w:rFonts w:ascii="Tahoma" w:hAnsi="Tahoma" w:cs="Tahoma"/>
      <w:sz w:val="16"/>
      <w:szCs w:val="16"/>
    </w:rPr>
  </w:style>
  <w:style w:type="character" w:customStyle="1" w:styleId="BalloonTextChar">
    <w:name w:val="Balloon Text Char"/>
    <w:link w:val="BalloonText"/>
    <w:semiHidden/>
    <w:rsid w:val="00487FAD"/>
    <w:rPr>
      <w:rFonts w:ascii="Tahoma" w:eastAsia="Times New Roman" w:hAnsi="Tahoma" w:cs="Tahoma"/>
      <w:sz w:val="16"/>
      <w:szCs w:val="16"/>
      <w:lang w:val="en-GB" w:eastAsia="en-GB"/>
    </w:rPr>
  </w:style>
  <w:style w:type="paragraph" w:styleId="ListParagraph">
    <w:name w:val="List Paragraph"/>
    <w:basedOn w:val="Normal"/>
    <w:uiPriority w:val="34"/>
    <w:qFormat/>
    <w:rsid w:val="006448CF"/>
    <w:pPr>
      <w:ind w:left="567"/>
      <w:contextualSpacing/>
    </w:pPr>
  </w:style>
  <w:style w:type="character" w:styleId="Hyperlink">
    <w:name w:val="Hyperlink"/>
    <w:uiPriority w:val="99"/>
    <w:rsid w:val="00537EFE"/>
    <w:rPr>
      <w:color w:val="0082AB"/>
      <w:u w:val="single"/>
    </w:rPr>
  </w:style>
  <w:style w:type="character" w:styleId="CommentReference">
    <w:name w:val="annotation reference"/>
    <w:semiHidden/>
    <w:rsid w:val="00BC3EA0"/>
    <w:rPr>
      <w:sz w:val="16"/>
      <w:szCs w:val="16"/>
    </w:rPr>
  </w:style>
  <w:style w:type="paragraph" w:styleId="CommentText">
    <w:name w:val="annotation text"/>
    <w:basedOn w:val="Normal"/>
    <w:link w:val="CommentTextChar"/>
    <w:semiHidden/>
    <w:rsid w:val="00BC3EA0"/>
    <w:rPr>
      <w:sz w:val="20"/>
    </w:rPr>
  </w:style>
  <w:style w:type="character" w:customStyle="1" w:styleId="CommentTextChar">
    <w:name w:val="Comment Text Char"/>
    <w:link w:val="CommentText"/>
    <w:semiHidden/>
    <w:rsid w:val="004A4084"/>
    <w:rPr>
      <w:rFonts w:ascii="Arial" w:eastAsia="Times New Roman" w:hAnsi="Arial" w:cs="Times New Roman"/>
      <w:sz w:val="20"/>
      <w:szCs w:val="20"/>
      <w:lang w:val="en-GB" w:eastAsia="en-GB"/>
    </w:rPr>
  </w:style>
  <w:style w:type="paragraph" w:customStyle="1" w:styleId="BodyText-Numbered">
    <w:name w:val="Body Text - Numbered"/>
    <w:basedOn w:val="BodyText"/>
    <w:link w:val="BodyText-NumberedChar"/>
    <w:qFormat/>
    <w:rsid w:val="004A4084"/>
    <w:pPr>
      <w:keepNext/>
      <w:numPr>
        <w:numId w:val="1"/>
      </w:numPr>
      <w:spacing w:before="60"/>
    </w:pPr>
    <w:rPr>
      <w:rFonts w:cs="Arial"/>
    </w:rPr>
  </w:style>
  <w:style w:type="character" w:customStyle="1" w:styleId="BodyText-NumberedChar">
    <w:name w:val="Body Text - Numbered Char"/>
    <w:link w:val="BodyText-Numbered"/>
    <w:rsid w:val="004A4084"/>
    <w:rPr>
      <w:rFonts w:ascii="Arial" w:eastAsia="Times New Roman" w:hAnsi="Arial" w:cs="Arial"/>
      <w:sz w:val="22"/>
      <w:lang w:val="en-GB" w:eastAsia="en-GB"/>
    </w:rPr>
  </w:style>
  <w:style w:type="paragraph" w:styleId="BodyText">
    <w:name w:val="Body Text"/>
    <w:basedOn w:val="Normal"/>
    <w:link w:val="BodyTextChar"/>
    <w:uiPriority w:val="99"/>
    <w:semiHidden/>
    <w:unhideWhenUsed/>
    <w:rsid w:val="004A4084"/>
  </w:style>
  <w:style w:type="character" w:customStyle="1" w:styleId="BodyTextChar">
    <w:name w:val="Body Text Char"/>
    <w:basedOn w:val="DefaultParagraphFont"/>
    <w:link w:val="BodyText"/>
    <w:uiPriority w:val="99"/>
    <w:semiHidden/>
    <w:rsid w:val="004A4084"/>
  </w:style>
  <w:style w:type="paragraph" w:customStyle="1" w:styleId="spacer">
    <w:name w:val="spacer"/>
    <w:basedOn w:val="Normal"/>
    <w:qFormat/>
    <w:rsid w:val="00BC3EA0"/>
    <w:pPr>
      <w:spacing w:after="0"/>
    </w:pPr>
    <w:rPr>
      <w:sz w:val="16"/>
      <w:szCs w:val="22"/>
      <w:lang w:eastAsia="en-AU"/>
    </w:rPr>
  </w:style>
  <w:style w:type="paragraph" w:styleId="CommentSubject">
    <w:name w:val="annotation subject"/>
    <w:basedOn w:val="CommentText"/>
    <w:next w:val="CommentText"/>
    <w:link w:val="CommentSubjectChar"/>
    <w:semiHidden/>
    <w:rsid w:val="00BC3EA0"/>
    <w:rPr>
      <w:b/>
      <w:bCs/>
    </w:rPr>
  </w:style>
  <w:style w:type="character" w:customStyle="1" w:styleId="CommentSubjectChar">
    <w:name w:val="Comment Subject Char"/>
    <w:link w:val="CommentSubject"/>
    <w:semiHidden/>
    <w:rsid w:val="000C4659"/>
    <w:rPr>
      <w:rFonts w:ascii="Arial" w:eastAsia="Times New Roman" w:hAnsi="Arial" w:cs="Times New Roman"/>
      <w:b/>
      <w:bCs/>
      <w:sz w:val="20"/>
      <w:szCs w:val="20"/>
      <w:lang w:val="en-GB" w:eastAsia="en-GB"/>
    </w:rPr>
  </w:style>
  <w:style w:type="paragraph" w:styleId="Header">
    <w:name w:val="header"/>
    <w:basedOn w:val="Normal"/>
    <w:link w:val="HeaderChar"/>
    <w:rsid w:val="00BC3EA0"/>
    <w:pPr>
      <w:tabs>
        <w:tab w:val="center" w:pos="4153"/>
        <w:tab w:val="right" w:pos="8306"/>
      </w:tabs>
    </w:pPr>
  </w:style>
  <w:style w:type="character" w:customStyle="1" w:styleId="HeaderChar">
    <w:name w:val="Header Char"/>
    <w:link w:val="Header"/>
    <w:rsid w:val="008D265C"/>
    <w:rPr>
      <w:rFonts w:ascii="Arial" w:eastAsia="Times New Roman" w:hAnsi="Arial" w:cs="Times New Roman"/>
      <w:szCs w:val="20"/>
      <w:lang w:val="en-GB" w:eastAsia="en-GB"/>
    </w:rPr>
  </w:style>
  <w:style w:type="character" w:styleId="FollowedHyperlink">
    <w:name w:val="FollowedHyperlink"/>
    <w:rsid w:val="00BC3EA0"/>
    <w:rPr>
      <w:color w:val="800080"/>
      <w:u w:val="single"/>
    </w:rPr>
  </w:style>
  <w:style w:type="paragraph" w:styleId="Revision">
    <w:name w:val="Revision"/>
    <w:hidden/>
    <w:uiPriority w:val="99"/>
    <w:semiHidden/>
    <w:rsid w:val="0082413D"/>
    <w:rPr>
      <w:sz w:val="22"/>
      <w:szCs w:val="22"/>
      <w:lang w:eastAsia="en-US"/>
    </w:rPr>
  </w:style>
  <w:style w:type="paragraph" w:customStyle="1" w:styleId="Author">
    <w:name w:val="Author"/>
    <w:basedOn w:val="Normal"/>
    <w:semiHidden/>
    <w:rsid w:val="00BC3EA0"/>
    <w:pPr>
      <w:spacing w:before="240" w:after="1200"/>
      <w:ind w:left="-181"/>
      <w:jc w:val="right"/>
    </w:pPr>
    <w:rPr>
      <w:rFonts w:cs="Arial"/>
      <w:i/>
      <w:sz w:val="40"/>
      <w:szCs w:val="22"/>
    </w:rPr>
  </w:style>
  <w:style w:type="paragraph" w:customStyle="1" w:styleId="Boxtext">
    <w:name w:val="Box text"/>
    <w:basedOn w:val="Normal"/>
    <w:rsid w:val="00FA7EFC"/>
    <w:pPr>
      <w:pBdr>
        <w:top w:val="single" w:sz="4" w:space="10" w:color="EBF5F8"/>
        <w:left w:val="single" w:sz="4" w:space="4" w:color="EBF5F8"/>
        <w:bottom w:val="single" w:sz="4" w:space="10" w:color="EBF5F8"/>
        <w:right w:val="single" w:sz="4" w:space="4" w:color="EBF5F8"/>
      </w:pBdr>
      <w:shd w:val="clear" w:color="auto" w:fill="EBF5F8"/>
      <w:spacing w:after="80"/>
      <w:ind w:left="142" w:right="142"/>
    </w:pPr>
    <w:rPr>
      <w:i/>
    </w:rPr>
  </w:style>
  <w:style w:type="paragraph" w:customStyle="1" w:styleId="Boxbullet">
    <w:name w:val="Box bullet"/>
    <w:basedOn w:val="Boxtext"/>
    <w:rsid w:val="00BC3EA0"/>
    <w:pPr>
      <w:numPr>
        <w:numId w:val="2"/>
      </w:numPr>
      <w:tabs>
        <w:tab w:val="clear" w:pos="644"/>
        <w:tab w:val="num" w:pos="426"/>
      </w:tabs>
      <w:spacing w:before="80"/>
    </w:pPr>
  </w:style>
  <w:style w:type="paragraph" w:customStyle="1" w:styleId="Boxheading">
    <w:name w:val="Box heading"/>
    <w:basedOn w:val="Normal"/>
    <w:next w:val="Boxtext"/>
    <w:autoRedefine/>
    <w:rsid w:val="00BC3EA0"/>
    <w:pPr>
      <w:spacing w:before="180" w:after="60"/>
      <w:ind w:left="284" w:right="284"/>
    </w:pPr>
    <w:rPr>
      <w:rFonts w:ascii="Arial Narrow" w:hAnsi="Arial Narrow"/>
      <w:b/>
      <w:bCs/>
      <w:color w:val="335087"/>
      <w:spacing w:val="10"/>
      <w:szCs w:val="22"/>
    </w:rPr>
  </w:style>
  <w:style w:type="paragraph" w:customStyle="1" w:styleId="Boxindent">
    <w:name w:val="Box indent"/>
    <w:basedOn w:val="Boxtext"/>
    <w:rsid w:val="00BC3EA0"/>
    <w:pPr>
      <w:tabs>
        <w:tab w:val="left" w:pos="426"/>
      </w:tabs>
      <w:ind w:left="426" w:hanging="284"/>
    </w:pPr>
  </w:style>
  <w:style w:type="paragraph" w:customStyle="1" w:styleId="Bullet-list">
    <w:name w:val="Bullet-list"/>
    <w:qFormat/>
    <w:rsid w:val="00BC3EA0"/>
    <w:pPr>
      <w:numPr>
        <w:numId w:val="3"/>
      </w:numPr>
      <w:spacing w:after="180" w:line="280" w:lineRule="exact"/>
    </w:pPr>
    <w:rPr>
      <w:rFonts w:ascii="Arial" w:eastAsia="Times New Roman" w:hAnsi="Arial"/>
      <w:sz w:val="22"/>
      <w:lang w:val="en-AU" w:eastAsia="en-US"/>
    </w:rPr>
  </w:style>
  <w:style w:type="paragraph" w:styleId="Caption">
    <w:name w:val="caption"/>
    <w:basedOn w:val="Normal"/>
    <w:next w:val="Normal"/>
    <w:rsid w:val="00BC3EA0"/>
    <w:rPr>
      <w:b/>
      <w:bCs/>
      <w:sz w:val="20"/>
    </w:rPr>
  </w:style>
  <w:style w:type="paragraph" w:styleId="DocumentMap">
    <w:name w:val="Document Map"/>
    <w:basedOn w:val="Normal"/>
    <w:link w:val="DocumentMapChar"/>
    <w:semiHidden/>
    <w:rsid w:val="00BC3EA0"/>
    <w:pPr>
      <w:shd w:val="clear" w:color="auto" w:fill="000080"/>
    </w:pPr>
    <w:rPr>
      <w:rFonts w:ascii="Tahoma" w:hAnsi="Tahoma" w:cs="Tahoma"/>
      <w:sz w:val="20"/>
    </w:rPr>
  </w:style>
  <w:style w:type="character" w:customStyle="1" w:styleId="DocumentMapChar">
    <w:name w:val="Document Map Char"/>
    <w:link w:val="DocumentMap"/>
    <w:semiHidden/>
    <w:rsid w:val="00BC3EA0"/>
    <w:rPr>
      <w:rFonts w:ascii="Tahoma" w:eastAsia="Times New Roman" w:hAnsi="Tahoma" w:cs="Tahoma"/>
      <w:sz w:val="20"/>
      <w:szCs w:val="20"/>
      <w:shd w:val="clear" w:color="auto" w:fill="000080"/>
      <w:lang w:val="en-GB" w:eastAsia="en-GB"/>
    </w:rPr>
  </w:style>
  <w:style w:type="paragraph" w:customStyle="1" w:styleId="EvenFooter">
    <w:name w:val="Even Footer"/>
    <w:basedOn w:val="Footer"/>
    <w:rsid w:val="00BC3EA0"/>
  </w:style>
  <w:style w:type="paragraph" w:customStyle="1" w:styleId="Evenfooter-wide">
    <w:name w:val="Even footer-wide"/>
    <w:basedOn w:val="EvenFooter"/>
    <w:rsid w:val="00BC3EA0"/>
  </w:style>
  <w:style w:type="character" w:styleId="FootnoteReference">
    <w:name w:val="footnote reference"/>
    <w:semiHidden/>
    <w:rsid w:val="00BC3EA0"/>
    <w:rPr>
      <w:rFonts w:ascii="Arial" w:hAnsi="Arial"/>
      <w:color w:val="auto"/>
      <w:position w:val="8"/>
      <w:sz w:val="16"/>
    </w:rPr>
  </w:style>
  <w:style w:type="paragraph" w:styleId="FootnoteText">
    <w:name w:val="footnote text"/>
    <w:basedOn w:val="Normal"/>
    <w:link w:val="FootnoteTextChar"/>
    <w:semiHidden/>
    <w:rsid w:val="00BC3EA0"/>
    <w:pPr>
      <w:tabs>
        <w:tab w:val="left" w:pos="425"/>
      </w:tabs>
      <w:spacing w:after="60"/>
      <w:ind w:left="425" w:hanging="425"/>
    </w:pPr>
    <w:rPr>
      <w:sz w:val="18"/>
    </w:rPr>
  </w:style>
  <w:style w:type="character" w:customStyle="1" w:styleId="FootnoteTextChar">
    <w:name w:val="Footnote Text Char"/>
    <w:link w:val="FootnoteText"/>
    <w:semiHidden/>
    <w:rsid w:val="00BC3EA0"/>
    <w:rPr>
      <w:rFonts w:ascii="Arial" w:eastAsia="Times New Roman" w:hAnsi="Arial" w:cs="Times New Roman"/>
      <w:sz w:val="18"/>
      <w:szCs w:val="20"/>
      <w:lang w:val="en-GB" w:eastAsia="en-GB"/>
    </w:rPr>
  </w:style>
  <w:style w:type="character" w:customStyle="1" w:styleId="Heading1Char">
    <w:name w:val="Heading 1 Char"/>
    <w:link w:val="Heading1"/>
    <w:rsid w:val="00BC3EA0"/>
    <w:rPr>
      <w:rFonts w:ascii="Arial" w:eastAsia="Times New Roman" w:hAnsi="Arial" w:cs="Times New Roman"/>
      <w:b/>
      <w:color w:val="002469"/>
      <w:spacing w:val="20"/>
      <w:w w:val="90"/>
      <w:sz w:val="44"/>
      <w:szCs w:val="44"/>
      <w:lang w:val="en-GB" w:eastAsia="en-GB"/>
    </w:rPr>
  </w:style>
  <w:style w:type="character" w:customStyle="1" w:styleId="Heading2Char">
    <w:name w:val="Heading 2 Char"/>
    <w:link w:val="Heading2"/>
    <w:rsid w:val="00346B30"/>
    <w:rPr>
      <w:rFonts w:ascii="Arial Bold" w:eastAsia="Times New Roman" w:hAnsi="Arial Bold"/>
      <w:b/>
      <w:color w:val="0082AB"/>
      <w:spacing w:val="20"/>
      <w:w w:val="90"/>
      <w:sz w:val="32"/>
      <w:szCs w:val="24"/>
      <w:lang w:val="en-GB" w:eastAsia="en-GB"/>
    </w:rPr>
  </w:style>
  <w:style w:type="character" w:customStyle="1" w:styleId="Heading3Char">
    <w:name w:val="Heading 3 Char"/>
    <w:link w:val="Heading3"/>
    <w:rsid w:val="00715855"/>
    <w:rPr>
      <w:rFonts w:ascii="Arial Bold" w:eastAsia="Times New Roman" w:hAnsi="Arial Bold"/>
      <w:b/>
      <w:color w:val="0082AB"/>
      <w:spacing w:val="20"/>
      <w:w w:val="90"/>
      <w:sz w:val="24"/>
      <w:szCs w:val="22"/>
      <w:lang w:val="en-GB" w:eastAsia="en-GB"/>
    </w:rPr>
  </w:style>
  <w:style w:type="character" w:customStyle="1" w:styleId="Heading4Char">
    <w:name w:val="Heading 4 Char"/>
    <w:link w:val="Heading4"/>
    <w:rsid w:val="006448CF"/>
    <w:rPr>
      <w:rFonts w:ascii="Arial" w:eastAsia="Times New Roman" w:hAnsi="Arial"/>
      <w:b/>
      <w:bCs/>
      <w:color w:val="595959" w:themeColor="text1" w:themeTint="A6"/>
      <w:sz w:val="22"/>
      <w:lang w:val="en-GB" w:eastAsia="en-GB"/>
    </w:rPr>
  </w:style>
  <w:style w:type="character" w:customStyle="1" w:styleId="Heading5Char">
    <w:name w:val="Heading 5 Char"/>
    <w:link w:val="Heading5"/>
    <w:rsid w:val="00BC3EA0"/>
    <w:rPr>
      <w:rFonts w:ascii="Arial" w:eastAsia="Times New Roman" w:hAnsi="Arial" w:cs="Times New Roman"/>
      <w:color w:val="000000"/>
      <w:lang w:val="en-GB" w:eastAsia="en-GB"/>
    </w:rPr>
  </w:style>
  <w:style w:type="character" w:customStyle="1" w:styleId="Heading6Char">
    <w:name w:val="Heading 6 Char"/>
    <w:link w:val="Heading6"/>
    <w:rsid w:val="00BC3EA0"/>
    <w:rPr>
      <w:rFonts w:ascii="Arial" w:eastAsia="Times New Roman" w:hAnsi="Arial" w:cs="Times New Roman"/>
      <w:i/>
      <w:sz w:val="20"/>
      <w:szCs w:val="20"/>
      <w:lang w:val="en-GB" w:eastAsia="en-GB"/>
    </w:rPr>
  </w:style>
  <w:style w:type="character" w:customStyle="1" w:styleId="Heading7Char">
    <w:name w:val="Heading 7 Char"/>
    <w:link w:val="Heading7"/>
    <w:rsid w:val="00BC3EA0"/>
    <w:rPr>
      <w:rFonts w:ascii="Arial" w:eastAsia="Times New Roman" w:hAnsi="Arial" w:cs="Times New Roman"/>
      <w:sz w:val="20"/>
      <w:szCs w:val="20"/>
      <w:lang w:val="en-GB" w:eastAsia="en-GB"/>
    </w:rPr>
  </w:style>
  <w:style w:type="character" w:customStyle="1" w:styleId="Heading8Char">
    <w:name w:val="Heading 8 Char"/>
    <w:link w:val="Heading8"/>
    <w:rsid w:val="00BC3EA0"/>
    <w:rPr>
      <w:rFonts w:ascii="Arial" w:eastAsia="Times New Roman" w:hAnsi="Arial" w:cs="Times New Roman"/>
      <w:sz w:val="20"/>
      <w:szCs w:val="20"/>
      <w:lang w:val="en-GB" w:eastAsia="en-GB"/>
    </w:rPr>
  </w:style>
  <w:style w:type="character" w:customStyle="1" w:styleId="Heading9Char">
    <w:name w:val="Heading 9 Char"/>
    <w:link w:val="Heading9"/>
    <w:rsid w:val="00BC3EA0"/>
    <w:rPr>
      <w:rFonts w:ascii="Arial" w:eastAsia="Times New Roman" w:hAnsi="Arial" w:cs="Times New Roman"/>
      <w:b/>
      <w:i/>
      <w:sz w:val="20"/>
      <w:szCs w:val="20"/>
      <w:lang w:val="en-AU"/>
    </w:rPr>
  </w:style>
  <w:style w:type="paragraph" w:styleId="List">
    <w:name w:val="List"/>
    <w:basedOn w:val="Normal"/>
    <w:rsid w:val="00BC3EA0"/>
    <w:pPr>
      <w:ind w:left="283" w:hanging="283"/>
    </w:pPr>
  </w:style>
  <w:style w:type="paragraph" w:styleId="Title">
    <w:name w:val="Title"/>
    <w:basedOn w:val="Normal"/>
    <w:link w:val="TitleChar"/>
    <w:rsid w:val="00BC3EA0"/>
    <w:pPr>
      <w:widowControl w:val="0"/>
      <w:autoSpaceDE w:val="0"/>
      <w:autoSpaceDN w:val="0"/>
      <w:adjustRightInd w:val="0"/>
      <w:spacing w:before="1560" w:after="720" w:line="240" w:lineRule="atLeast"/>
    </w:pPr>
    <w:rPr>
      <w:rFonts w:cs="Arial"/>
      <w:color w:val="002469"/>
      <w:spacing w:val="40"/>
      <w:w w:val="90"/>
      <w:sz w:val="48"/>
      <w:szCs w:val="48"/>
    </w:rPr>
  </w:style>
  <w:style w:type="character" w:customStyle="1" w:styleId="TitleChar">
    <w:name w:val="Title Char"/>
    <w:link w:val="Title"/>
    <w:rsid w:val="00BC3EA0"/>
    <w:rPr>
      <w:rFonts w:ascii="Arial" w:eastAsia="Times New Roman" w:hAnsi="Arial" w:cs="Arial"/>
      <w:color w:val="002469"/>
      <w:spacing w:val="40"/>
      <w:w w:val="90"/>
      <w:sz w:val="48"/>
      <w:szCs w:val="48"/>
      <w:lang w:val="en-GB" w:eastAsia="en-GB"/>
    </w:rPr>
  </w:style>
  <w:style w:type="paragraph" w:styleId="Subtitle">
    <w:name w:val="Subtitle"/>
    <w:basedOn w:val="Title"/>
    <w:next w:val="Normal"/>
    <w:link w:val="SubtitleChar"/>
    <w:rsid w:val="00BC3EA0"/>
    <w:pPr>
      <w:spacing w:before="360" w:line="600" w:lineRule="atLeast"/>
    </w:pPr>
    <w:rPr>
      <w:sz w:val="36"/>
      <w:szCs w:val="36"/>
    </w:rPr>
  </w:style>
  <w:style w:type="character" w:customStyle="1" w:styleId="SubtitleChar">
    <w:name w:val="Subtitle Char"/>
    <w:link w:val="Subtitle"/>
    <w:rsid w:val="00BC3EA0"/>
    <w:rPr>
      <w:rFonts w:ascii="Arial" w:eastAsia="Times New Roman" w:hAnsi="Arial" w:cs="Arial"/>
      <w:color w:val="002469"/>
      <w:spacing w:val="40"/>
      <w:w w:val="90"/>
      <w:sz w:val="36"/>
      <w:szCs w:val="36"/>
      <w:lang w:val="en-GB" w:eastAsia="en-GB"/>
    </w:rPr>
  </w:style>
  <w:style w:type="paragraph" w:customStyle="1" w:styleId="TableText">
    <w:name w:val="Table Text"/>
    <w:basedOn w:val="Normal"/>
    <w:rsid w:val="00BC3EA0"/>
    <w:pPr>
      <w:autoSpaceDE w:val="0"/>
      <w:autoSpaceDN w:val="0"/>
      <w:adjustRightInd w:val="0"/>
      <w:spacing w:before="60" w:after="60" w:line="240" w:lineRule="atLeast"/>
    </w:pPr>
    <w:rPr>
      <w:rFonts w:cs="GillSans"/>
      <w:sz w:val="20"/>
      <w:szCs w:val="22"/>
      <w:lang w:eastAsia="en-AU"/>
    </w:rPr>
  </w:style>
  <w:style w:type="paragraph" w:customStyle="1" w:styleId="tablespacer">
    <w:name w:val="table_spacer"/>
    <w:basedOn w:val="Normal"/>
    <w:next w:val="Normal"/>
    <w:rsid w:val="00BC3EA0"/>
    <w:pPr>
      <w:keepNext/>
      <w:spacing w:after="0"/>
    </w:pPr>
    <w:rPr>
      <w:sz w:val="20"/>
    </w:rPr>
  </w:style>
  <w:style w:type="paragraph" w:styleId="TOC1">
    <w:name w:val="toc 1"/>
    <w:basedOn w:val="Normal"/>
    <w:next w:val="Normal"/>
    <w:uiPriority w:val="39"/>
    <w:rsid w:val="00BC3EA0"/>
    <w:pPr>
      <w:tabs>
        <w:tab w:val="right" w:leader="dot" w:pos="9214"/>
      </w:tabs>
      <w:spacing w:before="240"/>
      <w:ind w:left="284" w:right="284"/>
    </w:pPr>
    <w:rPr>
      <w:bCs/>
      <w:noProof/>
      <w:sz w:val="24"/>
      <w:szCs w:val="44"/>
    </w:rPr>
  </w:style>
  <w:style w:type="paragraph" w:styleId="TOC2">
    <w:name w:val="toc 2"/>
    <w:basedOn w:val="Normal"/>
    <w:next w:val="Normal"/>
    <w:uiPriority w:val="39"/>
    <w:rsid w:val="00BC3EA0"/>
    <w:pPr>
      <w:tabs>
        <w:tab w:val="right" w:leader="dot" w:pos="9214"/>
      </w:tabs>
      <w:spacing w:before="100" w:after="100"/>
      <w:ind w:left="709" w:right="284"/>
    </w:pPr>
    <w:rPr>
      <w:noProof/>
      <w:sz w:val="24"/>
    </w:rPr>
  </w:style>
  <w:style w:type="paragraph" w:styleId="TOC3">
    <w:name w:val="toc 3"/>
    <w:basedOn w:val="Normal"/>
    <w:next w:val="Normal"/>
    <w:semiHidden/>
    <w:rsid w:val="00BC3EA0"/>
    <w:pPr>
      <w:tabs>
        <w:tab w:val="left" w:leader="dot" w:pos="8646"/>
        <w:tab w:val="right" w:pos="9072"/>
      </w:tabs>
      <w:ind w:left="1418" w:right="850"/>
    </w:pPr>
  </w:style>
  <w:style w:type="paragraph" w:customStyle="1" w:styleId="Tier2Bullet-list">
    <w:name w:val="Tier 2 Bullet-list"/>
    <w:qFormat/>
    <w:rsid w:val="0062657E"/>
    <w:pPr>
      <w:spacing w:after="160" w:line="259" w:lineRule="auto"/>
      <w:ind w:left="568" w:hanging="284"/>
    </w:pPr>
    <w:rPr>
      <w:rFonts w:ascii="Arial" w:eastAsia="Times New Roman" w:hAnsi="Arial"/>
      <w:sz w:val="22"/>
      <w:lang w:val="en-AU" w:eastAsia="en-US"/>
    </w:rPr>
  </w:style>
  <w:style w:type="paragraph" w:customStyle="1" w:styleId="TableHeading2">
    <w:name w:val="Table Heading 2"/>
    <w:basedOn w:val="Normal"/>
    <w:qFormat/>
    <w:rsid w:val="00DF2E7B"/>
    <w:pPr>
      <w:spacing w:before="60" w:after="60" w:line="276" w:lineRule="auto"/>
    </w:pPr>
    <w:rPr>
      <w:i/>
      <w:szCs w:val="22"/>
    </w:rPr>
  </w:style>
  <w:style w:type="paragraph" w:customStyle="1" w:styleId="Tablebullet">
    <w:name w:val="Table bullet"/>
    <w:basedOn w:val="Normal"/>
    <w:qFormat/>
    <w:rsid w:val="00B56273"/>
    <w:pPr>
      <w:numPr>
        <w:numId w:val="4"/>
      </w:numPr>
      <w:autoSpaceDE w:val="0"/>
      <w:autoSpaceDN w:val="0"/>
      <w:adjustRightInd w:val="0"/>
      <w:spacing w:before="60" w:after="60"/>
    </w:pPr>
    <w:rPr>
      <w:rFonts w:cs="GillSans"/>
      <w:szCs w:val="22"/>
      <w:lang w:eastAsia="en-AU"/>
    </w:rPr>
  </w:style>
  <w:style w:type="table" w:styleId="GridTable4-Accent1">
    <w:name w:val="Grid Table 4 Accent 1"/>
    <w:basedOn w:val="TableNormal"/>
    <w:uiPriority w:val="49"/>
    <w:rsid w:val="00C9354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Headings">
    <w:name w:val="Table Headings"/>
    <w:basedOn w:val="Normal"/>
    <w:qFormat/>
    <w:rsid w:val="00C93549"/>
    <w:pPr>
      <w:spacing w:before="60" w:after="60"/>
    </w:pPr>
    <w:rPr>
      <w:rFonts w:cs="Arial"/>
      <w:b/>
      <w:color w:val="000000"/>
    </w:rPr>
  </w:style>
  <w:style w:type="character" w:customStyle="1" w:styleId="UnresolvedMention1">
    <w:name w:val="Unresolved Mention1"/>
    <w:basedOn w:val="DefaultParagraphFont"/>
    <w:uiPriority w:val="99"/>
    <w:semiHidden/>
    <w:unhideWhenUsed/>
    <w:rsid w:val="00E52B84"/>
    <w:rPr>
      <w:color w:val="605E5C"/>
      <w:shd w:val="clear" w:color="auto" w:fill="E1DFDD"/>
    </w:rPr>
  </w:style>
  <w:style w:type="character" w:styleId="UnresolvedMention">
    <w:name w:val="Unresolved Mention"/>
    <w:basedOn w:val="DefaultParagraphFont"/>
    <w:uiPriority w:val="99"/>
    <w:semiHidden/>
    <w:unhideWhenUsed/>
    <w:rsid w:val="00447453"/>
    <w:rPr>
      <w:color w:val="605E5C"/>
      <w:shd w:val="clear" w:color="auto" w:fill="E1DFDD"/>
    </w:rPr>
  </w:style>
  <w:style w:type="table" w:customStyle="1" w:styleId="TableGrid1">
    <w:name w:val="Table Grid1"/>
    <w:basedOn w:val="TableNormal"/>
    <w:next w:val="TableGrid"/>
    <w:uiPriority w:val="59"/>
    <w:rsid w:val="00AC56E6"/>
    <w:rPr>
      <w:rFonts w:ascii="Verdana" w:hAnsi="Verdana"/>
      <w:sz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27101"/>
    <w:pPr>
      <w:autoSpaceDE w:val="0"/>
      <w:autoSpaceDN w:val="0"/>
      <w:adjustRightInd w:val="0"/>
    </w:pPr>
    <w:rPr>
      <w:rFonts w:ascii="Arial" w:hAnsi="Arial" w:cs="Arial"/>
      <w:color w:val="000000"/>
      <w:sz w:val="24"/>
      <w:szCs w:val="24"/>
    </w:rPr>
  </w:style>
  <w:style w:type="table" w:customStyle="1" w:styleId="TableGrid2">
    <w:name w:val="Table Grid2"/>
    <w:basedOn w:val="TableNormal"/>
    <w:next w:val="TableGrid"/>
    <w:uiPriority w:val="39"/>
    <w:rsid w:val="00AE52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C2925"/>
    <w:pPr>
      <w:spacing w:before="100" w:beforeAutospacing="1" w:after="100" w:afterAutospacing="1"/>
    </w:pPr>
    <w:rPr>
      <w:rFonts w:ascii="Calibri" w:eastAsiaTheme="minorHAnsi" w:hAnsi="Calibri" w:cs="Calibri"/>
      <w:szCs w:val="22"/>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28709">
      <w:bodyDiv w:val="1"/>
      <w:marLeft w:val="0"/>
      <w:marRight w:val="0"/>
      <w:marTop w:val="0"/>
      <w:marBottom w:val="0"/>
      <w:divBdr>
        <w:top w:val="none" w:sz="0" w:space="0" w:color="auto"/>
        <w:left w:val="none" w:sz="0" w:space="0" w:color="auto"/>
        <w:bottom w:val="none" w:sz="0" w:space="0" w:color="auto"/>
        <w:right w:val="none" w:sz="0" w:space="0" w:color="auto"/>
      </w:divBdr>
    </w:div>
    <w:div w:id="39063182">
      <w:bodyDiv w:val="1"/>
      <w:marLeft w:val="0"/>
      <w:marRight w:val="0"/>
      <w:marTop w:val="0"/>
      <w:marBottom w:val="0"/>
      <w:divBdr>
        <w:top w:val="none" w:sz="0" w:space="0" w:color="auto"/>
        <w:left w:val="none" w:sz="0" w:space="0" w:color="auto"/>
        <w:bottom w:val="none" w:sz="0" w:space="0" w:color="auto"/>
        <w:right w:val="none" w:sz="0" w:space="0" w:color="auto"/>
      </w:divBdr>
    </w:div>
    <w:div w:id="75321407">
      <w:bodyDiv w:val="1"/>
      <w:marLeft w:val="0"/>
      <w:marRight w:val="0"/>
      <w:marTop w:val="0"/>
      <w:marBottom w:val="0"/>
      <w:divBdr>
        <w:top w:val="none" w:sz="0" w:space="0" w:color="auto"/>
        <w:left w:val="none" w:sz="0" w:space="0" w:color="auto"/>
        <w:bottom w:val="none" w:sz="0" w:space="0" w:color="auto"/>
        <w:right w:val="none" w:sz="0" w:space="0" w:color="auto"/>
      </w:divBdr>
    </w:div>
    <w:div w:id="88284608">
      <w:bodyDiv w:val="1"/>
      <w:marLeft w:val="0"/>
      <w:marRight w:val="0"/>
      <w:marTop w:val="0"/>
      <w:marBottom w:val="0"/>
      <w:divBdr>
        <w:top w:val="none" w:sz="0" w:space="0" w:color="auto"/>
        <w:left w:val="none" w:sz="0" w:space="0" w:color="auto"/>
        <w:bottom w:val="none" w:sz="0" w:space="0" w:color="auto"/>
        <w:right w:val="none" w:sz="0" w:space="0" w:color="auto"/>
      </w:divBdr>
    </w:div>
    <w:div w:id="90244422">
      <w:bodyDiv w:val="1"/>
      <w:marLeft w:val="0"/>
      <w:marRight w:val="0"/>
      <w:marTop w:val="0"/>
      <w:marBottom w:val="0"/>
      <w:divBdr>
        <w:top w:val="none" w:sz="0" w:space="0" w:color="auto"/>
        <w:left w:val="none" w:sz="0" w:space="0" w:color="auto"/>
        <w:bottom w:val="none" w:sz="0" w:space="0" w:color="auto"/>
        <w:right w:val="none" w:sz="0" w:space="0" w:color="auto"/>
      </w:divBdr>
    </w:div>
    <w:div w:id="116880275">
      <w:bodyDiv w:val="1"/>
      <w:marLeft w:val="0"/>
      <w:marRight w:val="0"/>
      <w:marTop w:val="0"/>
      <w:marBottom w:val="0"/>
      <w:divBdr>
        <w:top w:val="none" w:sz="0" w:space="0" w:color="auto"/>
        <w:left w:val="none" w:sz="0" w:space="0" w:color="auto"/>
        <w:bottom w:val="none" w:sz="0" w:space="0" w:color="auto"/>
        <w:right w:val="none" w:sz="0" w:space="0" w:color="auto"/>
      </w:divBdr>
    </w:div>
    <w:div w:id="132018146">
      <w:bodyDiv w:val="1"/>
      <w:marLeft w:val="0"/>
      <w:marRight w:val="0"/>
      <w:marTop w:val="0"/>
      <w:marBottom w:val="0"/>
      <w:divBdr>
        <w:top w:val="none" w:sz="0" w:space="0" w:color="auto"/>
        <w:left w:val="none" w:sz="0" w:space="0" w:color="auto"/>
        <w:bottom w:val="none" w:sz="0" w:space="0" w:color="auto"/>
        <w:right w:val="none" w:sz="0" w:space="0" w:color="auto"/>
      </w:divBdr>
      <w:divsChild>
        <w:div w:id="341931073">
          <w:marLeft w:val="0"/>
          <w:marRight w:val="0"/>
          <w:marTop w:val="0"/>
          <w:marBottom w:val="0"/>
          <w:divBdr>
            <w:top w:val="none" w:sz="0" w:space="0" w:color="auto"/>
            <w:left w:val="none" w:sz="0" w:space="0" w:color="auto"/>
            <w:bottom w:val="none" w:sz="0" w:space="0" w:color="auto"/>
            <w:right w:val="none" w:sz="0" w:space="0" w:color="auto"/>
          </w:divBdr>
        </w:div>
      </w:divsChild>
    </w:div>
    <w:div w:id="147334100">
      <w:bodyDiv w:val="1"/>
      <w:marLeft w:val="0"/>
      <w:marRight w:val="0"/>
      <w:marTop w:val="0"/>
      <w:marBottom w:val="0"/>
      <w:divBdr>
        <w:top w:val="none" w:sz="0" w:space="0" w:color="auto"/>
        <w:left w:val="none" w:sz="0" w:space="0" w:color="auto"/>
        <w:bottom w:val="none" w:sz="0" w:space="0" w:color="auto"/>
        <w:right w:val="none" w:sz="0" w:space="0" w:color="auto"/>
      </w:divBdr>
    </w:div>
    <w:div w:id="196696763">
      <w:bodyDiv w:val="1"/>
      <w:marLeft w:val="0"/>
      <w:marRight w:val="0"/>
      <w:marTop w:val="0"/>
      <w:marBottom w:val="0"/>
      <w:divBdr>
        <w:top w:val="none" w:sz="0" w:space="0" w:color="auto"/>
        <w:left w:val="none" w:sz="0" w:space="0" w:color="auto"/>
        <w:bottom w:val="none" w:sz="0" w:space="0" w:color="auto"/>
        <w:right w:val="none" w:sz="0" w:space="0" w:color="auto"/>
      </w:divBdr>
    </w:div>
    <w:div w:id="201749315">
      <w:bodyDiv w:val="1"/>
      <w:marLeft w:val="0"/>
      <w:marRight w:val="0"/>
      <w:marTop w:val="0"/>
      <w:marBottom w:val="0"/>
      <w:divBdr>
        <w:top w:val="none" w:sz="0" w:space="0" w:color="auto"/>
        <w:left w:val="none" w:sz="0" w:space="0" w:color="auto"/>
        <w:bottom w:val="none" w:sz="0" w:space="0" w:color="auto"/>
        <w:right w:val="none" w:sz="0" w:space="0" w:color="auto"/>
      </w:divBdr>
    </w:div>
    <w:div w:id="231043251">
      <w:bodyDiv w:val="1"/>
      <w:marLeft w:val="0"/>
      <w:marRight w:val="0"/>
      <w:marTop w:val="0"/>
      <w:marBottom w:val="0"/>
      <w:divBdr>
        <w:top w:val="none" w:sz="0" w:space="0" w:color="auto"/>
        <w:left w:val="none" w:sz="0" w:space="0" w:color="auto"/>
        <w:bottom w:val="none" w:sz="0" w:space="0" w:color="auto"/>
        <w:right w:val="none" w:sz="0" w:space="0" w:color="auto"/>
      </w:divBdr>
    </w:div>
    <w:div w:id="234631542">
      <w:bodyDiv w:val="1"/>
      <w:marLeft w:val="0"/>
      <w:marRight w:val="0"/>
      <w:marTop w:val="0"/>
      <w:marBottom w:val="0"/>
      <w:divBdr>
        <w:top w:val="none" w:sz="0" w:space="0" w:color="auto"/>
        <w:left w:val="none" w:sz="0" w:space="0" w:color="auto"/>
        <w:bottom w:val="none" w:sz="0" w:space="0" w:color="auto"/>
        <w:right w:val="none" w:sz="0" w:space="0" w:color="auto"/>
      </w:divBdr>
    </w:div>
    <w:div w:id="322664923">
      <w:bodyDiv w:val="1"/>
      <w:marLeft w:val="0"/>
      <w:marRight w:val="0"/>
      <w:marTop w:val="0"/>
      <w:marBottom w:val="0"/>
      <w:divBdr>
        <w:top w:val="none" w:sz="0" w:space="0" w:color="auto"/>
        <w:left w:val="none" w:sz="0" w:space="0" w:color="auto"/>
        <w:bottom w:val="none" w:sz="0" w:space="0" w:color="auto"/>
        <w:right w:val="none" w:sz="0" w:space="0" w:color="auto"/>
      </w:divBdr>
    </w:div>
    <w:div w:id="390466433">
      <w:bodyDiv w:val="1"/>
      <w:marLeft w:val="0"/>
      <w:marRight w:val="0"/>
      <w:marTop w:val="0"/>
      <w:marBottom w:val="0"/>
      <w:divBdr>
        <w:top w:val="none" w:sz="0" w:space="0" w:color="auto"/>
        <w:left w:val="none" w:sz="0" w:space="0" w:color="auto"/>
        <w:bottom w:val="none" w:sz="0" w:space="0" w:color="auto"/>
        <w:right w:val="none" w:sz="0" w:space="0" w:color="auto"/>
      </w:divBdr>
    </w:div>
    <w:div w:id="390662974">
      <w:bodyDiv w:val="1"/>
      <w:marLeft w:val="0"/>
      <w:marRight w:val="0"/>
      <w:marTop w:val="0"/>
      <w:marBottom w:val="0"/>
      <w:divBdr>
        <w:top w:val="none" w:sz="0" w:space="0" w:color="auto"/>
        <w:left w:val="none" w:sz="0" w:space="0" w:color="auto"/>
        <w:bottom w:val="none" w:sz="0" w:space="0" w:color="auto"/>
        <w:right w:val="none" w:sz="0" w:space="0" w:color="auto"/>
      </w:divBdr>
    </w:div>
    <w:div w:id="428699280">
      <w:bodyDiv w:val="1"/>
      <w:marLeft w:val="0"/>
      <w:marRight w:val="0"/>
      <w:marTop w:val="0"/>
      <w:marBottom w:val="0"/>
      <w:divBdr>
        <w:top w:val="none" w:sz="0" w:space="0" w:color="auto"/>
        <w:left w:val="none" w:sz="0" w:space="0" w:color="auto"/>
        <w:bottom w:val="none" w:sz="0" w:space="0" w:color="auto"/>
        <w:right w:val="none" w:sz="0" w:space="0" w:color="auto"/>
      </w:divBdr>
    </w:div>
    <w:div w:id="461923365">
      <w:bodyDiv w:val="1"/>
      <w:marLeft w:val="0"/>
      <w:marRight w:val="0"/>
      <w:marTop w:val="0"/>
      <w:marBottom w:val="0"/>
      <w:divBdr>
        <w:top w:val="none" w:sz="0" w:space="0" w:color="auto"/>
        <w:left w:val="none" w:sz="0" w:space="0" w:color="auto"/>
        <w:bottom w:val="none" w:sz="0" w:space="0" w:color="auto"/>
        <w:right w:val="none" w:sz="0" w:space="0" w:color="auto"/>
      </w:divBdr>
    </w:div>
    <w:div w:id="563952640">
      <w:bodyDiv w:val="1"/>
      <w:marLeft w:val="0"/>
      <w:marRight w:val="0"/>
      <w:marTop w:val="0"/>
      <w:marBottom w:val="0"/>
      <w:divBdr>
        <w:top w:val="none" w:sz="0" w:space="0" w:color="auto"/>
        <w:left w:val="none" w:sz="0" w:space="0" w:color="auto"/>
        <w:bottom w:val="none" w:sz="0" w:space="0" w:color="auto"/>
        <w:right w:val="none" w:sz="0" w:space="0" w:color="auto"/>
      </w:divBdr>
    </w:div>
    <w:div w:id="581988697">
      <w:bodyDiv w:val="1"/>
      <w:marLeft w:val="0"/>
      <w:marRight w:val="0"/>
      <w:marTop w:val="0"/>
      <w:marBottom w:val="0"/>
      <w:divBdr>
        <w:top w:val="none" w:sz="0" w:space="0" w:color="auto"/>
        <w:left w:val="none" w:sz="0" w:space="0" w:color="auto"/>
        <w:bottom w:val="none" w:sz="0" w:space="0" w:color="auto"/>
        <w:right w:val="none" w:sz="0" w:space="0" w:color="auto"/>
      </w:divBdr>
    </w:div>
    <w:div w:id="598561669">
      <w:bodyDiv w:val="1"/>
      <w:marLeft w:val="0"/>
      <w:marRight w:val="0"/>
      <w:marTop w:val="0"/>
      <w:marBottom w:val="0"/>
      <w:divBdr>
        <w:top w:val="none" w:sz="0" w:space="0" w:color="auto"/>
        <w:left w:val="none" w:sz="0" w:space="0" w:color="auto"/>
        <w:bottom w:val="none" w:sz="0" w:space="0" w:color="auto"/>
        <w:right w:val="none" w:sz="0" w:space="0" w:color="auto"/>
      </w:divBdr>
    </w:div>
    <w:div w:id="598870734">
      <w:bodyDiv w:val="1"/>
      <w:marLeft w:val="0"/>
      <w:marRight w:val="0"/>
      <w:marTop w:val="0"/>
      <w:marBottom w:val="0"/>
      <w:divBdr>
        <w:top w:val="none" w:sz="0" w:space="0" w:color="auto"/>
        <w:left w:val="none" w:sz="0" w:space="0" w:color="auto"/>
        <w:bottom w:val="none" w:sz="0" w:space="0" w:color="auto"/>
        <w:right w:val="none" w:sz="0" w:space="0" w:color="auto"/>
      </w:divBdr>
    </w:div>
    <w:div w:id="602999330">
      <w:bodyDiv w:val="1"/>
      <w:marLeft w:val="0"/>
      <w:marRight w:val="0"/>
      <w:marTop w:val="0"/>
      <w:marBottom w:val="0"/>
      <w:divBdr>
        <w:top w:val="none" w:sz="0" w:space="0" w:color="auto"/>
        <w:left w:val="none" w:sz="0" w:space="0" w:color="auto"/>
        <w:bottom w:val="none" w:sz="0" w:space="0" w:color="auto"/>
        <w:right w:val="none" w:sz="0" w:space="0" w:color="auto"/>
      </w:divBdr>
    </w:div>
    <w:div w:id="622078521">
      <w:bodyDiv w:val="1"/>
      <w:marLeft w:val="0"/>
      <w:marRight w:val="0"/>
      <w:marTop w:val="0"/>
      <w:marBottom w:val="0"/>
      <w:divBdr>
        <w:top w:val="none" w:sz="0" w:space="0" w:color="auto"/>
        <w:left w:val="none" w:sz="0" w:space="0" w:color="auto"/>
        <w:bottom w:val="none" w:sz="0" w:space="0" w:color="auto"/>
        <w:right w:val="none" w:sz="0" w:space="0" w:color="auto"/>
      </w:divBdr>
    </w:div>
    <w:div w:id="624820806">
      <w:bodyDiv w:val="1"/>
      <w:marLeft w:val="0"/>
      <w:marRight w:val="0"/>
      <w:marTop w:val="0"/>
      <w:marBottom w:val="0"/>
      <w:divBdr>
        <w:top w:val="none" w:sz="0" w:space="0" w:color="auto"/>
        <w:left w:val="none" w:sz="0" w:space="0" w:color="auto"/>
        <w:bottom w:val="none" w:sz="0" w:space="0" w:color="auto"/>
        <w:right w:val="none" w:sz="0" w:space="0" w:color="auto"/>
      </w:divBdr>
    </w:div>
    <w:div w:id="644898850">
      <w:bodyDiv w:val="1"/>
      <w:marLeft w:val="0"/>
      <w:marRight w:val="0"/>
      <w:marTop w:val="0"/>
      <w:marBottom w:val="0"/>
      <w:divBdr>
        <w:top w:val="none" w:sz="0" w:space="0" w:color="auto"/>
        <w:left w:val="none" w:sz="0" w:space="0" w:color="auto"/>
        <w:bottom w:val="none" w:sz="0" w:space="0" w:color="auto"/>
        <w:right w:val="none" w:sz="0" w:space="0" w:color="auto"/>
      </w:divBdr>
    </w:div>
    <w:div w:id="695236892">
      <w:bodyDiv w:val="1"/>
      <w:marLeft w:val="0"/>
      <w:marRight w:val="0"/>
      <w:marTop w:val="0"/>
      <w:marBottom w:val="0"/>
      <w:divBdr>
        <w:top w:val="none" w:sz="0" w:space="0" w:color="auto"/>
        <w:left w:val="none" w:sz="0" w:space="0" w:color="auto"/>
        <w:bottom w:val="none" w:sz="0" w:space="0" w:color="auto"/>
        <w:right w:val="none" w:sz="0" w:space="0" w:color="auto"/>
      </w:divBdr>
    </w:div>
    <w:div w:id="778571268">
      <w:bodyDiv w:val="1"/>
      <w:marLeft w:val="0"/>
      <w:marRight w:val="0"/>
      <w:marTop w:val="0"/>
      <w:marBottom w:val="0"/>
      <w:divBdr>
        <w:top w:val="none" w:sz="0" w:space="0" w:color="auto"/>
        <w:left w:val="none" w:sz="0" w:space="0" w:color="auto"/>
        <w:bottom w:val="none" w:sz="0" w:space="0" w:color="auto"/>
        <w:right w:val="none" w:sz="0" w:space="0" w:color="auto"/>
      </w:divBdr>
      <w:divsChild>
        <w:div w:id="877858338">
          <w:marLeft w:val="0"/>
          <w:marRight w:val="0"/>
          <w:marTop w:val="0"/>
          <w:marBottom w:val="0"/>
          <w:divBdr>
            <w:top w:val="none" w:sz="0" w:space="0" w:color="auto"/>
            <w:left w:val="none" w:sz="0" w:space="0" w:color="auto"/>
            <w:bottom w:val="none" w:sz="0" w:space="0" w:color="auto"/>
            <w:right w:val="none" w:sz="0" w:space="0" w:color="auto"/>
          </w:divBdr>
        </w:div>
      </w:divsChild>
    </w:div>
    <w:div w:id="813911823">
      <w:bodyDiv w:val="1"/>
      <w:marLeft w:val="0"/>
      <w:marRight w:val="0"/>
      <w:marTop w:val="0"/>
      <w:marBottom w:val="0"/>
      <w:divBdr>
        <w:top w:val="none" w:sz="0" w:space="0" w:color="auto"/>
        <w:left w:val="none" w:sz="0" w:space="0" w:color="auto"/>
        <w:bottom w:val="none" w:sz="0" w:space="0" w:color="auto"/>
        <w:right w:val="none" w:sz="0" w:space="0" w:color="auto"/>
      </w:divBdr>
    </w:div>
    <w:div w:id="864247646">
      <w:bodyDiv w:val="1"/>
      <w:marLeft w:val="0"/>
      <w:marRight w:val="0"/>
      <w:marTop w:val="0"/>
      <w:marBottom w:val="0"/>
      <w:divBdr>
        <w:top w:val="none" w:sz="0" w:space="0" w:color="auto"/>
        <w:left w:val="none" w:sz="0" w:space="0" w:color="auto"/>
        <w:bottom w:val="none" w:sz="0" w:space="0" w:color="auto"/>
        <w:right w:val="none" w:sz="0" w:space="0" w:color="auto"/>
      </w:divBdr>
    </w:div>
    <w:div w:id="871921437">
      <w:bodyDiv w:val="1"/>
      <w:marLeft w:val="0"/>
      <w:marRight w:val="0"/>
      <w:marTop w:val="0"/>
      <w:marBottom w:val="0"/>
      <w:divBdr>
        <w:top w:val="none" w:sz="0" w:space="0" w:color="auto"/>
        <w:left w:val="none" w:sz="0" w:space="0" w:color="auto"/>
        <w:bottom w:val="none" w:sz="0" w:space="0" w:color="auto"/>
        <w:right w:val="none" w:sz="0" w:space="0" w:color="auto"/>
      </w:divBdr>
    </w:div>
    <w:div w:id="956303103">
      <w:bodyDiv w:val="1"/>
      <w:marLeft w:val="0"/>
      <w:marRight w:val="0"/>
      <w:marTop w:val="0"/>
      <w:marBottom w:val="0"/>
      <w:divBdr>
        <w:top w:val="none" w:sz="0" w:space="0" w:color="auto"/>
        <w:left w:val="none" w:sz="0" w:space="0" w:color="auto"/>
        <w:bottom w:val="none" w:sz="0" w:space="0" w:color="auto"/>
        <w:right w:val="none" w:sz="0" w:space="0" w:color="auto"/>
      </w:divBdr>
    </w:div>
    <w:div w:id="987780973">
      <w:bodyDiv w:val="1"/>
      <w:marLeft w:val="0"/>
      <w:marRight w:val="0"/>
      <w:marTop w:val="0"/>
      <w:marBottom w:val="0"/>
      <w:divBdr>
        <w:top w:val="none" w:sz="0" w:space="0" w:color="auto"/>
        <w:left w:val="none" w:sz="0" w:space="0" w:color="auto"/>
        <w:bottom w:val="none" w:sz="0" w:space="0" w:color="auto"/>
        <w:right w:val="none" w:sz="0" w:space="0" w:color="auto"/>
      </w:divBdr>
    </w:div>
    <w:div w:id="1004359595">
      <w:bodyDiv w:val="1"/>
      <w:marLeft w:val="0"/>
      <w:marRight w:val="0"/>
      <w:marTop w:val="0"/>
      <w:marBottom w:val="0"/>
      <w:divBdr>
        <w:top w:val="none" w:sz="0" w:space="0" w:color="auto"/>
        <w:left w:val="none" w:sz="0" w:space="0" w:color="auto"/>
        <w:bottom w:val="none" w:sz="0" w:space="0" w:color="auto"/>
        <w:right w:val="none" w:sz="0" w:space="0" w:color="auto"/>
      </w:divBdr>
    </w:div>
    <w:div w:id="1205092884">
      <w:bodyDiv w:val="1"/>
      <w:marLeft w:val="0"/>
      <w:marRight w:val="0"/>
      <w:marTop w:val="0"/>
      <w:marBottom w:val="0"/>
      <w:divBdr>
        <w:top w:val="none" w:sz="0" w:space="0" w:color="auto"/>
        <w:left w:val="none" w:sz="0" w:space="0" w:color="auto"/>
        <w:bottom w:val="none" w:sz="0" w:space="0" w:color="auto"/>
        <w:right w:val="none" w:sz="0" w:space="0" w:color="auto"/>
      </w:divBdr>
    </w:div>
    <w:div w:id="1232036928">
      <w:bodyDiv w:val="1"/>
      <w:marLeft w:val="0"/>
      <w:marRight w:val="0"/>
      <w:marTop w:val="0"/>
      <w:marBottom w:val="0"/>
      <w:divBdr>
        <w:top w:val="none" w:sz="0" w:space="0" w:color="auto"/>
        <w:left w:val="none" w:sz="0" w:space="0" w:color="auto"/>
        <w:bottom w:val="none" w:sz="0" w:space="0" w:color="auto"/>
        <w:right w:val="none" w:sz="0" w:space="0" w:color="auto"/>
      </w:divBdr>
    </w:div>
    <w:div w:id="1493178068">
      <w:bodyDiv w:val="1"/>
      <w:marLeft w:val="0"/>
      <w:marRight w:val="0"/>
      <w:marTop w:val="0"/>
      <w:marBottom w:val="0"/>
      <w:divBdr>
        <w:top w:val="none" w:sz="0" w:space="0" w:color="auto"/>
        <w:left w:val="none" w:sz="0" w:space="0" w:color="auto"/>
        <w:bottom w:val="none" w:sz="0" w:space="0" w:color="auto"/>
        <w:right w:val="none" w:sz="0" w:space="0" w:color="auto"/>
      </w:divBdr>
    </w:div>
    <w:div w:id="1514876571">
      <w:bodyDiv w:val="1"/>
      <w:marLeft w:val="0"/>
      <w:marRight w:val="0"/>
      <w:marTop w:val="0"/>
      <w:marBottom w:val="0"/>
      <w:divBdr>
        <w:top w:val="none" w:sz="0" w:space="0" w:color="auto"/>
        <w:left w:val="none" w:sz="0" w:space="0" w:color="auto"/>
        <w:bottom w:val="none" w:sz="0" w:space="0" w:color="auto"/>
        <w:right w:val="none" w:sz="0" w:space="0" w:color="auto"/>
      </w:divBdr>
    </w:div>
    <w:div w:id="1554460824">
      <w:bodyDiv w:val="1"/>
      <w:marLeft w:val="0"/>
      <w:marRight w:val="0"/>
      <w:marTop w:val="0"/>
      <w:marBottom w:val="0"/>
      <w:divBdr>
        <w:top w:val="none" w:sz="0" w:space="0" w:color="auto"/>
        <w:left w:val="none" w:sz="0" w:space="0" w:color="auto"/>
        <w:bottom w:val="none" w:sz="0" w:space="0" w:color="auto"/>
        <w:right w:val="none" w:sz="0" w:space="0" w:color="auto"/>
      </w:divBdr>
    </w:div>
    <w:div w:id="1663511697">
      <w:bodyDiv w:val="1"/>
      <w:marLeft w:val="0"/>
      <w:marRight w:val="0"/>
      <w:marTop w:val="0"/>
      <w:marBottom w:val="0"/>
      <w:divBdr>
        <w:top w:val="none" w:sz="0" w:space="0" w:color="auto"/>
        <w:left w:val="none" w:sz="0" w:space="0" w:color="auto"/>
        <w:bottom w:val="none" w:sz="0" w:space="0" w:color="auto"/>
        <w:right w:val="none" w:sz="0" w:space="0" w:color="auto"/>
      </w:divBdr>
    </w:div>
    <w:div w:id="1701081625">
      <w:bodyDiv w:val="1"/>
      <w:marLeft w:val="0"/>
      <w:marRight w:val="0"/>
      <w:marTop w:val="0"/>
      <w:marBottom w:val="0"/>
      <w:divBdr>
        <w:top w:val="none" w:sz="0" w:space="0" w:color="auto"/>
        <w:left w:val="none" w:sz="0" w:space="0" w:color="auto"/>
        <w:bottom w:val="none" w:sz="0" w:space="0" w:color="auto"/>
        <w:right w:val="none" w:sz="0" w:space="0" w:color="auto"/>
      </w:divBdr>
    </w:div>
    <w:div w:id="1753045868">
      <w:bodyDiv w:val="1"/>
      <w:marLeft w:val="0"/>
      <w:marRight w:val="0"/>
      <w:marTop w:val="0"/>
      <w:marBottom w:val="0"/>
      <w:divBdr>
        <w:top w:val="none" w:sz="0" w:space="0" w:color="auto"/>
        <w:left w:val="none" w:sz="0" w:space="0" w:color="auto"/>
        <w:bottom w:val="none" w:sz="0" w:space="0" w:color="auto"/>
        <w:right w:val="none" w:sz="0" w:space="0" w:color="auto"/>
      </w:divBdr>
    </w:div>
    <w:div w:id="1780643723">
      <w:bodyDiv w:val="1"/>
      <w:marLeft w:val="0"/>
      <w:marRight w:val="0"/>
      <w:marTop w:val="0"/>
      <w:marBottom w:val="0"/>
      <w:divBdr>
        <w:top w:val="none" w:sz="0" w:space="0" w:color="auto"/>
        <w:left w:val="none" w:sz="0" w:space="0" w:color="auto"/>
        <w:bottom w:val="none" w:sz="0" w:space="0" w:color="auto"/>
        <w:right w:val="none" w:sz="0" w:space="0" w:color="auto"/>
      </w:divBdr>
    </w:div>
    <w:div w:id="1862277762">
      <w:bodyDiv w:val="1"/>
      <w:marLeft w:val="0"/>
      <w:marRight w:val="0"/>
      <w:marTop w:val="0"/>
      <w:marBottom w:val="0"/>
      <w:divBdr>
        <w:top w:val="none" w:sz="0" w:space="0" w:color="auto"/>
        <w:left w:val="none" w:sz="0" w:space="0" w:color="auto"/>
        <w:bottom w:val="none" w:sz="0" w:space="0" w:color="auto"/>
        <w:right w:val="none" w:sz="0" w:space="0" w:color="auto"/>
      </w:divBdr>
    </w:div>
    <w:div w:id="1900941337">
      <w:bodyDiv w:val="1"/>
      <w:marLeft w:val="0"/>
      <w:marRight w:val="0"/>
      <w:marTop w:val="0"/>
      <w:marBottom w:val="0"/>
      <w:divBdr>
        <w:top w:val="none" w:sz="0" w:space="0" w:color="auto"/>
        <w:left w:val="none" w:sz="0" w:space="0" w:color="auto"/>
        <w:bottom w:val="none" w:sz="0" w:space="0" w:color="auto"/>
        <w:right w:val="none" w:sz="0" w:space="0" w:color="auto"/>
      </w:divBdr>
    </w:div>
    <w:div w:id="2022387094">
      <w:bodyDiv w:val="1"/>
      <w:marLeft w:val="0"/>
      <w:marRight w:val="0"/>
      <w:marTop w:val="0"/>
      <w:marBottom w:val="0"/>
      <w:divBdr>
        <w:top w:val="none" w:sz="0" w:space="0" w:color="auto"/>
        <w:left w:val="none" w:sz="0" w:space="0" w:color="auto"/>
        <w:bottom w:val="none" w:sz="0" w:space="0" w:color="auto"/>
        <w:right w:val="none" w:sz="0" w:space="0" w:color="auto"/>
      </w:divBdr>
    </w:div>
    <w:div w:id="2030788280">
      <w:bodyDiv w:val="1"/>
      <w:marLeft w:val="0"/>
      <w:marRight w:val="0"/>
      <w:marTop w:val="0"/>
      <w:marBottom w:val="0"/>
      <w:divBdr>
        <w:top w:val="none" w:sz="0" w:space="0" w:color="auto"/>
        <w:left w:val="none" w:sz="0" w:space="0" w:color="auto"/>
        <w:bottom w:val="none" w:sz="0" w:space="0" w:color="auto"/>
        <w:right w:val="none" w:sz="0" w:space="0" w:color="auto"/>
      </w:divBdr>
    </w:div>
    <w:div w:id="2059468807">
      <w:bodyDiv w:val="1"/>
      <w:marLeft w:val="0"/>
      <w:marRight w:val="0"/>
      <w:marTop w:val="0"/>
      <w:marBottom w:val="0"/>
      <w:divBdr>
        <w:top w:val="none" w:sz="0" w:space="0" w:color="auto"/>
        <w:left w:val="none" w:sz="0" w:space="0" w:color="auto"/>
        <w:bottom w:val="none" w:sz="0" w:space="0" w:color="auto"/>
        <w:right w:val="none" w:sz="0" w:space="0" w:color="auto"/>
      </w:divBdr>
    </w:div>
    <w:div w:id="2104379986">
      <w:bodyDiv w:val="1"/>
      <w:marLeft w:val="0"/>
      <w:marRight w:val="0"/>
      <w:marTop w:val="0"/>
      <w:marBottom w:val="0"/>
      <w:divBdr>
        <w:top w:val="none" w:sz="0" w:space="0" w:color="auto"/>
        <w:left w:val="none" w:sz="0" w:space="0" w:color="auto"/>
        <w:bottom w:val="none" w:sz="0" w:space="0" w:color="auto"/>
        <w:right w:val="none" w:sz="0" w:space="0" w:color="auto"/>
      </w:divBdr>
    </w:div>
    <w:div w:id="2126656590">
      <w:bodyDiv w:val="1"/>
      <w:marLeft w:val="0"/>
      <w:marRight w:val="0"/>
      <w:marTop w:val="0"/>
      <w:marBottom w:val="0"/>
      <w:divBdr>
        <w:top w:val="none" w:sz="0" w:space="0" w:color="auto"/>
        <w:left w:val="none" w:sz="0" w:space="0" w:color="auto"/>
        <w:bottom w:val="none" w:sz="0" w:space="0" w:color="auto"/>
        <w:right w:val="none" w:sz="0" w:space="0" w:color="auto"/>
      </w:divBdr>
    </w:div>
    <w:div w:id="2145459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NZ" sz="1200"/>
              <a:t>Difference in weekly</a:t>
            </a:r>
            <a:r>
              <a:rPr lang="en-NZ" sz="1200" baseline="0"/>
              <a:t> income limits for hardship assistance clients vs HSPs clients</a:t>
            </a:r>
            <a:endParaRPr lang="en-NZ"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Sheet2!$J$17</c:f>
              <c:strCache>
                <c:ptCount val="1"/>
                <c:pt idx="0">
                  <c:v>Advances/RAPs </c:v>
                </c:pt>
              </c:strCache>
            </c:strRef>
          </c:tx>
          <c:spPr>
            <a:solidFill>
              <a:schemeClr val="accent2"/>
            </a:solidFill>
            <a:ln>
              <a:noFill/>
            </a:ln>
            <a:effectLst/>
          </c:spPr>
          <c:invertIfNegative val="0"/>
          <c:cat>
            <c:strRef>
              <c:f>Sheet2!$I$18:$I$22</c:f>
              <c:strCache>
                <c:ptCount val="5"/>
                <c:pt idx="0">
                  <c:v>Single</c:v>
                </c:pt>
                <c:pt idx="1">
                  <c:v>Couple without children</c:v>
                </c:pt>
                <c:pt idx="2">
                  <c:v>Couple with children</c:v>
                </c:pt>
                <c:pt idx="3">
                  <c:v>Sole parent, 1 child</c:v>
                </c:pt>
                <c:pt idx="4">
                  <c:v>Sole parent, 2+ children</c:v>
                </c:pt>
              </c:strCache>
            </c:strRef>
          </c:cat>
          <c:val>
            <c:numRef>
              <c:f>Sheet2!$J$18:$J$22</c:f>
              <c:numCache>
                <c:formatCode>"$"#,##0.00_);[Red]\("$"#,##0.00\)</c:formatCode>
                <c:ptCount val="5"/>
                <c:pt idx="0">
                  <c:v>591.20000000000005</c:v>
                </c:pt>
                <c:pt idx="1">
                  <c:v>858.72</c:v>
                </c:pt>
                <c:pt idx="2">
                  <c:v>858.72</c:v>
                </c:pt>
                <c:pt idx="3">
                  <c:v>717.4</c:v>
                </c:pt>
                <c:pt idx="4">
                  <c:v>717.4</c:v>
                </c:pt>
              </c:numCache>
            </c:numRef>
          </c:val>
          <c:extLst>
            <c:ext xmlns:c16="http://schemas.microsoft.com/office/drawing/2014/chart" uri="{C3380CC4-5D6E-409C-BE32-E72D297353CC}">
              <c16:uniqueId val="{00000000-F8BC-453E-94E3-6EA8021FDA42}"/>
            </c:ext>
          </c:extLst>
        </c:ser>
        <c:ser>
          <c:idx val="1"/>
          <c:order val="1"/>
          <c:tx>
            <c:strRef>
              <c:f>Sheet2!$K$17</c:f>
              <c:strCache>
                <c:ptCount val="1"/>
                <c:pt idx="0">
                  <c:v>HSPs</c:v>
                </c:pt>
              </c:strCache>
            </c:strRef>
          </c:tx>
          <c:spPr>
            <a:solidFill>
              <a:schemeClr val="accent1"/>
            </a:solidFill>
            <a:ln>
              <a:noFill/>
            </a:ln>
            <a:effectLst/>
          </c:spPr>
          <c:invertIfNegative val="0"/>
          <c:cat>
            <c:strRef>
              <c:f>Sheet2!$I$18:$I$22</c:f>
              <c:strCache>
                <c:ptCount val="5"/>
                <c:pt idx="0">
                  <c:v>Single</c:v>
                </c:pt>
                <c:pt idx="1">
                  <c:v>Couple without children</c:v>
                </c:pt>
                <c:pt idx="2">
                  <c:v>Couple with children</c:v>
                </c:pt>
                <c:pt idx="3">
                  <c:v>Sole parent, 1 child</c:v>
                </c:pt>
                <c:pt idx="4">
                  <c:v>Sole parent, 2+ children</c:v>
                </c:pt>
              </c:strCache>
            </c:strRef>
          </c:cat>
          <c:val>
            <c:numRef>
              <c:f>Sheet2!$K$18:$K$22</c:f>
              <c:numCache>
                <c:formatCode>"$"#,##0_);[Red]\("$"#,##0\)</c:formatCode>
                <c:ptCount val="5"/>
                <c:pt idx="0">
                  <c:v>1218</c:v>
                </c:pt>
                <c:pt idx="1">
                  <c:v>1749</c:v>
                </c:pt>
                <c:pt idx="2">
                  <c:v>2068</c:v>
                </c:pt>
                <c:pt idx="3">
                  <c:v>1682</c:v>
                </c:pt>
                <c:pt idx="4">
                  <c:v>1962</c:v>
                </c:pt>
              </c:numCache>
            </c:numRef>
          </c:val>
          <c:extLst>
            <c:ext xmlns:c16="http://schemas.microsoft.com/office/drawing/2014/chart" uri="{C3380CC4-5D6E-409C-BE32-E72D297353CC}">
              <c16:uniqueId val="{00000001-F8BC-453E-94E3-6EA8021FDA42}"/>
            </c:ext>
          </c:extLst>
        </c:ser>
        <c:dLbls>
          <c:showLegendKey val="0"/>
          <c:showVal val="0"/>
          <c:showCatName val="0"/>
          <c:showSerName val="0"/>
          <c:showPercent val="0"/>
          <c:showBubbleSize val="0"/>
        </c:dLbls>
        <c:gapWidth val="219"/>
        <c:overlap val="-27"/>
        <c:axId val="761862968"/>
        <c:axId val="761867232"/>
      </c:barChart>
      <c:catAx>
        <c:axId val="761862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867232"/>
        <c:crosses val="autoZero"/>
        <c:auto val="1"/>
        <c:lblAlgn val="ctr"/>
        <c:lblOffset val="100"/>
        <c:noMultiLvlLbl val="0"/>
      </c:catAx>
      <c:valAx>
        <c:axId val="761867232"/>
        <c:scaling>
          <c:orientation val="minMax"/>
        </c:scaling>
        <c:delete val="0"/>
        <c:axPos val="l"/>
        <c:majorGridlines>
          <c:spPr>
            <a:ln w="9525" cap="flat" cmpd="sng" algn="ctr">
              <a:solidFill>
                <a:schemeClr val="tx1">
                  <a:lumMod val="15000"/>
                  <a:lumOff val="85000"/>
                </a:schemeClr>
              </a:solidFill>
              <a:round/>
            </a:ln>
            <a:effectLst/>
          </c:spPr>
        </c:majorGridlines>
        <c:numFmt formatCode="&quot;$&quot;#,##0.00_);[Red]\(&quot;$&quot;#,##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1862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7D159-610A-4ACF-92A5-74816593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22</Pages>
  <Words>7863</Words>
  <Characters>44820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Regulatory Impact Statement Template</vt:lpstr>
    </vt:vector>
  </TitlesOfParts>
  <Company>NZ Government</Company>
  <LinksUpToDate>false</LinksUpToDate>
  <CharactersWithSpaces>52578</CharactersWithSpaces>
  <SharedDoc>false</SharedDoc>
  <HLinks>
    <vt:vector size="54" baseType="variant">
      <vt:variant>
        <vt:i4>2687029</vt:i4>
      </vt:variant>
      <vt:variant>
        <vt:i4>24</vt:i4>
      </vt:variant>
      <vt:variant>
        <vt:i4>0</vt:i4>
      </vt:variant>
      <vt:variant>
        <vt:i4>5</vt:i4>
      </vt:variant>
      <vt:variant>
        <vt:lpwstr>http://www.treasury.govt.nz/regulation/expectations</vt:lpwstr>
      </vt:variant>
      <vt:variant>
        <vt:lpwstr/>
      </vt:variant>
      <vt:variant>
        <vt:i4>2687029</vt:i4>
      </vt:variant>
      <vt:variant>
        <vt:i4>21</vt:i4>
      </vt:variant>
      <vt:variant>
        <vt:i4>0</vt:i4>
      </vt:variant>
      <vt:variant>
        <vt:i4>5</vt:i4>
      </vt:variant>
      <vt:variant>
        <vt:lpwstr>http://www.treasury.govt.nz/regulation/expectations</vt:lpwstr>
      </vt:variant>
      <vt:variant>
        <vt:lpwstr/>
      </vt:variant>
      <vt:variant>
        <vt:i4>8257662</vt:i4>
      </vt:variant>
      <vt:variant>
        <vt:i4>18</vt:i4>
      </vt:variant>
      <vt:variant>
        <vt:i4>0</vt:i4>
      </vt:variant>
      <vt:variant>
        <vt:i4>5</vt:i4>
      </vt:variant>
      <vt:variant>
        <vt:lpwstr>http://www.treasury.govt.nz/publications/guidance/planning/costbenefitanalysis</vt:lpwstr>
      </vt:variant>
      <vt:variant>
        <vt:lpwstr/>
      </vt:variant>
      <vt:variant>
        <vt:i4>2949239</vt:i4>
      </vt:variant>
      <vt:variant>
        <vt:i4>15</vt:i4>
      </vt:variant>
      <vt:variant>
        <vt:i4>0</vt:i4>
      </vt:variant>
      <vt:variant>
        <vt:i4>5</vt:i4>
      </vt:variant>
      <vt:variant>
        <vt:lpwstr>http://www.treasury.govt.nz/publications/guidance/planning/costbenefitanalysis/x/x-guide-oct15.pdf</vt:lpwstr>
      </vt:variant>
      <vt:variant>
        <vt:lpwstr/>
      </vt:variant>
      <vt:variant>
        <vt:i4>2687029</vt:i4>
      </vt:variant>
      <vt:variant>
        <vt:i4>12</vt:i4>
      </vt:variant>
      <vt:variant>
        <vt:i4>0</vt:i4>
      </vt:variant>
      <vt:variant>
        <vt:i4>5</vt:i4>
      </vt:variant>
      <vt:variant>
        <vt:lpwstr>http://www.treasury.govt.nz/regulation/expectations</vt:lpwstr>
      </vt:variant>
      <vt:variant>
        <vt:lpwstr/>
      </vt:variant>
      <vt:variant>
        <vt:i4>4128805</vt:i4>
      </vt:variant>
      <vt:variant>
        <vt:i4>9</vt:i4>
      </vt:variant>
      <vt:variant>
        <vt:i4>0</vt:i4>
      </vt:variant>
      <vt:variant>
        <vt:i4>5</vt:i4>
      </vt:variant>
      <vt:variant>
        <vt:lpwstr>http://www.treasury.govt.nz/regulation/regulatoryproposal/ria/handbook</vt:lpwstr>
      </vt:variant>
      <vt:variant>
        <vt:lpwstr/>
      </vt:variant>
      <vt:variant>
        <vt:i4>2687029</vt:i4>
      </vt:variant>
      <vt:variant>
        <vt:i4>6</vt:i4>
      </vt:variant>
      <vt:variant>
        <vt:i4>0</vt:i4>
      </vt:variant>
      <vt:variant>
        <vt:i4>5</vt:i4>
      </vt:variant>
      <vt:variant>
        <vt:lpwstr>http://www.treasury.govt.nz/regulation/expectations</vt:lpwstr>
      </vt:variant>
      <vt:variant>
        <vt:lpwstr/>
      </vt:variant>
      <vt:variant>
        <vt:i4>4128805</vt:i4>
      </vt:variant>
      <vt:variant>
        <vt:i4>3</vt:i4>
      </vt:variant>
      <vt:variant>
        <vt:i4>0</vt:i4>
      </vt:variant>
      <vt:variant>
        <vt:i4>5</vt:i4>
      </vt:variant>
      <vt:variant>
        <vt:lpwstr>http://www.treasury.govt.nz/regulation/regulatoryproposal/ria/handbook</vt:lpwstr>
      </vt:variant>
      <vt:variant>
        <vt:lpwstr/>
      </vt:variant>
      <vt:variant>
        <vt:i4>3801155</vt:i4>
      </vt:variant>
      <vt:variant>
        <vt:i4>0</vt:i4>
      </vt:variant>
      <vt:variant>
        <vt:i4>0</vt:i4>
      </vt:variant>
      <vt:variant>
        <vt:i4>5</vt:i4>
      </vt:variant>
      <vt:variant>
        <vt:lpwstr>mailto:ria@treasury.govt.nz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Regulatory Impact Statement Template</dc:title>
  <dc:subject/>
  <dc:creator>New Zealand Treasury</dc:creator>
  <cp:keywords/>
  <dc:description/>
  <cp:lastModifiedBy>Andrew Mcnabb</cp:lastModifiedBy>
  <cp:revision>2</cp:revision>
  <cp:lastPrinted>2023-03-06T22:56:00Z</cp:lastPrinted>
  <dcterms:created xsi:type="dcterms:W3CDTF">2023-03-27T02:45:00Z</dcterms:created>
  <dcterms:modified xsi:type="dcterms:W3CDTF">2023-03-27T02:45:00Z</dcterms:modified>
</cp:coreProperties>
</file>